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20"/>
          <w:szCs w:val="20"/>
          <w:color w:val="auto"/>
        </w:rPr>
        <w:t>UNITED STATES SECURITIES AND EXCHANGE COMMISSION</w:t>
      </w:r>
    </w:p>
    <w:p>
      <w:pPr>
        <w:jc w:val="center"/>
        <w:ind w:left="1160"/>
        <w:spacing w:after="0"/>
        <w:rPr>
          <w:sz w:val="20"/>
          <w:szCs w:val="20"/>
          <w:color w:val="auto"/>
        </w:rPr>
      </w:pPr>
      <w:r>
        <w:rPr>
          <w:rFonts w:ascii="Arial" w:cs="Arial" w:eastAsia="Arial" w:hAnsi="Arial"/>
          <w:sz w:val="17"/>
          <w:szCs w:val="17"/>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line="345" w:lineRule="exact"/>
        <w:rPr>
          <w:sz w:val="24"/>
          <w:szCs w:val="24"/>
          <w:color w:val="auto"/>
        </w:rPr>
      </w:pPr>
    </w:p>
    <w:p>
      <w:pPr>
        <w:jc w:val="center"/>
        <w:ind w:left="1160"/>
        <w:spacing w:after="0"/>
        <w:rPr>
          <w:sz w:val="20"/>
          <w:szCs w:val="20"/>
          <w:color w:val="auto"/>
        </w:rPr>
      </w:pPr>
      <w:r>
        <w:rPr>
          <w:rFonts w:ascii="Arial" w:cs="Arial" w:eastAsia="Arial" w:hAnsi="Arial"/>
          <w:sz w:val="24"/>
          <w:szCs w:val="24"/>
          <w:b w:val="1"/>
          <w:bCs w:val="1"/>
          <w:color w:val="auto"/>
        </w:rPr>
        <w:t>FORM 10-K</w:t>
      </w:r>
    </w:p>
    <w:p>
      <w:pPr>
        <w:spacing w:after="0" w:line="104" w:lineRule="exact"/>
        <w:rPr>
          <w:sz w:val="24"/>
          <w:szCs w:val="24"/>
          <w:color w:val="auto"/>
        </w:rPr>
      </w:pPr>
    </w:p>
    <w:p>
      <w:pPr>
        <w:jc w:val="center"/>
        <w:ind w:left="116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spacing w:after="0" w:line="46" w:lineRule="exact"/>
        <w:rPr>
          <w:sz w:val="24"/>
          <w:szCs w:val="24"/>
          <w:color w:val="auto"/>
        </w:rPr>
      </w:pPr>
    </w:p>
    <w:p>
      <w:pPr>
        <w:jc w:val="center"/>
        <w:ind w:left="1160"/>
        <w:spacing w:after="0"/>
        <w:rPr>
          <w:sz w:val="20"/>
          <w:szCs w:val="20"/>
          <w:color w:val="auto"/>
        </w:rPr>
      </w:pPr>
      <w:r>
        <w:rPr>
          <w:rFonts w:ascii="Arial" w:cs="Arial" w:eastAsia="Arial" w:hAnsi="Arial"/>
          <w:sz w:val="14"/>
          <w:szCs w:val="14"/>
          <w:b w:val="1"/>
          <w:bCs w:val="1"/>
          <w:color w:val="auto"/>
        </w:rPr>
        <w:t>FOR THE FISCAL YEAR ENDED December 31, 2011</w:t>
      </w:r>
    </w:p>
    <w:p>
      <w:pPr>
        <w:spacing w:after="0" w:line="78" w:lineRule="exact"/>
        <w:rPr>
          <w:sz w:val="24"/>
          <w:szCs w:val="24"/>
          <w:color w:val="auto"/>
        </w:rPr>
      </w:pPr>
    </w:p>
    <w:p>
      <w:pPr>
        <w:jc w:val="center"/>
        <w:ind w:left="1160"/>
        <w:spacing w:after="0"/>
        <w:rPr>
          <w:sz w:val="20"/>
          <w:szCs w:val="20"/>
          <w:color w:val="auto"/>
        </w:rPr>
      </w:pPr>
      <w:r>
        <w:rPr>
          <w:rFonts w:ascii="Arial" w:cs="Arial" w:eastAsia="Arial" w:hAnsi="Arial"/>
          <w:sz w:val="14"/>
          <w:szCs w:val="14"/>
          <w:color w:val="auto"/>
        </w:rPr>
        <w:t>Commission file number 1-6714</w:t>
      </w:r>
    </w:p>
    <w:p>
      <w:pPr>
        <w:spacing w:after="0" w:line="29" w:lineRule="exact"/>
        <w:rPr>
          <w:sz w:val="24"/>
          <w:szCs w:val="24"/>
          <w:color w:val="auto"/>
        </w:rPr>
      </w:pPr>
    </w:p>
    <w:p>
      <w:pPr>
        <w:jc w:val="center"/>
        <w:ind w:left="1160"/>
        <w:spacing w:after="0"/>
        <w:rPr>
          <w:sz w:val="20"/>
          <w:szCs w:val="20"/>
          <w:color w:val="auto"/>
        </w:rPr>
      </w:pPr>
      <w:r>
        <w:rPr>
          <w:rFonts w:ascii="Arial" w:cs="Arial" w:eastAsia="Arial" w:hAnsi="Arial"/>
          <w:sz w:val="24"/>
          <w:szCs w:val="24"/>
          <w:b w:val="1"/>
          <w:bCs w:val="1"/>
          <w:color w:val="auto"/>
        </w:rPr>
        <w:t>The Washington Post Company</w:t>
      </w:r>
    </w:p>
    <w:p>
      <w:pPr>
        <w:spacing w:after="0" w:line="52" w:lineRule="exact"/>
        <w:rPr>
          <w:sz w:val="24"/>
          <w:szCs w:val="24"/>
          <w:color w:val="auto"/>
        </w:rPr>
      </w:pPr>
    </w:p>
    <w:p>
      <w:pPr>
        <w:ind w:left="4380"/>
        <w:spacing w:after="0"/>
        <w:rPr>
          <w:sz w:val="20"/>
          <w:szCs w:val="20"/>
          <w:color w:val="auto"/>
        </w:rPr>
      </w:pPr>
      <w:r>
        <w:rPr>
          <w:rFonts w:ascii="Arial" w:cs="Arial" w:eastAsia="Arial" w:hAnsi="Arial"/>
          <w:sz w:val="12"/>
          <w:szCs w:val="12"/>
          <w:color w:val="auto"/>
        </w:rPr>
        <w:t>(Exact name of registrant as specified in its charter)</w:t>
      </w:r>
    </w:p>
    <w:p>
      <w:pPr>
        <w:spacing w:after="0" w:line="2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jc w:val="center"/>
              <w:ind w:right="1960"/>
              <w:spacing w:after="0"/>
              <w:rPr>
                <w:sz w:val="20"/>
                <w:szCs w:val="20"/>
                <w:color w:val="auto"/>
              </w:rPr>
            </w:pPr>
            <w:r>
              <w:rPr>
                <w:rFonts w:ascii="Arial" w:cs="Arial" w:eastAsia="Arial" w:hAnsi="Arial"/>
                <w:sz w:val="14"/>
                <w:szCs w:val="14"/>
                <w:color w:val="auto"/>
                <w:w w:val="98"/>
              </w:rPr>
              <w:t>Delaware</w:t>
            </w:r>
          </w:p>
        </w:tc>
        <w:tc>
          <w:tcPr>
            <w:tcW w:w="3280" w:type="dxa"/>
            <w:vAlign w:val="bottom"/>
          </w:tcPr>
          <w:p>
            <w:pPr>
              <w:jc w:val="right"/>
              <w:ind w:right="1813"/>
              <w:spacing w:after="0"/>
              <w:rPr>
                <w:sz w:val="20"/>
                <w:szCs w:val="20"/>
                <w:color w:val="auto"/>
              </w:rPr>
            </w:pPr>
            <w:r>
              <w:rPr>
                <w:rFonts w:ascii="Arial" w:cs="Arial" w:eastAsia="Arial" w:hAnsi="Arial"/>
                <w:sz w:val="14"/>
                <w:szCs w:val="14"/>
                <w:color w:val="auto"/>
              </w:rPr>
              <w:t>53-0182885</w:t>
            </w:r>
          </w:p>
        </w:tc>
      </w:tr>
      <w:tr>
        <w:trPr>
          <w:trHeight w:val="124"/>
        </w:trPr>
        <w:tc>
          <w:tcPr>
            <w:tcW w:w="7660" w:type="dxa"/>
            <w:vAlign w:val="bottom"/>
            <w:gridSpan w:val="3"/>
          </w:tcPr>
          <w:p>
            <w:pPr>
              <w:jc w:val="center"/>
              <w:ind w:right="1960"/>
              <w:spacing w:after="0" w:line="124" w:lineRule="exact"/>
              <w:rPr>
                <w:sz w:val="20"/>
                <w:szCs w:val="20"/>
                <w:color w:val="auto"/>
              </w:rPr>
            </w:pPr>
            <w:r>
              <w:rPr>
                <w:rFonts w:ascii="Arial" w:cs="Arial" w:eastAsia="Arial" w:hAnsi="Arial"/>
                <w:sz w:val="12"/>
                <w:szCs w:val="12"/>
                <w:color w:val="auto"/>
                <w:w w:val="96"/>
              </w:rPr>
              <w:t>(State or other jurisdiction of incorporation</w:t>
            </w:r>
          </w:p>
        </w:tc>
        <w:tc>
          <w:tcPr>
            <w:tcW w:w="3280" w:type="dxa"/>
            <w:vAlign w:val="bottom"/>
          </w:tcPr>
          <w:p>
            <w:pPr>
              <w:jc w:val="center"/>
              <w:ind w:right="1193"/>
              <w:spacing w:after="0" w:line="124" w:lineRule="exact"/>
              <w:rPr>
                <w:sz w:val="20"/>
                <w:szCs w:val="20"/>
                <w:color w:val="auto"/>
              </w:rPr>
            </w:pPr>
            <w:r>
              <w:rPr>
                <w:rFonts w:ascii="Arial" w:cs="Arial" w:eastAsia="Arial" w:hAnsi="Arial"/>
                <w:sz w:val="12"/>
                <w:szCs w:val="12"/>
                <w:color w:val="auto"/>
                <w:w w:val="96"/>
              </w:rPr>
              <w:t>(I.R.S. Employer Identification No.)</w:t>
            </w:r>
          </w:p>
        </w:tc>
      </w:tr>
      <w:tr>
        <w:trPr>
          <w:trHeight w:val="139"/>
        </w:trPr>
        <w:tc>
          <w:tcPr>
            <w:tcW w:w="7660" w:type="dxa"/>
            <w:vAlign w:val="bottom"/>
            <w:gridSpan w:val="3"/>
          </w:tcPr>
          <w:p>
            <w:pPr>
              <w:jc w:val="center"/>
              <w:ind w:right="1960"/>
              <w:spacing w:after="0"/>
              <w:rPr>
                <w:sz w:val="20"/>
                <w:szCs w:val="20"/>
                <w:color w:val="auto"/>
              </w:rPr>
            </w:pPr>
            <w:r>
              <w:rPr>
                <w:rFonts w:ascii="Arial" w:cs="Arial" w:eastAsia="Arial" w:hAnsi="Arial"/>
                <w:sz w:val="12"/>
                <w:szCs w:val="12"/>
                <w:color w:val="auto"/>
                <w:w w:val="98"/>
              </w:rPr>
              <w:t>or organization)</w:t>
            </w:r>
          </w:p>
        </w:tc>
        <w:tc>
          <w:tcPr>
            <w:tcW w:w="3280" w:type="dxa"/>
            <w:vAlign w:val="bottom"/>
          </w:tcPr>
          <w:p>
            <w:pPr>
              <w:spacing w:after="0"/>
              <w:rPr>
                <w:sz w:val="12"/>
                <w:szCs w:val="12"/>
                <w:color w:val="auto"/>
              </w:rPr>
            </w:pPr>
          </w:p>
        </w:tc>
      </w:tr>
      <w:tr>
        <w:trPr>
          <w:trHeight w:val="358"/>
        </w:trPr>
        <w:tc>
          <w:tcPr>
            <w:tcW w:w="7660" w:type="dxa"/>
            <w:vAlign w:val="bottom"/>
            <w:gridSpan w:val="3"/>
          </w:tcPr>
          <w:p>
            <w:pPr>
              <w:jc w:val="center"/>
              <w:ind w:right="1960"/>
              <w:spacing w:after="0"/>
              <w:rPr>
                <w:sz w:val="20"/>
                <w:szCs w:val="20"/>
                <w:color w:val="auto"/>
              </w:rPr>
            </w:pPr>
            <w:r>
              <w:rPr>
                <w:rFonts w:ascii="Arial" w:cs="Arial" w:eastAsia="Arial" w:hAnsi="Arial"/>
                <w:sz w:val="14"/>
                <w:szCs w:val="14"/>
                <w:color w:val="auto"/>
                <w:w w:val="99"/>
              </w:rPr>
              <w:t>1150 15th St., N.W., Washington, D.C.</w:t>
            </w:r>
          </w:p>
        </w:tc>
        <w:tc>
          <w:tcPr>
            <w:tcW w:w="3280" w:type="dxa"/>
            <w:vAlign w:val="bottom"/>
          </w:tcPr>
          <w:p>
            <w:pPr>
              <w:jc w:val="right"/>
              <w:ind w:right="1993"/>
              <w:spacing w:after="0"/>
              <w:rPr>
                <w:sz w:val="20"/>
                <w:szCs w:val="20"/>
                <w:color w:val="auto"/>
              </w:rPr>
            </w:pPr>
            <w:r>
              <w:rPr>
                <w:rFonts w:ascii="Arial" w:cs="Arial" w:eastAsia="Arial" w:hAnsi="Arial"/>
                <w:sz w:val="14"/>
                <w:szCs w:val="14"/>
                <w:color w:val="auto"/>
              </w:rPr>
              <w:t>20071</w:t>
            </w:r>
          </w:p>
        </w:tc>
      </w:tr>
      <w:tr>
        <w:trPr>
          <w:trHeight w:val="139"/>
        </w:trPr>
        <w:tc>
          <w:tcPr>
            <w:tcW w:w="7660" w:type="dxa"/>
            <w:vAlign w:val="bottom"/>
            <w:gridSpan w:val="3"/>
          </w:tcPr>
          <w:p>
            <w:pPr>
              <w:jc w:val="center"/>
              <w:ind w:right="1960"/>
              <w:spacing w:after="0"/>
              <w:rPr>
                <w:sz w:val="20"/>
                <w:szCs w:val="20"/>
                <w:color w:val="auto"/>
              </w:rPr>
            </w:pPr>
            <w:r>
              <w:rPr>
                <w:rFonts w:ascii="Arial" w:cs="Arial" w:eastAsia="Arial" w:hAnsi="Arial"/>
                <w:sz w:val="12"/>
                <w:szCs w:val="12"/>
                <w:color w:val="auto"/>
                <w:w w:val="96"/>
              </w:rPr>
              <w:t>(Address of principal executive offices)</w:t>
            </w:r>
          </w:p>
        </w:tc>
        <w:tc>
          <w:tcPr>
            <w:tcW w:w="3280" w:type="dxa"/>
            <w:vAlign w:val="bottom"/>
          </w:tcPr>
          <w:p>
            <w:pPr>
              <w:jc w:val="center"/>
              <w:ind w:right="1173"/>
              <w:spacing w:after="0"/>
              <w:rPr>
                <w:sz w:val="20"/>
                <w:szCs w:val="20"/>
                <w:color w:val="auto"/>
              </w:rPr>
            </w:pPr>
            <w:r>
              <w:rPr>
                <w:rFonts w:ascii="Arial" w:cs="Arial" w:eastAsia="Arial" w:hAnsi="Arial"/>
                <w:sz w:val="12"/>
                <w:szCs w:val="12"/>
                <w:color w:val="auto"/>
                <w:w w:val="98"/>
              </w:rPr>
              <w:t>(Zip Code)</w:t>
            </w:r>
          </w:p>
        </w:tc>
      </w:tr>
      <w:tr>
        <w:trPr>
          <w:trHeight w:val="306"/>
        </w:trPr>
        <w:tc>
          <w:tcPr>
            <w:tcW w:w="10940" w:type="dxa"/>
            <w:vAlign w:val="bottom"/>
            <w:gridSpan w:val="4"/>
          </w:tcPr>
          <w:p>
            <w:pPr>
              <w:jc w:val="center"/>
              <w:ind w:left="413"/>
              <w:spacing w:after="0"/>
              <w:rPr>
                <w:sz w:val="20"/>
                <w:szCs w:val="20"/>
                <w:color w:val="auto"/>
              </w:rPr>
            </w:pPr>
            <w:r>
              <w:rPr>
                <w:rFonts w:ascii="Arial" w:cs="Arial" w:eastAsia="Arial" w:hAnsi="Arial"/>
                <w:sz w:val="14"/>
                <w:szCs w:val="14"/>
                <w:color w:val="auto"/>
                <w:w w:val="99"/>
              </w:rPr>
              <w:t>Registrant’s Telephone Number, Including Area Code: (202) 334-6000</w:t>
            </w:r>
          </w:p>
        </w:tc>
      </w:tr>
      <w:tr>
        <w:trPr>
          <w:trHeight w:val="298"/>
        </w:trPr>
        <w:tc>
          <w:tcPr>
            <w:tcW w:w="7660" w:type="dxa"/>
            <w:vAlign w:val="bottom"/>
            <w:gridSpan w:val="3"/>
          </w:tcPr>
          <w:p>
            <w:pPr>
              <w:jc w:val="center"/>
              <w:ind w:left="3673"/>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4"/>
                <w:szCs w:val="24"/>
                <w:color w:val="auto"/>
              </w:rPr>
            </w:pPr>
          </w:p>
        </w:tc>
      </w:tr>
      <w:tr>
        <w:trPr>
          <w:trHeight w:val="426"/>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80" w:type="dxa"/>
            <w:vAlign w:val="bottom"/>
          </w:tcPr>
          <w:p>
            <w:pPr>
              <w:jc w:val="center"/>
              <w:ind w:right="1173"/>
              <w:spacing w:after="0"/>
              <w:rPr>
                <w:sz w:val="20"/>
                <w:szCs w:val="20"/>
                <w:color w:val="auto"/>
              </w:rPr>
            </w:pPr>
            <w:r>
              <w:rPr>
                <w:rFonts w:ascii="Arial" w:cs="Arial" w:eastAsia="Arial" w:hAnsi="Arial"/>
                <w:sz w:val="14"/>
                <w:szCs w:val="14"/>
                <w:color w:val="auto"/>
              </w:rPr>
              <w:t>Name of each exchange</w:t>
            </w:r>
          </w:p>
        </w:tc>
      </w:tr>
      <w:tr>
        <w:trPr>
          <w:trHeight w:val="152"/>
        </w:trPr>
        <w:tc>
          <w:tcPr>
            <w:tcW w:w="572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color w:val="auto"/>
                <w:w w:val="99"/>
              </w:rPr>
              <w:t>Title of each class</w:t>
            </w:r>
          </w:p>
        </w:tc>
        <w:tc>
          <w:tcPr>
            <w:tcW w:w="22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jc w:val="center"/>
              <w:ind w:right="1193"/>
              <w:spacing w:after="0" w:line="152" w:lineRule="exact"/>
              <w:rPr>
                <w:sz w:val="20"/>
                <w:szCs w:val="20"/>
                <w:color w:val="auto"/>
              </w:rPr>
            </w:pPr>
            <w:r>
              <w:rPr>
                <w:rFonts w:ascii="Arial" w:cs="Arial" w:eastAsia="Arial" w:hAnsi="Arial"/>
                <w:sz w:val="14"/>
                <w:szCs w:val="14"/>
                <w:color w:val="auto"/>
              </w:rPr>
              <w:t>on which registered</w:t>
            </w:r>
          </w:p>
        </w:tc>
      </w:tr>
      <w:tr>
        <w:trPr>
          <w:trHeight w:val="151"/>
        </w:trPr>
        <w:tc>
          <w:tcPr>
            <w:tcW w:w="7660" w:type="dxa"/>
            <w:vAlign w:val="bottom"/>
            <w:gridSpan w:val="3"/>
          </w:tcPr>
          <w:p>
            <w:pPr>
              <w:jc w:val="center"/>
              <w:ind w:right="1960"/>
              <w:spacing w:after="0" w:line="151" w:lineRule="exact"/>
              <w:rPr>
                <w:sz w:val="20"/>
                <w:szCs w:val="20"/>
                <w:color w:val="auto"/>
              </w:rPr>
            </w:pPr>
            <w:r>
              <w:rPr>
                <w:rFonts w:ascii="Arial" w:cs="Arial" w:eastAsia="Arial" w:hAnsi="Arial"/>
                <w:sz w:val="14"/>
                <w:szCs w:val="14"/>
                <w:color w:val="auto"/>
              </w:rPr>
              <w:t>Class B Common Stock, par value</w:t>
            </w:r>
          </w:p>
        </w:tc>
        <w:tc>
          <w:tcPr>
            <w:tcW w:w="3280" w:type="dxa"/>
            <w:vAlign w:val="bottom"/>
          </w:tcPr>
          <w:p>
            <w:pPr>
              <w:jc w:val="center"/>
              <w:ind w:right="1173"/>
              <w:spacing w:after="0" w:line="151" w:lineRule="exact"/>
              <w:rPr>
                <w:sz w:val="20"/>
                <w:szCs w:val="20"/>
                <w:color w:val="auto"/>
              </w:rPr>
            </w:pPr>
            <w:r>
              <w:rPr>
                <w:rFonts w:ascii="Arial" w:cs="Arial" w:eastAsia="Arial" w:hAnsi="Arial"/>
                <w:sz w:val="14"/>
                <w:szCs w:val="14"/>
                <w:color w:val="auto"/>
                <w:w w:val="98"/>
              </w:rPr>
              <w:t>New York Stock Exchange</w:t>
            </w:r>
          </w:p>
        </w:tc>
      </w:tr>
      <w:tr>
        <w:trPr>
          <w:trHeight w:val="158"/>
        </w:trPr>
        <w:tc>
          <w:tcPr>
            <w:tcW w:w="7660" w:type="dxa"/>
            <w:vAlign w:val="bottom"/>
            <w:gridSpan w:val="3"/>
          </w:tcPr>
          <w:p>
            <w:pPr>
              <w:jc w:val="center"/>
              <w:ind w:right="1960"/>
              <w:spacing w:after="0" w:line="158" w:lineRule="exact"/>
              <w:rPr>
                <w:sz w:val="20"/>
                <w:szCs w:val="20"/>
                <w:color w:val="auto"/>
              </w:rPr>
            </w:pPr>
            <w:r>
              <w:rPr>
                <w:rFonts w:ascii="Arial" w:cs="Arial" w:eastAsia="Arial" w:hAnsi="Arial"/>
                <w:sz w:val="14"/>
                <w:szCs w:val="14"/>
                <w:color w:val="auto"/>
                <w:w w:val="99"/>
              </w:rPr>
              <w:t>$1.00 per share</w:t>
            </w:r>
          </w:p>
        </w:tc>
        <w:tc>
          <w:tcPr>
            <w:tcW w:w="3280" w:type="dxa"/>
            <w:vAlign w:val="bottom"/>
          </w:tcPr>
          <w:p>
            <w:pPr>
              <w:spacing w:after="0"/>
              <w:rPr>
                <w:sz w:val="13"/>
                <w:szCs w:val="13"/>
                <w:color w:val="auto"/>
              </w:rPr>
            </w:pPr>
          </w:p>
        </w:tc>
      </w:tr>
    </w:tbl>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x No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Securities Exchange Act of 1934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110"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Act during the preceding 12 months (or for such shorter pe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51" w:lineRule="exact"/>
        <w:rPr>
          <w:sz w:val="24"/>
          <w:szCs w:val="24"/>
          <w:color w:val="auto"/>
        </w:rPr>
      </w:pPr>
    </w:p>
    <w:p>
      <w:pPr>
        <w:jc w:val="both"/>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 pursuant to Rule 405 of Regulation S-T during the preceding 12 months (or for such shorter period that the registrant was required to submit and post such files). Yes x No </w:t>
      </w:r>
      <w:r>
        <w:rPr>
          <w:rFonts w:ascii="MS PGothic" w:cs="MS PGothic" w:eastAsia="MS PGothic" w:hAnsi="MS PGothic"/>
          <w:sz w:val="14"/>
          <w:szCs w:val="14"/>
          <w:color w:val="auto"/>
        </w:rPr>
        <w:t>☐</w:t>
      </w:r>
    </w:p>
    <w:p>
      <w:pPr>
        <w:spacing w:after="0" w:line="51" w:lineRule="exact"/>
        <w:rPr>
          <w:sz w:val="24"/>
          <w:szCs w:val="24"/>
          <w:color w:val="auto"/>
        </w:rPr>
      </w:pPr>
    </w:p>
    <w:p>
      <w:pPr>
        <w:jc w:val="both"/>
        <w:spacing w:after="0" w:line="237"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 in definitive proxy or information statements incorporated by reference in Part III of this Form 10-K or any amendment to this Form 10-K. x</w:t>
      </w:r>
    </w:p>
    <w:p>
      <w:pPr>
        <w:spacing w:after="0" w:line="54" w:lineRule="exact"/>
        <w:rPr>
          <w:sz w:val="24"/>
          <w:szCs w:val="24"/>
          <w:color w:val="auto"/>
        </w:rPr>
      </w:pPr>
    </w:p>
    <w:p>
      <w:pPr>
        <w:ind w:right="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Act. (Check one):</w:t>
      </w:r>
    </w:p>
    <w:p>
      <w:pPr>
        <w:spacing w:after="0" w:line="32" w:lineRule="exact"/>
        <w:rPr>
          <w:sz w:val="24"/>
          <w:szCs w:val="24"/>
          <w:color w:val="auto"/>
        </w:rPr>
      </w:pPr>
    </w:p>
    <w:p>
      <w:pPr>
        <w:ind w:right="260"/>
        <w:spacing w:after="0" w:line="235" w:lineRule="exact"/>
        <w:rPr>
          <w:sz w:val="20"/>
          <w:szCs w:val="20"/>
          <w:color w:val="auto"/>
        </w:rPr>
      </w:pPr>
      <w:r>
        <w:rPr>
          <w:rFonts w:ascii="Arial" w:cs="Arial" w:eastAsia="Arial" w:hAnsi="Arial"/>
          <w:sz w:val="14"/>
          <w:szCs w:val="14"/>
          <w:color w:val="auto"/>
        </w:rPr>
        <w:t xml:space="preserve">Large accelerated filer x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51" w:lineRule="exact"/>
        <w:rPr>
          <w:sz w:val="24"/>
          <w:szCs w:val="24"/>
          <w:color w:val="auto"/>
        </w:rPr>
      </w:pPr>
    </w:p>
    <w:p>
      <w:pPr>
        <w:spacing w:after="0" w:line="237" w:lineRule="auto"/>
        <w:rPr>
          <w:sz w:val="20"/>
          <w:szCs w:val="20"/>
          <w:color w:val="auto"/>
        </w:rPr>
      </w:pPr>
      <w:r>
        <w:rPr>
          <w:rFonts w:ascii="Arial" w:cs="Arial" w:eastAsia="Arial" w:hAnsi="Arial"/>
          <w:sz w:val="14"/>
          <w:szCs w:val="14"/>
          <w:color w:val="auto"/>
        </w:rPr>
        <w:t>Aggregate market value of the registrant's common equity held by non-affiliates on July 1, 2011, based on the closing price for the Company's Class B Common Stock on the Ne Stock Exchange on such date: approximately $3,200,000,000.</w:t>
      </w:r>
    </w:p>
    <w:p>
      <w:pPr>
        <w:spacing w:after="0" w:line="54" w:lineRule="exact"/>
        <w:rPr>
          <w:sz w:val="24"/>
          <w:szCs w:val="24"/>
          <w:color w:val="auto"/>
        </w:rPr>
      </w:pPr>
    </w:p>
    <w:p>
      <w:pPr>
        <w:spacing w:after="0"/>
        <w:rPr>
          <w:sz w:val="20"/>
          <w:szCs w:val="20"/>
          <w:color w:val="auto"/>
        </w:rPr>
      </w:pPr>
      <w:r>
        <w:rPr>
          <w:rFonts w:ascii="Arial" w:cs="Arial" w:eastAsia="Arial" w:hAnsi="Arial"/>
          <w:sz w:val="14"/>
          <w:szCs w:val="14"/>
          <w:color w:val="auto"/>
        </w:rPr>
        <w:t>Shares of common stock outstanding at February 24, 2012:</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4"/>
          <w:szCs w:val="14"/>
          <w:color w:val="auto"/>
        </w:rPr>
        <w:t>Class A Common Stock – 1,229,383 shares</w:t>
      </w:r>
    </w:p>
    <w:p>
      <w:pPr>
        <w:ind w:left="4340"/>
        <w:spacing w:after="0"/>
        <w:rPr>
          <w:sz w:val="20"/>
          <w:szCs w:val="20"/>
          <w:color w:val="auto"/>
        </w:rPr>
      </w:pPr>
      <w:r>
        <w:rPr>
          <w:rFonts w:ascii="Arial" w:cs="Arial" w:eastAsia="Arial" w:hAnsi="Arial"/>
          <w:sz w:val="14"/>
          <w:szCs w:val="14"/>
          <w:color w:val="auto"/>
        </w:rPr>
        <w:t>Class B Common Stock – 6,387,601 shares</w:t>
      </w:r>
    </w:p>
    <w:p>
      <w:pPr>
        <w:spacing w:after="0" w:line="137" w:lineRule="exact"/>
        <w:rPr>
          <w:sz w:val="24"/>
          <w:szCs w:val="24"/>
          <w:color w:val="auto"/>
        </w:rPr>
      </w:pPr>
    </w:p>
    <w:p>
      <w:pPr>
        <w:jc w:val="center"/>
        <w:ind w:left="1160"/>
        <w:spacing w:after="0"/>
        <w:rPr>
          <w:sz w:val="20"/>
          <w:szCs w:val="20"/>
          <w:color w:val="auto"/>
        </w:rPr>
      </w:pPr>
      <w:r>
        <w:rPr>
          <w:rFonts w:ascii="Arial" w:cs="Arial" w:eastAsia="Arial" w:hAnsi="Arial"/>
          <w:sz w:val="14"/>
          <w:szCs w:val="14"/>
          <w:color w:val="auto"/>
        </w:rPr>
        <w:t>Documents partially incorporated by reference:</w:t>
      </w:r>
    </w:p>
    <w:p>
      <w:pPr>
        <w:spacing w:after="0" w:line="50"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Definitive Proxy Statement for the registrant's 2012 Annual Meeting of Stockholders</w:t>
      </w:r>
    </w:p>
    <w:p>
      <w:pPr>
        <w:ind w:left="3080"/>
        <w:spacing w:after="0"/>
        <w:rPr>
          <w:sz w:val="20"/>
          <w:szCs w:val="20"/>
          <w:color w:val="auto"/>
        </w:rPr>
      </w:pPr>
      <w:r>
        <w:rPr>
          <w:rFonts w:ascii="Arial" w:cs="Arial" w:eastAsia="Arial" w:hAnsi="Arial"/>
          <w:sz w:val="14"/>
          <w:szCs w:val="14"/>
          <w:color w:val="auto"/>
        </w:rPr>
        <w:t>(incorporated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191135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543560</wp:posOffset>
            </wp:positionV>
            <wp:extent cx="72783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55" w:right="139" w:bottom="1440" w:gutter="0" w:footer="0" w:header="0"/>
        </w:sectPr>
      </w:pPr>
    </w:p>
    <w:bookmarkStart w:id="1" w:name="page2"/>
    <w:bookmarkEnd w:id="1"/>
    <w:p>
      <w:pPr>
        <w:spacing w:after="0" w:line="195" w:lineRule="auto"/>
        <w:framePr w:w="740" w:h="150" w:wrap="auto" w:vAnchor="page" w:hAnchor="page" w:x="2620" w:y="1144"/>
        <w:rPr>
          <w:rFonts w:ascii="Arial" w:cs="Arial" w:eastAsia="Arial" w:hAnsi="Arial"/>
          <w:sz w:val="16"/>
          <w:szCs w:val="16"/>
          <w:color w:val="auto"/>
        </w:rPr>
      </w:pPr>
      <w:r>
        <w:rPr>
          <w:rFonts w:ascii="Arial" w:cs="Arial" w:eastAsia="Arial" w:hAnsi="Arial"/>
          <w:sz w:val="16"/>
          <w:szCs w:val="16"/>
          <w:color w:val="auto"/>
        </w:rPr>
        <w:t>Business</w:t>
      </w:r>
    </w:p>
    <w:p>
      <w:pPr>
        <w:spacing w:after="0" w:line="195" w:lineRule="auto"/>
        <w:framePr w:w="800" w:h="150" w:wrap="auto" w:vAnchor="page" w:hAnchor="page" w:x="2620" w:y="1331"/>
        <w:rPr>
          <w:rFonts w:ascii="Arial" w:cs="Arial" w:eastAsia="Arial" w:hAnsi="Arial"/>
          <w:sz w:val="16"/>
          <w:szCs w:val="16"/>
          <w:color w:val="auto"/>
        </w:rPr>
      </w:pPr>
      <w:r>
        <w:rPr>
          <w:rFonts w:ascii="Arial" w:cs="Arial" w:eastAsia="Arial" w:hAnsi="Arial"/>
          <w:sz w:val="16"/>
          <w:szCs w:val="16"/>
          <w:color w:val="auto"/>
        </w:rPr>
        <w:t>Education</w:t>
      </w:r>
    </w:p>
    <w:p>
      <w:pPr>
        <w:spacing w:after="0" w:line="221" w:lineRule="auto"/>
        <w:framePr w:w="2280" w:h="1080" w:wrap="auto" w:vAnchor="page" w:hAnchor="page" w:x="2620" w:y="1517"/>
        <w:rPr>
          <w:rFonts w:ascii="Arial" w:cs="Arial" w:eastAsia="Arial" w:hAnsi="Arial"/>
          <w:sz w:val="17"/>
          <w:szCs w:val="17"/>
          <w:color w:val="auto"/>
        </w:rPr>
      </w:pPr>
      <w:r>
        <w:rPr>
          <w:rFonts w:ascii="Arial" w:cs="Arial" w:eastAsia="Arial" w:hAnsi="Arial"/>
          <w:sz w:val="17"/>
          <w:szCs w:val="17"/>
          <w:color w:val="auto"/>
        </w:rPr>
        <w:t>Cable Television Operations Newspaper Publishing Television Broadcasting Other Activities Production and Raw Materials Competition</w:t>
      </w:r>
    </w:p>
    <w:p>
      <w:pPr>
        <w:spacing w:after="0" w:line="217" w:lineRule="auto"/>
        <w:framePr w:w="2200" w:h="708" w:wrap="auto" w:vAnchor="page" w:hAnchor="page" w:x="2620" w:y="2634"/>
        <w:rPr>
          <w:rFonts w:ascii="Arial" w:cs="Arial" w:eastAsia="Arial" w:hAnsi="Arial"/>
          <w:sz w:val="17"/>
          <w:szCs w:val="17"/>
          <w:color w:val="auto"/>
        </w:rPr>
      </w:pPr>
      <w:r>
        <w:rPr>
          <w:rFonts w:ascii="Arial" w:cs="Arial" w:eastAsia="Arial" w:hAnsi="Arial"/>
          <w:sz w:val="17"/>
          <w:szCs w:val="17"/>
          <w:color w:val="auto"/>
        </w:rPr>
        <w:t>Executive Officers Employees Forward-Looking Statements Available Information</w:t>
      </w:r>
    </w:p>
    <w:p>
      <w:pPr>
        <w:spacing w:after="0" w:line="195" w:lineRule="auto"/>
        <w:framePr w:w="1000" w:h="150" w:wrap="auto" w:vAnchor="page" w:hAnchor="page" w:x="2620" w:y="3378"/>
        <w:rPr>
          <w:rFonts w:ascii="Arial" w:cs="Arial" w:eastAsia="Arial" w:hAnsi="Arial"/>
          <w:sz w:val="16"/>
          <w:szCs w:val="16"/>
          <w:color w:val="auto"/>
        </w:rPr>
      </w:pPr>
      <w:r>
        <w:rPr>
          <w:rFonts w:ascii="Arial" w:cs="Arial" w:eastAsia="Arial" w:hAnsi="Arial"/>
          <w:sz w:val="16"/>
          <w:szCs w:val="16"/>
          <w:color w:val="auto"/>
        </w:rPr>
        <w:t>Risk Factors</w:t>
      </w:r>
    </w:p>
    <w:p>
      <w:pPr>
        <w:spacing w:after="0" w:line="206" w:lineRule="auto"/>
        <w:framePr w:w="2140" w:h="336" w:wrap="auto" w:vAnchor="page" w:hAnchor="page" w:x="2620" w:y="3564"/>
        <w:rPr>
          <w:rFonts w:ascii="Arial" w:cs="Arial" w:eastAsia="Arial" w:hAnsi="Arial"/>
          <w:sz w:val="17"/>
          <w:szCs w:val="17"/>
          <w:color w:val="auto"/>
        </w:rPr>
      </w:pPr>
      <w:r>
        <w:rPr>
          <w:rFonts w:ascii="Arial" w:cs="Arial" w:eastAsia="Arial" w:hAnsi="Arial"/>
          <w:sz w:val="17"/>
          <w:szCs w:val="17"/>
          <w:color w:val="auto"/>
        </w:rPr>
        <w:t>Unresolved Staff Comments Properties</w:t>
      </w:r>
    </w:p>
    <w:p>
      <w:pPr>
        <w:spacing w:after="0" w:line="219" w:lineRule="auto"/>
        <w:framePr w:w="1840" w:h="336" w:wrap="auto" w:vAnchor="page" w:hAnchor="page" w:x="2620" w:y="3937"/>
        <w:rPr>
          <w:rFonts w:ascii="Arial" w:cs="Arial" w:eastAsia="Arial" w:hAnsi="Arial"/>
          <w:sz w:val="16"/>
          <w:szCs w:val="16"/>
          <w:color w:val="auto"/>
        </w:rPr>
      </w:pPr>
      <w:r>
        <w:rPr>
          <w:rFonts w:ascii="Arial" w:cs="Arial" w:eastAsia="Arial" w:hAnsi="Arial"/>
          <w:sz w:val="16"/>
          <w:szCs w:val="16"/>
          <w:color w:val="auto"/>
        </w:rPr>
        <w:t>Legal Proceedings Mine Safety Disclosures</w:t>
      </w:r>
    </w:p>
    <w:p>
      <w:pPr>
        <w:ind w:firstLine="3"/>
        <w:spacing w:after="0" w:line="206" w:lineRule="auto"/>
        <w:framePr w:w="8500" w:h="336" w:wrap="auto" w:vAnchor="page" w:hAnchor="page" w:x="2620" w:y="4309"/>
        <w:rPr>
          <w:rFonts w:ascii="Arial" w:cs="Arial" w:eastAsia="Arial" w:hAnsi="Arial"/>
          <w:sz w:val="17"/>
          <w:szCs w:val="17"/>
          <w:color w:val="auto"/>
        </w:rPr>
      </w:pPr>
      <w:r>
        <w:rPr>
          <w:rFonts w:ascii="Arial" w:cs="Arial" w:eastAsia="Arial" w:hAnsi="Arial"/>
          <w:sz w:val="17"/>
          <w:szCs w:val="17"/>
          <w:color w:val="auto"/>
        </w:rPr>
        <w:t>Market for the Registrant’s Common Equity, Related Stockholder Matters and Issuer Purchases of Equity Securities Selected Financial Data</w:t>
      </w:r>
    </w:p>
    <w:p>
      <w:pPr>
        <w:ind w:firstLine="3"/>
        <w:spacing w:after="0" w:line="206" w:lineRule="auto"/>
        <w:framePr w:w="6580" w:h="336" w:wrap="auto" w:vAnchor="page" w:hAnchor="page" w:x="2620" w:y="4681"/>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Quantitative and Qualitative Disclosures About Market Risk</w:t>
      </w:r>
    </w:p>
    <w:p>
      <w:pPr>
        <w:ind w:firstLine="3"/>
        <w:spacing w:after="0" w:line="195" w:lineRule="auto"/>
        <w:framePr w:w="3500" w:h="150" w:wrap="auto" w:vAnchor="page" w:hAnchor="page" w:x="2620" w:y="5053"/>
        <w:rPr>
          <w:rFonts w:ascii="Arial" w:cs="Arial" w:eastAsia="Arial" w:hAnsi="Arial"/>
          <w:sz w:val="16"/>
          <w:szCs w:val="16"/>
          <w:color w:val="auto"/>
        </w:rPr>
      </w:pPr>
      <w:r>
        <w:rPr>
          <w:rFonts w:ascii="Arial" w:cs="Arial" w:eastAsia="Arial" w:hAnsi="Arial"/>
          <w:sz w:val="16"/>
          <w:szCs w:val="16"/>
          <w:color w:val="auto"/>
        </w:rPr>
        <w:t>Financial Statements and Supplementary Data</w:t>
      </w:r>
    </w:p>
    <w:p>
      <w:pPr>
        <w:ind w:firstLine="3"/>
        <w:spacing w:after="0" w:line="206" w:lineRule="auto"/>
        <w:framePr w:w="6620" w:h="336" w:wrap="auto" w:vAnchor="page" w:hAnchor="page" w:x="2620" w:y="5240"/>
        <w:rPr>
          <w:rFonts w:ascii="Arial" w:cs="Arial" w:eastAsia="Arial" w:hAnsi="Arial"/>
          <w:sz w:val="17"/>
          <w:szCs w:val="17"/>
          <w:color w:val="auto"/>
        </w:rPr>
      </w:pPr>
      <w:r>
        <w:rPr>
          <w:rFonts w:ascii="Arial" w:cs="Arial" w:eastAsia="Arial" w:hAnsi="Arial"/>
          <w:sz w:val="17"/>
          <w:szCs w:val="17"/>
          <w:color w:val="auto"/>
        </w:rPr>
        <w:t>Changes in and Disagreements with Accountants on Accounting and Financial Disclosure Controls and Procedures</w:t>
      </w:r>
    </w:p>
    <w:p>
      <w:pPr>
        <w:ind w:firstLine="3"/>
        <w:spacing w:after="0" w:line="195" w:lineRule="auto"/>
        <w:framePr w:w="1360" w:h="150" w:wrap="auto" w:vAnchor="page" w:hAnchor="page" w:x="2620" w:y="5612"/>
        <w:rPr>
          <w:rFonts w:ascii="Arial" w:cs="Arial" w:eastAsia="Arial" w:hAnsi="Arial"/>
          <w:sz w:val="16"/>
          <w:szCs w:val="16"/>
          <w:color w:val="auto"/>
        </w:rPr>
      </w:pPr>
      <w:r>
        <w:rPr>
          <w:rFonts w:ascii="Arial" w:cs="Arial" w:eastAsia="Arial" w:hAnsi="Arial"/>
          <w:sz w:val="16"/>
          <w:szCs w:val="16"/>
          <w:color w:val="auto"/>
        </w:rPr>
        <w:t>Other Information</w:t>
      </w:r>
    </w:p>
    <w:p>
      <w:pPr>
        <w:ind w:firstLine="3"/>
        <w:spacing w:after="0" w:line="206" w:lineRule="auto"/>
        <w:framePr w:w="4200" w:h="336" w:wrap="auto" w:vAnchor="page" w:hAnchor="page" w:x="2620" w:y="5798"/>
        <w:rPr>
          <w:rFonts w:ascii="Arial" w:cs="Arial" w:eastAsia="Arial" w:hAnsi="Arial"/>
          <w:sz w:val="17"/>
          <w:szCs w:val="17"/>
          <w:color w:val="auto"/>
        </w:rPr>
      </w:pPr>
      <w:r>
        <w:rPr>
          <w:rFonts w:ascii="Arial" w:cs="Arial" w:eastAsia="Arial" w:hAnsi="Arial"/>
          <w:sz w:val="17"/>
          <w:szCs w:val="17"/>
          <w:color w:val="auto"/>
        </w:rPr>
        <w:t>Directors, Executive Officers and Corporate Governance Executive Compensation</w:t>
      </w:r>
    </w:p>
    <w:p>
      <w:pPr>
        <w:ind w:firstLine="3"/>
        <w:spacing w:after="0" w:line="206" w:lineRule="auto"/>
        <w:framePr w:w="7440" w:h="336" w:wrap="auto" w:vAnchor="page" w:hAnchor="page" w:x="2620" w:y="6170"/>
        <w:rPr>
          <w:rFonts w:ascii="Arial" w:cs="Arial" w:eastAsia="Arial" w:hAnsi="Arial"/>
          <w:sz w:val="17"/>
          <w:szCs w:val="17"/>
          <w:color w:val="auto"/>
        </w:rPr>
      </w:pPr>
      <w:r>
        <w:rPr>
          <w:rFonts w:ascii="Arial" w:cs="Arial" w:eastAsia="Arial" w:hAnsi="Arial"/>
          <w:sz w:val="17"/>
          <w:szCs w:val="17"/>
          <w:color w:val="auto"/>
        </w:rPr>
        <w:t>Security Ownership of Certain Beneficial Owners and Management and Related Stockholder Matters Certain Relationships and Related Transactions and Director Independence</w:t>
      </w:r>
    </w:p>
    <w:p>
      <w:pPr>
        <w:ind w:firstLine="3"/>
        <w:spacing w:after="0" w:line="195" w:lineRule="auto"/>
        <w:framePr w:w="2980" w:h="150" w:wrap="auto" w:vAnchor="page" w:hAnchor="page" w:x="2620" w:y="6543"/>
        <w:rPr>
          <w:rFonts w:ascii="Arial" w:cs="Arial" w:eastAsia="Arial" w:hAnsi="Arial"/>
          <w:sz w:val="16"/>
          <w:szCs w:val="16"/>
          <w:color w:val="auto"/>
        </w:rPr>
      </w:pPr>
      <w:r>
        <w:rPr>
          <w:rFonts w:ascii="Arial" w:cs="Arial" w:eastAsia="Arial" w:hAnsi="Arial"/>
          <w:sz w:val="16"/>
          <w:szCs w:val="16"/>
          <w:color w:val="auto"/>
        </w:rPr>
        <w:t>Principal Accounting Fees and Services</w:t>
      </w:r>
    </w:p>
    <w:p>
      <w:pPr>
        <w:ind w:firstLine="3"/>
        <w:spacing w:after="0" w:line="195" w:lineRule="auto"/>
        <w:framePr w:w="3020" w:h="150" w:wrap="auto" w:vAnchor="page" w:hAnchor="page" w:x="2620" w:y="6729"/>
        <w:rPr>
          <w:rFonts w:ascii="Arial" w:cs="Arial" w:eastAsia="Arial" w:hAnsi="Arial"/>
          <w:sz w:val="16"/>
          <w:szCs w:val="16"/>
          <w:color w:val="auto"/>
        </w:rPr>
      </w:pPr>
      <w:r>
        <w:rPr>
          <w:rFonts w:ascii="Arial" w:cs="Arial" w:eastAsia="Arial" w:hAnsi="Arial"/>
          <w:sz w:val="16"/>
          <w:szCs w:val="16"/>
          <w:color w:val="auto"/>
        </w:rPr>
        <w:t>Exhibits, Financial Statement Schedules</w:t>
      </w:r>
    </w:p>
    <w:p>
      <w:pPr>
        <w:ind w:firstLine="3"/>
        <w:spacing w:after="0" w:line="195" w:lineRule="auto"/>
        <w:framePr w:w="4300" w:h="150" w:wrap="auto" w:vAnchor="page" w:hAnchor="page" w:x="4380" w:y="586"/>
        <w:rPr>
          <w:rFonts w:ascii="Arial" w:cs="Arial" w:eastAsia="Arial" w:hAnsi="Arial"/>
          <w:sz w:val="16"/>
          <w:szCs w:val="16"/>
          <w:color w:val="auto"/>
        </w:rPr>
      </w:pPr>
      <w:r>
        <w:rPr>
          <w:rFonts w:ascii="Arial" w:cs="Arial" w:eastAsia="Arial" w:hAnsi="Arial"/>
          <w:sz w:val="16"/>
          <w:szCs w:val="16"/>
          <w:color w:val="auto"/>
        </w:rPr>
        <w:t>THE WASHINGTON POST COMPANY 2011 FORM 10-K</w:t>
      </w:r>
    </w:p>
    <w:p>
      <w:pPr>
        <w:spacing w:after="0"/>
        <w:rPr>
          <w:sz w:val="20"/>
          <w:szCs w:val="20"/>
          <w:color w:val="auto"/>
        </w:rPr>
      </w:pPr>
      <w:r>
        <w:rPr>
          <w:rFonts w:ascii="Arial" w:cs="Arial" w:eastAsia="Arial" w:hAnsi="Arial"/>
          <w:sz w:val="17"/>
          <w:szCs w:val="17"/>
          <w:color w:val="auto"/>
        </w:rPr>
        <w:t>Item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color w:val="auto"/>
        </w:rPr>
        <w:t>Item 1A.</w:t>
      </w:r>
    </w:p>
    <w:p>
      <w:pPr>
        <w:spacing w:after="0" w:line="228" w:lineRule="auto"/>
        <w:rPr>
          <w:sz w:val="20"/>
          <w:szCs w:val="20"/>
          <w:color w:val="auto"/>
        </w:rPr>
      </w:pPr>
      <w:r>
        <w:rPr>
          <w:rFonts w:ascii="Arial" w:cs="Arial" w:eastAsia="Arial" w:hAnsi="Arial"/>
          <w:sz w:val="17"/>
          <w:szCs w:val="17"/>
          <w:color w:val="auto"/>
        </w:rPr>
        <w:t>Item 1B.</w:t>
      </w:r>
    </w:p>
    <w:p>
      <w:pPr>
        <w:spacing w:after="0" w:line="229" w:lineRule="auto"/>
        <w:rPr>
          <w:sz w:val="20"/>
          <w:szCs w:val="20"/>
          <w:color w:val="auto"/>
        </w:rPr>
      </w:pPr>
      <w:r>
        <w:rPr>
          <w:rFonts w:ascii="Arial" w:cs="Arial" w:eastAsia="Arial" w:hAnsi="Arial"/>
          <w:sz w:val="17"/>
          <w:szCs w:val="17"/>
          <w:color w:val="auto"/>
        </w:rPr>
        <w:t>Item 2.</w:t>
      </w:r>
    </w:p>
    <w:p>
      <w:pPr>
        <w:spacing w:after="0" w:line="228" w:lineRule="auto"/>
        <w:rPr>
          <w:sz w:val="20"/>
          <w:szCs w:val="20"/>
          <w:color w:val="auto"/>
        </w:rPr>
      </w:pPr>
      <w:r>
        <w:rPr>
          <w:rFonts w:ascii="Arial" w:cs="Arial" w:eastAsia="Arial" w:hAnsi="Arial"/>
          <w:sz w:val="17"/>
          <w:szCs w:val="17"/>
          <w:color w:val="auto"/>
        </w:rPr>
        <w:t>Item 3.</w:t>
      </w:r>
    </w:p>
    <w:p>
      <w:pPr>
        <w:spacing w:after="0" w:line="229" w:lineRule="auto"/>
        <w:rPr>
          <w:sz w:val="20"/>
          <w:szCs w:val="20"/>
          <w:color w:val="auto"/>
        </w:rPr>
      </w:pPr>
      <w:r>
        <w:rPr>
          <w:rFonts w:ascii="Arial" w:cs="Arial" w:eastAsia="Arial" w:hAnsi="Arial"/>
          <w:sz w:val="17"/>
          <w:szCs w:val="17"/>
          <w:color w:val="auto"/>
        </w:rPr>
        <w:t>Item 4.</w:t>
      </w:r>
    </w:p>
    <w:p>
      <w:pPr>
        <w:spacing w:after="0" w:line="228" w:lineRule="auto"/>
        <w:rPr>
          <w:sz w:val="20"/>
          <w:szCs w:val="20"/>
          <w:color w:val="auto"/>
        </w:rPr>
      </w:pPr>
      <w:r>
        <w:rPr>
          <w:rFonts w:ascii="Arial" w:cs="Arial" w:eastAsia="Arial" w:hAnsi="Arial"/>
          <w:sz w:val="17"/>
          <w:szCs w:val="17"/>
          <w:color w:val="auto"/>
        </w:rPr>
        <w:t>Item 5.</w:t>
      </w:r>
    </w:p>
    <w:p>
      <w:pPr>
        <w:spacing w:after="0" w:line="229" w:lineRule="auto"/>
        <w:rPr>
          <w:sz w:val="20"/>
          <w:szCs w:val="20"/>
          <w:color w:val="auto"/>
        </w:rPr>
      </w:pPr>
      <w:r>
        <w:rPr>
          <w:rFonts w:ascii="Arial" w:cs="Arial" w:eastAsia="Arial" w:hAnsi="Arial"/>
          <w:sz w:val="17"/>
          <w:szCs w:val="17"/>
          <w:color w:val="auto"/>
        </w:rPr>
        <w:t>Item 6.</w:t>
      </w:r>
    </w:p>
    <w:p>
      <w:pPr>
        <w:spacing w:after="0" w:line="228" w:lineRule="auto"/>
        <w:rPr>
          <w:sz w:val="20"/>
          <w:szCs w:val="20"/>
          <w:color w:val="auto"/>
        </w:rPr>
      </w:pPr>
      <w:r>
        <w:rPr>
          <w:rFonts w:ascii="Arial" w:cs="Arial" w:eastAsia="Arial" w:hAnsi="Arial"/>
          <w:sz w:val="17"/>
          <w:szCs w:val="17"/>
          <w:color w:val="auto"/>
        </w:rPr>
        <w:t>Item 7.</w:t>
      </w:r>
    </w:p>
    <w:p>
      <w:pPr>
        <w:spacing w:after="0" w:line="229" w:lineRule="auto"/>
        <w:rPr>
          <w:sz w:val="20"/>
          <w:szCs w:val="20"/>
          <w:color w:val="auto"/>
        </w:rPr>
      </w:pPr>
      <w:r>
        <w:rPr>
          <w:rFonts w:ascii="Arial" w:cs="Arial" w:eastAsia="Arial" w:hAnsi="Arial"/>
          <w:sz w:val="17"/>
          <w:szCs w:val="17"/>
          <w:color w:val="auto"/>
        </w:rPr>
        <w:t>Item 7A.</w:t>
      </w:r>
    </w:p>
    <w:p>
      <w:pPr>
        <w:spacing w:after="0" w:line="228" w:lineRule="auto"/>
        <w:rPr>
          <w:sz w:val="20"/>
          <w:szCs w:val="20"/>
          <w:color w:val="auto"/>
        </w:rPr>
      </w:pPr>
      <w:r>
        <w:rPr>
          <w:rFonts w:ascii="Arial" w:cs="Arial" w:eastAsia="Arial" w:hAnsi="Arial"/>
          <w:sz w:val="17"/>
          <w:szCs w:val="17"/>
          <w:color w:val="auto"/>
        </w:rPr>
        <w:t>Item 8.</w:t>
      </w:r>
    </w:p>
    <w:p>
      <w:pPr>
        <w:spacing w:after="0" w:line="229" w:lineRule="auto"/>
        <w:rPr>
          <w:sz w:val="20"/>
          <w:szCs w:val="20"/>
          <w:color w:val="auto"/>
        </w:rPr>
      </w:pPr>
      <w:r>
        <w:rPr>
          <w:rFonts w:ascii="Arial" w:cs="Arial" w:eastAsia="Arial" w:hAnsi="Arial"/>
          <w:sz w:val="17"/>
          <w:szCs w:val="17"/>
          <w:color w:val="auto"/>
        </w:rPr>
        <w:t>Item 9.</w:t>
      </w:r>
    </w:p>
    <w:p>
      <w:pPr>
        <w:spacing w:after="0" w:line="229" w:lineRule="auto"/>
        <w:rPr>
          <w:sz w:val="20"/>
          <w:szCs w:val="20"/>
          <w:color w:val="auto"/>
        </w:rPr>
      </w:pPr>
      <w:r>
        <w:rPr>
          <w:rFonts w:ascii="Arial" w:cs="Arial" w:eastAsia="Arial" w:hAnsi="Arial"/>
          <w:sz w:val="17"/>
          <w:szCs w:val="17"/>
          <w:color w:val="auto"/>
        </w:rPr>
        <w:t>Item 9A.</w:t>
      </w:r>
    </w:p>
    <w:p>
      <w:pPr>
        <w:spacing w:after="0" w:line="228" w:lineRule="auto"/>
        <w:rPr>
          <w:sz w:val="20"/>
          <w:szCs w:val="20"/>
          <w:color w:val="auto"/>
        </w:rPr>
      </w:pPr>
      <w:r>
        <w:rPr>
          <w:rFonts w:ascii="Arial" w:cs="Arial" w:eastAsia="Arial" w:hAnsi="Arial"/>
          <w:sz w:val="17"/>
          <w:szCs w:val="17"/>
          <w:color w:val="auto"/>
        </w:rPr>
        <w:t>Item 9B.</w:t>
      </w:r>
    </w:p>
    <w:p>
      <w:pPr>
        <w:spacing w:after="0" w:line="229" w:lineRule="auto"/>
        <w:rPr>
          <w:sz w:val="20"/>
          <w:szCs w:val="20"/>
          <w:color w:val="auto"/>
        </w:rPr>
      </w:pPr>
      <w:r>
        <w:rPr>
          <w:rFonts w:ascii="Arial" w:cs="Arial" w:eastAsia="Arial" w:hAnsi="Arial"/>
          <w:sz w:val="17"/>
          <w:szCs w:val="17"/>
          <w:color w:val="auto"/>
        </w:rPr>
        <w:t>Item 10.</w:t>
      </w:r>
    </w:p>
    <w:p>
      <w:pPr>
        <w:spacing w:after="0" w:line="228" w:lineRule="auto"/>
        <w:rPr>
          <w:sz w:val="20"/>
          <w:szCs w:val="20"/>
          <w:color w:val="auto"/>
        </w:rPr>
      </w:pPr>
      <w:r>
        <w:rPr>
          <w:rFonts w:ascii="Arial" w:cs="Arial" w:eastAsia="Arial" w:hAnsi="Arial"/>
          <w:sz w:val="17"/>
          <w:szCs w:val="17"/>
          <w:color w:val="auto"/>
        </w:rPr>
        <w:t>Item 11.</w:t>
      </w:r>
    </w:p>
    <w:p>
      <w:pPr>
        <w:spacing w:after="0" w:line="229" w:lineRule="auto"/>
        <w:rPr>
          <w:sz w:val="20"/>
          <w:szCs w:val="20"/>
          <w:color w:val="auto"/>
        </w:rPr>
      </w:pPr>
      <w:r>
        <w:rPr>
          <w:rFonts w:ascii="Arial" w:cs="Arial" w:eastAsia="Arial" w:hAnsi="Arial"/>
          <w:sz w:val="17"/>
          <w:szCs w:val="17"/>
          <w:color w:val="auto"/>
        </w:rPr>
        <w:t>Item 12.</w:t>
      </w:r>
    </w:p>
    <w:p>
      <w:pPr>
        <w:spacing w:after="0" w:line="228" w:lineRule="auto"/>
        <w:rPr>
          <w:sz w:val="20"/>
          <w:szCs w:val="20"/>
          <w:color w:val="auto"/>
        </w:rPr>
      </w:pPr>
      <w:r>
        <w:rPr>
          <w:rFonts w:ascii="Arial" w:cs="Arial" w:eastAsia="Arial" w:hAnsi="Arial"/>
          <w:sz w:val="17"/>
          <w:szCs w:val="17"/>
          <w:color w:val="auto"/>
        </w:rPr>
        <w:t>Item 13.</w:t>
      </w:r>
    </w:p>
    <w:p>
      <w:pPr>
        <w:spacing w:after="0" w:line="229" w:lineRule="auto"/>
        <w:rPr>
          <w:sz w:val="20"/>
          <w:szCs w:val="20"/>
          <w:color w:val="auto"/>
        </w:rPr>
      </w:pPr>
      <w:r>
        <w:rPr>
          <w:rFonts w:ascii="Arial" w:cs="Arial" w:eastAsia="Arial" w:hAnsi="Arial"/>
          <w:sz w:val="17"/>
          <w:szCs w:val="17"/>
          <w:color w:val="auto"/>
        </w:rPr>
        <w:t>Item 14.</w:t>
      </w:r>
    </w:p>
    <w:p>
      <w:pPr>
        <w:spacing w:after="0" w:line="228" w:lineRule="auto"/>
        <w:rPr>
          <w:sz w:val="20"/>
          <w:szCs w:val="20"/>
          <w:color w:val="auto"/>
        </w:rPr>
      </w:pPr>
      <w:r>
        <w:rPr>
          <w:rFonts w:ascii="Arial" w:cs="Arial" w:eastAsia="Arial" w:hAnsi="Arial"/>
          <w:sz w:val="17"/>
          <w:szCs w:val="17"/>
          <w:color w:val="auto"/>
        </w:rPr>
        <w:t>Item 15.</w:t>
      </w:r>
    </w:p>
    <w:p>
      <w:pPr>
        <w:spacing w:after="0" w:line="229" w:lineRule="auto"/>
        <w:rPr>
          <w:sz w:val="20"/>
          <w:szCs w:val="20"/>
          <w:color w:val="auto"/>
        </w:rPr>
      </w:pPr>
      <w:r>
        <w:rPr>
          <w:rFonts w:ascii="Arial" w:cs="Arial" w:eastAsia="Arial" w:hAnsi="Arial"/>
          <w:sz w:val="17"/>
          <w:szCs w:val="17"/>
          <w:color w:val="auto"/>
        </w:rPr>
        <w:t>SIGNATURES</w:t>
      </w:r>
    </w:p>
    <w:p>
      <w:pPr>
        <w:spacing w:after="0" w:line="228" w:lineRule="auto"/>
        <w:rPr>
          <w:sz w:val="20"/>
          <w:szCs w:val="20"/>
          <w:color w:val="auto"/>
        </w:rPr>
      </w:pPr>
      <w:r>
        <w:rPr>
          <w:rFonts w:ascii="Arial" w:cs="Arial" w:eastAsia="Arial" w:hAnsi="Arial"/>
          <w:sz w:val="17"/>
          <w:szCs w:val="17"/>
          <w:color w:val="auto"/>
        </w:rPr>
        <w:t>INDEX TO FINANCIAL INFORMATION</w:t>
      </w:r>
    </w:p>
    <w:p>
      <w:pPr>
        <w:ind w:left="220"/>
        <w:spacing w:after="0" w:line="229" w:lineRule="auto"/>
        <w:rPr>
          <w:sz w:val="20"/>
          <w:szCs w:val="20"/>
          <w:color w:val="auto"/>
        </w:rPr>
      </w:pPr>
      <w:r>
        <w:rPr>
          <w:rFonts w:ascii="Arial" w:cs="Arial" w:eastAsia="Arial" w:hAnsi="Arial"/>
          <w:sz w:val="17"/>
          <w:szCs w:val="17"/>
          <w:color w:val="auto"/>
        </w:rPr>
        <w:t>Management’s Discussion and Analysis of Results of Operations and Financial Condition (Unaudited)</w:t>
      </w:r>
    </w:p>
    <w:p>
      <w:pPr>
        <w:ind w:left="220"/>
        <w:spacing w:after="0" w:line="229" w:lineRule="auto"/>
        <w:rPr>
          <w:sz w:val="20"/>
          <w:szCs w:val="20"/>
          <w:color w:val="auto"/>
        </w:rPr>
      </w:pPr>
      <w:r>
        <w:rPr>
          <w:rFonts w:ascii="Arial" w:cs="Arial" w:eastAsia="Arial" w:hAnsi="Arial"/>
          <w:sz w:val="17"/>
          <w:szCs w:val="17"/>
          <w:color w:val="auto"/>
        </w:rPr>
        <w:t>Financial Statements:</w:t>
      </w:r>
    </w:p>
    <w:p>
      <w:pPr>
        <w:ind w:left="340"/>
        <w:spacing w:after="0" w:line="228" w:lineRule="auto"/>
        <w:rPr>
          <w:sz w:val="20"/>
          <w:szCs w:val="20"/>
          <w:color w:val="auto"/>
        </w:rPr>
      </w:pPr>
      <w:r>
        <w:rPr>
          <w:rFonts w:ascii="Arial" w:cs="Arial" w:eastAsia="Arial" w:hAnsi="Arial"/>
          <w:sz w:val="17"/>
          <w:szCs w:val="17"/>
          <w:color w:val="auto"/>
        </w:rPr>
        <w:t>Management’s Report on Internal Control Over Financial Reporting</w:t>
      </w:r>
    </w:p>
    <w:p>
      <w:pPr>
        <w:ind w:left="340"/>
        <w:spacing w:after="0" w:line="229" w:lineRule="auto"/>
        <w:rPr>
          <w:sz w:val="20"/>
          <w:szCs w:val="20"/>
          <w:color w:val="auto"/>
        </w:rPr>
      </w:pPr>
      <w:r>
        <w:rPr>
          <w:rFonts w:ascii="Arial" w:cs="Arial" w:eastAsia="Arial" w:hAnsi="Arial"/>
          <w:sz w:val="17"/>
          <w:szCs w:val="17"/>
          <w:color w:val="auto"/>
        </w:rPr>
        <w:t>Report of Independent Registered Public Accounting Firm</w:t>
      </w:r>
    </w:p>
    <w:p>
      <w:pPr>
        <w:ind w:left="520" w:hanging="173"/>
        <w:spacing w:after="0" w:line="228" w:lineRule="auto"/>
        <w:rPr>
          <w:sz w:val="20"/>
          <w:szCs w:val="20"/>
          <w:color w:val="auto"/>
        </w:rPr>
      </w:pPr>
      <w:r>
        <w:rPr>
          <w:rFonts w:ascii="Arial" w:cs="Arial" w:eastAsia="Arial" w:hAnsi="Arial"/>
          <w:sz w:val="17"/>
          <w:szCs w:val="17"/>
          <w:color w:val="auto"/>
        </w:rPr>
        <w:t>Consolidated Statements of Operations and Consolidated Statements of Comprehensive Income for the Three Fiscal Years Ended December 31, 2011</w:t>
      </w:r>
    </w:p>
    <w:p>
      <w:pPr>
        <w:ind w:left="340"/>
        <w:spacing w:after="0" w:line="229" w:lineRule="auto"/>
        <w:rPr>
          <w:sz w:val="20"/>
          <w:szCs w:val="20"/>
          <w:color w:val="auto"/>
        </w:rPr>
      </w:pPr>
      <w:r>
        <w:rPr>
          <w:rFonts w:ascii="Arial" w:cs="Arial" w:eastAsia="Arial" w:hAnsi="Arial"/>
          <w:sz w:val="17"/>
          <w:szCs w:val="17"/>
          <w:color w:val="auto"/>
        </w:rPr>
        <w:t>Consolidated Balance Sheets at December 31, 2011 and January 2, 2011</w:t>
      </w:r>
    </w:p>
    <w:p>
      <w:pPr>
        <w:ind w:left="340"/>
        <w:spacing w:after="0" w:line="229" w:lineRule="auto"/>
        <w:rPr>
          <w:sz w:val="20"/>
          <w:szCs w:val="20"/>
          <w:color w:val="auto"/>
        </w:rPr>
      </w:pPr>
      <w:r>
        <w:rPr>
          <w:rFonts w:ascii="Arial" w:cs="Arial" w:eastAsia="Arial" w:hAnsi="Arial"/>
          <w:sz w:val="17"/>
          <w:szCs w:val="17"/>
          <w:color w:val="auto"/>
        </w:rPr>
        <w:t>Consolidated Statements of Cash Flows for the Three Fiscal Years Ended December 31, 2011</w:t>
      </w:r>
    </w:p>
    <w:p>
      <w:pPr>
        <w:ind w:left="340" w:right="1200"/>
        <w:spacing w:after="0" w:line="228" w:lineRule="auto"/>
        <w:rPr>
          <w:sz w:val="20"/>
          <w:szCs w:val="20"/>
          <w:color w:val="auto"/>
        </w:rPr>
      </w:pPr>
      <w:r>
        <w:rPr>
          <w:rFonts w:ascii="Arial" w:cs="Arial" w:eastAsia="Arial" w:hAnsi="Arial"/>
          <w:sz w:val="17"/>
          <w:szCs w:val="17"/>
          <w:color w:val="auto"/>
        </w:rPr>
        <w:t>Consolidated Statements of Changes in Common Stockholders’ Equity for the Three Fiscal Years Ended December 31, 2011 Notes to Consolidated Financial Statements</w:t>
      </w:r>
    </w:p>
    <w:p>
      <w:pPr>
        <w:ind w:left="220"/>
        <w:spacing w:after="0" w:line="229" w:lineRule="auto"/>
        <w:rPr>
          <w:sz w:val="20"/>
          <w:szCs w:val="20"/>
          <w:color w:val="auto"/>
        </w:rPr>
      </w:pPr>
      <w:r>
        <w:rPr>
          <w:rFonts w:ascii="Arial" w:cs="Arial" w:eastAsia="Arial" w:hAnsi="Arial"/>
          <w:sz w:val="17"/>
          <w:szCs w:val="17"/>
          <w:color w:val="auto"/>
        </w:rPr>
        <w:t>Five-Year Summary of Selected Historical Financial Data (Unaudited)</w:t>
      </w: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color w:val="auto"/>
        </w:rPr>
        <w:t>INDEX TO EXHIBITS</w:t>
      </w:r>
    </w:p>
    <w:p>
      <w:pPr>
        <w:spacing w:after="0" w:line="177" w:lineRule="exact"/>
        <w:rPr>
          <w:rFonts w:ascii="Arial" w:cs="Arial" w:eastAsia="Arial" w:hAnsi="Arial"/>
          <w:sz w:val="16"/>
          <w:szCs w:val="16"/>
          <w:color w:val="auto"/>
        </w:rPr>
      </w:pPr>
    </w:p>
    <w:p>
      <w:pPr>
        <w:ind w:left="5660"/>
        <w:spacing w:after="0"/>
        <w:rPr>
          <w:sz w:val="20"/>
          <w:szCs w:val="20"/>
          <w:color w:val="auto"/>
        </w:rPr>
      </w:pPr>
      <w:r>
        <w:rPr>
          <w:rFonts w:ascii="Arial" w:cs="Arial" w:eastAsia="Arial" w:hAnsi="Arial"/>
          <w:sz w:val="17"/>
          <w:szCs w:val="17"/>
          <w:color w:val="auto"/>
        </w:rPr>
        <w:t>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680"/>
          </w:cols>
          <w:pgMar w:left="820" w:top="1144" w:right="399"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left="1160"/>
        <w:spacing w:after="0"/>
        <w:rPr>
          <w:sz w:val="20"/>
          <w:szCs w:val="20"/>
          <w:color w:val="auto"/>
        </w:rPr>
      </w:pPr>
      <w:r>
        <w:rPr>
          <w:rFonts w:ascii="Arial" w:cs="Arial" w:eastAsia="Arial" w:hAnsi="Arial"/>
          <w:sz w:val="17"/>
          <w:szCs w:val="17"/>
          <w:b w:val="1"/>
          <w:bCs w:val="1"/>
          <w:color w:val="auto"/>
        </w:rPr>
        <w:t>PART 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The Washington Post Company (the Company) is a diversified education and media company. The Company’s Kaplan subsidiary provides a wide vari educational services, both domestically and outside the United States. The Company’s media operations consist of the ownership and operation of ca television systems, newspaper publishing (principally </w:t>
      </w:r>
      <w:r>
        <w:rPr>
          <w:rFonts w:ascii="Arial" w:cs="Arial" w:eastAsia="Arial" w:hAnsi="Arial"/>
          <w:sz w:val="17"/>
          <w:szCs w:val="17"/>
          <w:i w:val="1"/>
          <w:iCs w:val="1"/>
          <w:color w:val="auto"/>
        </w:rPr>
        <w:t>The Washington Post</w:t>
      </w:r>
      <w:r>
        <w:rPr>
          <w:rFonts w:ascii="Arial" w:cs="Arial" w:eastAsia="Arial" w:hAnsi="Arial"/>
          <w:sz w:val="17"/>
          <w:szCs w:val="17"/>
          <w:color w:val="auto"/>
        </w:rPr>
        <w:t>) and television broadcasting (through the ownership and operation of six television broadcast stations).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Information concerning the consolidated operating revenues, consolidated income from operations and identifiable assets attributable to the principal segments of the Company’s business for the last three fiscal years is contained in Note 18 to the Company’s Consolidated Financial Statements appe elsewhere in this Annual Report on Form 10-K, as required by Item 101(b) and 101(d) of Regulation S-K. Revenues for each segment are shown in N gross of intersegment sales. Consolidated revenues are reported net of intersegment sales, which did not exceed 0.1% of consolidated operating reve</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Company’s operations in geographic areas outside the U.S. consist primarily of Kaplan’s non-U.S. operations. During the fiscal years 2011, 2010 2009, these operations accounted for approximately 15%, 12% and 12%, respectively, of the Company’s consolidated revenues, and the identifiable a attributable to non-U.S. operations represented approximately 15% and 13% of the Company’s consolidated assets at December 31, 2011, and Janua 2011, respectively.</w:t>
      </w:r>
    </w:p>
    <w:p>
      <w:pPr>
        <w:spacing w:after="0" w:line="15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Education</w:t>
      </w:r>
    </w:p>
    <w:p>
      <w:pPr>
        <w:spacing w:after="0" w:line="19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Kaplan, Inc., a subsidiary of the Company, provides an extensive range of education and related services worldwide for students and professionals. K conducts its operations through four segments: Kaplan Higher Education, Kaplan Test Preparation, Kaplan International and Kaplan Ventures.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revenues for the three years ended December 31, 2011, 2010 and 2009 for each of Kaplan’s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129"/>
        </w:trPr>
        <w:tc>
          <w:tcPr>
            <w:tcW w:w="7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7"/>
              <w:spacing w:after="0" w:line="129" w:lineRule="exact"/>
              <w:rPr>
                <w:sz w:val="20"/>
                <w:szCs w:val="20"/>
                <w:color w:val="auto"/>
              </w:rPr>
            </w:pPr>
            <w:r>
              <w:rPr>
                <w:rFonts w:ascii="Arial" w:cs="Arial" w:eastAsia="Arial" w:hAnsi="Arial"/>
                <w:sz w:val="12"/>
                <w:szCs w:val="12"/>
                <w:b w:val="1"/>
                <w:bCs w:val="1"/>
                <w:color w:val="auto"/>
              </w:rPr>
              <w:t>2011</w:t>
            </w:r>
          </w:p>
        </w:tc>
        <w:tc>
          <w:tcPr>
            <w:tcW w:w="6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7"/>
              <w:spacing w:after="0" w:line="129" w:lineRule="exact"/>
              <w:rPr>
                <w:sz w:val="20"/>
                <w:szCs w:val="20"/>
                <w:color w:val="auto"/>
              </w:rPr>
            </w:pPr>
            <w:r>
              <w:rPr>
                <w:rFonts w:ascii="Arial" w:cs="Arial" w:eastAsia="Arial" w:hAnsi="Arial"/>
                <w:sz w:val="12"/>
                <w:szCs w:val="12"/>
                <w:color w:val="auto"/>
              </w:rPr>
              <w:t>2010</w:t>
            </w: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w:t>
            </w:r>
          </w:p>
        </w:tc>
      </w:tr>
      <w:tr>
        <w:trPr>
          <w:trHeight w:val="150"/>
        </w:trPr>
        <w:tc>
          <w:tcPr>
            <w:tcW w:w="7680" w:type="dxa"/>
            <w:vAlign w:val="bottom"/>
          </w:tcPr>
          <w:p>
            <w:pPr>
              <w:spacing w:after="0" w:line="150" w:lineRule="exact"/>
              <w:rPr>
                <w:sz w:val="20"/>
                <w:szCs w:val="20"/>
                <w:color w:val="auto"/>
              </w:rPr>
            </w:pPr>
            <w:r>
              <w:rPr>
                <w:rFonts w:ascii="Arial" w:cs="Arial" w:eastAsia="Arial" w:hAnsi="Arial"/>
                <w:sz w:val="15"/>
                <w:szCs w:val="15"/>
                <w:color w:val="auto"/>
              </w:rPr>
              <w:t>Kaplan Higher Education</w:t>
            </w:r>
          </w:p>
        </w:tc>
        <w:tc>
          <w:tcPr>
            <w:tcW w:w="320" w:type="dxa"/>
            <w:vAlign w:val="bottom"/>
          </w:tcPr>
          <w:p>
            <w:pPr>
              <w:jc w:val="right"/>
              <w:ind w:right="86"/>
              <w:spacing w:after="0" w:line="150" w:lineRule="exact"/>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1,399.6</w:t>
            </w:r>
          </w:p>
        </w:tc>
        <w:tc>
          <w:tcPr>
            <w:tcW w:w="660" w:type="dxa"/>
            <w:vAlign w:val="bottom"/>
          </w:tcPr>
          <w:p>
            <w:pPr>
              <w:jc w:val="right"/>
              <w:ind w:right="50"/>
              <w:spacing w:after="0" w:line="150"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327"/>
              <w:spacing w:after="0" w:line="150" w:lineRule="exact"/>
              <w:rPr>
                <w:sz w:val="20"/>
                <w:szCs w:val="20"/>
                <w:color w:val="auto"/>
              </w:rPr>
            </w:pPr>
            <w:r>
              <w:rPr>
                <w:rFonts w:ascii="Arial" w:cs="Arial" w:eastAsia="Arial" w:hAnsi="Arial"/>
                <w:sz w:val="15"/>
                <w:szCs w:val="15"/>
                <w:color w:val="auto"/>
              </w:rPr>
              <w:t>1,905.0</w:t>
            </w:r>
          </w:p>
        </w:tc>
        <w:tc>
          <w:tcPr>
            <w:tcW w:w="320" w:type="dxa"/>
            <w:vAlign w:val="bottom"/>
          </w:tcPr>
          <w:p>
            <w:pPr>
              <w:jc w:val="right"/>
              <w:ind w:right="46"/>
              <w:spacing w:after="0" w:line="150"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Kaplan Test Preparation</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303.1</w:t>
            </w:r>
          </w:p>
        </w:tc>
        <w:tc>
          <w:tcPr>
            <w:tcW w:w="660" w:type="dxa"/>
            <w:vAlign w:val="bottom"/>
          </w:tcPr>
          <w:p>
            <w:pPr>
              <w:spacing w:after="0"/>
              <w:rPr>
                <w:sz w:val="15"/>
                <w:szCs w:val="15"/>
                <w:color w:val="auto"/>
              </w:rPr>
            </w:pPr>
          </w:p>
        </w:tc>
        <w:tc>
          <w:tcPr>
            <w:tcW w:w="1020" w:type="dxa"/>
            <w:vAlign w:val="bottom"/>
          </w:tcPr>
          <w:p>
            <w:pPr>
              <w:jc w:val="right"/>
              <w:ind w:right="327"/>
              <w:spacing w:after="0"/>
              <w:rPr>
                <w:sz w:val="20"/>
                <w:szCs w:val="20"/>
                <w:color w:val="auto"/>
              </w:rPr>
            </w:pPr>
            <w:r>
              <w:rPr>
                <w:rFonts w:ascii="Arial" w:cs="Arial" w:eastAsia="Arial" w:hAnsi="Arial"/>
                <w:sz w:val="15"/>
                <w:szCs w:val="15"/>
                <w:color w:val="auto"/>
              </w:rPr>
              <w:t>314.9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690.2</w:t>
            </w:r>
          </w:p>
        </w:tc>
        <w:tc>
          <w:tcPr>
            <w:tcW w:w="660" w:type="dxa"/>
            <w:vAlign w:val="bottom"/>
          </w:tcPr>
          <w:p>
            <w:pPr>
              <w:spacing w:after="0"/>
              <w:rPr>
                <w:sz w:val="15"/>
                <w:szCs w:val="15"/>
                <w:color w:val="auto"/>
              </w:rPr>
            </w:pPr>
          </w:p>
        </w:tc>
        <w:tc>
          <w:tcPr>
            <w:tcW w:w="1020" w:type="dxa"/>
            <w:vAlign w:val="bottom"/>
          </w:tcPr>
          <w:p>
            <w:pPr>
              <w:jc w:val="right"/>
              <w:ind w:right="327"/>
              <w:spacing w:after="0"/>
              <w:rPr>
                <w:sz w:val="20"/>
                <w:szCs w:val="20"/>
                <w:color w:val="auto"/>
              </w:rPr>
            </w:pPr>
            <w:r>
              <w:rPr>
                <w:rFonts w:ascii="Arial" w:cs="Arial" w:eastAsia="Arial" w:hAnsi="Arial"/>
                <w:sz w:val="15"/>
                <w:szCs w:val="15"/>
                <w:color w:val="auto"/>
              </w:rPr>
              <w:t>585.9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74.9</w:t>
            </w:r>
          </w:p>
        </w:tc>
        <w:tc>
          <w:tcPr>
            <w:tcW w:w="660" w:type="dxa"/>
            <w:vAlign w:val="bottom"/>
          </w:tcPr>
          <w:p>
            <w:pPr>
              <w:spacing w:after="0"/>
              <w:rPr>
                <w:sz w:val="15"/>
                <w:szCs w:val="15"/>
                <w:color w:val="auto"/>
              </w:rPr>
            </w:pPr>
          </w:p>
        </w:tc>
        <w:tc>
          <w:tcPr>
            <w:tcW w:w="1020" w:type="dxa"/>
            <w:vAlign w:val="bottom"/>
          </w:tcPr>
          <w:p>
            <w:pPr>
              <w:jc w:val="right"/>
              <w:ind w:right="327"/>
              <w:spacing w:after="0"/>
              <w:rPr>
                <w:sz w:val="20"/>
                <w:szCs w:val="20"/>
                <w:color w:val="auto"/>
              </w:rPr>
            </w:pPr>
            <w:r>
              <w:rPr>
                <w:rFonts w:ascii="Arial" w:cs="Arial" w:eastAsia="Arial" w:hAnsi="Arial"/>
                <w:sz w:val="15"/>
                <w:szCs w:val="15"/>
                <w:color w:val="auto"/>
              </w:rPr>
              <w:t>59.3</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0"/>
        </w:trPr>
        <w:tc>
          <w:tcPr>
            <w:tcW w:w="7680" w:type="dxa"/>
            <w:vAlign w:val="bottom"/>
          </w:tcPr>
          <w:p>
            <w:pPr>
              <w:spacing w:after="0"/>
              <w:rPr>
                <w:sz w:val="20"/>
                <w:szCs w:val="20"/>
                <w:color w:val="auto"/>
              </w:rPr>
            </w:pPr>
            <w:r>
              <w:rPr>
                <w:rFonts w:ascii="Arial" w:cs="Arial" w:eastAsia="Arial" w:hAnsi="Arial"/>
                <w:sz w:val="15"/>
                <w:szCs w:val="15"/>
                <w:color w:val="auto"/>
              </w:rPr>
              <w:t>Kaplan Corporate and Intersegment Eliminations</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rPr>
              <w:t>(2.8)</w:t>
            </w: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color w:val="auto"/>
              </w:rPr>
              <w:t>Total Kaplan Revenue</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2,465.0</w:t>
            </w:r>
          </w:p>
        </w:tc>
        <w:tc>
          <w:tcPr>
            <w:tcW w:w="660" w:type="dxa"/>
            <w:vAlign w:val="bottom"/>
            <w:tcBorders>
              <w:bottom w:val="single" w:sz="8" w:color="auto"/>
            </w:tcBorders>
          </w:tcPr>
          <w:p>
            <w:pPr>
              <w:jc w:val="right"/>
              <w:ind w:right="50"/>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27"/>
              <w:spacing w:after="0" w:line="167" w:lineRule="exact"/>
              <w:rPr>
                <w:sz w:val="20"/>
                <w:szCs w:val="20"/>
                <w:color w:val="auto"/>
              </w:rPr>
            </w:pPr>
            <w:r>
              <w:rPr>
                <w:rFonts w:ascii="Arial" w:cs="Arial" w:eastAsia="Arial" w:hAnsi="Arial"/>
                <w:sz w:val="15"/>
                <w:szCs w:val="15"/>
                <w:color w:val="auto"/>
              </w:rPr>
              <w:t>2,862.3</w:t>
            </w:r>
          </w:p>
        </w:tc>
        <w:tc>
          <w:tcPr>
            <w:tcW w:w="3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Kaplan Higher Education</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Kaplan Higher Education (KHE) provides a wide array of certificate, diploma and degree programs—on campus and online—designed to meet the ne students seeking to advance their education and career goals.</w:t>
      </w:r>
    </w:p>
    <w:p>
      <w:pPr>
        <w:spacing w:after="0" w:line="176"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In 2011, Kaplan’s U.S.-based KHE division included the following businesses: Kaplan University and KHE Campuses. Each of these businesses is described briefly below.</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Kaplan University. </w:t>
      </w:r>
      <w:r>
        <w:rPr>
          <w:rFonts w:ascii="Arial" w:cs="Arial" w:eastAsia="Arial" w:hAnsi="Arial"/>
          <w:sz w:val="16"/>
          <w:szCs w:val="16"/>
          <w:color w:val="auto"/>
        </w:rPr>
        <w:t>Kaplan University specializes in online education, is accredited by the Higher Learning Commission of the North Central Associatio</w:t>
      </w:r>
      <w:r>
        <w:rPr>
          <w:rFonts w:ascii="Arial" w:cs="Arial" w:eastAsia="Arial" w:hAnsi="Arial"/>
          <w:sz w:val="16"/>
          <w:szCs w:val="16"/>
          <w:i w:val="1"/>
          <w:iCs w:val="1"/>
          <w:color w:val="auto"/>
        </w:rPr>
        <w:t xml:space="preserve"> </w:t>
      </w:r>
      <w:r>
        <w:rPr>
          <w:rFonts w:ascii="Arial" w:cs="Arial" w:eastAsia="Arial" w:hAnsi="Arial"/>
          <w:sz w:val="16"/>
          <w:szCs w:val="16"/>
          <w:color w:val="auto"/>
        </w:rPr>
        <w:t>Colleges and Schools and holds other programmatic accreditations. Most of Kaplan University’s programs are offered online, while some are offered i traditional classroom format at 11 campuses in Iowa, Maine, Maryland and Nebraska, and six Kaplan University Learning Centers and Education Cent four additional states. Kaplan University also includes Concord Law School, a fully online law school. At year-end 2011, Kaplan University had approximately 44,000 students enrolled in online programs and approximately 5,800 students enrolled in its classroom-based programs.</w:t>
      </w:r>
    </w:p>
    <w:p>
      <w:pPr>
        <w:spacing w:after="0" w:line="16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early 2011, Kaplan’s Professional and Licensure business, which previously operated as part of Kaplan Test Preparation, combined with Kaplan University’s continuing education business to form the School of Professional and Continuing Education (PACE), a separate non-degree-granting scho within Kaplan University. In connection with this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20" w:right="1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reorganization, PACE also integrated the Kaplan certification preparation business, which had previously operated under Kaplan Ventures.</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PACE offers a wide range of education solutions to assist professionals in advancing their careers by obtaining professional licenses, designations an certifications. This includes solutions for insurance, securities, real estate, mortgage and appraisal licensing exams and for advanced designations, su CFA® and CPA exams, along with industry-recognized certifications such as Microsoft, Oracle, Novell and Cisco. PACE serves more than 2,900 busin to-business clients, including more than 70 Fortune 500 companies. In 2011, over 500,000 students used PACE's exam preparation offerings.</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October 2011, PACE sold its Kaplan Compliance Solutions business, which assisted insurance carriers, agencies and broker/dealers with their licen and/or registration filings. Additionally, in December 2011, Kaplan acquired certain assets of Stalla Seminars; Kaplan Schweser plans to repurpose St content to further assist candidates who are preparing for the CFA examinations.</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i w:val="1"/>
          <w:iCs w:val="1"/>
          <w:color w:val="auto"/>
        </w:rPr>
        <w:t xml:space="preserve">KHE Campuses. </w:t>
      </w:r>
      <w:r>
        <w:rPr>
          <w:rFonts w:ascii="Arial" w:cs="Arial" w:eastAsia="Arial" w:hAnsi="Arial"/>
          <w:sz w:val="16"/>
          <w:szCs w:val="16"/>
          <w:color w:val="auto"/>
        </w:rPr>
        <w:t>At the end of 2011, the KHE Campuses business consisted of 64 schools in 18 states that were providing classroom-based instructi</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24,400 students, which did not include the approximately 5,800 students enrolled at Kaplan University’s on-ground campuses. Each of schools is accredited by one of several regional or national accrediting agencies recognized by the U.S. Department of Education (DOE).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 Offerings and Enrollment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offer degree and certificate programs in a variety of subject areas. Among them are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ind w:left="1080"/>
              <w:spacing w:after="0"/>
              <w:rPr>
                <w:sz w:val="20"/>
                <w:szCs w:val="20"/>
                <w:color w:val="auto"/>
              </w:rPr>
            </w:pPr>
            <w:r>
              <w:rPr>
                <w:rFonts w:ascii="Arial" w:cs="Arial" w:eastAsia="Arial" w:hAnsi="Arial"/>
                <w:sz w:val="12"/>
                <w:szCs w:val="12"/>
                <w:b w:val="1"/>
                <w:bCs w:val="1"/>
                <w:color w:val="auto"/>
              </w:rPr>
              <w:t>Master’s</w:t>
            </w:r>
          </w:p>
        </w:tc>
        <w:tc>
          <w:tcPr>
            <w:tcW w:w="4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Bachelor’s</w:t>
            </w:r>
          </w:p>
        </w:tc>
        <w:tc>
          <w:tcPr>
            <w:tcW w:w="3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1040"/>
              <w:spacing w:after="0"/>
              <w:rPr>
                <w:sz w:val="20"/>
                <w:szCs w:val="20"/>
                <w:color w:val="auto"/>
              </w:rPr>
            </w:pPr>
            <w:r>
              <w:rPr>
                <w:rFonts w:ascii="Arial" w:cs="Arial" w:eastAsia="Arial" w:hAnsi="Arial"/>
                <w:sz w:val="12"/>
                <w:szCs w:val="12"/>
                <w:b w:val="1"/>
                <w:bCs w:val="1"/>
                <w:color w:val="auto"/>
              </w:rPr>
              <w:t>Associate’s</w:t>
            </w: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ind w:left="1060"/>
              <w:spacing w:after="0"/>
              <w:rPr>
                <w:sz w:val="20"/>
                <w:szCs w:val="20"/>
                <w:color w:val="auto"/>
              </w:rPr>
            </w:pPr>
            <w:r>
              <w:rPr>
                <w:rFonts w:ascii="Arial" w:cs="Arial" w:eastAsia="Arial" w:hAnsi="Arial"/>
                <w:sz w:val="12"/>
                <w:szCs w:val="12"/>
                <w:b w:val="1"/>
                <w:bCs w:val="1"/>
                <w:color w:val="auto"/>
              </w:rPr>
              <w:t>Certificate</w:t>
            </w:r>
          </w:p>
        </w:tc>
        <w:tc>
          <w:tcPr>
            <w:tcW w:w="0" w:type="dxa"/>
            <w:vAlign w:val="bottom"/>
          </w:tcPr>
          <w:p>
            <w:pPr>
              <w:spacing w:after="0"/>
              <w:rPr>
                <w:sz w:val="1"/>
                <w:szCs w:val="1"/>
                <w:color w:val="auto"/>
              </w:rPr>
            </w:pPr>
          </w:p>
        </w:tc>
      </w:tr>
      <w:tr>
        <w:trPr>
          <w:trHeight w:val="141"/>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Arts and Sciences</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Arts and Sciences</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Arts and Sciences</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2260" w:type="dxa"/>
            <w:vAlign w:val="bottom"/>
          </w:tcPr>
          <w:p>
            <w:pPr>
              <w:ind w:left="60"/>
              <w:spacing w:after="0"/>
              <w:rPr>
                <w:sz w:val="20"/>
                <w:szCs w:val="20"/>
                <w:color w:val="auto"/>
              </w:rPr>
            </w:pPr>
            <w:r>
              <w:rPr>
                <w:rFonts w:ascii="Arial" w:cs="Arial" w:eastAsia="Arial" w:hAnsi="Arial"/>
                <w:sz w:val="12"/>
                <w:szCs w:val="12"/>
                <w:color w:val="auto"/>
              </w:rPr>
              <w:t>Criminal Justice</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Business Management</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Business Management</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Business Management</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2260" w:type="dxa"/>
            <w:vAlign w:val="bottom"/>
          </w:tcPr>
          <w:p>
            <w:pPr>
              <w:ind w:left="60"/>
              <w:spacing w:after="0"/>
              <w:rPr>
                <w:sz w:val="20"/>
                <w:szCs w:val="20"/>
                <w:color w:val="auto"/>
              </w:rPr>
            </w:pPr>
            <w:r>
              <w:rPr>
                <w:rFonts w:ascii="Arial" w:cs="Arial" w:eastAsia="Arial" w:hAnsi="Arial"/>
                <w:sz w:val="12"/>
                <w:szCs w:val="12"/>
                <w:color w:val="auto"/>
              </w:rPr>
              <w:t>Health Sciences</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2580" w:type="dxa"/>
            <w:vAlign w:val="bottom"/>
            <w:gridSpan w:val="2"/>
          </w:tcPr>
          <w:p>
            <w:pPr>
              <w:ind w:left="200"/>
              <w:spacing w:after="0"/>
              <w:rPr>
                <w:sz w:val="20"/>
                <w:szCs w:val="20"/>
                <w:color w:val="auto"/>
              </w:rPr>
            </w:pPr>
            <w:r>
              <w:rPr>
                <w:rFonts w:ascii="Arial" w:cs="Arial" w:eastAsia="Arial" w:hAnsi="Arial"/>
                <w:sz w:val="12"/>
                <w:szCs w:val="12"/>
                <w:color w:val="auto"/>
              </w:rPr>
              <w:t>•  Information Systems and Technology</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Fire Safety and Emergency Management</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Fire Safety and Emergency Management</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c>
          <w:tcPr>
            <w:tcW w:w="2260" w:type="dxa"/>
            <w:vAlign w:val="bottom"/>
          </w:tcPr>
          <w:p>
            <w:pPr>
              <w:ind w:left="60"/>
              <w:spacing w:after="0"/>
              <w:rPr>
                <w:sz w:val="20"/>
                <w:szCs w:val="20"/>
                <w:color w:val="auto"/>
              </w:rPr>
            </w:pPr>
            <w:r>
              <w:rPr>
                <w:rFonts w:ascii="Arial" w:cs="Arial" w:eastAsia="Arial" w:hAnsi="Arial"/>
                <w:sz w:val="12"/>
                <w:szCs w:val="12"/>
                <w:color w:val="auto"/>
              </w:rPr>
              <w:t>Nursing</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Higher Education Studies</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440" w:type="dxa"/>
            <w:vAlign w:val="bottom"/>
          </w:tcPr>
          <w:p>
            <w:pPr>
              <w:ind w:left="80"/>
              <w:spacing w:after="0"/>
              <w:rPr>
                <w:sz w:val="20"/>
                <w:szCs w:val="20"/>
                <w:color w:val="auto"/>
              </w:rPr>
            </w:pPr>
            <w:r>
              <w:rPr>
                <w:rFonts w:ascii="Arial" w:cs="Arial" w:eastAsia="Arial" w:hAnsi="Arial"/>
                <w:sz w:val="12"/>
                <w:szCs w:val="12"/>
                <w:color w:val="auto"/>
              </w:rPr>
              <w:t>Information Systems and Technology</w:t>
            </w:r>
          </w:p>
        </w:tc>
        <w:tc>
          <w:tcPr>
            <w:tcW w:w="420" w:type="dxa"/>
            <w:vAlign w:val="bottom"/>
          </w:tcPr>
          <w:p>
            <w:pPr>
              <w:ind w:left="3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Information Systems</w:t>
            </w:r>
          </w:p>
        </w:tc>
        <w:tc>
          <w:tcPr>
            <w:tcW w:w="320" w:type="dxa"/>
            <w:vAlign w:val="bottom"/>
          </w:tcPr>
          <w:p>
            <w:pPr>
              <w:ind w:left="220"/>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Information Systems and Technology</w:t>
            </w: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Arial" w:cs="Arial" w:eastAsia="Arial" w:hAnsi="Arial"/>
                <w:sz w:val="12"/>
                <w:szCs w:val="12"/>
                <w:color w:val="auto"/>
              </w:rPr>
              <w:t>•  Legal and Paralegal Studies</w:t>
            </w:r>
          </w:p>
        </w:tc>
        <w:tc>
          <w:tcPr>
            <w:tcW w:w="420" w:type="dxa"/>
            <w:vAlign w:val="bottom"/>
          </w:tcPr>
          <w:p>
            <w:pPr>
              <w:spacing w:after="0"/>
              <w:rPr>
                <w:sz w:val="12"/>
                <w:szCs w:val="12"/>
                <w:color w:val="auto"/>
              </w:rPr>
            </w:pPr>
          </w:p>
        </w:tc>
        <w:tc>
          <w:tcPr>
            <w:tcW w:w="2540" w:type="dxa"/>
            <w:vAlign w:val="bottom"/>
          </w:tcPr>
          <w:p>
            <w:pPr>
              <w:ind w:left="60"/>
              <w:spacing w:after="0"/>
              <w:rPr>
                <w:sz w:val="20"/>
                <w:szCs w:val="20"/>
                <w:color w:val="auto"/>
              </w:rPr>
            </w:pPr>
            <w:r>
              <w:rPr>
                <w:rFonts w:ascii="Arial" w:cs="Arial" w:eastAsia="Arial" w:hAnsi="Arial"/>
                <w:sz w:val="12"/>
                <w:szCs w:val="12"/>
                <w:color w:val="auto"/>
              </w:rPr>
              <w:t>and Technology</w:t>
            </w:r>
          </w:p>
        </w:tc>
        <w:tc>
          <w:tcPr>
            <w:tcW w:w="2860" w:type="dxa"/>
            <w:vAlign w:val="bottom"/>
            <w:gridSpan w:val="2"/>
            <w:vMerge w:val="restart"/>
          </w:tcPr>
          <w:p>
            <w:pPr>
              <w:ind w:left="220"/>
              <w:spacing w:after="0"/>
              <w:rPr>
                <w:sz w:val="20"/>
                <w:szCs w:val="20"/>
                <w:color w:val="auto"/>
              </w:rPr>
            </w:pPr>
            <w:r>
              <w:rPr>
                <w:rFonts w:ascii="Arial" w:cs="Arial" w:eastAsia="Arial" w:hAnsi="Arial"/>
                <w:sz w:val="12"/>
                <w:szCs w:val="12"/>
                <w:color w:val="auto"/>
              </w:rPr>
              <w:t>•  Legal and Paralegal Studies</w:t>
            </w: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540" w:type="dxa"/>
            <w:vAlign w:val="bottom"/>
            <w:gridSpan w:val="2"/>
            <w:vMerge w:val="continue"/>
          </w:tcPr>
          <w:p>
            <w:pPr>
              <w:spacing w:after="0"/>
              <w:rPr>
                <w:sz w:val="5"/>
                <w:szCs w:val="5"/>
                <w:color w:val="auto"/>
              </w:rPr>
            </w:pPr>
          </w:p>
        </w:tc>
        <w:tc>
          <w:tcPr>
            <w:tcW w:w="2960" w:type="dxa"/>
            <w:vAlign w:val="bottom"/>
            <w:gridSpan w:val="2"/>
            <w:vMerge w:val="restart"/>
          </w:tcPr>
          <w:p>
            <w:pPr>
              <w:ind w:left="320"/>
              <w:spacing w:after="0"/>
              <w:rPr>
                <w:sz w:val="20"/>
                <w:szCs w:val="20"/>
                <w:color w:val="auto"/>
              </w:rPr>
            </w:pPr>
            <w:r>
              <w:rPr>
                <w:rFonts w:ascii="Arial" w:cs="Arial" w:eastAsia="Arial" w:hAnsi="Arial"/>
                <w:sz w:val="12"/>
                <w:szCs w:val="12"/>
                <w:color w:val="auto"/>
              </w:rPr>
              <w:t>•  Legal and Paralegal Studies</w:t>
            </w:r>
          </w:p>
        </w:tc>
        <w:tc>
          <w:tcPr>
            <w:tcW w:w="2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2440" w:type="dxa"/>
            <w:vAlign w:val="bottom"/>
            <w:vMerge w:val="restart"/>
          </w:tcPr>
          <w:p>
            <w:pPr>
              <w:ind w:left="80"/>
              <w:spacing w:after="0"/>
              <w:rPr>
                <w:sz w:val="20"/>
                <w:szCs w:val="20"/>
                <w:color w:val="auto"/>
              </w:rPr>
            </w:pPr>
            <w:r>
              <w:rPr>
                <w:rFonts w:ascii="Arial" w:cs="Arial" w:eastAsia="Arial" w:hAnsi="Arial"/>
                <w:sz w:val="12"/>
                <w:szCs w:val="12"/>
                <w:color w:val="auto"/>
              </w:rPr>
              <w:t>Nursing</w:t>
            </w:r>
          </w:p>
        </w:tc>
        <w:tc>
          <w:tcPr>
            <w:tcW w:w="2960" w:type="dxa"/>
            <w:vAlign w:val="bottom"/>
            <w:gridSpan w:val="2"/>
            <w:vMerge w:val="continue"/>
          </w:tcPr>
          <w:p>
            <w:pPr>
              <w:spacing w:after="0"/>
              <w:rPr>
                <w:sz w:val="11"/>
                <w:szCs w:val="11"/>
                <w:color w:val="auto"/>
              </w:rPr>
            </w:pPr>
          </w:p>
        </w:tc>
        <w:tc>
          <w:tcPr>
            <w:tcW w:w="320" w:type="dxa"/>
            <w:vAlign w:val="bottom"/>
            <w:vMerge w:val="restart"/>
          </w:tcPr>
          <w:p>
            <w:pPr>
              <w:ind w:left="220"/>
              <w:spacing w:after="0"/>
              <w:rPr>
                <w:sz w:val="20"/>
                <w:szCs w:val="20"/>
                <w:color w:val="auto"/>
              </w:rPr>
            </w:pPr>
            <w:r>
              <w:rPr>
                <w:rFonts w:ascii="Arial" w:cs="Arial" w:eastAsia="Arial" w:hAnsi="Arial"/>
                <w:sz w:val="12"/>
                <w:szCs w:val="12"/>
                <w:color w:val="auto"/>
              </w:rPr>
              <w:t>•</w:t>
            </w:r>
          </w:p>
        </w:tc>
        <w:tc>
          <w:tcPr>
            <w:tcW w:w="2540" w:type="dxa"/>
            <w:vAlign w:val="bottom"/>
            <w:vMerge w:val="restart"/>
          </w:tcPr>
          <w:p>
            <w:pPr>
              <w:ind w:left="80"/>
              <w:spacing w:after="0"/>
              <w:rPr>
                <w:sz w:val="20"/>
                <w:szCs w:val="20"/>
                <w:color w:val="auto"/>
              </w:rPr>
            </w:pPr>
            <w:r>
              <w:rPr>
                <w:rFonts w:ascii="Arial" w:cs="Arial" w:eastAsia="Arial" w:hAnsi="Arial"/>
                <w:sz w:val="12"/>
                <w:szCs w:val="12"/>
                <w:color w:val="auto"/>
              </w:rPr>
              <w:t>Nursing</w:t>
            </w:r>
          </w:p>
        </w:tc>
        <w:tc>
          <w:tcPr>
            <w:tcW w:w="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2440" w:type="dxa"/>
            <w:vAlign w:val="bottom"/>
            <w:vMerge w:val="continue"/>
          </w:tcPr>
          <w:p>
            <w:pPr>
              <w:spacing w:after="0"/>
              <w:rPr>
                <w:sz w:val="5"/>
                <w:szCs w:val="5"/>
                <w:color w:val="auto"/>
              </w:rPr>
            </w:pPr>
          </w:p>
        </w:tc>
        <w:tc>
          <w:tcPr>
            <w:tcW w:w="420" w:type="dxa"/>
            <w:vAlign w:val="bottom"/>
            <w:vMerge w:val="restart"/>
          </w:tcPr>
          <w:p>
            <w:pPr>
              <w:ind w:left="320"/>
              <w:spacing w:after="0"/>
              <w:rPr>
                <w:sz w:val="20"/>
                <w:szCs w:val="20"/>
                <w:color w:val="auto"/>
              </w:rPr>
            </w:pPr>
            <w:r>
              <w:rPr>
                <w:rFonts w:ascii="Arial" w:cs="Arial" w:eastAsia="Arial" w:hAnsi="Arial"/>
                <w:sz w:val="12"/>
                <w:szCs w:val="12"/>
                <w:color w:val="auto"/>
              </w:rPr>
              <w:t>•</w:t>
            </w:r>
          </w:p>
        </w:tc>
        <w:tc>
          <w:tcPr>
            <w:tcW w:w="2540" w:type="dxa"/>
            <w:vAlign w:val="bottom"/>
            <w:vMerge w:val="restart"/>
          </w:tcPr>
          <w:p>
            <w:pPr>
              <w:ind w:left="80"/>
              <w:spacing w:after="0"/>
              <w:rPr>
                <w:sz w:val="20"/>
                <w:szCs w:val="20"/>
                <w:color w:val="auto"/>
              </w:rPr>
            </w:pPr>
            <w:r>
              <w:rPr>
                <w:rFonts w:ascii="Arial" w:cs="Arial" w:eastAsia="Arial" w:hAnsi="Arial"/>
                <w:sz w:val="12"/>
                <w:szCs w:val="12"/>
                <w:color w:val="auto"/>
              </w:rPr>
              <w:t>Nursing</w:t>
            </w:r>
          </w:p>
        </w:tc>
        <w:tc>
          <w:tcPr>
            <w:tcW w:w="320" w:type="dxa"/>
            <w:vAlign w:val="bottom"/>
            <w:vMerge w:val="continue"/>
          </w:tcPr>
          <w:p>
            <w:pPr>
              <w:spacing w:after="0"/>
              <w:rPr>
                <w:sz w:val="5"/>
                <w:szCs w:val="5"/>
                <w:color w:val="auto"/>
              </w:rPr>
            </w:pPr>
          </w:p>
        </w:tc>
        <w:tc>
          <w:tcPr>
            <w:tcW w:w="2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vMerge w:val="restart"/>
          </w:tcPr>
          <w:p>
            <w:pPr>
              <w:spacing w:after="0"/>
              <w:rPr>
                <w:sz w:val="20"/>
                <w:szCs w:val="20"/>
                <w:color w:val="auto"/>
              </w:rPr>
            </w:pPr>
            <w:r>
              <w:rPr>
                <w:rFonts w:ascii="Arial" w:cs="Arial" w:eastAsia="Arial" w:hAnsi="Arial"/>
                <w:sz w:val="12"/>
                <w:szCs w:val="12"/>
                <w:color w:val="auto"/>
              </w:rPr>
              <w:t>•</w:t>
            </w:r>
          </w:p>
        </w:tc>
        <w:tc>
          <w:tcPr>
            <w:tcW w:w="2440" w:type="dxa"/>
            <w:vAlign w:val="bottom"/>
            <w:vMerge w:val="restart"/>
          </w:tcPr>
          <w:p>
            <w:pPr>
              <w:ind w:left="80"/>
              <w:spacing w:after="0"/>
              <w:rPr>
                <w:sz w:val="20"/>
                <w:szCs w:val="20"/>
                <w:color w:val="auto"/>
              </w:rPr>
            </w:pPr>
            <w:r>
              <w:rPr>
                <w:rFonts w:ascii="Arial" w:cs="Arial" w:eastAsia="Arial" w:hAnsi="Arial"/>
                <w:sz w:val="12"/>
                <w:szCs w:val="12"/>
                <w:color w:val="auto"/>
              </w:rPr>
              <w:t>Teacher Education</w:t>
            </w:r>
          </w:p>
        </w:tc>
        <w:tc>
          <w:tcPr>
            <w:tcW w:w="42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2860" w:type="dxa"/>
            <w:vAlign w:val="bottom"/>
            <w:gridSpan w:val="2"/>
            <w:vMerge w:val="restart"/>
          </w:tcPr>
          <w:p>
            <w:pPr>
              <w:ind w:left="220"/>
              <w:spacing w:after="0"/>
              <w:rPr>
                <w:sz w:val="20"/>
                <w:szCs w:val="20"/>
                <w:color w:val="auto"/>
              </w:rPr>
            </w:pPr>
            <w:r>
              <w:rPr>
                <w:rFonts w:ascii="Arial" w:cs="Arial" w:eastAsia="Arial" w:hAnsi="Arial"/>
                <w:sz w:val="12"/>
                <w:szCs w:val="12"/>
                <w:color w:val="auto"/>
              </w:rPr>
              <w:t>•  Political Science and Public</w:t>
            </w:r>
          </w:p>
        </w:tc>
        <w:tc>
          <w:tcPr>
            <w:tcW w:w="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100" w:type="dxa"/>
            <w:vAlign w:val="bottom"/>
            <w:vMerge w:val="continue"/>
          </w:tcPr>
          <w:p>
            <w:pPr>
              <w:spacing w:after="0"/>
              <w:rPr>
                <w:sz w:val="5"/>
                <w:szCs w:val="5"/>
                <w:color w:val="auto"/>
              </w:rPr>
            </w:pPr>
          </w:p>
        </w:tc>
        <w:tc>
          <w:tcPr>
            <w:tcW w:w="2440" w:type="dxa"/>
            <w:vAlign w:val="bottom"/>
            <w:vMerge w:val="continue"/>
          </w:tcPr>
          <w:p>
            <w:pPr>
              <w:spacing w:after="0"/>
              <w:rPr>
                <w:sz w:val="5"/>
                <w:szCs w:val="5"/>
                <w:color w:val="auto"/>
              </w:rPr>
            </w:pPr>
          </w:p>
        </w:tc>
        <w:tc>
          <w:tcPr>
            <w:tcW w:w="420" w:type="dxa"/>
            <w:vAlign w:val="bottom"/>
            <w:vMerge w:val="restart"/>
          </w:tcPr>
          <w:p>
            <w:pPr>
              <w:ind w:left="320"/>
              <w:spacing w:after="0"/>
              <w:rPr>
                <w:sz w:val="20"/>
                <w:szCs w:val="20"/>
                <w:color w:val="auto"/>
              </w:rPr>
            </w:pPr>
            <w:r>
              <w:rPr>
                <w:rFonts w:ascii="Arial" w:cs="Arial" w:eastAsia="Arial" w:hAnsi="Arial"/>
                <w:sz w:val="12"/>
                <w:szCs w:val="12"/>
                <w:color w:val="auto"/>
              </w:rPr>
              <w:t>•</w:t>
            </w:r>
          </w:p>
        </w:tc>
        <w:tc>
          <w:tcPr>
            <w:tcW w:w="2540" w:type="dxa"/>
            <w:vAlign w:val="bottom"/>
            <w:vMerge w:val="restart"/>
          </w:tcPr>
          <w:p>
            <w:pPr>
              <w:ind w:left="80"/>
              <w:spacing w:after="0"/>
              <w:rPr>
                <w:sz w:val="20"/>
                <w:szCs w:val="20"/>
                <w:color w:val="auto"/>
              </w:rPr>
            </w:pPr>
            <w:r>
              <w:rPr>
                <w:rFonts w:ascii="Arial" w:cs="Arial" w:eastAsia="Arial" w:hAnsi="Arial"/>
                <w:sz w:val="12"/>
                <w:szCs w:val="12"/>
                <w:color w:val="auto"/>
              </w:rPr>
              <w:t>Political Science and Public</w:t>
            </w:r>
          </w:p>
        </w:tc>
        <w:tc>
          <w:tcPr>
            <w:tcW w:w="2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tcPr>
          <w:p>
            <w:pPr>
              <w:ind w:left="60"/>
              <w:spacing w:after="0"/>
              <w:rPr>
                <w:sz w:val="20"/>
                <w:szCs w:val="20"/>
                <w:color w:val="auto"/>
              </w:rPr>
            </w:pPr>
            <w:r>
              <w:rPr>
                <w:rFonts w:ascii="Arial" w:cs="Arial" w:eastAsia="Arial" w:hAnsi="Arial"/>
                <w:sz w:val="12"/>
                <w:szCs w:val="12"/>
                <w:color w:val="auto"/>
              </w:rPr>
              <w:t>and Environmental Policy</w:t>
            </w:r>
          </w:p>
        </w:tc>
        <w:tc>
          <w:tcPr>
            <w:tcW w:w="3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540" w:type="dxa"/>
            <w:vAlign w:val="bottom"/>
          </w:tcPr>
          <w:p>
            <w:pPr>
              <w:ind w:left="60"/>
              <w:spacing w:after="0"/>
              <w:rPr>
                <w:sz w:val="20"/>
                <w:szCs w:val="20"/>
                <w:color w:val="auto"/>
              </w:rPr>
            </w:pPr>
            <w:r>
              <w:rPr>
                <w:rFonts w:ascii="Arial" w:cs="Arial" w:eastAsia="Arial" w:hAnsi="Arial"/>
                <w:sz w:val="12"/>
                <w:szCs w:val="12"/>
                <w:color w:val="auto"/>
              </w:rPr>
              <w:t>and Environmental Policy</w:t>
            </w:r>
          </w:p>
        </w:tc>
        <w:tc>
          <w:tcPr>
            <w:tcW w:w="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University and KHE Campuses combined enrollment at December 31, 2011, 2010 and 2009 totaled by degree and certificate programs were a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At December 31,</w:t>
            </w:r>
          </w:p>
        </w:tc>
        <w:tc>
          <w:tcPr>
            <w:tcW w:w="400" w:type="dxa"/>
            <w:vAlign w:val="bottom"/>
            <w:tcBorders>
              <w:bottom w:val="single" w:sz="8" w:color="auto"/>
            </w:tcBorders>
          </w:tcPr>
          <w:p>
            <w:pPr>
              <w:spacing w:after="0"/>
              <w:rPr>
                <w:sz w:val="13"/>
                <w:szCs w:val="13"/>
                <w:color w:val="auto"/>
              </w:rPr>
            </w:pPr>
          </w:p>
        </w:tc>
      </w:tr>
      <w:tr>
        <w:trPr>
          <w:trHeight w:val="129"/>
        </w:trPr>
        <w:tc>
          <w:tcPr>
            <w:tcW w:w="8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2"/>
                <w:szCs w:val="12"/>
                <w:b w:val="1"/>
                <w:bCs w:val="1"/>
                <w:color w:val="auto"/>
              </w:rPr>
              <w:t>2011</w:t>
            </w:r>
          </w:p>
        </w:tc>
        <w:tc>
          <w:tcPr>
            <w:tcW w:w="1340" w:type="dxa"/>
            <w:vAlign w:val="bottom"/>
            <w:tcBorders>
              <w:bottom w:val="single" w:sz="8" w:color="auto"/>
            </w:tcBorders>
          </w:tcPr>
          <w:p>
            <w:pPr>
              <w:jc w:val="right"/>
              <w:ind w:right="509"/>
              <w:spacing w:after="0" w:line="129" w:lineRule="exact"/>
              <w:rPr>
                <w:sz w:val="20"/>
                <w:szCs w:val="20"/>
                <w:color w:val="auto"/>
              </w:rPr>
            </w:pPr>
            <w:r>
              <w:rPr>
                <w:rFonts w:ascii="Arial" w:cs="Arial" w:eastAsia="Arial" w:hAnsi="Arial"/>
                <w:sz w:val="12"/>
                <w:szCs w:val="12"/>
                <w:color w:val="auto"/>
              </w:rPr>
              <w:t>2010</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960" w:type="dxa"/>
            <w:vAlign w:val="bottom"/>
          </w:tcPr>
          <w:p>
            <w:pPr>
              <w:jc w:val="right"/>
              <w:ind w:right="68"/>
              <w:spacing w:after="0" w:line="150" w:lineRule="exact"/>
              <w:rPr>
                <w:sz w:val="20"/>
                <w:szCs w:val="20"/>
                <w:color w:val="auto"/>
              </w:rPr>
            </w:pPr>
            <w:r>
              <w:rPr>
                <w:rFonts w:ascii="Arial" w:cs="Arial" w:eastAsia="Arial" w:hAnsi="Arial"/>
                <w:sz w:val="15"/>
                <w:szCs w:val="15"/>
                <w:b w:val="1"/>
                <w:bCs w:val="1"/>
                <w:color w:val="auto"/>
              </w:rPr>
              <w:t>23.6 %</w:t>
            </w:r>
          </w:p>
        </w:tc>
        <w:tc>
          <w:tcPr>
            <w:tcW w:w="1340" w:type="dxa"/>
            <w:vAlign w:val="bottom"/>
          </w:tcPr>
          <w:p>
            <w:pPr>
              <w:jc w:val="right"/>
              <w:ind w:right="269"/>
              <w:spacing w:after="0" w:line="150" w:lineRule="exact"/>
              <w:rPr>
                <w:sz w:val="20"/>
                <w:szCs w:val="20"/>
                <w:color w:val="auto"/>
              </w:rPr>
            </w:pPr>
            <w:r>
              <w:rPr>
                <w:rFonts w:ascii="Arial" w:cs="Arial" w:eastAsia="Arial" w:hAnsi="Arial"/>
                <w:sz w:val="15"/>
                <w:szCs w:val="15"/>
                <w:color w:val="auto"/>
              </w:rPr>
              <w:t>23.6 %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Associate's</w:t>
            </w:r>
          </w:p>
        </w:tc>
        <w:tc>
          <w:tcPr>
            <w:tcW w:w="960" w:type="dxa"/>
            <w:vAlign w:val="bottom"/>
          </w:tcPr>
          <w:p>
            <w:pPr>
              <w:jc w:val="right"/>
              <w:ind w:right="68"/>
              <w:spacing w:after="0"/>
              <w:rPr>
                <w:sz w:val="20"/>
                <w:szCs w:val="20"/>
                <w:color w:val="auto"/>
              </w:rPr>
            </w:pPr>
            <w:r>
              <w:rPr>
                <w:rFonts w:ascii="Arial" w:cs="Arial" w:eastAsia="Arial" w:hAnsi="Arial"/>
                <w:sz w:val="15"/>
                <w:szCs w:val="15"/>
                <w:b w:val="1"/>
                <w:bCs w:val="1"/>
                <w:color w:val="auto"/>
              </w:rPr>
              <w:t>30.3 %</w:t>
            </w:r>
          </w:p>
        </w:tc>
        <w:tc>
          <w:tcPr>
            <w:tcW w:w="1340" w:type="dxa"/>
            <w:vAlign w:val="bottom"/>
          </w:tcPr>
          <w:p>
            <w:pPr>
              <w:jc w:val="right"/>
              <w:ind w:right="269"/>
              <w:spacing w:after="0"/>
              <w:rPr>
                <w:sz w:val="20"/>
                <w:szCs w:val="20"/>
                <w:color w:val="auto"/>
              </w:rPr>
            </w:pPr>
            <w:r>
              <w:rPr>
                <w:rFonts w:ascii="Arial" w:cs="Arial" w:eastAsia="Arial" w:hAnsi="Arial"/>
                <w:sz w:val="15"/>
                <w:szCs w:val="15"/>
                <w:color w:val="auto"/>
              </w:rPr>
              <w:t>33.8 %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Bachelor's</w:t>
            </w:r>
          </w:p>
        </w:tc>
        <w:tc>
          <w:tcPr>
            <w:tcW w:w="960" w:type="dxa"/>
            <w:vAlign w:val="bottom"/>
          </w:tcPr>
          <w:p>
            <w:pPr>
              <w:jc w:val="right"/>
              <w:ind w:right="68"/>
              <w:spacing w:after="0"/>
              <w:rPr>
                <w:sz w:val="20"/>
                <w:szCs w:val="20"/>
                <w:color w:val="auto"/>
              </w:rPr>
            </w:pPr>
            <w:r>
              <w:rPr>
                <w:rFonts w:ascii="Arial" w:cs="Arial" w:eastAsia="Arial" w:hAnsi="Arial"/>
                <w:sz w:val="15"/>
                <w:szCs w:val="15"/>
                <w:b w:val="1"/>
                <w:bCs w:val="1"/>
                <w:color w:val="auto"/>
              </w:rPr>
              <w:t>34.6 %</w:t>
            </w:r>
          </w:p>
        </w:tc>
        <w:tc>
          <w:tcPr>
            <w:tcW w:w="1340" w:type="dxa"/>
            <w:vAlign w:val="bottom"/>
          </w:tcPr>
          <w:p>
            <w:pPr>
              <w:jc w:val="right"/>
              <w:ind w:right="269"/>
              <w:spacing w:after="0"/>
              <w:rPr>
                <w:sz w:val="20"/>
                <w:szCs w:val="20"/>
                <w:color w:val="auto"/>
              </w:rPr>
            </w:pPr>
            <w:r>
              <w:rPr>
                <w:rFonts w:ascii="Arial" w:cs="Arial" w:eastAsia="Arial" w:hAnsi="Arial"/>
                <w:sz w:val="15"/>
                <w:szCs w:val="15"/>
                <w:color w:val="auto"/>
              </w:rPr>
              <w:t>35.1 %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Master's</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11.5 %</w:t>
            </w:r>
          </w:p>
        </w:tc>
        <w:tc>
          <w:tcPr>
            <w:tcW w:w="13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color w:val="auto"/>
              </w:rPr>
              <w:t>7.5 %</w:t>
            </w:r>
          </w:p>
        </w:tc>
        <w:tc>
          <w:tcPr>
            <w:tcW w:w="400" w:type="dxa"/>
            <w:vAlign w:val="bottom"/>
            <w:tcBorders>
              <w:bottom w:val="single" w:sz="8" w:color="auto"/>
            </w:tcBorders>
          </w:tcPr>
          <w:p>
            <w:pPr>
              <w:spacing w:after="0"/>
              <w:rPr>
                <w:sz w:val="16"/>
                <w:szCs w:val="16"/>
                <w:color w:val="auto"/>
              </w:rPr>
            </w:pPr>
          </w:p>
        </w:tc>
      </w:tr>
      <w:tr>
        <w:trPr>
          <w:trHeight w:val="166"/>
        </w:trPr>
        <w:tc>
          <w:tcPr>
            <w:tcW w:w="82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100.0 %</w:t>
            </w:r>
          </w:p>
        </w:tc>
        <w:tc>
          <w:tcPr>
            <w:tcW w:w="134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Aid Programs and Regulatory Environment</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Funds provided under the U.S. Federal student financial aid programs that have been created under Title IV of the U.S. Federal Higher Education Act 1965, as amended (the Higher Education Act), historically have been responsible for a majority of the KHE revenues. During 2011, funds received und Title IV programs accounted for approximately $1,110 million, or approximately 79%, of total KHE revenues, and 45% of Kaplan, Inc. revenues. The Company estimates that funds received from students borrowing under third-party private loan programs comprised approximately 1% of its KHE reve Beginning in 2008 and continuing through 2011, as the private loan market deteriorated, KHE provided loans directly to some Kaplan students under i third-party institutional loan program. Lending under Kaplan’s institutional loan program totaled approximately 1% of its KHE revenues in 2011. Direct student payments, funds received under various state and agency grant programs and corporate reimbursement under tuition assistance programs accounted for most of</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the remaining 2011 KHE revenues. The significant role of Title IV funding in the operations of KHE is expected to continue.</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U.S. Federal student financial aid programs created under Title IV of the U.S. Federal Higher Education Act (Title IV programs) encompass variou forms of student loans and non-repayable grants. In some cases, the U.S. Federal government subsidizes part of the interest expense of Title IV loans Subsidized loans and grants are only available to students who can demonstrate financial need. During 2011, about 69% of the approximate $1,110 m of Title IV funds received by KHE came from student loans, and approximately 31% of such funds came from grants.</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Title IV Eligibility and Compliance With Title IV Program Requirements. </w:t>
      </w:r>
      <w:r>
        <w:rPr>
          <w:rFonts w:ascii="Arial" w:cs="Arial" w:eastAsia="Arial" w:hAnsi="Arial"/>
          <w:sz w:val="16"/>
          <w:szCs w:val="16"/>
          <w:color w:val="auto"/>
        </w:rPr>
        <w:t>To maintain eligibility to participate in Title IV programs, a school must comply</w:t>
      </w:r>
      <w:r>
        <w:rPr>
          <w:rFonts w:ascii="Arial" w:cs="Arial" w:eastAsia="Arial" w:hAnsi="Arial"/>
          <w:sz w:val="16"/>
          <w:szCs w:val="16"/>
          <w:i w:val="1"/>
          <w:iCs w:val="1"/>
          <w:color w:val="auto"/>
        </w:rPr>
        <w:t xml:space="preserve"> </w:t>
      </w:r>
      <w:r>
        <w:rPr>
          <w:rFonts w:ascii="Arial" w:cs="Arial" w:eastAsia="Arial" w:hAnsi="Arial"/>
          <w:sz w:val="16"/>
          <w:szCs w:val="16"/>
          <w:color w:val="auto"/>
        </w:rPr>
        <w:t>extensive statutory and regulatory requirements relating to its financial aid management, educational programs, financial strength, administrative capa compensation practices, facilities, recruiting practices and various other matters. In addition, the school must be licensed, or otherwise legally authoriz offer postsecondary educational programs by the appropriate governmental body in the state or states in which it is physically located or has students, accredited by an accrediting agency recognized by the DOE and be certified to participate in the Title IV programs by the DOE. Schools are required periodically to apply for renewal of their authorization, accreditation or certification with the applicable state governmental bodies, accrediting agencies the DOE. In accordance with DOE regulations, some KHE schools operate individually or are combined into groups of two or more schools for the pur of determining compliance with certain Title IV requirements, and each school or school group is assigned its own identification number, known as an OPEID number. As a result, the schools in KHE have a total of 32 OPEID numbers. No assurance can be given that the Kaplan schools, or individual programs within schools, will maintain their Title IV eligibility, accreditation and state authorization in the future or that the DOE might not successfully that one or more of such schools have previously failed to comply with Title IV requirements.</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DOE may place a school on provisional certification status under certain circumstances, including, but not limited to, failure to satisfy certain stand of financial responsibility or administrative capability or upon a change in ownership resulting in a change of control. Provisional certification status car fewer due process protections than full certification. As a result, the DOE may withdraw an institution’s provisional certification more easily than if it is f certified. In addition, the DOE may subject an institution on provisional certification status to greater scrutiny in some instances, for example, when it a for approval to add a new location or program or makes another substantive change. Provisional certification does not otherwise limit access to Title IV program funds by students attending the institution. Currently, one KHE OPEID, which had 539 students at the end of 2011, is provisionally certified.</w:t>
      </w:r>
    </w:p>
    <w:p>
      <w:pPr>
        <w:spacing w:after="0" w:line="172"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addition, the DOE may fine a school, require a school to repay Title IV program funds, limit or terminate a school’s eligibility to participate in the Title programs, initiate an emergency action to suspend the school’s participation in the Title IV programs without prior notice or opportunity for a hearing, tr a school to a method of Title IV payment that would adversely affect the timing of the institution’s receipt of Title IV funds, deny or refuse to consider a school’s application for renewal of its certification to participate in the Title IV programs or for approval to add a new campus or educational program, r matter for possible civil or criminal investigation or take other enforcement measures if it finds that the school has failed to comply with Title IV require or improperly disbursed or retained Title IV program funds. There can be no assurance that the DOE will not take any of these or other actions in the f whether as a result of a lawsuit, program review or otherwise. This list is not exhaustive. There may be other actions the DOE may take and other lega theories under which a school could be sued as a result of alleged irregularities in the administration of student financial aid. See Item 1A. Risk Factor including Failure to Comply With Statutory and Regulatory Requirements Could Result in Loss of Access to U.S. Federal Student Loans and Grants U Title IV, a Requirement to Pay Fines or Monetary Liabilities or Other Sanctions.</w:t>
      </w:r>
    </w:p>
    <w:p>
      <w:pPr>
        <w:spacing w:after="0" w:line="16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i w:val="1"/>
          <w:iCs w:val="1"/>
          <w:color w:val="auto"/>
        </w:rPr>
        <w:t xml:space="preserve">Student Default Rates. </w:t>
      </w:r>
      <w:r>
        <w:rPr>
          <w:rFonts w:ascii="Arial" w:cs="Arial" w:eastAsia="Arial" w:hAnsi="Arial"/>
          <w:sz w:val="16"/>
          <w:szCs w:val="16"/>
          <w:color w:val="auto"/>
        </w:rPr>
        <w:t>A school may lose its eligibility to participate in Title IV programs if student defaults on the repayment of Title IV loans exceed</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rates, referred to as “cohort default rates.” The DOE calculates a cohort default rate for each of KHE’s OPEID numbers. The schools in an O number whose cohort default rate exceeds 40% for any single year lose their eligibility to participate in the U.S. Federal Family Education Loan (FFEL Direct Loan programs effective 30 days after notification from the DOE and for at least two fiscal years, except in the event of a successful adjustment appeal. The schools in an OPEID number whose cohort default rate equals or exceeds 25% for three consecutive years lose their Title IV eligibility to participate in FFEL, Direct Loan and U.S. Federal Pell Grant programs effective 30 days after notification from the DOE and for at least two fiscal year except in the event of a successful adjustment or appeal. The schools in an OPEID number whose cohort default rate equals or exceeds 25% in any o the three most recent fiscal years for which rates have been issued by the DOE may be placed on provisional certification by the DOE.</w:t>
      </w:r>
    </w:p>
    <w:p>
      <w:pPr>
        <w:spacing w:after="0" w:line="1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6" w:name="page7"/>
    <w:bookmarkEnd w:id="6"/>
    <w:p>
      <w:pPr>
        <w:spacing w:after="0" w:line="229" w:lineRule="auto"/>
        <w:rPr>
          <w:sz w:val="20"/>
          <w:szCs w:val="20"/>
          <w:color w:val="auto"/>
        </w:rPr>
      </w:pPr>
      <w:r>
        <w:rPr>
          <w:rFonts w:ascii="Arial" w:cs="Arial" w:eastAsia="Arial" w:hAnsi="Arial"/>
          <w:sz w:val="17"/>
          <w:szCs w:val="17"/>
          <w:color w:val="auto"/>
        </w:rPr>
        <w:t>The enactment in August 2008 of the U.S. Federal Higher Education Opportunity Act (HEOA) (which reauthorized the Higher Education Act) changed methodology that will be used to calculate cohort default rates for future years. Under the revised law, the period of time for which student defaults are tracked and included in the cohort default rate calculation is extended by a year, which is expected to increase the cohort default rates for most institut That change became effective with the calculation of institutions’ cohort default rates for the U.S. Federal fiscal year ending September 30, 2009; thos rates are expected to be calculated and issued by the DOE in 2012. The DOE will not impose sanctions based on rates calculated under this new methodology until rates for three consecutive years have been calculated, which is expected to occur in 2014. Until that time, the DOE will continue to calculate rates under the old method and impose sanctions based on those rates. The revised law also increases the threshold for ending an institutio participation in certain Title IV programs from 25% to 30% for three consecutive years, effective for three-year cohort default rates issued beginning in year 2012. The revised law changes the threshold for placement on provisional certification to 30% for two of the three most recent fiscal years for whi DOE has published official three-year cohort default rates.</w:t>
      </w:r>
    </w:p>
    <w:p>
      <w:pPr>
        <w:spacing w:after="0" w:line="18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two-year cohort default rate for Kaplan University, which comprises 68.1% of KHE’s revenue, for the U.S. Federal fiscal year periods 2009, 2008 a 2007 were 17.3%, 17.2%, and 13.3%, respectively. The cohort default rates for the remaining KHE reporting units for those U.S. Federal fiscal year pe ranged from 9.8% to 23.9%, 5.8% to 25.7%, and 7.8% to 28.7%, respectively. For 2009, the default rate for the KHE reporting units as a whole was 17 and only one reporting unit had a cohort default rate in excess of 20%.</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For the 2009 cohort year, no reporting unit had a cohort default rate of 25% or more, and none had two or more years above 25%. Two-year cohort de rates for the 2010 cohort year and three-year cohort default rates for the 2009 cohort year will be issued in final form by the DOE in September 2012.</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December 2009, the DOE issued an electronic announcement explaining the future changes to the methodology for calculating an institution’s coho default rate based on defaults occurring over a three-year period rather than a two-year period, and released unofficial trial three-year cohort default ra for the 2005, 2006 and 2007 U.S. Federal fiscal years. In February 2011, the DOE issued an electronic announcement releasing unofficial trial three-y cohort default rates for the 2008 U.S. Federal fiscal year.</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Under the new methodology, the trial rate for Kaplan University was 27.7% for the 2008 U.S. Federal fiscal year. The trial rates for the remaining KHE reporting units under the new methodology ranged from 16% to 37.1% for the 2008 U.S. Federal fiscal year. The DOE stated in its electronic announcements that the publication of these rates was for informational purposes only and that no sanctions will be imposed based on these rates.</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Kaplan believes that student loan default rates tend to correlate directly to a student’s family income level, such that lower income students will have h default rates. KHE’s student population generally tends to come from lower income groups than those of other providers of higher education, including for-profit providers. In addition, because KHE receives a significantly lower level of U.S. taxpayer-funded grants and subsidies than community college state schools and not-for-profit schools, KHE’s schools are more dependent on tuition, and its students are more dependent on loans.</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However, no assurances can be given that these resou will enable Kaplan’s schools to maintain cohort default rates below the thresholds for sanctions.</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the fourth quarter of 2010, most programs at Kaplan University and KHE Campuses implemented the Kaplan Commitment. Under this program, stu may enroll in classes for several weeks and assess whether their educational experience meets their needs and expectations before incurring any significant financial obligation. Kaplan also conducts academic assessments to help determine whether students are likely to be successful in their cho course of study. Students who choose to withdraw from the program during this time frame (risk-free period) and students who do not pass the acade evaluation do not have to pay for the coursework. Kaplan believes that the Kaplan Commitment will help ensure that its student body is more committe better academically prepared and more likely to complete their programs. In Kaplan’s experience, students who withdraw prior to program completion demonstrate a higher loan default rate than those who continue through to graduation. Kaplan is hopeful that the Kaplan Commitment will also improv cohort default rates as students who might have withdrawn previously with debt will now leave a program under the Kaplan Commitment. Although Ka has taken the above steps and dedicated resources to mitigate the increased risk of student loan defaults by its students, there is no guarantee that s efforts will be successful in reducing cohort default rates. Kaplan believes that the Kaplan Commitment program is unique and reflects Kaplan’s comm to student success.</w:t>
      </w:r>
    </w:p>
    <w:p>
      <w:pPr>
        <w:spacing w:after="0" w:line="18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7" w:name="page8"/>
    <w:bookmarkEnd w:id="7"/>
    <w:p>
      <w:pPr>
        <w:jc w:val="both"/>
        <w:ind w:left="9"/>
        <w:spacing w:after="0" w:line="233" w:lineRule="auto"/>
        <w:rPr>
          <w:sz w:val="20"/>
          <w:szCs w:val="20"/>
          <w:color w:val="auto"/>
        </w:rPr>
      </w:pPr>
      <w:r>
        <w:rPr>
          <w:rFonts w:ascii="Arial" w:cs="Arial" w:eastAsia="Arial" w:hAnsi="Arial"/>
          <w:sz w:val="17"/>
          <w:szCs w:val="17"/>
          <w:color w:val="auto"/>
        </w:rPr>
        <w:t>The Kaplan Commitment, along with generally lower demand among other factors, has resulted in a 37% decline in enrollments in 2011. Kaplan estim that without the Kaplan Commitment, this decline would have been approximately 20% in 2011. Kaplan also estimates that revenue for 2011 would ha been approximately $63 million higher if the Kaplan Commitment had not been implemented.</w:t>
      </w:r>
    </w:p>
    <w:p>
      <w:pPr>
        <w:spacing w:after="0" w:line="175"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For those first-time students enrolled to date under the Kaplan Commitment, the attrition rate during the risk-free period has been approximately 27%, which about 59% is due to Kaplan’s dismissal of students from the program because of the students’ lack of academic progress during the period, and remainder is due to students who have elected not to continue their studies. Given that the Kaplan Commitment program has only been in place for a period of time, Kaplan is unable to estimate with confidence to what degree the program will cause student retention patterns to differ from historical le However, based on limited preliminary data, it appears that most of the historical early term attrition has been accelerated into the commitment period, having the desired effect of providing these students with a risk-free trial period and ultimately improving student outcome results for the institution. Nonetheless, there is no guarantee that the program will be successful in reducing cohort default rates.</w:t>
      </w:r>
    </w:p>
    <w:p>
      <w:pPr>
        <w:spacing w:after="0" w:line="160" w:lineRule="exact"/>
        <w:rPr>
          <w:sz w:val="20"/>
          <w:szCs w:val="20"/>
          <w:color w:val="auto"/>
        </w:rPr>
      </w:pPr>
    </w:p>
    <w:p>
      <w:pPr>
        <w:jc w:val="both"/>
        <w:ind w:left="9"/>
        <w:spacing w:after="0" w:line="253" w:lineRule="auto"/>
        <w:rPr>
          <w:sz w:val="20"/>
          <w:szCs w:val="20"/>
          <w:color w:val="auto"/>
        </w:rPr>
      </w:pPr>
      <w:r>
        <w:rPr>
          <w:rFonts w:ascii="Arial" w:cs="Arial" w:eastAsia="Arial" w:hAnsi="Arial"/>
          <w:sz w:val="17"/>
          <w:szCs w:val="17"/>
          <w:i w:val="1"/>
          <w:iCs w:val="1"/>
          <w:color w:val="auto"/>
        </w:rPr>
        <w:t xml:space="preserve">Recent Rulemaking Initiatives. </w:t>
      </w:r>
      <w:r>
        <w:rPr>
          <w:rFonts w:ascii="Arial" w:cs="Arial" w:eastAsia="Arial" w:hAnsi="Arial"/>
          <w:sz w:val="17"/>
          <w:szCs w:val="17"/>
          <w:color w:val="auto"/>
        </w:rPr>
        <w:t>The DOE published final regulations on October 29, 2010, addressing various program integrity topics, that went into e</w:t>
      </w:r>
      <w:r>
        <w:rPr>
          <w:rFonts w:ascii="Arial" w:cs="Arial" w:eastAsia="Arial" w:hAnsi="Arial"/>
          <w:sz w:val="17"/>
          <w:szCs w:val="17"/>
          <w:i w:val="1"/>
          <w:iCs w:val="1"/>
          <w:color w:val="auto"/>
        </w:rPr>
        <w:t xml:space="preserve"> </w:t>
      </w:r>
      <w:r>
        <w:rPr>
          <w:rFonts w:ascii="Arial" w:cs="Arial" w:eastAsia="Arial" w:hAnsi="Arial"/>
          <w:sz w:val="17"/>
          <w:szCs w:val="17"/>
          <w:color w:val="auto"/>
        </w:rPr>
        <w:t>on July 1, 2011. The topics covered in the final regulations include, but are not limited to, the following:</w:t>
      </w:r>
    </w:p>
    <w:p>
      <w:pPr>
        <w:spacing w:after="0" w:line="10" w:lineRule="exact"/>
        <w:rPr>
          <w:sz w:val="20"/>
          <w:szCs w:val="20"/>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Revisions to the incentive compensation rule, see </w:t>
      </w:r>
      <w:r>
        <w:rPr>
          <w:rFonts w:ascii="Arial" w:cs="Arial" w:eastAsia="Arial" w:hAnsi="Arial"/>
          <w:sz w:val="17"/>
          <w:szCs w:val="17"/>
          <w:i w:val="1"/>
          <w:iCs w:val="1"/>
          <w:color w:val="auto"/>
        </w:rPr>
        <w:t>Incentive Compensation</w:t>
      </w:r>
      <w:r>
        <w:rPr>
          <w:rFonts w:ascii="Arial" w:cs="Arial" w:eastAsia="Arial" w:hAnsi="Arial"/>
          <w:sz w:val="17"/>
          <w:szCs w:val="17"/>
          <w:color w:val="auto"/>
        </w:rPr>
        <w:t xml:space="preserve"> section below;</w:t>
      </w:r>
    </w:p>
    <w:p>
      <w:pPr>
        <w:spacing w:after="0" w:line="58" w:lineRule="exact"/>
        <w:rPr>
          <w:rFonts w:ascii="Arial" w:cs="Arial" w:eastAsia="Arial" w:hAnsi="Arial"/>
          <w:sz w:val="17"/>
          <w:szCs w:val="17"/>
          <w:color w:val="auto"/>
        </w:rPr>
      </w:pPr>
    </w:p>
    <w:p>
      <w:pPr>
        <w:ind w:left="289" w:hanging="289"/>
        <w:spacing w:after="0" w:line="235" w:lineRule="auto"/>
        <w:tabs>
          <w:tab w:leader="none" w:pos="279"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Expansion of the notice and approval requirements for adding new academic programs and new reporting and disclosure requirements for academ programs;</w:t>
      </w:r>
    </w:p>
    <w:p>
      <w:pPr>
        <w:spacing w:after="0" w:line="39"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Revision and expansion of the types of activities that are deemed a “substantial misrepresentation” and the ability of the DOE to enforce the provis</w:t>
      </w:r>
    </w:p>
    <w:p>
      <w:pPr>
        <w:spacing w:after="0" w:line="33" w:lineRule="exact"/>
        <w:rPr>
          <w:rFonts w:ascii="Arial" w:cs="Arial" w:eastAsia="Arial" w:hAnsi="Arial"/>
          <w:sz w:val="16"/>
          <w:szCs w:val="16"/>
          <w:color w:val="auto"/>
        </w:rPr>
      </w:pPr>
    </w:p>
    <w:p>
      <w:pPr>
        <w:ind w:left="289" w:right="40" w:hanging="289"/>
        <w:spacing w:after="0" w:line="253" w:lineRule="auto"/>
        <w:tabs>
          <w:tab w:leader="none" w:pos="27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Requirement that states authorize institutions and set forth certain minimum requirements to obtain such authorizations, see </w:t>
      </w:r>
      <w:r>
        <w:rPr>
          <w:rFonts w:ascii="Arial" w:cs="Arial" w:eastAsia="Arial" w:hAnsi="Arial"/>
          <w:sz w:val="17"/>
          <w:szCs w:val="17"/>
          <w:i w:val="1"/>
          <w:iCs w:val="1"/>
          <w:color w:val="auto"/>
        </w:rPr>
        <w:t>State Authorization</w:t>
      </w:r>
      <w:r>
        <w:rPr>
          <w:rFonts w:ascii="Arial" w:cs="Arial" w:eastAsia="Arial" w:hAnsi="Arial"/>
          <w:sz w:val="17"/>
          <w:szCs w:val="17"/>
          <w:color w:val="auto"/>
        </w:rPr>
        <w:t xml:space="preserve"> s below;</w:t>
      </w:r>
    </w:p>
    <w:p>
      <w:pPr>
        <w:spacing w:after="0" w:line="27"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Limiting agreements between related institutions;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Defining a “credit hour”;</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Administration of ability-to-benefit examinations;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Student attendance requirements;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Proof of high school graduation;</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Verification of information included on student aid applications;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Satisfactory academic progress;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Retaking coursework;</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Return of Title IV funds; and</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Disbursements of Title IV funds.</w:t>
      </w:r>
    </w:p>
    <w:p>
      <w:pPr>
        <w:spacing w:after="0" w:line="177"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The implementation of the final regulations has required KHE to change its practices to comply with these requirements, which has increased the risk incorrect application of U.S. Federal financial aid and institutional administrative costs.</w:t>
      </w:r>
    </w:p>
    <w:p>
      <w:pPr>
        <w:spacing w:after="0" w:line="158" w:lineRule="exact"/>
        <w:rPr>
          <w:sz w:val="20"/>
          <w:szCs w:val="20"/>
          <w:color w:val="auto"/>
        </w:rPr>
      </w:pPr>
    </w:p>
    <w:p>
      <w:pPr>
        <w:ind w:left="9"/>
        <w:spacing w:after="0" w:line="234" w:lineRule="auto"/>
        <w:rPr>
          <w:sz w:val="20"/>
          <w:szCs w:val="20"/>
          <w:color w:val="auto"/>
        </w:rPr>
      </w:pPr>
      <w:r>
        <w:rPr>
          <w:rFonts w:ascii="Arial" w:cs="Arial" w:eastAsia="Arial" w:hAnsi="Arial"/>
          <w:sz w:val="17"/>
          <w:szCs w:val="17"/>
          <w:i w:val="1"/>
          <w:iCs w:val="1"/>
          <w:color w:val="auto"/>
        </w:rPr>
        <w:t>Gainful Employment</w:t>
      </w:r>
      <w:r>
        <w:rPr>
          <w:rFonts w:ascii="Arial" w:cs="Arial" w:eastAsia="Arial" w:hAnsi="Arial"/>
          <w:sz w:val="17"/>
          <w:szCs w:val="17"/>
          <w:color w:val="auto"/>
        </w:rPr>
        <w:t>. In June 2011, the DOE issued final regulations that tie an education program’s Title IV eligibility to whether the program leads to</w:t>
      </w:r>
      <w:r>
        <w:rPr>
          <w:rFonts w:ascii="Arial" w:cs="Arial" w:eastAsia="Arial" w:hAnsi="Arial"/>
          <w:sz w:val="17"/>
          <w:szCs w:val="17"/>
          <w:i w:val="1"/>
          <w:iCs w:val="1"/>
          <w:color w:val="auto"/>
        </w:rPr>
        <w:t xml:space="preserve"> </w:t>
      </w:r>
      <w:r>
        <w:rPr>
          <w:rFonts w:ascii="Arial" w:cs="Arial" w:eastAsia="Arial" w:hAnsi="Arial"/>
          <w:sz w:val="17"/>
          <w:szCs w:val="17"/>
          <w:color w:val="auto"/>
        </w:rPr>
        <w:t>gainful employment. The regulations define an education program that leads to gainful employment as one that complies with the following gainful employment metrics as calculated under the complex formulas prescribed in the regulations: (1) the average annual loan payment for program gradu 12% or less of annual earnings; (2) the average annual loan payment for program graduates is 30% or less of discretionary income, generally defined annual earnings above 150% of the U.S. Federal poverty level; and (3) the U.S. Federal loan repayment rate must be at least 35% for loans owed by students for attendance in the program regardless of whether they graduated.</w:t>
      </w:r>
    </w:p>
    <w:p>
      <w:pPr>
        <w:spacing w:after="0" w:line="17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If a program fails all three of the gainful employment metrics in a single U.S. Federal fiscal year, the Department requires the institution, among other t to disclose to current and prospective students the amount by which the program under-performed the metrics and the institution’s plan for program improvement, and to establish a three-day waiting period before students can enroll. Should a program fail to achieve the metrics twice within three ye the Department requires the institution, among other things, to disclose to current and prospective students that they should expect to have difficulty repaying their student loans; that the program is at risk of losing eligibility to receive U.S. Federal financial aid; and that transfer options exist, including providing resources to students to research other education options and compare program costs. Should a program fail three times within a four-year period, the DOE would terminate the program’s eligibility for U.S. Federal student aid, and the institution would not be able to reestablish the program’</w:t>
      </w:r>
    </w:p>
    <w:p>
      <w:pPr>
        <w:spacing w:after="0" w:line="17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8" w:name="page9"/>
    <w:bookmarkEnd w:id="8"/>
    <w:p>
      <w:pPr>
        <w:jc w:val="both"/>
        <w:ind w:right="20"/>
        <w:spacing w:after="0" w:line="235" w:lineRule="auto"/>
        <w:rPr>
          <w:sz w:val="20"/>
          <w:szCs w:val="20"/>
          <w:color w:val="auto"/>
        </w:rPr>
      </w:pPr>
      <w:r>
        <w:rPr>
          <w:rFonts w:ascii="Arial" w:cs="Arial" w:eastAsia="Arial" w:hAnsi="Arial"/>
          <w:sz w:val="17"/>
          <w:szCs w:val="17"/>
          <w:color w:val="auto"/>
        </w:rPr>
        <w:t>eligibility for at least three years, though the program could continue to operate without student aid. The final rule is scheduled to go into effect on July 2012. However, the first final debt measures will not be released until 2013, and a program cannot lose eligibility until 2015.</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Based on current information, the Company does not expect the regulations to adversely impact most of Kaplan’s current programs. However, some o data needed to compute program eligibility under this regulation, including graduate incomes, are not readily accessible to the institutions, but are com by the DOE. In addition, the continuing eligibility of programs for Title IV funding may be affected by factors beyond Kaplan’s control, such as changes actual or deemed income level of its graduates, changes in student borrowing levels, increases in interest rates, changes in the U.S. Federal poverty i level relevant for calculating the discretionary income test, changes in the percentage of former students who are current in repayment of their student loans, and other factors.</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Incentive Compensation</w:t>
      </w:r>
      <w:r>
        <w:rPr>
          <w:rFonts w:ascii="Arial" w:cs="Arial" w:eastAsia="Arial" w:hAnsi="Arial"/>
          <w:sz w:val="17"/>
          <w:szCs w:val="17"/>
          <w:color w:val="auto"/>
        </w:rPr>
        <w:t>. Under the incentive compensation rule, an institution participating in Title IV programs may not provide any commission, bon</w:t>
      </w:r>
      <w:r>
        <w:rPr>
          <w:rFonts w:ascii="Arial" w:cs="Arial" w:eastAsia="Arial" w:hAnsi="Arial"/>
          <w:sz w:val="17"/>
          <w:szCs w:val="17"/>
          <w:i w:val="1"/>
          <w:iCs w:val="1"/>
          <w:color w:val="auto"/>
        </w:rPr>
        <w:t xml:space="preserve"> </w:t>
      </w:r>
      <w:r>
        <w:rPr>
          <w:rFonts w:ascii="Arial" w:cs="Arial" w:eastAsia="Arial" w:hAnsi="Arial"/>
          <w:sz w:val="17"/>
          <w:szCs w:val="17"/>
          <w:color w:val="auto"/>
        </w:rPr>
        <w:t>other incentive payment based directly or indirectly on success in securing enrollments or financial aid to any person or entity engaged in any student recruiting or admission activities or in making decisions regarding the awarding of Title IV funds. The DOE released new rules in October 2010 that we effect on July 1, 2011. These rules included changes to the incentive compensation rule that reduced the scope of permissible payments under the rul expanded the scope of payments and employees subject to the rule. In March 2011, the DOE issued a “Dear Colleague Letter,” providing guidance on new rules. The Company has taken steps to fully comply with these rules and the guidance. Among the actions taken, the Company has revised its compensation plans for admissions personnel and completely eliminated enrollment results as a component in the determination of compensation. Th Company believes this change in Kaplan’s approach to recruiting adversely impacts its enrollment rates and operating costs. Kaplan cannot predict ho DOE will interpret and enforce all aspects of the revised incentive compensation rule in the future and is presently unable to predict the full effect the n rule will ultimately have on the results of KHE.</w:t>
      </w:r>
    </w:p>
    <w:p>
      <w:pPr>
        <w:spacing w:after="0" w:line="158"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Prior to the enactment of the HEOA, any for-profit postsecondary institution (a category that includes all of the schools in KHE) would</w:t>
      </w:r>
      <w:r>
        <w:rPr>
          <w:rFonts w:ascii="Arial" w:cs="Arial" w:eastAsia="Arial" w:hAnsi="Arial"/>
          <w:sz w:val="16"/>
          <w:szCs w:val="16"/>
          <w:i w:val="1"/>
          <w:iCs w:val="1"/>
          <w:color w:val="auto"/>
        </w:rPr>
        <w:t xml:space="preserve"> </w:t>
      </w:r>
      <w:r>
        <w:rPr>
          <w:rFonts w:ascii="Arial" w:cs="Arial" w:eastAsia="Arial" w:hAnsi="Arial"/>
          <w:sz w:val="16"/>
          <w:szCs w:val="16"/>
          <w:color w:val="auto"/>
        </w:rPr>
        <w:t>its Title IV eligibility for at least one year if more than 90% of the institution’s receipts for any fiscal year were derived from Title IV programs, as calcula on a cash basis in accordance with the Higher Education Act and applicable DOE regulations. Under amendments to the Higher Education Act set fort the HEOA, a for-profit institution loses its eligibility to participate in the Title IV programs for a period of at least two fiscal years if the institution derives than 90% of its receipts from Title IV programs in each of two consecutive fiscal years, commencing with the institution’s first fiscal year that ends after August 14, 2008. An institution with Title IV receipts exceeding 90% for a single fiscal year ending after August 14, 2008, will be placed on provisional certification and may be subject to other enforcement measures. The 90/10 rule calculations are performed for each OPEID unit. The largest OPEID reporting unit in KHE in terms of revenue is Kaplan University, which accounted for approximately 67% of the Title IV funds received by the division in In 2011, Kaplan University derived less than 82.0% of its receipts from the Title IV programs, and other OPEID units derived between 70.5% and 87.6 their receipts from Title IV programs. In 2010, Kaplan University derived less than 88.7% of its receipts from Title IV programs, and other OPEID units derived between 68.3% and 87.1% of their receipts from Title IV programs.</w:t>
      </w:r>
    </w:p>
    <w:p>
      <w:pPr>
        <w:spacing w:after="0" w:line="177"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The U.S. Federal Ensuring Continued Access to Student Loans Act of 2008 increased student loan limits and expanded eligibility for and increased th maximum amount of Pell Grants. These increases, and any future increases or changes in the 90/10 calculation formula, make it more difficult for institutions to comply with the 90/10 rule. HEOA provides temporary relief from the impact of the loan limit increases by treating as non-Title IV revenu amounts received between July 1, 2008, and June 30, 2011, that are attributable to the increased annual loan limits. Absent relief from the loan limit increases, Kaplan University would have a 90/10 ratio of 82.4%, and the remaining KHE OPEID numbers would have 90/10 percentages between 74. and 91.4%.</w:t>
      </w:r>
    </w:p>
    <w:p>
      <w:pPr>
        <w:spacing w:after="0" w:line="179"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 majority of KHE students are enrolled in certificate and associate’s degree programs. Revenue from certificate and associate’s degree programs is composed of a higher percentage of Title IV funds than is the case for revenue from its bachelor’s and other degree programs. KHE is taking various measures to reduce the percentage of its receipts attributable to Title IV funds, including expanding institutional lending programs in 2012; emphasizin direct-pay and employer-paid education programs; encouraging students to carefully evaluate the amount of their Title IV borrowing; program eliminati cash-matching and developing and offering additional non-Title IV-eligible certificate preparation, professional development and continuing education programs. These efforts include the integration of the former Kaplan Professional unit with Kaplan University, which became part of PACE, effective January 1, 2011. Based on currently available information, management does not believe that any of the Kaplan OPEID units will have a 90/10 ratio o 90% in 2012. However, absent the adoption of the changes mentioned above, and if current trends continue, management estimates that in 2013, 19 KHE Campuses OPEID units, representing approximately 11% of KHE’s 2011 revenues, could have a 90/10 ratio over 90%. As noted above, Kaplan i taking steps to address compliance with the 90/10 rule;</w:t>
      </w:r>
    </w:p>
    <w:p>
      <w:pPr>
        <w:spacing w:after="0" w:line="18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9" w:name="page10"/>
    <w:bookmarkEnd w:id="9"/>
    <w:p>
      <w:pPr>
        <w:ind w:left="9"/>
        <w:spacing w:after="0"/>
        <w:rPr>
          <w:sz w:val="20"/>
          <w:szCs w:val="20"/>
          <w:color w:val="auto"/>
        </w:rPr>
      </w:pPr>
      <w:r>
        <w:rPr>
          <w:rFonts w:ascii="Arial" w:cs="Arial" w:eastAsia="Arial" w:hAnsi="Arial"/>
          <w:sz w:val="16"/>
          <w:szCs w:val="16"/>
          <w:color w:val="auto"/>
        </w:rPr>
        <w:t>however, there can be no guarantee that these measures will be adequate to prevent the 90/10 rule calculations from exceeding 90% in the future.</w:t>
      </w:r>
    </w:p>
    <w:p>
      <w:pPr>
        <w:spacing w:after="0" w:line="18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Given that schools do not control, and generally may not limit, student lending, one of the more effective methods of reducing the 90/10 rule percentag increase tuition prices above the applicable maximums for Title IV student loans and grants, requiring other sources of funding to cover the remaining balance, in order to reduce the percentage of revenue from Title IV sources. Although modification of the 90/10 rule could limit this potential undesirab impact on tuition, there is no indication that the U.S. Congress (Congress) or the DOE will address this problem. Furthermore, the 90/10 rule and scho inability to limit students’ lending will make it more difficult for Kaplan’s schools to comply with other important regulatory requirements, such as the co default rate regulations and the gainful employment regulations.</w:t>
      </w:r>
    </w:p>
    <w:p>
      <w:pPr>
        <w:spacing w:after="0" w:line="161"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If one or more of Kaplan’s schools experiences a change of control under the standards of applicable state agencies, accrediting</w:t>
      </w:r>
      <w:r>
        <w:rPr>
          <w:rFonts w:ascii="Arial" w:cs="Arial" w:eastAsia="Arial" w:hAnsi="Arial"/>
          <w:sz w:val="17"/>
          <w:szCs w:val="17"/>
          <w:i w:val="1"/>
          <w:iCs w:val="1"/>
          <w:color w:val="auto"/>
        </w:rPr>
        <w:t xml:space="preserve"> </w:t>
      </w:r>
      <w:r>
        <w:rPr>
          <w:rFonts w:ascii="Arial" w:cs="Arial" w:eastAsia="Arial" w:hAnsi="Arial"/>
          <w:sz w:val="17"/>
          <w:szCs w:val="17"/>
          <w:color w:val="auto"/>
        </w:rPr>
        <w:t>agencies or the DOE, the applicable schools governed by such agencies must seek the approval of the relevant agencies. A school that undergoes a change of control, which may include a change of control of a school’s parent corporation or other owners, must be reviewed and recertified by the DO obtain approvals from certain state agencies and accrediting bodies, in some cases prior to the change of control. The standards pertaining to a chang control are not uniform and are subject to interpretation by the respective agencies. Certifications obtained from the DOE following a change in control granted on a provisional basis that permits the school to continue participating in Title IV programs, but provides fewer procedural protections if the DO asserts a material violation of Title IV requirements.</w:t>
      </w:r>
    </w:p>
    <w:p>
      <w:pPr>
        <w:spacing w:after="0" w:line="161" w:lineRule="exact"/>
        <w:rPr>
          <w:sz w:val="20"/>
          <w:szCs w:val="20"/>
          <w:color w:val="auto"/>
        </w:rPr>
      </w:pPr>
    </w:p>
    <w:p>
      <w:pPr>
        <w:ind w:left="9"/>
        <w:spacing w:after="0" w:line="233" w:lineRule="auto"/>
        <w:rPr>
          <w:sz w:val="20"/>
          <w:szCs w:val="20"/>
          <w:color w:val="auto"/>
        </w:rPr>
      </w:pPr>
      <w:r>
        <w:rPr>
          <w:rFonts w:ascii="Arial" w:cs="Arial" w:eastAsia="Arial" w:hAnsi="Arial"/>
          <w:sz w:val="17"/>
          <w:szCs w:val="17"/>
          <w:i w:val="1"/>
          <w:iCs w:val="1"/>
          <w:color w:val="auto"/>
        </w:rPr>
        <w:t xml:space="preserve">Standards of Financial Responsibility. </w:t>
      </w:r>
      <w:r>
        <w:rPr>
          <w:rFonts w:ascii="Arial" w:cs="Arial" w:eastAsia="Arial" w:hAnsi="Arial"/>
          <w:sz w:val="17"/>
          <w:szCs w:val="17"/>
          <w:color w:val="auto"/>
        </w:rPr>
        <w:t>An institution participating in Title IV programs must maintain a certain level of financial responsibility as determ</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Higher Education Act and under DOE regulations. The DOE measures an institution’s financial responsibility by compiling a composite scor ranging from 0 to 3.0 pursuant to a formula that incorporates various financial data from annual financial statements submitted to the DOE. If an institu fails to achieve a composite score of 1.5 or fails to comply with other financial responsibility standards, then the DOE may place conditions on the institution’s participation in the Title IV programs and may require the institution to submit to the DOE a letter of credit in an amount of at least 10% to the institution’s annual Title IV participation for its most recent fiscal year. For the 2011 fiscal year, Kaplan expects KHE to have a composite score of 2 based on its own assessment using DOE methodology. However, the DOE will make its determination once it receives and reviews Kaplan’s audited financial statements for the 2011 fiscal year.</w:t>
      </w:r>
    </w:p>
    <w:p>
      <w:pPr>
        <w:spacing w:after="0" w:line="157" w:lineRule="exact"/>
        <w:rPr>
          <w:sz w:val="20"/>
          <w:szCs w:val="20"/>
          <w:color w:val="auto"/>
        </w:rPr>
      </w:pPr>
    </w:p>
    <w:p>
      <w:pPr>
        <w:ind w:left="9"/>
        <w:spacing w:after="0" w:line="235" w:lineRule="auto"/>
        <w:rPr>
          <w:sz w:val="20"/>
          <w:szCs w:val="20"/>
          <w:color w:val="auto"/>
        </w:rPr>
      </w:pPr>
      <w:r>
        <w:rPr>
          <w:rFonts w:ascii="Arial" w:cs="Arial" w:eastAsia="Arial" w:hAnsi="Arial"/>
          <w:sz w:val="17"/>
          <w:szCs w:val="17"/>
          <w:i w:val="1"/>
          <w:iCs w:val="1"/>
          <w:color w:val="auto"/>
        </w:rPr>
        <w:t xml:space="preserve">Administrative Capability. </w:t>
      </w:r>
      <w:r>
        <w:rPr>
          <w:rFonts w:ascii="Arial" w:cs="Arial" w:eastAsia="Arial" w:hAnsi="Arial"/>
          <w:sz w:val="17"/>
          <w:szCs w:val="17"/>
          <w:color w:val="auto"/>
        </w:rPr>
        <w:t>The Higher Education Act, as reauthorized, directs the DOE to assess the administrative capability of each institution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Title IV programs. The failure of an institution to satisfy any of the criteria used to assess administrative capability may cause the DOE to determine that the institution lacks administrative</w:t>
      </w:r>
    </w:p>
    <w:p>
      <w:pPr>
        <w:spacing w:after="0" w:line="2" w:lineRule="exact"/>
        <w:rPr>
          <w:sz w:val="20"/>
          <w:szCs w:val="20"/>
          <w:color w:val="auto"/>
        </w:rPr>
      </w:pPr>
    </w:p>
    <w:p>
      <w:pPr>
        <w:ind w:left="9" w:right="120"/>
        <w:spacing w:after="0" w:line="235" w:lineRule="auto"/>
        <w:rPr>
          <w:sz w:val="20"/>
          <w:szCs w:val="20"/>
          <w:color w:val="auto"/>
        </w:rPr>
      </w:pPr>
      <w:r>
        <w:rPr>
          <w:rFonts w:ascii="Arial" w:cs="Arial" w:eastAsia="Arial" w:hAnsi="Arial"/>
          <w:sz w:val="17"/>
          <w:szCs w:val="17"/>
          <w:color w:val="auto"/>
        </w:rPr>
        <w:t>capability, and therefore, the DOE may subject the institution to additional scrutiny, deny eligibility for Title IV programs or impose other sanctions. To the administrative capability standards, an institution must, among other things, fulfill the following:</w:t>
      </w:r>
    </w:p>
    <w:p>
      <w:pPr>
        <w:spacing w:after="0" w:line="39" w:lineRule="exact"/>
        <w:rPr>
          <w:sz w:val="20"/>
          <w:szCs w:val="20"/>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Comply with all applicable Title IV program requirements;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an adequate number of qualified personnel to administer Title IV programs;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acceptable standards for measuring the satisfactory academic progress of its students;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procedures in place for awarding, disbursing and safeguarding Title IV funds and for maintaining required records;</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Administer Title IV programs with adequate checks and balances in its system of internal control over financial reporting;</w:t>
      </w:r>
    </w:p>
    <w:p>
      <w:pPr>
        <w:spacing w:after="0" w:line="40" w:lineRule="exact"/>
        <w:rPr>
          <w:rFonts w:ascii="Arial" w:cs="Arial" w:eastAsia="Arial" w:hAnsi="Arial"/>
          <w:sz w:val="17"/>
          <w:szCs w:val="17"/>
          <w:color w:val="auto"/>
        </w:rPr>
      </w:pPr>
    </w:p>
    <w:p>
      <w:pPr>
        <w:ind w:left="289" w:hanging="289"/>
        <w:spacing w:after="0" w:line="235" w:lineRule="auto"/>
        <w:tabs>
          <w:tab w:leader="none" w:pos="279"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be, and not have any principal or affiliate who is, debarred or suspended from U.S. Federal contracting or engaging in activity that is cause for debarment or suspension;</w:t>
      </w:r>
    </w:p>
    <w:p>
      <w:pPr>
        <w:spacing w:after="0" w:line="39"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financial aid counseling to its students;</w:t>
      </w:r>
    </w:p>
    <w:p>
      <w:pPr>
        <w:spacing w:after="0" w:line="40" w:lineRule="exact"/>
        <w:rPr>
          <w:rFonts w:ascii="Arial" w:cs="Arial" w:eastAsia="Arial" w:hAnsi="Arial"/>
          <w:sz w:val="17"/>
          <w:szCs w:val="17"/>
          <w:color w:val="auto"/>
        </w:rPr>
      </w:pPr>
    </w:p>
    <w:p>
      <w:pPr>
        <w:ind w:left="289" w:hanging="289"/>
        <w:spacing w:after="0" w:line="235" w:lineRule="auto"/>
        <w:tabs>
          <w:tab w:leader="none" w:pos="279" w:val="left"/>
        </w:tabs>
        <w:numPr>
          <w:ilvl w:val="0"/>
          <w:numId w:val="2"/>
        </w:numPr>
        <w:rPr>
          <w:rFonts w:ascii="Arial" w:cs="Arial" w:eastAsia="Arial" w:hAnsi="Arial"/>
          <w:sz w:val="17"/>
          <w:szCs w:val="17"/>
          <w:color w:val="auto"/>
        </w:rPr>
      </w:pPr>
      <w:r>
        <w:rPr>
          <w:rFonts w:ascii="Arial" w:cs="Arial" w:eastAsia="Arial" w:hAnsi="Arial"/>
          <w:sz w:val="17"/>
          <w:szCs w:val="17"/>
          <w:color w:val="auto"/>
        </w:rPr>
        <w:t>Refer to the DOE’s Office of the Inspector General any credible information indicating that any student, parent, employee, third-party servicer or ot agent of the institution has engaged in any fraud or other illegal conduct involving Title IV programs;</w:t>
      </w:r>
    </w:p>
    <w:p>
      <w:pPr>
        <w:spacing w:after="0" w:line="39"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Timely submit all required reports and financial statements; and</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otherwise appear to lack administrative capability.</w:t>
      </w:r>
    </w:p>
    <w:p>
      <w:pPr>
        <w:spacing w:after="0" w:line="36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10" w:name="page11"/>
    <w:bookmarkEnd w:id="10"/>
    <w:p>
      <w:pPr>
        <w:jc w:val="both"/>
        <w:spacing w:after="0" w:line="233" w:lineRule="auto"/>
        <w:rPr>
          <w:sz w:val="20"/>
          <w:szCs w:val="20"/>
          <w:color w:val="auto"/>
        </w:rPr>
      </w:pPr>
      <w:r>
        <w:rPr>
          <w:rFonts w:ascii="Arial" w:cs="Arial" w:eastAsia="Arial" w:hAnsi="Arial"/>
          <w:sz w:val="17"/>
          <w:szCs w:val="17"/>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DOE or other agencies, or upon judicial review.</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State Authorization. </w:t>
      </w:r>
      <w:r>
        <w:rPr>
          <w:rFonts w:ascii="Arial" w:cs="Arial" w:eastAsia="Arial" w:hAnsi="Arial"/>
          <w:sz w:val="17"/>
          <w:szCs w:val="17"/>
          <w:color w:val="auto"/>
        </w:rPr>
        <w:t>Kaplan’s institutions are subject to state-level regulation and oversight by state licensing agencies, whose approval is necessary</w:t>
      </w:r>
      <w:r>
        <w:rPr>
          <w:rFonts w:ascii="Arial" w:cs="Arial" w:eastAsia="Arial" w:hAnsi="Arial"/>
          <w:sz w:val="17"/>
          <w:szCs w:val="17"/>
          <w:i w:val="1"/>
          <w:iCs w:val="1"/>
          <w:color w:val="auto"/>
        </w:rPr>
        <w:t xml:space="preserve"> </w:t>
      </w:r>
      <w:r>
        <w:rPr>
          <w:rFonts w:ascii="Arial" w:cs="Arial" w:eastAsia="Arial" w:hAnsi="Arial"/>
          <w:sz w:val="17"/>
          <w:szCs w:val="17"/>
          <w:color w:val="auto"/>
        </w:rPr>
        <w:t>allow an institution to operate and grant degrees or diplomas in the state. State laws may establish standards for instruction, qualifications of faculty, lo and nature of facilities, financial policies and responsibility and other operational matters. Institutions that participate in Title IV programs must be legal authorized to operate in the state in which the institution is located.</w:t>
      </w:r>
    </w:p>
    <w:p>
      <w:pPr>
        <w:spacing w:after="0" w:line="17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Some states have sought to assert jurisdiction over online educational institutions that offer education services to residents in the state or to institution advertise or recruit in the state, notwithstanding the lack of a physical location in the state. State regulatory requirements for online education vary am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 able to recruit or enroll students in that state and may have to cease providing services and advertising in that state.</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New regulations became effective on July 1, 2011 that expand the requirements for an institution to be considered legally authorized in the state in wh is physically located for Title IV purposes. If the states do not amend their requirements in compliance with these regulations or if KHE institutions do n receive state approvals where necessary, then the institution could be deemed to lack the state authorization necessary to participate in the Title IV programs. Institutions unable to obtain state authorization under the above requirements may receive a one-year extension of the effective date of the regulation to July 1, 2012, and, if necessary, an additional one-year extension of the effective date to July 1, 2013. The DOE has stated that a delay du an increase in a state’s workload associated with these new requirements is an acceptable basis for a one-year extension. Due to an exemption, Kapl University’s home state of Iowa does not require Kaplan University to be registered in Iowa. However, Kaplan University is applying for voluntary regis in Iowa in case the exemption is not deemed adequate under the new regulation. The state approval agency in Iowa has acknowledged that it has experienced a significant increase in workload related to the new federal requirements, which will result in a delay in processing Kaplan University’s application. In the event that the DOE determines that the exemption from Iowa, or the explanation for the delay is inadequate, then Kaplan University be deemed to lack state authorization and could lose Title IV funding or be required to return federal aid previously disbursed.</w:t>
      </w:r>
    </w:p>
    <w:p>
      <w:pPr>
        <w:spacing w:after="0" w:line="176"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In addition, the new DOE rules require institutions offering postsecondary education to students through distance education in a state in which the inst is not physically located, or in which it is otherwise subject to state jurisdiction as determined by the state, to meet any applicable state requirements f be legally offering postsecondary distance education in that state. The regulations require an institution to document upon request by the DOE that it h applicable state approval. In April 2011 the DOE issued a “Dear Colleague Letter,” providing that it will not initiate any action to establish repayment lia or limit student eligibility for distance education activities undertaken before July 1, 2014, so long as the institution is making good faith efforts to identi obtain necessary state authorizations before that date. Additionally, in July 2011, the U.S. Federal District Court of the District of Columbia struck the n distance-learning rules. The ruling is currently on appeal, but for now the new distance-learning rules are not enforceable. Regardless, Kaplan Univers authorized to offer online instruction or is exempt from authorization in 43 states plus the District of Columbia. If the District Court’s ruling is overturned appeal or if the new rules are otherwise reinstated, Kaplan may need to seek other additional or revised state authorizations in the future. If Kaplan is to obtain the required approvals, Kaplan students in the affected schools or programs may be unable to receive Title IV funds, which could have a mat adverse effect on Kaplan’s business and operations.</w:t>
      </w:r>
    </w:p>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September 9, 2011 the Texas Workforce Commission (TWC) rescinded a prior notice that 10 programs at 9 KHE Texas campuses had been place “conditional approval” status due to below standard placement rates in 2010. The TWC arguably lacked regulatory authority to impose this “conditiona approval” status. On January 23, 2012, new regulations became effective allowing the TWC to impose penalties on programs that fail to meet defined placement thresholds, including, but not limited to, limiting the use of funds from Texas Workforce Development Boards after two consecutive years of noncompliance and revoking program approvals after three consecutive years of noncompliance.</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 xml:space="preserve">Congressional Reauthorization of Title IV Programs. </w:t>
      </w:r>
      <w:r>
        <w:rPr>
          <w:rFonts w:ascii="Arial" w:cs="Arial" w:eastAsia="Arial" w:hAnsi="Arial"/>
          <w:sz w:val="16"/>
          <w:szCs w:val="16"/>
          <w:color w:val="auto"/>
        </w:rPr>
        <w:t>All of the Title IV financial aid programs are subject to periodic legislative review and reauthorizat</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while Congress historically has not limited the amount of funding available for the various Title IV student loan programs, the availability of fu for the Title IV programs that provide for the payment of grants is primarily contingent upon the outcome of the annual U.S. Federal appropriations pro Congress also can make changes in the laws affecting Title IV programs in those annual appropriations bills and in other</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1" w:name="page12"/>
    <w:bookmarkEnd w:id="11"/>
    <w:p>
      <w:pPr>
        <w:jc w:val="both"/>
        <w:spacing w:after="0" w:line="233" w:lineRule="auto"/>
        <w:rPr>
          <w:sz w:val="20"/>
          <w:szCs w:val="20"/>
          <w:color w:val="auto"/>
        </w:rPr>
      </w:pPr>
      <w:r>
        <w:rPr>
          <w:rFonts w:ascii="Arial" w:cs="Arial" w:eastAsia="Arial" w:hAnsi="Arial"/>
          <w:sz w:val="17"/>
          <w:szCs w:val="17"/>
          <w:color w:val="auto"/>
        </w:rPr>
        <w:t>laws it enacts between Higher Education Act reauthorizations. It is anticipated that the next reauthorization of the Higher Education Act by Congress w commence during the year 2013, but it is possible that Congress may make changes to that statute or to other laws affecting U.S. Federal student aid before then.</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Whether as a result of changes in the laws and regulations governing Title IV programs, a reduction in Title IV program funding levels or a failure of sc within KHE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of making the terms on which Title IV financial assistance is made available materially less attractive could also have a material adverse effect on Kap business and operations.</w:t>
      </w:r>
    </w:p>
    <w:p>
      <w:pPr>
        <w:spacing w:after="0" w:line="15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U.S. Senate Committee Review. </w:t>
      </w:r>
      <w:r>
        <w:rPr>
          <w:rFonts w:ascii="Arial" w:cs="Arial" w:eastAsia="Arial" w:hAnsi="Arial"/>
          <w:sz w:val="17"/>
          <w:szCs w:val="17"/>
          <w:color w:val="auto"/>
        </w:rPr>
        <w:t>In the summer of 2010, the Health, Education, Labor and Pension Committee (the HELP Committee) of the U.S. Sen</w:t>
      </w:r>
      <w:r>
        <w:rPr>
          <w:rFonts w:ascii="Arial" w:cs="Arial" w:eastAsia="Arial" w:hAnsi="Arial"/>
          <w:sz w:val="17"/>
          <w:szCs w:val="17"/>
          <w:i w:val="1"/>
          <w:iCs w:val="1"/>
          <w:color w:val="auto"/>
        </w:rPr>
        <w:t xml:space="preserve"> </w:t>
      </w:r>
      <w:r>
        <w:rPr>
          <w:rFonts w:ascii="Arial" w:cs="Arial" w:eastAsia="Arial" w:hAnsi="Arial"/>
          <w:sz w:val="17"/>
          <w:szCs w:val="17"/>
          <w:color w:val="auto"/>
        </w:rPr>
        <w:t>commenced an industry-wide review of for-profit higher education institutions. The institutions owned and operated by KHE were included in the scope this industry-wide review. To date, the HELP Committee has conducted several hearings, and additional hearings may be scheduled, but are not antici The ultimate outcome of the hearings and implications to the operation of KHE’s institutions are presently unknown.</w:t>
      </w:r>
    </w:p>
    <w:p>
      <w:pPr>
        <w:spacing w:after="0" w:line="17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Other committees of Congress have also held hearings into, among other things, the standards and procedures of accrediting agencies, credit hours a program length and the portion of U.S. Federal student financial aid going to for-profit institutions. A number of legislators have variously requested th Government Accountability Office to review and make recommendations regarding, among other things, student recruitment practices; educational qu student outcomes; the sufficiency of integrity safeguards against waste, fraud and abuse in Title IV programs; and the percentage of proprietary institu revenue coming from Title IV and other U.S. Federal funding sources. This increased activity may result in legislation, further rulemaking affecting participation in Title IV programs and other governmental actions. In addition, concerns generated by congressional or other activity, or media reports, adversely affect enrollment in for-profit educational institutions.</w:t>
      </w:r>
    </w:p>
    <w:p>
      <w:pPr>
        <w:spacing w:after="0" w:line="160"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Program Reviews, Audits and Investigations. </w:t>
      </w:r>
      <w:r>
        <w:rPr>
          <w:rFonts w:ascii="Arial" w:cs="Arial" w:eastAsia="Arial" w:hAnsi="Arial"/>
          <w:sz w:val="16"/>
          <w:szCs w:val="16"/>
          <w:color w:val="auto"/>
        </w:rPr>
        <w:t>Kaplan’s schools are subject to audits or program compliance reviews by various external agencies, incl</w:t>
      </w:r>
      <w:r>
        <w:rPr>
          <w:rFonts w:ascii="Arial" w:cs="Arial" w:eastAsia="Arial" w:hAnsi="Arial"/>
          <w:sz w:val="16"/>
          <w:szCs w:val="16"/>
          <w:i w:val="1"/>
          <w:iCs w:val="1"/>
          <w:color w:val="auto"/>
        </w:rPr>
        <w:t xml:space="preserve"> </w:t>
      </w:r>
      <w:r>
        <w:rPr>
          <w:rFonts w:ascii="Arial" w:cs="Arial" w:eastAsia="Arial" w:hAnsi="Arial"/>
          <w:sz w:val="16"/>
          <w:szCs w:val="16"/>
          <w:color w:val="auto"/>
        </w:rPr>
        <w:t>the DOE, its Office of the Inspector General and state and accrediting agencies. While program reviews may be undertaken for a variety reasons, they performed routinely as part of regulatory oversight of institutions that participate in Title IV or state student funding programs. If the DOE or another regulatory agency determines that an institution has improperly disbursed Title IV or state program funds or violated a provision of the Higher Educatio or state law or regulations, the affected institution may be required to repay such funds to the DOE or the appropriate state agency or lender and may assessed an administrative fine and be subject to other sanctions. Although Kaplan endeavors to comply with all U.S. Federal and state laws and regulations, Kaplan cannot guarantee that its interpretation of the relevant rules will be upheld by the DOE or other agencies, or upon judicial review.</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September 2008, the DOE began a program review at KHE’s CHI-Broomall, PA campus. The DOE has delayed issuing a final report on this review, pending the completion of a separate inquiry regarding the program from the U.S. Attorney’s Office for the Eastern District of Pennsylvania. In July 20 Kaplan resolved the inquiry with the U.S. Attorney’s office, and therefore a final report on this review is expected soon. No assurance can be given tha DOE’s final report will not have a significant adverse effect on Kaplan’s ability to continue to operate this school. See further discussion in Item 3. Lega Proceedings.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DOE also began a program review in October 2007 at KHE’s Pittsburgh, PA, location. Kaplan has responded to all requests for information and is cooperating fully in this review. The DOE has not yet issued a final report on this review. No assurance can be given that the DOE’s final report will not a significant adverse effect on Kaplan’s ability to continue to operate this school.</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September 2009, the DOE began a program review of Kaplan University at its offices in Fort Lauderdale, FL. Kaplan University is continuing to resp all requests for information and is cooperating fully in the review. The reviewers completed their field work and are reviewing documentation already submitted. The DOE has not issued the final program review report. No assurance can be given that the DOE’s final report will not have a significant adverse effect on Kaplan’s ability to continue to operate this school.</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The DOE conducted a program review at KHE’s Phoenix, AZ, campus in February 2011. The DOE issued its report on October 27, 2011, indicating fiv minor findings that have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financial or operational impact. The Phoenix campus expects to be able to resolve these findings quickly and with difficulty.</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2" w:name="page13"/>
    <w:bookmarkEnd w:id="12"/>
    <w:p>
      <w:pPr>
        <w:jc w:val="both"/>
        <w:spacing w:after="0" w:line="235" w:lineRule="auto"/>
        <w:rPr>
          <w:sz w:val="20"/>
          <w:szCs w:val="20"/>
          <w:color w:val="auto"/>
        </w:rPr>
      </w:pPr>
      <w:r>
        <w:rPr>
          <w:rFonts w:ascii="Arial" w:cs="Arial" w:eastAsia="Arial" w:hAnsi="Arial"/>
          <w:sz w:val="17"/>
          <w:szCs w:val="17"/>
          <w:color w:val="auto"/>
        </w:rPr>
        <w:t>The DOE conducted a program review at KHE’s Brooklyn, OH, campus in June 2011. On October 24, 2011, the DOE issued an “expedited” final repor requiring no action on behalf of the Brooklyn, OH, campus.</w:t>
      </w:r>
    </w:p>
    <w:p>
      <w:pPr>
        <w:spacing w:after="0" w:line="17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August 2011, the DOE conducted a program review of the Riverside, CA, campus. The DOE issued a final report on August 23, 2011, indicating no findings.</w:t>
      </w:r>
    </w:p>
    <w:p>
      <w:pPr>
        <w:spacing w:after="0" w:line="176"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In August 2011, the DOE conducted a program review of the Harrisburg, PA, campus and its branch campuses. The DOE issued a final report on September 20, 2011, indicating no findings.</w:t>
      </w:r>
    </w:p>
    <w:p>
      <w:pPr>
        <w:spacing w:after="0" w:line="176"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September 2011, the DOE conducted a program review of the Houston, TX, campuses, which comprise the four Texas School of Business campus October 27, 2011, the DOE issued an “expedited” final report requiring no action on behalf of the Houston campuses.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September 2011, the DOE conducted a program review of the San Antonio, TX, campuses. On October 24, 2011, the DOE issued an “expedited” fi report requiring no action on behalf of the San Antonio campuses.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Institutional and Programmatic Accreditation. </w:t>
      </w:r>
      <w:r>
        <w:rPr>
          <w:rFonts w:ascii="Arial" w:cs="Arial" w:eastAsia="Arial" w:hAnsi="Arial"/>
          <w:sz w:val="17"/>
          <w:szCs w:val="17"/>
          <w:color w:val="auto"/>
        </w:rPr>
        <w:t>Accreditation is a process through which an institution submits itself to qualitative review by an organizat</w:t>
      </w:r>
      <w:r>
        <w:rPr>
          <w:rFonts w:ascii="Arial" w:cs="Arial" w:eastAsia="Arial" w:hAnsi="Arial"/>
          <w:sz w:val="17"/>
          <w:szCs w:val="17"/>
          <w:i w:val="1"/>
          <w:iCs w:val="1"/>
          <w:color w:val="auto"/>
        </w:rPr>
        <w:t xml:space="preserve"> </w:t>
      </w:r>
      <w:r>
        <w:rPr>
          <w:rFonts w:ascii="Arial" w:cs="Arial" w:eastAsia="Arial" w:hAnsi="Arial"/>
          <w:sz w:val="17"/>
          <w:szCs w:val="17"/>
          <w:color w:val="auto"/>
        </w:rPr>
        <w:t>peer institutions. Pursuant to the Higher Education Act, the DOE relies on accrediting agencies to determine whether the academic quality of an institu educational programs is sufficient to qualify the institution to participate in Title IV programs. As noted previously, to remain eligible to participate in Titl programs, a school must maintain its institutional accreditation by an accrediting agency recognized by the DOE. In 2011, no KHE school received not from its institutional accreditors indicating that the school’s accreditation was being withdrawn or that the school was being issued an order to show ca why its accreditation should not be withdrawn.</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Programmatic accreditation is the process through which specific programs are reviewed and approved by industry- and program-specific accrediting entities. Although programmatic accreditation is not generally necessary for Title IV eligibility, such accreditation may be required to allow students to s certain licensure exams or work in a particular profession or career.</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January 26, 2012, Kaplan University received a notice from the Florida Board of Nursing regarding the Associate’s degree in nursing program at th Pembroke Pines facility. The letter required Kaplan University to appear at a hearing on February 1, 2012, to discuss the performance of program grad on the national nursing certifying exam (NCLEX), which has fallen below the required standard. As a result of the hearing, the program was placed on probationary status until the exam pass-rate improves. Under the Florida Board of Nursing Rules, a failure to achieve the required NCLEX passage st in either of the next two calendar years could result in the program losing its license to operate in Florida.</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December 21, 2011, Kaplan College’s North Hollywood, CA campus received notification that the Joint Review Committee on Education in Radiolo Technology (JRCERT) withdrew the college’s accreditation for its radiologic technologist program. This program had 163 students on December 31, 2 Kaplan College has appealed this decision, and the accreditation will be maintained during the pendency of the appeal. Loss of JRCERT accreditation this program may have a material impact on Kaplan College’s North Hollywood campus.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November 2011, an internal investigation determined that certain students in the Dental Assistant program at Kaplan College’s Charlotte, NC, camp had not received clear guidance regarding the program’s accreditation and the employment prospects for graduates of the program. Because the Den Assistant program is not programmatically accredited, students graduating from the program are considered by the regulatory agency in North Carolin have “Dental Assistant I” status instead of a more advanced “Dental Assistant II” status. All students in the Charlotte Dental Assistant program were gi full tuition refunds, and current students and graduates were offered stipends in exchange for signing settlement agreements. As of December 31, 201 vast majority of the affected students have signed settlement agreements. The school ceased enrollment in the program and withdrew its license to op the program in North Carolina. No other programs at this campus were affected.</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August 2011, Kaplan College’s Modesto, CA, campus was ordered by the Accrediting Bureau of Health Education Schools (ABHES) to show cause continued accreditation of its Medical Assisting program should not be denied due to low placement rates. Kaplan College Modesto responded, and A agreed to continue the current grant of accreditation through December 31, 2012, to allow the campus additional time to continue to show compliance ABHES standards. Loss of ABHES accreditation for this program would have a material impact on the Modesto campus.</w:t>
      </w:r>
    </w:p>
    <w:p>
      <w:pPr>
        <w:spacing w:after="0" w:line="35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3" w:name="page14"/>
    <w:bookmarkEnd w:id="13"/>
    <w:p>
      <w:pPr>
        <w:jc w:val="both"/>
        <w:spacing w:after="0" w:line="248" w:lineRule="auto"/>
        <w:rPr>
          <w:sz w:val="20"/>
          <w:szCs w:val="20"/>
          <w:color w:val="auto"/>
        </w:rPr>
      </w:pPr>
      <w:r>
        <w:rPr>
          <w:rFonts w:ascii="Arial" w:cs="Arial" w:eastAsia="Arial" w:hAnsi="Arial"/>
          <w:sz w:val="16"/>
          <w:szCs w:val="16"/>
          <w:color w:val="auto"/>
        </w:rPr>
        <w:t>In March 2011, Kaplan University’s institutional accreditor, the Higher Learning Commission of the North Central Association of Colleges and Schools sent a request for information to Kaplan University asking for documents and a report detailing Kaplan University’s admissions practices and describin Kaplan University’s compliance with HLC Core Components and policies. Kaplan University complied with this request on April 29, 2011. On January 2012, the HLC sent a follow-up request for additional information. There is no date for a formal response or determination from HLC.</w:t>
      </w:r>
    </w:p>
    <w:p>
      <w:pPr>
        <w:spacing w:after="0" w:line="152"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 xml:space="preserve">Return of Title IV Funds. </w:t>
      </w:r>
      <w:r>
        <w:rPr>
          <w:rFonts w:ascii="Arial" w:cs="Arial" w:eastAsia="Arial" w:hAnsi="Arial"/>
          <w:sz w:val="17"/>
          <w:szCs w:val="17"/>
          <w:color w:val="auto"/>
        </w:rPr>
        <w:t>DOE regulations require schools participating in Title IV programs to calculate correctly and return on a timely basis unearne</w:t>
      </w:r>
      <w:r>
        <w:rPr>
          <w:rFonts w:ascii="Arial" w:cs="Arial" w:eastAsia="Arial" w:hAnsi="Arial"/>
          <w:sz w:val="17"/>
          <w:szCs w:val="17"/>
          <w:i w:val="1"/>
          <w:iCs w:val="1"/>
          <w:color w:val="auto"/>
        </w:rPr>
        <w:t xml:space="preserve"> </w:t>
      </w:r>
      <w:r>
        <w:rPr>
          <w:rFonts w:ascii="Arial" w:cs="Arial" w:eastAsia="Arial" w:hAnsi="Arial"/>
          <w:sz w:val="17"/>
          <w:szCs w:val="17"/>
          <w:color w:val="auto"/>
        </w:rPr>
        <w:t>IV funds disbursed to students who withdraw from a program of study prior to completion. These funds must be returned in a timely manner, generally 45 days of the date the school determines that the student has withdrawn. Under DOE regulations, failure to make timely returns of Title IV program fu for 5% or more of students sampled in a school’s annual compliance audit in either of its two most recently completed fiscal years could result in a requirement that the school post a letter of credit in an amount equal to 25% of its prior-year returns of Title IV program funds. Currently, none of KHE’ schools is required to post a letter of credit. If unearned funds are not properly calculated and returned in a timely manner, an institution is subject to monetary liabilities, fines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 Preparation</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2011, Kaplan Test Preparation (KTP) included test preparation businesses in the areas of pre-college, graduate, health and bar review, and Kaplan Publishing. Each of these businesses is discussed below. In September 2010, KTP announced a plan to reorganize its business consistent with the migration of students to Kaplan’s online and hybrid test preparation offerings. In conjunction with this plan, KTP significantly reduced the number of lea properties from 178 to 79 in 2011 and plans to close several more locations in 2012, as existing leases expire.</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Test Preparation. </w:t>
      </w:r>
      <w:r>
        <w:rPr>
          <w:rFonts w:ascii="Arial" w:cs="Arial" w:eastAsia="Arial" w:hAnsi="Arial"/>
          <w:sz w:val="17"/>
          <w:szCs w:val="17"/>
          <w:color w:val="auto"/>
        </w:rPr>
        <w:t>KTP’s pre-college and graduate businesses prepare students for a broad range of college and graduate school admissions examina</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SAT, ACT, LSAT, GMAT, MCAT and GRE. KTP’s health business prepares students for medical and nursing licensure exams, including th USMLE and NCLEX. Kaplan Bar Review, which previously operated under the name Kaplan PMBR, offers full-service bar review in 26 states, as well review for the multistate portion of the bar exam nationwide.</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2011, KTP courses were offered at numerous locations throughout the U.S., Canada, Puerto Rico, Mexico, London and Paris. KTP also offers courses online, which are delivered in a live online classroom and a self-study format. In addition, KTP licenses material for certain of its courses to thi parties and a Kaplan affiliate, which, during 2011, offered courses at 44 locations in 12 countries outside the U.S. KTP also offers programs and servic including college admissions examination preparation courses, directly to schools and school districts for students in kindergarten through 12th grade. Through its Kaplan Kids business, KTP provides customized online programs for children from kindergarten through 8th grade and private tutoring in s markets.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courses offered by KTP are provided in various formats, including classroom-based instruction and online programs. During 2011, these business enrolled more than 390,000 students in their courses, including more than 148,000 enrolled in online programs. KTP’s student enrollment numbers do include students enrolled in PACE programs, which have been operating as part of Kaplan University since the beginning of 2011.</w:t>
      </w:r>
    </w:p>
    <w:p>
      <w:pPr>
        <w:spacing w:after="0" w:line="149" w:lineRule="exact"/>
        <w:rPr>
          <w:sz w:val="20"/>
          <w:szCs w:val="20"/>
          <w:color w:val="auto"/>
        </w:rPr>
      </w:pPr>
    </w:p>
    <w:p>
      <w:pPr>
        <w:jc w:val="both"/>
        <w:ind w:right="20"/>
        <w:spacing w:after="0"/>
        <w:rPr>
          <w:sz w:val="20"/>
          <w:szCs w:val="20"/>
          <w:color w:val="auto"/>
        </w:rPr>
      </w:pPr>
      <w:r>
        <w:rPr>
          <w:rFonts w:ascii="Arial" w:cs="Arial" w:eastAsia="Arial" w:hAnsi="Arial"/>
          <w:sz w:val="17"/>
          <w:szCs w:val="17"/>
          <w:i w:val="1"/>
          <w:iCs w:val="1"/>
          <w:color w:val="auto"/>
        </w:rPr>
        <w:t xml:space="preserve">Publishing. </w:t>
      </w:r>
      <w:r>
        <w:rPr>
          <w:rFonts w:ascii="Arial" w:cs="Arial" w:eastAsia="Arial" w:hAnsi="Arial"/>
          <w:sz w:val="17"/>
          <w:szCs w:val="17"/>
          <w:color w:val="auto"/>
        </w:rPr>
        <w:t>Kaplan Publishing, which is operated separately from Kaplan Professional Publishing, focuses on print test preparation resources sold thr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retail channels. At the end of 2011, Kaplan Publishing had more than 670 products available in print and digital formats, including more than 300 e-bo </w:t>
      </w:r>
      <w:r>
        <w:rPr>
          <w:rFonts w:ascii="Arial" w:cs="Arial" w:eastAsia="Arial" w:hAnsi="Arial"/>
          <w:sz w:val="17"/>
          <w:szCs w:val="17"/>
          <w:color w:val="222222"/>
        </w:rPr>
        <w:t>2011, publishing of test preparation titles was integrated into the respective KTP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Kaplan International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Kaplan International includes Kaplan Europe and Kaplan Asia Pacific. Each of these businesses is discussed below.</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Kaplan Europe. </w:t>
      </w:r>
      <w:r>
        <w:rPr>
          <w:rFonts w:ascii="Arial" w:cs="Arial" w:eastAsia="Arial" w:hAnsi="Arial"/>
          <w:sz w:val="17"/>
          <w:szCs w:val="17"/>
          <w:color w:val="auto"/>
        </w:rPr>
        <w:t>Kaplan Europe includes the following businesses, which are all based in the U.K. and Ireland: Kaplan UK, Kaplan International Colleg</w:t>
      </w:r>
      <w:r>
        <w:rPr>
          <w:rFonts w:ascii="Arial" w:cs="Arial" w:eastAsia="Arial" w:hAnsi="Arial"/>
          <w:sz w:val="17"/>
          <w:szCs w:val="17"/>
          <w:i w:val="1"/>
          <w:iCs w:val="1"/>
          <w:color w:val="auto"/>
        </w:rPr>
        <w:t xml:space="preserve"> </w:t>
      </w:r>
      <w:r>
        <w:rPr>
          <w:rFonts w:ascii="Arial" w:cs="Arial" w:eastAsia="Arial" w:hAnsi="Arial"/>
          <w:sz w:val="17"/>
          <w:szCs w:val="17"/>
          <w:color w:val="auto"/>
        </w:rPr>
        <w:t>and a set of higher education institutions.</w:t>
      </w:r>
    </w:p>
    <w:p>
      <w:pPr>
        <w:spacing w:after="0" w:line="164"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Kaplan UK business in Europe is a provider of training, test preparation services and degrees for accounting and financial services professionals, including those studying for ACCA, CIMA and ICAEW qualifications. In addition, Kaplan UK provides legal and professional training, including the ope of a U.K. law school in collaboration with Nottingham Trent University’s Nottingham Law School. In 2011, Kaplan UK provided courses to approximate 75,000</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4" w:name="page15"/>
    <w:bookmarkEnd w:id="14"/>
    <w:p>
      <w:pPr>
        <w:ind w:right="80"/>
        <w:spacing w:after="0" w:line="235" w:lineRule="auto"/>
        <w:rPr>
          <w:sz w:val="20"/>
          <w:szCs w:val="20"/>
          <w:color w:val="auto"/>
        </w:rPr>
      </w:pPr>
      <w:r>
        <w:rPr>
          <w:rFonts w:ascii="Arial" w:cs="Arial" w:eastAsia="Arial" w:hAnsi="Arial"/>
          <w:sz w:val="17"/>
          <w:szCs w:val="17"/>
          <w:color w:val="auto"/>
        </w:rPr>
        <w:t>students, of which 52,000 were dedicated to accounting and financial services coursework. Kaplan UK is headquartered in London, England and has training centers located throughout the U.K.</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Kaplan International Colleges (KIC) business comprises a university pathways business and an English-language training business. The universit pathways business offers academic preparation programs especially designed for international students who wish to study in English-speaking countri KIC operates university pathways programs in collaboration with seven U.K. universities. At the end of 2011, KIC’s university pathways business was serving approximately 2,800 students. The English-language business (previously operated under the name “Kaplan Aspect”) provides English-langua training, academic preparation programs and test preparation for English proficiency exams, principally for students wishing to study and travel in Eng speaking countries. KIC operates a total of 43 English-language schools, with 21 located in the U.K., Ireland, Australia, New Zealand and Canada, an located in the U.S., where they operate under the name Kaplan International Centers. During 2011, the English-language business served approximat 65,000 students.</w:t>
      </w:r>
    </w:p>
    <w:p>
      <w:pPr>
        <w:spacing w:after="0" w:line="17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Kaplan Europe also includes three higher education institutions located in the U.K. and Ireland. These institutions are Dublin Business School, Holbor College and Kaplan Open Learning. At the end of 2011, these institutions had an aggregate of approximately 6,600 students.</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December 15, 2011, the United Kingdom Border Agency (UKBA) conducted a compliance review at Kaplan UK’s Borough High Street Center in Lo England. The review focused on Kaplan UK’s compliance with regulations regarding Tier 4 students, who are adult students seeking to study in the U. Kaplan UK is fully cooperating with this inquiry and is in the process of responding to requests for additional information. In cases of noncompliance, t UKBA has the authority to take a range of actions to limit, suspend or revoke an institution’s ability to sponsor foreign students. At this time, Kaplan ca predict what determinations the UKBA will make or the ultimate impact of this review on Kaplan UK.</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Additionally, UKBA issued revised immigration rules that became operational on April 21, 2011. Students from outside the European Economic Area ( and Switzerland who were issued a Confirmation of Acceptance for Studies (CAS) after July 4, 2011 will be given permission to work part-time during studies only if they attend an institution that qualifies as a Higher Education Institution (HEI). Many of the Kaplan UK international students currently w part-time. Kaplan UK is not in receipt of public funding for the courses international students study and, therefore, does not qualify as an HEI. Also, ce Kaplan UK schools have gained, applied for or are in the process of applying for Highly Trusted Sponsor status (HTS). Without HTS, these schools ca issue a CAS to potential incoming international students starting in April 2012. These new rules have the potential to adversely impact the number of international students studying at Kaplan UK.</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Kaplan Asia Pacific. </w:t>
      </w:r>
      <w:r>
        <w:rPr>
          <w:rFonts w:ascii="Arial" w:cs="Arial" w:eastAsia="Arial" w:hAnsi="Arial"/>
          <w:sz w:val="17"/>
          <w:szCs w:val="17"/>
          <w:color w:val="auto"/>
        </w:rPr>
        <w:t>Kaplan Asia Pacific operates primarily in Singapore, Australia, Hong Kong and China.</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Singapore, Kaplan provides students with the opportunity to earn undergraduate and postgraduate degrees, principally in business-related subjects science and engineering, as well as communications and media. Kaplan Singapore students receive degrees from affiliated educational institutions in Australia, the U.K. and the U.S. In addition, Kaplan Singapore offers pre-university and diploma programs. Kaplan also offers accountancy and financi markets training in Singapore. At year-end 2011, Kaplan’s Singapore business had approximately 17,800 students enrolled in its programs.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Australia, Kaplan delivers a broad range of financial services education and professional development courses. In 2011, this business provided cou to approximately 4,500 students through classroom programs and to more than 53,000 students through distance-learning programs. Additionally, Kap operates three Australian accredited Kaplan Business School centers, in Sydney, Melbourne and Adelaide, offering diploma, bachelor’s and master’s programs serving approximately 367 students. Finally, through Bradford College and Murdoch Institute of Technology, Kaplan offers two academic preparation programs for entry into Australian undergraduate university programs for approximately 950 international students.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During 2011, Kaplan made two significant acquisitions in Australia; Franklyn Scholar and Carrick Education Group.</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Franklyn Scholar’s focus is on developing partnerships with companies through the creation of scalable training models that support the growth of em skills and help increase their knowledge base. Franklyn Scholar offers in excess of 80 accredited courses to large companies and small and medium-s enterprises, as well as short courses for individuals seeking training.</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5" w:name="page16"/>
    <w:bookmarkEnd w:id="15"/>
    <w:p>
      <w:pPr>
        <w:ind w:right="40"/>
        <w:spacing w:after="0" w:line="260" w:lineRule="auto"/>
        <w:rPr>
          <w:sz w:val="20"/>
          <w:szCs w:val="20"/>
          <w:color w:val="auto"/>
        </w:rPr>
      </w:pPr>
      <w:r>
        <w:rPr>
          <w:rFonts w:ascii="Arial" w:cs="Arial" w:eastAsia="Arial" w:hAnsi="Arial"/>
          <w:sz w:val="16"/>
          <w:szCs w:val="16"/>
          <w:color w:val="auto"/>
        </w:rPr>
        <w:t>Carrick Education Group offers English-language programs primarily to the international student market, in addition to industry-leading vocational and education courses in 12 subject areas covering 35 specific courses. Carrick offers college-based programs in Sydney, Melbourne, Adelaide and Brisb</w:t>
      </w:r>
    </w:p>
    <w:p>
      <w:pPr>
        <w:spacing w:after="0" w:line="16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Hong Kong, Kaplan offers a comprehensive array of programs, ranging from language education and standardized test preparation to corporate an financial training and higher education degree courses. During 2011, Kaplan’s Hong Kong business provided courses to more than 18,200 students.</w:t>
      </w:r>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China, Kaplan provides foundation programs to Chinese students through partnerships with prestigious Chinese universities and high schools. Kapl China offers foundation programs at 11 campuses and had more than 1,500 students enrolled at the end of 2011.</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Asia Pacific also includes the Kaplan Global Solutions business unit, which continues to develop partnerships with colleges, universities and n profit corporations and foundations. Kaplan Global Solutions offers its clients an array of research, curriculum, design services and innovative educatio programs and services that attract and manage lifelong learners. Through its Global Pathway programs for international students, Kaplan Global Solut enables its partner institutions in the Americas to expand globally and increase international student enrollments through custom programs aimed at st success.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Kaplan Ventures</w:t>
      </w:r>
    </w:p>
    <w:p>
      <w:pPr>
        <w:spacing w:after="0" w:line="19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 Kaplan Ventures division manages and develops businesses in markets adjacent to Kaplan’s core educational businesses. Kaplan Ventures management provides these businesses with industry expertise and management support with a view toward the long-term strategic benefits these businesses may provide to Kaplan. The Kaplan Ventures division comprises Kaplan EduNeering, The Kidum Group (Kidum) and Kaplan VC LLC.</w:t>
      </w:r>
    </w:p>
    <w:p>
      <w:pPr>
        <w:spacing w:after="0" w:line="167"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Kaplan EduNeering provides online regulatory compliance training and learning management systems technology principally for businesses in the pharmaceutical, medical technology, health care, energy, telecom and defense-related industries. During 2011, Kaplan EduNeering provided services more than 1.7 million users at approximately 420 companies.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Kidum, headquartered in Tel Aviv, Israel, provides test preparation courses for Israeli high school graduation exams, university admissions exams and GMAT. Kidum also provides English-language courses at ten permanent centers located throughout Israel as a franchisee of Wall Street Institute, whic provider of English-language training to corporations and individuals at locations outside the U.S. During 2011, Kidum provided courses to approximat 28,000 students.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Kaplan VC LLC serves as Kaplan’s corporate venture capital arm, identifying and investing in high-growth education technology companies.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During 2011, Kaplan Ventures acquired Insight Schools, Inc., a competitor of its Kaplan Virtual Education (KVE) business. Insight Schools provides on and blended learning solutions for K12 learners and educators; it previously operated online virtual schools throughout the U.S. in partnership with sch districts and through private schools. Following this acquisition, Kaplan Ventures sold the businesses’ combined assets to K12, Inc.</w:t>
      </w:r>
    </w:p>
    <w:p>
      <w:pPr>
        <w:spacing w:after="0" w:line="16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On February 9, 2012, Kaplan Ventures completed the sale of its Kaplan Learning Technologies business (KLT). KLT provides software products, inclu STT Trainer and Atlantic Link, that help individuals and organizations train on software applications.</w:t>
      </w:r>
    </w:p>
    <w:p>
      <w:pPr>
        <w:spacing w:after="0" w:line="156"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Cable Television Operations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Through its subsidiary Cable One, Inc. (Cable ONE), the Company owns and operates cable television systems that provide video, Internet and voice service to subscribers in 19 midwestern, western and southern states. At the end of 2011, Cable ONE provided cable service to approximately 621,42 basic video subscribers, representing about 44% of the 1,425,584 homes passed by the systems and had in force approximately 257,791 subscription digital video service, 451,082 subscriptions to high-speed data (HSD) service and 179,989 subscriptions to VoIP (digital voice) service. Digital video, I and VoIP services are available in markets serving Cable ONE’s entire subscriber base. The digital video services offered by Cable ONE include certa premium, cable network and local over-the-air channels in high-definition television (HDTV) format.</w:t>
      </w:r>
    </w:p>
    <w:p>
      <w:pPr>
        <w:spacing w:after="0" w:line="35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Regulation of Cable Television and Related Matters</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Cable ONE’s cable, Internet and voice operations are subject to various requirements imposed by the U.S. local, state and Federal governmental authorities. The regulation of certain cable television rates pursuant to procedures established by Congress has negatively affected Cable ONE’s reve Certain other legislative and regulatory matters discussed in this section also have the potential to adversely affect Cable ONE’s cable television, Inter and voice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Television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U.S. Federal law requires or authorizes the imposition of a wide range of regulations on cable television operations.</w:t>
      </w:r>
    </w:p>
    <w:p>
      <w:pPr>
        <w:spacing w:after="0" w:line="159"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 xml:space="preserve">Franchising. </w:t>
      </w:r>
      <w:r>
        <w:rPr>
          <w:rFonts w:ascii="Arial" w:cs="Arial" w:eastAsia="Arial" w:hAnsi="Arial"/>
          <w:sz w:val="17"/>
          <w:szCs w:val="17"/>
          <w:color w:val="auto"/>
        </w:rPr>
        <w:t>Cable ONE’s cable systems are required to obtain franchises from state or local governmental authorities to operate. Those franchises</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 contain various types of restrictions on transferability. Failure to comply with all of the terms and conditions of a franchise may give rise to rights of termination by the franchising authority. The U.S. Federal Communications Commission (FCC) has adopted rules designed to expedite the process of awarding competitive franchises and relieving applicants for competing franchises of some locally imposed franchise obligations. The FCC also has extended certain of these “reforms” to incumbent cable operators. Separately, several states, including Iowa, Kansas, Louisiana, Missouri, Tennessee Texas—all states in which Cable ONE operates cable systems, have enacted laws permitting video service providers to secure statewide franchises, thereby relieving these providers of the need to seek multiple authorizations from various local franchising authorities within a state. This development which is especially beneficial to new entrants, is expected to continue to accelerate the competition Cable ONE is experiencing in the video service marketplace.</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Rate Regulation. </w:t>
      </w:r>
      <w:r>
        <w:rPr>
          <w:rFonts w:ascii="Arial" w:cs="Arial" w:eastAsia="Arial" w:hAnsi="Arial"/>
          <w:sz w:val="16"/>
          <w:szCs w:val="16"/>
          <w:color w:val="auto"/>
        </w:rPr>
        <w:t>FCC regulations prohibit local franchising authorities or the FCC from regulating the rates that cable systems charge for certain leve</w:t>
      </w:r>
      <w:r>
        <w:rPr>
          <w:rFonts w:ascii="Arial" w:cs="Arial" w:eastAsia="Arial" w:hAnsi="Arial"/>
          <w:sz w:val="16"/>
          <w:szCs w:val="16"/>
          <w:i w:val="1"/>
          <w:iCs w:val="1"/>
          <w:color w:val="auto"/>
        </w:rPr>
        <w:t xml:space="preserve"> </w:t>
      </w:r>
      <w:r>
        <w:rPr>
          <w:rFonts w:ascii="Arial" w:cs="Arial" w:eastAsia="Arial" w:hAnsi="Arial"/>
          <w:sz w:val="16"/>
          <w:szCs w:val="16"/>
          <w:color w:val="auto"/>
        </w:rPr>
        <w:t>video cable service, equipment and service calls when those cable systems are subject to “effective competition.” The FCC has confirmed that some o cable systems owned by the Company fall within the effective-competition exemption, and the Company believes, based on an analysis of competitive conditions within its systems, that other of its systems may also qualify for that exemption. Nevertheless, monthly subscription rates charged for the ba tier of cable service, as well as rates charged for equipment rentals and service calls for many of Cable ONE’s cable systems, remain subject to regula by local franchising authorities in accordance with FCC rules. However, rates charged by cable systems for tiers of service other than the basic tier—s as pay-per-view and per-channel premium program services, digital video, Internet and digital voice services—currently are exempt from regulation.</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 xml:space="preserve">“Must-Carry” and Retransmission Consent. </w:t>
      </w:r>
      <w:r>
        <w:rPr>
          <w:rFonts w:ascii="Arial" w:cs="Arial" w:eastAsia="Arial" w:hAnsi="Arial"/>
          <w:sz w:val="17"/>
          <w:szCs w:val="17"/>
          <w:color w:val="auto"/>
        </w:rPr>
        <w:t>U.S. Federal law provides that a commercial television broadcast station may, subject to certain limitation</w:t>
      </w:r>
      <w:r>
        <w:rPr>
          <w:rFonts w:ascii="Arial" w:cs="Arial" w:eastAsia="Arial" w:hAnsi="Arial"/>
          <w:sz w:val="17"/>
          <w:szCs w:val="17"/>
          <w:i w:val="1"/>
          <w:iCs w:val="1"/>
          <w:color w:val="auto"/>
        </w:rPr>
        <w:t xml:space="preserve"> </w:t>
      </w:r>
      <w:r>
        <w:rPr>
          <w:rFonts w:ascii="Arial" w:cs="Arial" w:eastAsia="Arial" w:hAnsi="Arial"/>
          <w:sz w:val="17"/>
          <w:szCs w:val="17"/>
          <w:color w:val="auto"/>
        </w:rPr>
        <w:t>insist on carriage of its signal on cable systems located within the station’s market area. Similarly, a noncommercial public station may insist on carriag its signal on cable systems located either within the station’s predicted Grade B signal contour or within 50 miles of a reference point in a station’s community designated by the FCC. As a result of these obligations, certain of Cable ONE’s cable systems must carry broadcast stations that they mig otherwise have elected to carry, and their freedom to drop signals previously carried has been reduced.</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Commercial broadcasters have the right to elect at three-year intervals to forego must-carry rights and insist instead that their signals not be carried by systems without their prior consent. Broadcasters were required to make their elections for the current election cycle by October 1, 2011, with the elec effective January 1, 2012, through December 31, 2014. In some cases, Cable ONE has been required to provide consideration to broadcasters to obt retransmission consent, such as commitments to carry other program services offered by a station or an affiliated company, to purchase advertising on station or to provide advertising availabilities on cable to a station, or to provide cash compensation. This development results in increased operating c for cable systems, which ultimately increases the rates cable systems charge subscribers. In addition, there have been several public retransmission consent disputes between broadcasters and cable providers in recent years, which may prompt the FCC or Congress to impose new requirements on negotiation process. Cable ONE cannot predict whether these changes will be adopted or how any revised regulations would affect its business and operations.</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March 2010, several cable and direct broadcast satellite (DBS) operators and certain other parties filed a request for rulemaking at the FCC seekin certain changes to the FCC’s retransmission consent rules, such as authorization for “interim carriage” of a broadcaster’s signal by cable and DBS op after the broadcaster’s grant of retransmission consent has expired, and limitations on the positions that broadcasters may take during negotiations. Broadcasters opposed the rulemaking request, asserting that it would be contrary to the U.S. Federal Communications Act of 1934, as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7" w:name="page18"/>
    <w:bookmarkEnd w:id="17"/>
    <w:p>
      <w:pPr>
        <w:spacing w:after="0" w:line="231" w:lineRule="auto"/>
        <w:rPr>
          <w:sz w:val="20"/>
          <w:szCs w:val="20"/>
          <w:color w:val="auto"/>
        </w:rPr>
      </w:pPr>
      <w:r>
        <w:rPr>
          <w:rFonts w:ascii="Arial" w:cs="Arial" w:eastAsia="Arial" w:hAnsi="Arial"/>
          <w:sz w:val="17"/>
          <w:szCs w:val="17"/>
          <w:color w:val="auto"/>
        </w:rPr>
        <w:t>amended (the Communications Act), and the public interest. The FCC initiated a rulemaking proceeding in 2011 with respect to its retransmission con rules, and that proceeding is pending. Changes to the retransmission consent rules could materially affect the Cable ONE cable systems’ (and Post– Newsweek Stations’) bargaining leverage in future retransmission consent negotiations. The Company cannot predict the net effect that such an order would have on the Company. Congress may also pass legislation that would affect the must-carry/retransmission consent regime, and the Company a cannot predict the net effect that such legislation would have on Cable ONE.</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August 2011, the FCC released a report on possible alternatives to the DMA system and the availability of in-state programming to viewers. This re could be the basis for future legislative or regulatory developments on market definitions and retransmission consent. The Company cannot predict wh changes, if any, may occur, or the net effect that changes in these areas would have on the Company’s cable and broadcast operations and on the Company overall.</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 xml:space="preserve">Digital Television (DTV). </w:t>
      </w:r>
      <w:r>
        <w:rPr>
          <w:rFonts w:ascii="Arial" w:cs="Arial" w:eastAsia="Arial" w:hAnsi="Arial"/>
          <w:sz w:val="17"/>
          <w:szCs w:val="17"/>
          <w:color w:val="auto"/>
        </w:rPr>
        <w:t>FCC regulations require cable systems to ensure that all local must-carry broadcast stations are “viewable” by all subscribers</w:t>
      </w:r>
      <w:r>
        <w:rPr>
          <w:rFonts w:ascii="Arial" w:cs="Arial" w:eastAsia="Arial" w:hAnsi="Arial"/>
          <w:sz w:val="17"/>
          <w:szCs w:val="17"/>
          <w:i w:val="1"/>
          <w:iCs w:val="1"/>
          <w:color w:val="auto"/>
        </w:rPr>
        <w:t xml:space="preserve"> </w:t>
      </w:r>
      <w:r>
        <w:rPr>
          <w:rFonts w:ascii="Arial" w:cs="Arial" w:eastAsia="Arial" w:hAnsi="Arial"/>
          <w:sz w:val="17"/>
          <w:szCs w:val="17"/>
          <w:color w:val="auto"/>
        </w:rPr>
        <w:t>Moreover, where a must-carry broadcast station’s signal is transmitted in HDTV format, cable operators generally are required to carry the signal in H format. Although certain smaller cable systems are not subject to these requirements, satisfaction of the generally applicable obligation could increase Cable ONE’s costs by requiring it to expand the capacity of its cable systems or to delete some existing programming to meet its carriage obligations f broadcasters’ DTV signals.</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Pole Attachments. </w:t>
      </w:r>
      <w:r>
        <w:rPr>
          <w:rFonts w:ascii="Arial" w:cs="Arial" w:eastAsia="Arial" w:hAnsi="Arial"/>
          <w:sz w:val="16"/>
          <w:szCs w:val="16"/>
          <w:color w:val="auto"/>
        </w:rPr>
        <w:t>U.S. Federal law requires most telephone and power utilities to charge reasonable rates to cable operators for utilizing space on ut</w:t>
      </w:r>
      <w:r>
        <w:rPr>
          <w:rFonts w:ascii="Arial" w:cs="Arial" w:eastAsia="Arial" w:hAnsi="Arial"/>
          <w:sz w:val="16"/>
          <w:szCs w:val="16"/>
          <w:i w:val="1"/>
          <w:iCs w:val="1"/>
          <w:color w:val="auto"/>
        </w:rPr>
        <w:t xml:space="preserve"> </w:t>
      </w:r>
      <w:r>
        <w:rPr>
          <w:rFonts w:ascii="Arial" w:cs="Arial" w:eastAsia="Arial" w:hAnsi="Arial"/>
          <w:sz w:val="16"/>
          <w:szCs w:val="16"/>
          <w:color w:val="auto"/>
        </w:rPr>
        <w:t>poles or in underground conduits. The FCC has adopted two separate formulas for calculating such rates: one for attachments by cable operators gen and a higher rate for attachments used to provide “telecommunications services.” Several cable operators, including Cable ONE, are using their cable systems to provide not only television programming, but also Internet access and digital voice. In 2002, the U.S. Supreme Court held that the lower po attachment rates apply not only to attachments used to provide traditional cable services, but also to attachments used to provide Internet access serv Subsequently, in May 2010, the FCC adopted new requirements relating to pole access and construction practices that were expected to improve the of cable operators to attach to utility poles on a timely basis. More recently, in April 2011, the FCC adopted additional rules intended to improve such access. Those rules established a specific timeline for securing access to poles for both wireline and wireless attachments; required pole owners to pr specific explanations for rejecting pole attachment requests; reduced the disparity in pole attachment rates for cable and telecommunications services made changes to the FCC’s enforcement process to encourage negotiated resolutions of pole attachment disputes, among other things. The Compan cannot predict the extent to which these and other rule changes will affect its ability over time to secure timely access to poles at reasonable rates. As general matter, changes to Cable ONE’s pole attachment rate structure could significantly increase its annual pole attachment costs.</w:t>
      </w:r>
    </w:p>
    <w:p>
      <w:pPr>
        <w:spacing w:after="0" w:line="157" w:lineRule="exact"/>
        <w:rPr>
          <w:sz w:val="20"/>
          <w:szCs w:val="20"/>
          <w:color w:val="auto"/>
        </w:rPr>
      </w:pPr>
    </w:p>
    <w:p>
      <w:pPr>
        <w:spacing w:after="0" w:line="231" w:lineRule="auto"/>
        <w:rPr>
          <w:sz w:val="20"/>
          <w:szCs w:val="20"/>
          <w:color w:val="auto"/>
        </w:rPr>
      </w:pPr>
      <w:r>
        <w:rPr>
          <w:rFonts w:ascii="Arial" w:cs="Arial" w:eastAsia="Arial" w:hAnsi="Arial"/>
          <w:sz w:val="17"/>
          <w:szCs w:val="17"/>
          <w:i w:val="1"/>
          <w:iCs w:val="1"/>
          <w:color w:val="auto"/>
        </w:rPr>
        <w:t xml:space="preserve">U.S. Federal Copyright Issues. </w:t>
      </w:r>
      <w:r>
        <w:rPr>
          <w:rFonts w:ascii="Arial" w:cs="Arial" w:eastAsia="Arial" w:hAnsi="Arial"/>
          <w:sz w:val="17"/>
          <w:szCs w:val="17"/>
          <w:color w:val="auto"/>
        </w:rPr>
        <w:t>The U.S. Federal Copyright Act of 1976, as amended, gives cable television systems the ability, under certain terms a</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and assuming that any applicable retransmission consents have been obtained, to retransmit the signals of television stations pursuant to a compulsory copyright license. Those terms and conditions require all cable systems that retransmit broadcast signals to pay semiannual royalty fees, generally based on the systems’ gross revenues from basic service and, in certain instances, the number of “distant” broadcast signals carried. The compulsory license fees have been increased on several occasions since this act went into effect. Since 1989, a separate compulsory copyright licens distant signal retransmissions has applied to DBS, and in 1999, Congress provided DBS with a royalty-free compulsory copyright license for distributio the signals of local television stations to satellite subscribers in the markets served by such stations. The cable compulsory license for local and distan signals and the DBS local signal compulsory license are permanent, while the DBS distant signal compulsory license is scheduled to sunset at the en 2014, although it is possible that, as in the past, the DBS distant signal compulsory license will be extended. In addition, the cable and DBS compulso licenses employ different methodologies for calculating royalties, with cable using a percentage of revenues approach and DBS using a flat, per-subsc per-signal payment approach.</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U.S. Federal Copyright Office is considering requests for clarification and revisions of certain cable compulsory copyright license reporting requirements. Cable ONE cannot predict the outcome of any such inquiries; however, it is possible that changes in the rules or copyright compulsory li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17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August 2011, the U.S. Federal Copyright Office released a report assessing possible mechanisms for eliminating the cable and satellite statutory licenses. In November 2011, the Government Accountability Office released a report on the effect that elimination of the compulsory licenses would ha the industry and viewers. These reports could be the</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8" w:name="page19"/>
    <w:bookmarkEnd w:id="18"/>
    <w:p>
      <w:pPr>
        <w:jc w:val="both"/>
        <w:spacing w:after="0" w:line="260" w:lineRule="auto"/>
        <w:rPr>
          <w:sz w:val="20"/>
          <w:szCs w:val="20"/>
          <w:color w:val="auto"/>
        </w:rPr>
      </w:pPr>
      <w:r>
        <w:rPr>
          <w:rFonts w:ascii="Arial" w:cs="Arial" w:eastAsia="Arial" w:hAnsi="Arial"/>
          <w:sz w:val="16"/>
          <w:szCs w:val="16"/>
          <w:color w:val="auto"/>
        </w:rPr>
        <w:t>basis for future legislative or regulatory developments on these issues. The Company cannot predict if or how the copyright regime may change, nor c Company predict the net effect that changes to this regime would have on the Company’s cable and broadcast operations or on the Company overall.</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Telephone Company Competition. </w:t>
      </w:r>
      <w:r>
        <w:rPr>
          <w:rFonts w:ascii="Arial" w:cs="Arial" w:eastAsia="Arial" w:hAnsi="Arial"/>
          <w:sz w:val="16"/>
          <w:szCs w:val="16"/>
          <w:color w:val="auto"/>
        </w:rPr>
        <w:t>U.S. Federal law permits telephone companies to offer video programming services. Over the past decade, teleph</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have pursued multiple strategies to enter the market for the delivery of multichannel video programming services. Initially, some telephone companies partnered with DBS operators to resell a DBS service to their telephone customers. Some telephone companies still do this, but other telep companies have entered into traditional franchise agreements with local and state franchising authorities and have constructed their own video programming delivery systems. Still other telephone companies have developed other methods to deliver video programming that, depending on the technology employed, may be regulated in a manner similar to the Company’s cable systems. Some telephone companies have taken the position tha specific technology employed in delivering video programming dictates whether a local franchise is required. The theory is that because the provider is delivering a “cable service,” as that term is defined in U.S. Federal law, but rather is delivering an “information service,” which by law is not subject to regulation by state and local governments, no local franchise is required. Neither the FCC nor the courts have addressed this issue definitively, but in t meantime, most major telephone companies are entering into franchise agreements to provide their video programming distribution services to consu Increased competition from telephone companies that provide competing services could have a material effect on Cable ONE’s business.</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color w:val="auto"/>
        </w:rPr>
        <w:t xml:space="preserve">“Over-the-Top” Video Programming. </w:t>
      </w:r>
      <w:r>
        <w:rPr>
          <w:rFonts w:ascii="Arial" w:cs="Arial" w:eastAsia="Arial" w:hAnsi="Arial"/>
          <w:sz w:val="17"/>
          <w:szCs w:val="17"/>
          <w:color w:val="auto"/>
        </w:rPr>
        <w:t>The continued proliferation of broadband services in the U.S. and related increases in broadband capacities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speeds has enabled cable programmers and broadcast television stations to “stream” their video content to consumers over the Internet. Although the Company has benefited generally from the growth in broadband due to its role as a provider of broadband services, the continued and growing availab cable programming and broadcast television content on the Internet may result in less demand for the Company’s cable service offering. Some provid cable service are marketing their own version of “over-the-top” video programming, thus enabling their subscribers to access cable programming outsi their home or business. The Company cannot predict how widespread these practices may become or the extent to which the integrated functionality ease of use of the cable television platform will continue to appeal to the majority of its subscribers.</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 xml:space="preserve">Wireless Services. </w:t>
      </w:r>
      <w:r>
        <w:rPr>
          <w:rFonts w:ascii="Arial" w:cs="Arial" w:eastAsia="Arial" w:hAnsi="Arial"/>
          <w:sz w:val="16"/>
          <w:szCs w:val="16"/>
          <w:color w:val="auto"/>
        </w:rPr>
        <w:t>At various times over the past decade, the FCC has taken steps to facilitate the use of certain frequencies, notably the 2.5 GHz an</w:t>
      </w:r>
      <w:r>
        <w:rPr>
          <w:rFonts w:ascii="Arial" w:cs="Arial" w:eastAsia="Arial" w:hAnsi="Arial"/>
          <w:sz w:val="16"/>
          <w:szCs w:val="16"/>
          <w:i w:val="1"/>
          <w:iCs w:val="1"/>
          <w:color w:val="auto"/>
        </w:rPr>
        <w:t xml:space="preserve"> </w:t>
      </w:r>
      <w:r>
        <w:rPr>
          <w:rFonts w:ascii="Arial" w:cs="Arial" w:eastAsia="Arial" w:hAnsi="Arial"/>
          <w:sz w:val="16"/>
          <w:szCs w:val="16"/>
          <w:color w:val="auto"/>
        </w:rPr>
        <w:t>GHz bands, to deliver over-the-air multichannel video programming services to subscribers in competition with cable television systems. However, tho services generally were not deployed commercially in any significant way. Beginning in 2004, the FCC adopted rule changes that allowed the 2.5 GHz to be used for nonvideo services and permitted transmitters to be deployed in cellular patterns. As a result of these rule changes, the 2.5 GHz and oth frequency bands, including the 1.7 GHz and 2.1 GHz bands in which the FCC auctioned spectrum in 2006, are now being adopted for the delivery of t way broadband digital data and high-speed Internet access services capable of covering large areas. Initially, these services were going to be provide fixed basis, delivering access to houses and businesses, but they now are expected to accommodate mobile devices, such as laptop computers, with wireless adapter card. These wireless networks are expected to use a variety of advanced transmission standards, including an increasingly popular standard known as WiMAX, and may result in the increased availability of mobile video services.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2008, the FCC auctioned additional spectrum in the 700 MHz band, which historically has been used for television broadcasting, and it is expected this additional spectrum will be used to deliver broadband, video and other services to mobile devices. In the meantime, enhancements to existing 3G services and the introduction of 4G services into the marketplace by mobile wireless carriers means that smart phones and other handheld mobile dev already are capable of receiving video streams through their broadband connections. Still other entities, including coalitions of television broadcasters, the process of rolling out technologies that will permit consumers to view broadcast television on their laptops, tablets, smart phones and other handh devices. Although it is not yet clear what effect, if any, the increased availability of mobile video services will have on the cable television industry, thes developments likely will increase the number of competitive alternatives to Cable ONE’s services.</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December 2006, Cable ONE purchased in the FCC’s Advanced Wireless Service auction approximately 20 MHz of spectrum in the 1.7 GHz and 2.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spectrum have an initial 15-year term and 10-year renewal terms. Licensees will be required to show that they have provided substantial service by th of the initial license term to be eligible to renew, but there are no interim construction or service requirements. Cable ONE is evaluating how best to uti spectrum.</w:t>
      </w:r>
    </w:p>
    <w:p>
      <w:pPr>
        <w:spacing w:after="0" w:line="36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9" w:name="page20"/>
    <w:bookmarkEnd w:id="19"/>
    <w:p>
      <w:pPr>
        <w:jc w:val="both"/>
        <w:spacing w:after="0" w:line="234" w:lineRule="auto"/>
        <w:rPr>
          <w:sz w:val="20"/>
          <w:szCs w:val="20"/>
          <w:color w:val="auto"/>
        </w:rPr>
      </w:pPr>
      <w:r>
        <w:rPr>
          <w:rFonts w:ascii="Arial" w:cs="Arial" w:eastAsia="Arial" w:hAnsi="Arial"/>
          <w:sz w:val="17"/>
          <w:szCs w:val="17"/>
          <w:i w:val="1"/>
          <w:iCs w:val="1"/>
          <w:color w:val="auto"/>
        </w:rPr>
        <w:t xml:space="preserve">Horizontal and Vertical Ownership Limits. </w:t>
      </w:r>
      <w:r>
        <w:rPr>
          <w:rFonts w:ascii="Arial" w:cs="Arial" w:eastAsia="Arial" w:hAnsi="Arial"/>
          <w:sz w:val="17"/>
          <w:szCs w:val="17"/>
          <w:color w:val="auto"/>
        </w:rPr>
        <w:t>In September 2009, a reviewing court struck down and remanded the FCC’s horizontal cable ownership rul</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provided that a single company could not serve more than 30% of potential cable subscribers (or “homes passed” by cable) nationwide. Althoug reviewing court’s decision authorizes the FCC to seek to justify the rule, it is not clear whether the FCC will attempt to do so. Separately, the FCC has proposed reinstating vertical ownership restrictions that would cap the percentage of a cable system’s channel capacity that could be used to carry ch in which the operator has an ownership interest, but it has taken no action to implement such restrictions. There currently is no restriction on the owne of both a television broadcast station and a cable television system in the same market.</w:t>
      </w:r>
    </w:p>
    <w:p>
      <w:pPr>
        <w:spacing w:after="0" w:line="160"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Set-Top Boxes. </w:t>
      </w:r>
      <w:r>
        <w:rPr>
          <w:rFonts w:ascii="Arial" w:cs="Arial" w:eastAsia="Arial" w:hAnsi="Arial"/>
          <w:sz w:val="16"/>
          <w:szCs w:val="16"/>
          <w:color w:val="auto"/>
        </w:rPr>
        <w:t>Pursuant to a congressional directive to promote competition in the retail market for set-top converter boxes, the FCC has adopted ru</w:t>
      </w:r>
      <w:r>
        <w:rPr>
          <w:rFonts w:ascii="Arial" w:cs="Arial" w:eastAsia="Arial" w:hAnsi="Arial"/>
          <w:sz w:val="16"/>
          <w:szCs w:val="16"/>
          <w:i w:val="1"/>
          <w:iCs w:val="1"/>
          <w:color w:val="auto"/>
        </w:rPr>
        <w:t xml:space="preserve"> </w:t>
      </w:r>
      <w:r>
        <w:rPr>
          <w:rFonts w:ascii="Arial" w:cs="Arial" w:eastAsia="Arial" w:hAnsi="Arial"/>
          <w:sz w:val="16"/>
          <w:szCs w:val="16"/>
          <w:color w:val="auto"/>
        </w:rPr>
        <w:t>barring cable operators from deploying set-top boxes with “integrated” security and navigation functions and requiring cable operators to support boxe other devices designed to accept plug-in cards (“CableCARDs”) that provide the descrambling and other security features that traditionally have been included in the integrated set-top converter boxes leased by cable operators to their customers. The FCC has granted some requests for waivers of th rule, including one such request filed by Cable ONE to allow it to offer low-cost, HD-capable, integrated set-top boxes to subscribers of its Dyersburg, system. The general prohibition on integrated set-top boxes has the potential to increase the capital costs of cable operators, because of the need to provide CableCARDs to customers and because the new type of converter box is typically more expensive than the traditional integrated box. In 2010 FCC adopted certain modifications to its set-top box and CableCARD rules, which included extending the relief previously provided to Cable ONE to a cable operators nationwide. While this change should facilitate the availability of low cost set-top boxes, other changes adopted by the FCC that impac cable operators bill for set-top boxes and the types of CableCARDs they must deploy could increase operational costs for such operators. Also in 201 FCC initiated a broader regulatory proceeding to consider whether it should require all multichannel video program distributors, which include cable operators, to develop and provide a new, universal set-top box solution that allows access to both online and traditional video. The Company cannot p whether, how or when the issues raised in this proceeding will be resolved.</w:t>
      </w:r>
    </w:p>
    <w:p>
      <w:pPr>
        <w:spacing w:after="0" w:line="15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i w:val="1"/>
          <w:iCs w:val="1"/>
          <w:color w:val="auto"/>
        </w:rPr>
        <w:t xml:space="preserve">Disability Access. </w:t>
      </w:r>
      <w:r>
        <w:rPr>
          <w:rFonts w:ascii="Arial" w:cs="Arial" w:eastAsia="Arial" w:hAnsi="Arial"/>
          <w:sz w:val="17"/>
          <w:szCs w:val="17"/>
          <w:color w:val="auto"/>
        </w:rPr>
        <w:t>In September 2010, Congress passed the Twenty-First Century Communications and Video Accessibility Act (CVAA). This act direc</w:t>
      </w:r>
      <w:r>
        <w:rPr>
          <w:rFonts w:ascii="Arial" w:cs="Arial" w:eastAsia="Arial" w:hAnsi="Arial"/>
          <w:sz w:val="17"/>
          <w:szCs w:val="17"/>
          <w:i w:val="1"/>
          <w:iCs w:val="1"/>
          <w:color w:val="auto"/>
        </w:rPr>
        <w:t xml:space="preserve"> </w:t>
      </w:r>
      <w:r>
        <w:rPr>
          <w:rFonts w:ascii="Arial" w:cs="Arial" w:eastAsia="Arial" w:hAnsi="Arial"/>
          <w:sz w:val="17"/>
          <w:szCs w:val="17"/>
          <w:color w:val="auto"/>
        </w:rPr>
        <w:t>FCC to impose additional accessibility requirements on cable operators. For example, pursuant to CVAA, the FCC has reinstated the video description regulations that the FCC had adopted in 2000 (which had been invalidated on appeal), with certain modifications specified in the act. Thus, cable ope that serve 50,000 or more subscribers must provide 50 hours of video description per calendar quarter during prime time or on children’s programming each channel on which they carry one of the top five national nonbroadcast networks. In addition, cable operators of all sizes must pass through video description that is provided for each broadcast station or nonbroadcast network that they carry. Compliance is required by July 1, 2012, and will impos certain costs on the Company. The act also directs the FCC to adopt rules to help ensure that certain video programming distributors convey emergen information in a manner that is accessible to persons who are blind or visually impaired. The Company cannot predict when the FCC will adopt these r Compliance with the new rules would impose certain costs on the Company.</w:t>
      </w:r>
    </w:p>
    <w:p>
      <w:pPr>
        <w:spacing w:after="0" w:line="179"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addition, the act requires the FCC to subject devices designed to receive, play back, or record video programming transmitted simultaneously with s such as set-top boxes, to regulations governing (1) the display of closed-captioned video programming, (2) the transmission and delivery of video description services and (3) the conveyance of emergency information. Compliance with the new rules would impose certain costs on the Company. T FCC has established an effective date of January 1, 2014, for the closed-captioning portion of these rules, and compliance will impose certain costs o Company.</w:t>
      </w:r>
    </w:p>
    <w:p>
      <w:pPr>
        <w:spacing w:after="0" w:line="158"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 xml:space="preserve">Other Requirements. </w:t>
      </w:r>
      <w:r>
        <w:rPr>
          <w:rFonts w:ascii="Arial" w:cs="Arial" w:eastAsia="Arial" w:hAnsi="Arial"/>
          <w:sz w:val="17"/>
          <w:szCs w:val="17"/>
          <w:color w:val="auto"/>
        </w:rPr>
        <w:t>In February 2008, the FCC issued revised commercial leased access rules that require cable operators to make a certain portio</w:t>
      </w:r>
      <w:r>
        <w:rPr>
          <w:rFonts w:ascii="Arial" w:cs="Arial" w:eastAsia="Arial" w:hAnsi="Arial"/>
          <w:sz w:val="17"/>
          <w:szCs w:val="17"/>
          <w:i w:val="1"/>
          <w:iCs w:val="1"/>
          <w:color w:val="auto"/>
        </w:rPr>
        <w:t xml:space="preserve"> </w:t>
      </w:r>
      <w:r>
        <w:rPr>
          <w:rFonts w:ascii="Arial" w:cs="Arial" w:eastAsia="Arial" w:hAnsi="Arial"/>
          <w:sz w:val="17"/>
          <w:szCs w:val="17"/>
          <w:color w:val="auto"/>
        </w:rPr>
        <w:t>their systems’ capacity available to parties desiring to transmit programming via cable on a leased basis. These revised rules could substantially reduc rates for parties desiring to lease capacity on cable systems and also impose a variety of leased access customer service, information and reporting standards. Implementation of these new rules has been stayed by the courts, and some of the rules were rejected by the Office of Management and B (OMB) as inconsistent with the U.S. Federal Paperwork Reduction Act. Certain parties have requested that the FCC override the OMB ruling, but no a has been taken on that request. The FCC has not indicated its intent to move forward with implementation of these new rules. If they take effect, howe they likely will increase Cable ONE’s costs and could cause additional leased access activity on Cable ONE’s cable systems. As a result, Cable ONE find it necessary to either discontinue other channels of programming or opt not to carry new channels of programming or other services that may be desirable to its customers.</w:t>
      </w:r>
    </w:p>
    <w:p>
      <w:pPr>
        <w:spacing w:after="0" w:line="36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7" w:right="139" w:bottom="1440" w:gutter="0" w:footer="0" w:header="0"/>
        </w:sectPr>
      </w:pPr>
    </w:p>
    <w:bookmarkStart w:id="20" w:name="page21"/>
    <w:bookmarkEnd w:id="20"/>
    <w:p>
      <w:pPr>
        <w:jc w:val="both"/>
        <w:spacing w:after="0" w:line="230" w:lineRule="auto"/>
        <w:rPr>
          <w:sz w:val="20"/>
          <w:szCs w:val="20"/>
          <w:color w:val="auto"/>
        </w:rPr>
      </w:pPr>
      <w:r>
        <w:rPr>
          <w:rFonts w:ascii="Arial" w:cs="Arial" w:eastAsia="Arial" w:hAnsi="Arial"/>
          <w:sz w:val="17"/>
          <w:szCs w:val="17"/>
          <w:color w:val="auto"/>
        </w:rPr>
        <w:t>The FCC also regulates various other aspects of cable television operations. Long-standing FCC rules require cable systems to black out from certain distant broadcast stations the syndicated programs for which local stations have purchased exclusive rights and requested exclusivity, and to delete, u certain circumstances, duplicative network programs broadcast by distant stations. Proposals to amend or repeal certain of these rules are pending be the FCC, but the Company cannot predict whether, how or when the Commission will act on these proposals. The FCC also imposes certain technical standards on cable television operators, exercises the power to license various microwave and other radio facilities frequently used in cable television operations and regulates the assignment and transfer of control of such licenses.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Access Services</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2005, the U.S. Supreme Court upheld the FCC’s classification of Internet service as an “information service.” As a result, Internet service is not subj the full panoply of regulations that applies to “cable services” or “telecommunications services” under the Communications Act, nor is it subject to state local government regulation. In response to the U.S. Supreme Court’s decision, the FCC ruled that a telephone company’s offering of digital subscribe (DSL) Internet access service and a mobile wireless company’s offering of similar wireless broadband service also are “information services.”</w:t>
      </w:r>
    </w:p>
    <w:p>
      <w:pPr>
        <w:spacing w:after="0" w:line="17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Cable ONE currently offers broadband Internet access service on virtually all of its cable systems and is the sole Internet service provider on those sy Cable ONE does not restrict the websites that its broadband Internet access subscribers may view; however, regulations that distinguish between interference with subscriber access and reasonable network management are evolving and, over time, could begin to interfere with Cable ONE’s abilit manage its network or provide services to its subscribers. In 2010, the FCC imposed certain “net neutrality” obligations on providers of broadband Inte access services. Included among those obligations are requirements that fixed broadband Internet service providers disclose publicly accurate inform regarding their network management practices; refrain from blocking lawful content, applications, services and non-harmful devices of the end user’s choosing; and refrain from unreasonably discriminating in the transmission of lawful traffic. Wireless broadband Internet service providers are subject t fewer regulations, and the application of all such regulations is subject to the broadband Internet service provider’s ability to engage in reasonable net management. The FCC’s net neutrality rules also establish a process through which complaints about the network management practices of broadban Internet service providers can be brought. Congress, from time to time, also has considered whether to impose net neutrality requirements on provider broadband Internet access service that would limit the ability of such providers to prioritize the delivery of particular types of content, applications or se over their networks, or whether to limit the FCC’s ability to regulate such activity. The FCC’s December 2010 order imposing certain net neutrality oblig on providers of broadband Internet access services has been appealed, and the Company cannot predict the outcome or timing of this appeal. If the F order is upheld, then these new obligations could cause the Company to incur certain compliance costs.</w:t>
      </w:r>
    </w:p>
    <w:p>
      <w:pPr>
        <w:spacing w:after="0" w:line="186"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part of the American Recovery and Reinvestment Act of 2009 (ARRA), the U.S. Federal government has implemented a program in which a total o approximately $7.2 billion in grants and loans has been distributed to fund investment in the development of broadband networks throughout the U.S., mostly to facilitate the deployment of broadband Internet access services in rural and remote regions that do not already enjoy such services. The AR also required the FCC to develop a National Broadband Plan (NB Plan) to guide U.S. policy in the area of domestic broadband deployment. In March the FCC submitted its NB Plan to Congress and announced its intention to initiate approximately 40 rulemakings addressing a host of issues related to delivery of broadband services. Several of these rulemakings have already been initiated. The broad reach of these rulemaking proceedings could ulti affect the environment in which Cable ONE operates. The NB Plan, which the FCC delivered to Congress on March 16, 2010, did not contain self-effectuating provisions, but it is serving as a blueprint for broadband regulatory policy in the U.S. and, therefore, could have a material effect on Cable and other providers of broadband Internet access services. Compliance with these laws imposes costs on the Company and may impact the competiti environment in which Cable ONE operates.</w:t>
      </w:r>
    </w:p>
    <w:p>
      <w:pPr>
        <w:spacing w:after="0" w:line="182"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Providers of broadband Internet access services are subject to many of the same U.S. Federal and state privacy laws that apply to other providers of electronic communications, such as cable companies and telephone companies, including the U.S. Federal Electronic Communications Privacy Act, w addresses interceptions of electronic communications that are in transit; the Stored Communications Act, which addresses acquisitions of electronic d storage; and the Communications Assistance for Law Enforcement Act (CALEA), which requires providers to make their services and facilities accessi to law enforcement for purposes of surveillance. Various U.S. Federal and state laws also apply to Cable ONE and to others whose services are acce through Cable ONE’s broadband Internet access service. These laws include copyright laws, prohibitions on obscenity and requirements governing unsolicited commercial email.</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Voice Services</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Voice Over Internet Protocol (VoIP). </w:t>
      </w:r>
      <w:r>
        <w:rPr>
          <w:rFonts w:ascii="Arial" w:cs="Arial" w:eastAsia="Arial" w:hAnsi="Arial"/>
          <w:sz w:val="17"/>
          <w:szCs w:val="17"/>
          <w:color w:val="auto"/>
        </w:rPr>
        <w:t>Cable companies, including Cable ONE and others, offer voice service using VoIP technology, which permits use</w:t>
      </w:r>
      <w:r>
        <w:rPr>
          <w:rFonts w:ascii="Arial" w:cs="Arial" w:eastAsia="Arial" w:hAnsi="Arial"/>
          <w:sz w:val="17"/>
          <w:szCs w:val="17"/>
          <w:i w:val="1"/>
          <w:iCs w:val="1"/>
          <w:color w:val="auto"/>
        </w:rPr>
        <w:t xml:space="preserve"> </w:t>
      </w:r>
      <w:r>
        <w:rPr>
          <w:rFonts w:ascii="Arial" w:cs="Arial" w:eastAsia="Arial" w:hAnsi="Arial"/>
          <w:sz w:val="17"/>
          <w:szCs w:val="17"/>
          <w:color w:val="auto"/>
        </w:rPr>
        <w:t>make voice calls over broadband communications networks, including the Internet. U.S. Federal law preempts state and local regulatory barriers to th offering of voice service by cable companies and others, and the FCC and U.S. Federal courts generally have preempted state laws that seek to regul classify VoIP.</w:t>
      </w:r>
    </w:p>
    <w:p>
      <w:pPr>
        <w:spacing w:after="0" w:line="17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FCC has held that VoIP services are IP-enabled services, which are interstate in nature and thus subject exclusively to the FCC’s U.S.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 FCC has yet to ascribe a regulatory definition to VoIP services, the FCC nevertheless has imposed a number of obligations on some types of VoIP pro known as interconnected VoIP service providers, some of which are discussed more fully below. In 2011, the FCC implemented a statutory provision t Congress adopted and imposed a smaller subset of requirements, principally registration and contribution obligations for contributions to the Interstate Telecommunications Relay Services Fund, on non-interconnected VoIP providers. In the absence of a definitive FCC decision regarding the regulatory classification of interconnected VoIP services, several states, including several in Cable ONE’s service territory, also have attempted—and are expect continue to attempt—to regulate VoIP services like traditional telephony service and impose certain fees and taxes on the provision of VoIP services. Cable ONE and other VoIP service providers are actively challenging state attempts to regulate and classify VoIP services, these state actions could h an adverse effect on Cable ONE’s business by increasing its costs to provide VoIP services. Legislation from time to time has been introduced in Con to address the classification and regulatory obligations of VoIP providers. The prospects for passage of any such legislation are uncertain.</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Emergency 911 Services. </w:t>
      </w:r>
      <w:r>
        <w:rPr>
          <w:rFonts w:ascii="Arial" w:cs="Arial" w:eastAsia="Arial" w:hAnsi="Arial"/>
          <w:sz w:val="17"/>
          <w:szCs w:val="17"/>
          <w:color w:val="auto"/>
        </w:rPr>
        <w:t>The FCC has ruled that an interconnected VoIP service provider that enables its customers to make calls to and from perso</w:t>
      </w:r>
      <w:r>
        <w:rPr>
          <w:rFonts w:ascii="Arial" w:cs="Arial" w:eastAsia="Arial" w:hAnsi="Arial"/>
          <w:sz w:val="17"/>
          <w:szCs w:val="17"/>
          <w:i w:val="1"/>
          <w:iCs w:val="1"/>
          <w:color w:val="auto"/>
        </w:rPr>
        <w:t xml:space="preserve"> </w:t>
      </w:r>
      <w:r>
        <w:rPr>
          <w:rFonts w:ascii="Arial" w:cs="Arial" w:eastAsia="Arial" w:hAnsi="Arial"/>
          <w:sz w:val="17"/>
          <w:szCs w:val="17"/>
          <w:color w:val="auto"/>
        </w:rPr>
        <w:t>who use the public switched telephone network must provide its customers with the same enhanced 911 (E911) features that traditional telephone an wireless companies are obligated to provide. This requirement was upheld on appeal. The FCC is currently assessing whether additional rules related provision of E911 services by interconnected VoIP service providers should be adopted.</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CALEA. </w:t>
      </w:r>
      <w:r>
        <w:rPr>
          <w:rFonts w:ascii="Arial" w:cs="Arial" w:eastAsia="Arial" w:hAnsi="Arial"/>
          <w:sz w:val="17"/>
          <w:szCs w:val="17"/>
          <w:color w:val="auto"/>
        </w:rPr>
        <w:t>FCC regulations require providers of interconnected VoIP service to comply with the requirements of CALEA, which requires covered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their equipment suppliers to deploy equipment that law enforcement officials can access readily for lawful wiretap purposes.</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Universal Service. </w:t>
      </w:r>
      <w:r>
        <w:rPr>
          <w:rFonts w:ascii="Arial" w:cs="Arial" w:eastAsia="Arial" w:hAnsi="Arial"/>
          <w:sz w:val="16"/>
          <w:szCs w:val="16"/>
          <w:color w:val="auto"/>
        </w:rPr>
        <w:t>The FCC has determined that interconnected VoIP service providers must contribute to the U.S. Federal Universal Service Fund (</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of a company’s USF contribution is based on a percentage of revenues earned from end-user interstate and international interconnected services. Cable ONE is permitted to recover these contributions from its customers. This percentage changes from time to time and generally has bee increasing, prompting Congress and the FCC to consider ways in which the USF and the payment obligations of fund contributors should be reformed 2011, the FCC adopted an order and new rules intended to transition the USF so that it supports the build out of broadband, rather than telecommunic facilities. The order principally addressed the manner in which universal service funds will be distributed to network operators for broadband build out, the FCC is expected to initiate a proceeding shortly that focuses on reforming the nature and manner in which entities should contribute to the USF an what levels. Cable ONE cannot predict whether and how such reform will occur and the extent to which it may affect providers of VoIP services, includ Cable ONE and its competitors. The FCC’s 2011 universal service reform order is subject to both reconsideration requests and appeals, and Cable O cannot predict the outcome of those actions. In November 2010, the FCC determined that states may impose state USF fees on interconnected VoIP service providers subject to certain limitations and requirements. State USF contributions are based on a percentage of revenues earned from end-us intrastate interconnected VoIP services, and Cable ONE is typically permitted to recover these contributions from its customers. Cable ONE cannot pr whether or how the imposition of such state-based universal service fees will affect its operations and business.</w:t>
      </w:r>
    </w:p>
    <w:p>
      <w:pPr>
        <w:spacing w:after="0" w:line="154" w:lineRule="exact"/>
        <w:rPr>
          <w:sz w:val="20"/>
          <w:szCs w:val="20"/>
          <w:color w:val="auto"/>
        </w:rPr>
      </w:pPr>
    </w:p>
    <w:p>
      <w:pPr>
        <w:jc w:val="both"/>
        <w:ind w:right="20"/>
        <w:spacing w:after="0"/>
        <w:rPr>
          <w:sz w:val="20"/>
          <w:szCs w:val="20"/>
          <w:color w:val="auto"/>
        </w:rPr>
      </w:pPr>
      <w:r>
        <w:rPr>
          <w:rFonts w:ascii="Arial" w:cs="Arial" w:eastAsia="Arial" w:hAnsi="Arial"/>
          <w:sz w:val="17"/>
          <w:szCs w:val="17"/>
          <w:i w:val="1"/>
          <w:iCs w:val="1"/>
          <w:color w:val="auto"/>
        </w:rPr>
        <w:t xml:space="preserve">Intercarrier Compensation. </w:t>
      </w:r>
      <w:r>
        <w:rPr>
          <w:rFonts w:ascii="Arial" w:cs="Arial" w:eastAsia="Arial" w:hAnsi="Arial"/>
          <w:sz w:val="17"/>
          <w:szCs w:val="17"/>
          <w:color w:val="auto"/>
        </w:rPr>
        <w:t>The order and new rules adopted by the FCC in 2011 in connection with universal service reform also addressed intercar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specified that “VoIP-PSTN traffic,” that is, traffic exchanged over public switched telephone network facilities that originates and/or terminates in IP format, which includes interconnected</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15" w:right="139" w:bottom="1440" w:gutter="0" w:footer="0" w:header="0"/>
        </w:sectPr>
      </w:pPr>
    </w:p>
    <w:bookmarkStart w:id="22" w:name="page23"/>
    <w:bookmarkEnd w:id="22"/>
    <w:p>
      <w:pPr>
        <w:jc w:val="both"/>
        <w:spacing w:after="0" w:line="248" w:lineRule="auto"/>
        <w:rPr>
          <w:sz w:val="20"/>
          <w:szCs w:val="20"/>
          <w:color w:val="auto"/>
        </w:rPr>
      </w:pPr>
      <w:r>
        <w:rPr>
          <w:rFonts w:ascii="Arial" w:cs="Arial" w:eastAsia="Arial" w:hAnsi="Arial"/>
          <w:sz w:val="16"/>
          <w:szCs w:val="16"/>
          <w:color w:val="auto"/>
        </w:rPr>
        <w:t>VoIP traffic, is subject to intercarrier compensation obligations either on the basis of specified default charges or through negotiated rates. The FCC’s is the subject of both reconsideration requests and appeals, and Cable ONE cannot predict the outcome of these actions. Future FCC determinations regarding the rates, terms and conditions for transporting and terminating such traffic can have a profound and material effect on the profitability of pro voice and Internet services. It is not possible to predict what actions the FCC might take in this area or the effect that they will have on Cable ONE.</w:t>
      </w:r>
    </w:p>
    <w:p>
      <w:pPr>
        <w:spacing w:after="0" w:line="15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Customer Proprietary Network Information (CPNI). </w:t>
      </w:r>
      <w:r>
        <w:rPr>
          <w:rFonts w:ascii="Arial" w:cs="Arial" w:eastAsia="Arial" w:hAnsi="Arial"/>
          <w:sz w:val="17"/>
          <w:szCs w:val="17"/>
          <w:color w:val="auto"/>
        </w:rPr>
        <w:t>In 2007, the FCC adopted rules expanding the protection of CPNI and extending CPNI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to providers of interconnected VoIP service. CPNI is information about the quantity, technical configuration, type, location and amount of voice customer’s use. These requirements generally have increased the cost of providing interconnected VoIP service, as providers now must implem various safeguards to protect CPNI from unauthorized disclosure.</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i w:val="1"/>
          <w:iCs w:val="1"/>
          <w:color w:val="auto"/>
        </w:rPr>
        <w:t xml:space="preserve">Access for Persons With Disabilities. </w:t>
      </w:r>
      <w:r>
        <w:rPr>
          <w:rFonts w:ascii="Arial" w:cs="Arial" w:eastAsia="Arial" w:hAnsi="Arial"/>
          <w:sz w:val="17"/>
          <w:szCs w:val="17"/>
          <w:color w:val="auto"/>
        </w:rPr>
        <w:t>FCC regulations require providers of interconnected VoIP services to comply with all disability access requireme</w:t>
      </w:r>
      <w:r>
        <w:rPr>
          <w:rFonts w:ascii="Arial" w:cs="Arial" w:eastAsia="Arial" w:hAnsi="Arial"/>
          <w:sz w:val="17"/>
          <w:szCs w:val="17"/>
          <w:i w:val="1"/>
          <w:iCs w:val="1"/>
          <w:color w:val="auto"/>
        </w:rPr>
        <w:t xml:space="preserve"> </w:t>
      </w:r>
      <w:r>
        <w:rPr>
          <w:rFonts w:ascii="Arial" w:cs="Arial" w:eastAsia="Arial" w:hAnsi="Arial"/>
          <w:sz w:val="17"/>
          <w:szCs w:val="17"/>
          <w:color w:val="auto"/>
        </w:rPr>
        <w:t>that apply to telecommunications carriers, including the provision of telecommunications relay services for persons with speech or hearing impairment Cable ONE and other interconnected VoIP service providers must also contribute to the interstate Telecommunications Relay Service fund to support access. These requirements generally have had the effect of increasing the cost of providing VoIP services.</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Service Discontinuance Obligations. </w:t>
      </w:r>
      <w:r>
        <w:rPr>
          <w:rFonts w:ascii="Arial" w:cs="Arial" w:eastAsia="Arial" w:hAnsi="Arial"/>
          <w:sz w:val="16"/>
          <w:szCs w:val="16"/>
          <w:color w:val="auto"/>
        </w:rPr>
        <w:t>In 2009, the FCC adopted rules subjecting providers of interconnected VoIP services to the same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discontinuance requirements applicable to providers of wireline telecommunication services. These requirements typically apply when a service provid exits a region or eliminates services. Along with other FCC actions described in this section, which impose legacy telecom obligations on interconnect VoIP providers, this development will subject the Company’s interconnected VoIP services to greater regulation and thus greater burdens and costs.</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Regulatory Fees. </w:t>
      </w:r>
      <w:r>
        <w:rPr>
          <w:rFonts w:ascii="Arial" w:cs="Arial" w:eastAsia="Arial" w:hAnsi="Arial"/>
          <w:sz w:val="17"/>
          <w:szCs w:val="17"/>
          <w:color w:val="auto"/>
        </w:rPr>
        <w:t>The FCC requires interconnected VoIP service providers to contribute to shared costs of FCC regulation through an annual regulato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These fees have increased Cable ONE’s cost of providing VoIP services.</w:t>
      </w:r>
    </w:p>
    <w:p>
      <w:pPr>
        <w:spacing w:after="0" w:line="14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color w:val="auto"/>
        </w:rPr>
        <w:t xml:space="preserve">Local Number Portability. </w:t>
      </w:r>
      <w:r>
        <w:rPr>
          <w:rFonts w:ascii="Arial" w:cs="Arial" w:eastAsia="Arial" w:hAnsi="Arial"/>
          <w:sz w:val="17"/>
          <w:szCs w:val="17"/>
          <w:color w:val="auto"/>
        </w:rPr>
        <w:t>Providers of interconnected VoIP services and their “numbering partners” must ensure that their subscribers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port their telephone numbers when changing service providers, and local exchange carriers and commercial mobile radio service providers must port numbers that they control to an interconnected VoIP service provider upon a valid port request. Cable ONE, along with other providers of interconnect VoIP service, must contribute funds to cover the shared costs of local number portability and the costs of North American Numbering Plan Administrati The FCC currently is considering whether additional numbering requirements, such as allowing consumers access to abbreviated dialing codes like 21 311, should be applied to interconnected VoIP service providers. Although consumers’ ability to port their existing telephone numbers to interconnecte VoIP service has created additional opportunities for Cable ONE to gain voice customers, the local number portability and associated rules overall hav the effect of increasing the cost of providing VoIP service.</w:t>
      </w:r>
    </w:p>
    <w:p>
      <w:pPr>
        <w:spacing w:after="0" w:line="15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Newspaper Publishing</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The Company’s newspaper publishing operations include results for its flagship newspaper and Internet site,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The Slate Group a number of additional newspapers and websites.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Washington Post</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WP Company LLC (WP Company), a subsidiary of the Company, publishes </w:t>
      </w:r>
      <w:r>
        <w:rPr>
          <w:rFonts w:ascii="Arial" w:cs="Arial" w:eastAsia="Arial" w:hAnsi="Arial"/>
          <w:sz w:val="17"/>
          <w:szCs w:val="17"/>
          <w:i w:val="1"/>
          <w:iCs w:val="1"/>
          <w:color w:val="auto"/>
        </w:rPr>
        <w:t>The Washington Post (</w:t>
      </w:r>
      <w:r>
        <w:rPr>
          <w:rFonts w:ascii="Arial" w:cs="Arial" w:eastAsia="Arial" w:hAnsi="Arial"/>
          <w:sz w:val="17"/>
          <w:szCs w:val="17"/>
          <w:color w:val="auto"/>
        </w:rPr>
        <w:t xml:space="preserve">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which is a morning daily and Sunday newspaper primarily distributed by home delivery in the Washington, DC, metropolitan area, including large portions of Maryland and northern Virginia </w:t>
      </w:r>
      <w:r>
        <w:rPr>
          <w:rFonts w:ascii="Arial" w:cs="Arial" w:eastAsia="Arial" w:hAnsi="Arial"/>
          <w:sz w:val="17"/>
          <w:szCs w:val="17"/>
          <w:i w:val="1"/>
          <w:iCs w:val="1"/>
          <w:color w:val="auto"/>
        </w:rPr>
        <w:t>Post’</w:t>
      </w:r>
      <w:r>
        <w:rPr>
          <w:rFonts w:ascii="Arial" w:cs="Arial" w:eastAsia="Arial" w:hAnsi="Arial"/>
          <w:sz w:val="17"/>
          <w:szCs w:val="17"/>
          <w:color w:val="auto"/>
        </w:rPr>
        <w:t>s two primary sources of revenue are advertising and subscription fees, which accounted for 63% and 34% of its total revenue in 2011, respectiv</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revenue is derived from the sale of display and classified advertisements, as well as the insertion and other distribution of preprinted advertisements.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following table shows the average paid daily (including Saturday) and Sunday circulation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for the 52-week period ended September 27 2009, and the 53-week period ended October 3, 2010, as reported by the Audit Bureau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Circulations (ABC) and as estimated by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for the 52-week period ended October 2, 2011, for which period ABC</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3" w:name="page24"/>
    <w:bookmarkEnd w:id="23"/>
    <w:p>
      <w:pPr>
        <w:jc w:val="both"/>
        <w:spacing w:after="0" w:line="235" w:lineRule="auto"/>
        <w:rPr>
          <w:sz w:val="20"/>
          <w:szCs w:val="20"/>
          <w:color w:val="auto"/>
        </w:rPr>
      </w:pPr>
      <w:r>
        <w:rPr>
          <w:rFonts w:ascii="Arial" w:cs="Arial" w:eastAsia="Arial" w:hAnsi="Arial"/>
          <w:sz w:val="17"/>
          <w:szCs w:val="17"/>
          <w:color w:val="auto"/>
        </w:rPr>
        <w:t>had not completed its audit as of the date of this report, from the semiannual publisher’s statements submitted to ABC for the 26-week period ended A 2011, and the 26-week period ended October 2,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00" w:type="dxa"/>
            <w:vAlign w:val="bottom"/>
          </w:tcPr>
          <w:p>
            <w:pPr>
              <w:spacing w:after="0"/>
              <w:rPr>
                <w:sz w:val="12"/>
                <w:szCs w:val="12"/>
                <w:color w:val="auto"/>
              </w:rPr>
            </w:pPr>
          </w:p>
        </w:tc>
        <w:tc>
          <w:tcPr>
            <w:tcW w:w="594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Average Paid</w:t>
            </w:r>
          </w:p>
        </w:tc>
      </w:tr>
      <w:tr>
        <w:trPr>
          <w:trHeight w:val="137"/>
        </w:trPr>
        <w:tc>
          <w:tcPr>
            <w:tcW w:w="5000" w:type="dxa"/>
            <w:vAlign w:val="bottom"/>
          </w:tcPr>
          <w:p>
            <w:pPr>
              <w:spacing w:after="0"/>
              <w:rPr>
                <w:sz w:val="11"/>
                <w:szCs w:val="11"/>
                <w:color w:val="auto"/>
              </w:rPr>
            </w:pPr>
          </w:p>
        </w:tc>
        <w:tc>
          <w:tcPr>
            <w:tcW w:w="57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Circulation</w:t>
            </w:r>
          </w:p>
        </w:tc>
        <w:tc>
          <w:tcPr>
            <w:tcW w:w="200" w:type="dxa"/>
            <w:vAlign w:val="bottom"/>
          </w:tcPr>
          <w:p>
            <w:pPr>
              <w:spacing w:after="0"/>
              <w:rPr>
                <w:sz w:val="11"/>
                <w:szCs w:val="11"/>
                <w:color w:val="auto"/>
              </w:rPr>
            </w:pPr>
          </w:p>
        </w:tc>
      </w:tr>
      <w:tr>
        <w:trPr>
          <w:trHeight w:val="151"/>
        </w:trPr>
        <w:tc>
          <w:tcPr>
            <w:tcW w:w="500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jc w:val="right"/>
              <w:ind w:right="692"/>
              <w:spacing w:after="0"/>
              <w:rPr>
                <w:sz w:val="20"/>
                <w:szCs w:val="20"/>
                <w:color w:val="auto"/>
              </w:rPr>
            </w:pPr>
            <w:r>
              <w:rPr>
                <w:rFonts w:ascii="Arial" w:cs="Arial" w:eastAsia="Arial" w:hAnsi="Arial"/>
                <w:sz w:val="12"/>
                <w:szCs w:val="12"/>
                <w:b w:val="1"/>
                <w:bCs w:val="1"/>
                <w:color w:val="auto"/>
              </w:rPr>
              <w:t>Daily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79"/>
              </w:rPr>
              <w:t>Sun</w:t>
            </w:r>
          </w:p>
        </w:tc>
      </w:tr>
      <w:tr>
        <w:trPr>
          <w:trHeight w:val="168"/>
        </w:trPr>
        <w:tc>
          <w:tcPr>
            <w:tcW w:w="5000" w:type="dxa"/>
            <w:vAlign w:val="bottom"/>
          </w:tcPr>
          <w:p>
            <w:pPr>
              <w:jc w:val="right"/>
              <w:ind w:right="4606"/>
              <w:spacing w:after="0" w:line="168" w:lineRule="exact"/>
              <w:rPr>
                <w:sz w:val="20"/>
                <w:szCs w:val="20"/>
                <w:color w:val="auto"/>
              </w:rPr>
            </w:pPr>
            <w:r>
              <w:rPr>
                <w:rFonts w:ascii="Arial" w:cs="Arial" w:eastAsia="Arial" w:hAnsi="Arial"/>
                <w:sz w:val="15"/>
                <w:szCs w:val="15"/>
                <w:color w:val="auto"/>
                <w:w w:val="89"/>
              </w:rPr>
              <w:t>2009</w:t>
            </w:r>
          </w:p>
        </w:tc>
        <w:tc>
          <w:tcPr>
            <w:tcW w:w="5740" w:type="dxa"/>
            <w:vAlign w:val="bottom"/>
          </w:tcPr>
          <w:p>
            <w:pPr>
              <w:jc w:val="right"/>
              <w:ind w:right="432"/>
              <w:spacing w:after="0" w:line="168" w:lineRule="exact"/>
              <w:rPr>
                <w:sz w:val="20"/>
                <w:szCs w:val="20"/>
                <w:color w:val="auto"/>
              </w:rPr>
            </w:pPr>
            <w:r>
              <w:rPr>
                <w:rFonts w:ascii="Arial" w:cs="Arial" w:eastAsia="Arial" w:hAnsi="Arial"/>
                <w:sz w:val="15"/>
                <w:szCs w:val="15"/>
                <w:color w:val="auto"/>
              </w:rPr>
              <w:t>615,353</w:t>
            </w:r>
          </w:p>
        </w:tc>
        <w:tc>
          <w:tcPr>
            <w:tcW w:w="200" w:type="dxa"/>
            <w:vAlign w:val="bottom"/>
          </w:tcPr>
          <w:p>
            <w:pPr>
              <w:jc w:val="right"/>
              <w:spacing w:after="0" w:line="168" w:lineRule="exact"/>
              <w:rPr>
                <w:sz w:val="20"/>
                <w:szCs w:val="20"/>
                <w:color w:val="auto"/>
              </w:rPr>
            </w:pPr>
            <w:r>
              <w:rPr>
                <w:rFonts w:ascii="Arial" w:cs="Arial" w:eastAsia="Arial" w:hAnsi="Arial"/>
                <w:sz w:val="15"/>
                <w:szCs w:val="15"/>
                <w:color w:val="auto"/>
              </w:rPr>
              <w:t>8</w:t>
            </w:r>
          </w:p>
        </w:tc>
      </w:tr>
      <w:tr>
        <w:trPr>
          <w:trHeight w:val="174"/>
        </w:trPr>
        <w:tc>
          <w:tcPr>
            <w:tcW w:w="5000" w:type="dxa"/>
            <w:vAlign w:val="bottom"/>
          </w:tcPr>
          <w:p>
            <w:pPr>
              <w:jc w:val="right"/>
              <w:ind w:right="4606"/>
              <w:spacing w:after="0"/>
              <w:rPr>
                <w:sz w:val="20"/>
                <w:szCs w:val="20"/>
                <w:color w:val="auto"/>
              </w:rPr>
            </w:pPr>
            <w:r>
              <w:rPr>
                <w:rFonts w:ascii="Arial" w:cs="Arial" w:eastAsia="Arial" w:hAnsi="Arial"/>
                <w:sz w:val="15"/>
                <w:szCs w:val="15"/>
                <w:color w:val="auto"/>
                <w:w w:val="89"/>
              </w:rPr>
              <w:t>2010</w:t>
            </w:r>
          </w:p>
        </w:tc>
        <w:tc>
          <w:tcPr>
            <w:tcW w:w="5740" w:type="dxa"/>
            <w:vAlign w:val="bottom"/>
          </w:tcPr>
          <w:p>
            <w:pPr>
              <w:jc w:val="right"/>
              <w:ind w:right="432"/>
              <w:spacing w:after="0"/>
              <w:rPr>
                <w:sz w:val="20"/>
                <w:szCs w:val="20"/>
                <w:color w:val="auto"/>
              </w:rPr>
            </w:pPr>
            <w:r>
              <w:rPr>
                <w:rFonts w:ascii="Arial" w:cs="Arial" w:eastAsia="Arial" w:hAnsi="Arial"/>
                <w:sz w:val="15"/>
                <w:szCs w:val="15"/>
                <w:color w:val="auto"/>
              </w:rPr>
              <w:t>556,676</w:t>
            </w:r>
          </w:p>
        </w:tc>
        <w:tc>
          <w:tcPr>
            <w:tcW w:w="2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79"/>
        </w:trPr>
        <w:tc>
          <w:tcPr>
            <w:tcW w:w="5000" w:type="dxa"/>
            <w:vAlign w:val="bottom"/>
          </w:tcPr>
          <w:p>
            <w:pPr>
              <w:jc w:val="right"/>
              <w:ind w:right="4606"/>
              <w:spacing w:after="0"/>
              <w:rPr>
                <w:sz w:val="20"/>
                <w:szCs w:val="20"/>
                <w:color w:val="auto"/>
              </w:rPr>
            </w:pPr>
            <w:r>
              <w:rPr>
                <w:rFonts w:ascii="Arial" w:cs="Arial" w:eastAsia="Arial" w:hAnsi="Arial"/>
                <w:sz w:val="15"/>
                <w:szCs w:val="15"/>
                <w:color w:val="auto"/>
                <w:w w:val="89"/>
              </w:rPr>
              <w:t>2011</w:t>
            </w:r>
          </w:p>
        </w:tc>
        <w:tc>
          <w:tcPr>
            <w:tcW w:w="5740" w:type="dxa"/>
            <w:vAlign w:val="bottom"/>
          </w:tcPr>
          <w:p>
            <w:pPr>
              <w:jc w:val="right"/>
              <w:ind w:right="432"/>
              <w:spacing w:after="0"/>
              <w:rPr>
                <w:sz w:val="20"/>
                <w:szCs w:val="20"/>
                <w:color w:val="auto"/>
              </w:rPr>
            </w:pPr>
            <w:r>
              <w:rPr>
                <w:rFonts w:ascii="Arial" w:cs="Arial" w:eastAsia="Arial" w:hAnsi="Arial"/>
                <w:sz w:val="15"/>
                <w:szCs w:val="15"/>
                <w:color w:val="auto"/>
              </w:rPr>
              <w:t>524,078</w:t>
            </w:r>
          </w:p>
        </w:tc>
        <w:tc>
          <w:tcPr>
            <w:tcW w:w="200" w:type="dxa"/>
            <w:vAlign w:val="bottom"/>
          </w:tcPr>
          <w:p>
            <w:pPr>
              <w:jc w:val="right"/>
              <w:spacing w:after="0"/>
              <w:rPr>
                <w:sz w:val="20"/>
                <w:szCs w:val="20"/>
                <w:color w:val="auto"/>
              </w:rPr>
            </w:pPr>
            <w:r>
              <w:rPr>
                <w:rFonts w:ascii="Arial" w:cs="Arial" w:eastAsia="Arial" w:hAnsi="Arial"/>
                <w:sz w:val="15"/>
                <w:szCs w:val="15"/>
                <w:color w:val="auto"/>
              </w:rPr>
              <w:t>7</w:t>
            </w:r>
          </w:p>
        </w:tc>
      </w:tr>
    </w:tbl>
    <w:p>
      <w:pPr>
        <w:spacing w:after="0" w:line="1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Post’s</w:t>
      </w:r>
      <w:r>
        <w:rPr>
          <w:rFonts w:ascii="Arial" w:cs="Arial" w:eastAsia="Arial" w:hAnsi="Arial"/>
          <w:sz w:val="16"/>
          <w:szCs w:val="16"/>
          <w:color w:val="auto"/>
        </w:rPr>
        <w:t xml:space="preserve"> primary circulation territory accounts for more than 90% of its daily and Sunday circulation and consists of Washington, DC, and communit generally within a 50-mile radius from the city, but excluding Baltimore City and its northern and eastern suburbs. The current newsstand price in this a $1.00 for the daily newspaper after a $0.25 increase effective January 16, 2012, and $2.00 for the Sunday newspaper. The rate charged for each four-period for home-delivered copies of the daily and Sunday newspaper was raised to $25.40 effective January 16, 2012, from $23.48, which was effectiv March 14, 2011. The rate charged for Sunday-only home delivery has been $ 7.40 for each four-week period since January 18, 2010. Outside the prim circulation area, the current newsstand price is $1.00 for the daily newspaper and $2.50 for the Sunday newspaper. Rates for home-delivered copies o daily and Sunday newspaper outside the primary circulation area for each four-week period are $34.00, and $10.00 for the Sunday newspaper only.</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WP Company also publishes the newspaper’s Internet site, </w:t>
      </w:r>
      <w:r>
        <w:rPr>
          <w:rFonts w:ascii="Arial" w:cs="Arial" w:eastAsia="Arial" w:hAnsi="Arial"/>
          <w:sz w:val="17"/>
          <w:szCs w:val="17"/>
          <w:i w:val="1"/>
          <w:iCs w:val="1"/>
          <w:color w:val="auto"/>
        </w:rPr>
        <w:t>washingtonpost.com</w:t>
      </w:r>
      <w:r>
        <w:rPr>
          <w:rFonts w:ascii="Arial" w:cs="Arial" w:eastAsia="Arial" w:hAnsi="Arial"/>
          <w:sz w:val="17"/>
          <w:szCs w:val="17"/>
          <w:color w:val="auto"/>
        </w:rPr>
        <w:t xml:space="preserve">, that currently features much of the full editorial text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m the its classified advertising, as well as original content, blogs written by </w:t>
      </w:r>
      <w:r>
        <w:rPr>
          <w:rFonts w:ascii="Arial" w:cs="Arial" w:eastAsia="Arial" w:hAnsi="Arial"/>
          <w:sz w:val="17"/>
          <w:szCs w:val="17"/>
          <w:i w:val="1"/>
          <w:iCs w:val="1"/>
          <w:color w:val="auto"/>
        </w:rPr>
        <w:t>Post</w:t>
      </w:r>
      <w:r>
        <w:rPr>
          <w:rFonts w:ascii="Arial" w:cs="Arial" w:eastAsia="Arial" w:hAnsi="Arial"/>
          <w:sz w:val="17"/>
          <w:szCs w:val="17"/>
          <w:color w:val="auto"/>
        </w:rPr>
        <w:t xml:space="preserve"> reporters and others, interactive discussions hosted by </w:t>
      </w:r>
      <w:r>
        <w:rPr>
          <w:rFonts w:ascii="Arial" w:cs="Arial" w:eastAsia="Arial" w:hAnsi="Arial"/>
          <w:sz w:val="17"/>
          <w:szCs w:val="17"/>
          <w:i w:val="1"/>
          <w:iCs w:val="1"/>
          <w:color w:val="auto"/>
        </w:rPr>
        <w:t>Post</w:t>
      </w:r>
      <w:r>
        <w:rPr>
          <w:rFonts w:ascii="Arial" w:cs="Arial" w:eastAsia="Arial" w:hAnsi="Arial"/>
          <w:sz w:val="17"/>
          <w:szCs w:val="17"/>
          <w:color w:val="auto"/>
        </w:rPr>
        <w:t xml:space="preserve"> reporters an outside subject experts, user-generated comments and content obtained from other sources. The Internet site also features extensive information abo activities, groups and businesses in the Washington, DC, area, including arts and entertainment and news focusing on politics and on technology businesses and related policy issues.</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As measured by WP Company, this site averaged more than 273.4 million page views per month and had an average of 35.7 million unique visitors pe month during 2011. This site has developed a substantial audience of visitors who are outside the Washington, DC, area, and WP Company believes, on analytical data, that approximately 89% of the unique visitors who access the site each month are in that category. WP Company provides online advertisers with a wide range of options, including the ability to advertise on select pages or page combinations or to target specific geographic areas demographic groups. WP Company also provides content on websites specially formatted to be downloaded and displayed on web-enabled cell phon other personal digital devices. In addition to offering regular upgrades of general news smart phone applications, WP Company also offers niche smar phone applications focusing on sports, entertainment and politics.</w:t>
      </w:r>
    </w:p>
    <w:p>
      <w:pPr>
        <w:spacing w:after="0" w:line="16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Recent ventures launched by WP Company include </w:t>
      </w:r>
      <w:r>
        <w:rPr>
          <w:rFonts w:ascii="Arial" w:cs="Arial" w:eastAsia="Arial" w:hAnsi="Arial"/>
          <w:sz w:val="17"/>
          <w:szCs w:val="17"/>
          <w:i w:val="1"/>
          <w:iCs w:val="1"/>
          <w:color w:val="auto"/>
        </w:rPr>
        <w:t>Capital Business</w:t>
      </w:r>
      <w:r>
        <w:rPr>
          <w:rFonts w:ascii="Arial" w:cs="Arial" w:eastAsia="Arial" w:hAnsi="Arial"/>
          <w:sz w:val="17"/>
          <w:szCs w:val="17"/>
          <w:color w:val="auto"/>
        </w:rPr>
        <w:t xml:space="preserve">, a weekly local business news publication that is sold for $49 per year to </w:t>
      </w:r>
      <w:r>
        <w:rPr>
          <w:rFonts w:ascii="Arial" w:cs="Arial" w:eastAsia="Arial" w:hAnsi="Arial"/>
          <w:sz w:val="17"/>
          <w:szCs w:val="17"/>
          <w:i w:val="1"/>
          <w:iCs w:val="1"/>
          <w:color w:val="auto"/>
        </w:rPr>
        <w:t>Post</w:t>
      </w:r>
      <w:r>
        <w:rPr>
          <w:rFonts w:ascii="Arial" w:cs="Arial" w:eastAsia="Arial" w:hAnsi="Arial"/>
          <w:sz w:val="17"/>
          <w:szCs w:val="17"/>
          <w:color w:val="auto"/>
        </w:rPr>
        <w:t xml:space="preserve"> subscribers and $69 per year to non-</w:t>
      </w:r>
      <w:r>
        <w:rPr>
          <w:rFonts w:ascii="Arial" w:cs="Arial" w:eastAsia="Arial" w:hAnsi="Arial"/>
          <w:sz w:val="17"/>
          <w:szCs w:val="17"/>
          <w:i w:val="1"/>
          <w:iCs w:val="1"/>
          <w:color w:val="auto"/>
        </w:rPr>
        <w:t>Post</w:t>
      </w:r>
      <w:r>
        <w:rPr>
          <w:rFonts w:ascii="Arial" w:cs="Arial" w:eastAsia="Arial" w:hAnsi="Arial"/>
          <w:sz w:val="17"/>
          <w:szCs w:val="17"/>
          <w:color w:val="auto"/>
        </w:rPr>
        <w:t xml:space="preserve"> subscribers; </w:t>
      </w:r>
      <w:r>
        <w:rPr>
          <w:rFonts w:ascii="Arial" w:cs="Arial" w:eastAsia="Arial" w:hAnsi="Arial"/>
          <w:sz w:val="17"/>
          <w:szCs w:val="17"/>
          <w:i w:val="1"/>
          <w:iCs w:val="1"/>
          <w:color w:val="auto"/>
        </w:rPr>
        <w:t>Washington Post Live</w:t>
      </w:r>
      <w:r>
        <w:rPr>
          <w:rFonts w:ascii="Arial" w:cs="Arial" w:eastAsia="Arial" w:hAnsi="Arial"/>
          <w:sz w:val="17"/>
          <w:szCs w:val="17"/>
          <w:color w:val="auto"/>
        </w:rPr>
        <w:t xml:space="preserve">, a conference and events business that produces live journalism events derives revenue from sponsorships and ticket sales; </w:t>
      </w:r>
      <w:r>
        <w:rPr>
          <w:rFonts w:ascii="Arial" w:cs="Arial" w:eastAsia="Arial" w:hAnsi="Arial"/>
          <w:sz w:val="17"/>
          <w:szCs w:val="17"/>
          <w:i w:val="1"/>
          <w:iCs w:val="1"/>
          <w:color w:val="auto"/>
        </w:rPr>
        <w:t>The Capitol Dish</w:t>
      </w:r>
      <w:r>
        <w:rPr>
          <w:rFonts w:ascii="Arial" w:cs="Arial" w:eastAsia="Arial" w:hAnsi="Arial"/>
          <w:sz w:val="17"/>
          <w:szCs w:val="17"/>
          <w:color w:val="auto"/>
        </w:rPr>
        <w:t xml:space="preserve">, which was renamed </w:t>
      </w:r>
      <w:r>
        <w:rPr>
          <w:rFonts w:ascii="Arial" w:cs="Arial" w:eastAsia="Arial" w:hAnsi="Arial"/>
          <w:sz w:val="17"/>
          <w:szCs w:val="17"/>
          <w:i w:val="1"/>
          <w:iCs w:val="1"/>
          <w:color w:val="auto"/>
        </w:rPr>
        <w:t>The Capitol Deal</w:t>
      </w:r>
      <w:r>
        <w:rPr>
          <w:rFonts w:ascii="Arial" w:cs="Arial" w:eastAsia="Arial" w:hAnsi="Arial"/>
          <w:sz w:val="17"/>
          <w:szCs w:val="17"/>
          <w:color w:val="auto"/>
        </w:rPr>
        <w:t xml:space="preserve"> in March 2011, an Internet site that provi time-limited reduced-price offers for restaurants, travel destinations, services and entertainment events and shares revenue generated by the offers; a </w:t>
      </w:r>
      <w:r>
        <w:rPr>
          <w:rFonts w:ascii="Arial" w:cs="Arial" w:eastAsia="Arial" w:hAnsi="Arial"/>
          <w:sz w:val="17"/>
          <w:szCs w:val="17"/>
          <w:i w:val="1"/>
          <w:iCs w:val="1"/>
          <w:color w:val="auto"/>
        </w:rPr>
        <w:t>Service Alley</w:t>
      </w:r>
      <w:r>
        <w:rPr>
          <w:rFonts w:ascii="Arial" w:cs="Arial" w:eastAsia="Arial" w:hAnsi="Arial"/>
          <w:sz w:val="17"/>
          <w:szCs w:val="17"/>
          <w:color w:val="auto"/>
        </w:rPr>
        <w:t>, a website that offers a directory of home service providers for consumers, including ratings and reviews, and that generates revenue thr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listing and couponing fees paid by the service providers. </w:t>
      </w:r>
      <w:r>
        <w:rPr>
          <w:rFonts w:ascii="Arial" w:cs="Arial" w:eastAsia="Arial" w:hAnsi="Arial"/>
          <w:sz w:val="17"/>
          <w:szCs w:val="17"/>
          <w:i w:val="1"/>
          <w:iCs w:val="1"/>
          <w:color w:val="auto"/>
        </w:rPr>
        <w:t>Service Alley</w:t>
      </w:r>
      <w:r>
        <w:rPr>
          <w:rFonts w:ascii="Arial" w:cs="Arial" w:eastAsia="Arial" w:hAnsi="Arial"/>
          <w:sz w:val="17"/>
          <w:szCs w:val="17"/>
          <w:color w:val="auto"/>
        </w:rPr>
        <w:t xml:space="preserve"> is franchised in another national market, and WP Company is remunerated for providing technology and financial services.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began offering its iPad application on a free trial basis in November of 2010. It is anticipated th </w:t>
      </w:r>
      <w:r>
        <w:rPr>
          <w:rFonts w:ascii="Arial" w:cs="Arial" w:eastAsia="Arial" w:hAnsi="Arial"/>
          <w:sz w:val="17"/>
          <w:szCs w:val="17"/>
          <w:i w:val="1"/>
          <w:iCs w:val="1"/>
          <w:color w:val="auto"/>
        </w:rPr>
        <w:t xml:space="preserve">Post </w:t>
      </w:r>
      <w:r>
        <w:rPr>
          <w:rFonts w:ascii="Arial" w:cs="Arial" w:eastAsia="Arial" w:hAnsi="Arial"/>
          <w:sz w:val="17"/>
          <w:szCs w:val="17"/>
          <w:color w:val="auto"/>
        </w:rPr>
        <w:t>will begin charging for subscriptions in the future.</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WP Company and Bloomberg News operate The Washington Post News Service with Bloomberg News, which offers a selection of content from the </w:t>
      </w:r>
      <w:r>
        <w:rPr>
          <w:rFonts w:ascii="Arial" w:cs="Arial" w:eastAsia="Arial" w:hAnsi="Arial"/>
          <w:sz w:val="17"/>
          <w:szCs w:val="17"/>
          <w:i w:val="1"/>
          <w:iCs w:val="1"/>
          <w:color w:val="auto"/>
        </w:rPr>
        <w:t>P</w:t>
      </w:r>
      <w:r>
        <w:rPr>
          <w:rFonts w:ascii="Arial" w:cs="Arial" w:eastAsia="Arial" w:hAnsi="Arial"/>
          <w:sz w:val="17"/>
          <w:szCs w:val="17"/>
          <w:color w:val="auto"/>
        </w:rPr>
        <w:t xml:space="preserve"> and Bloomberg News stories to newspapers and other subscribers daily.</w:t>
      </w:r>
    </w:p>
    <w:p>
      <w:pPr>
        <w:spacing w:after="0" w:line="14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 xml:space="preserve">WP Company licenses content of </w:t>
      </w:r>
      <w:r>
        <w:rPr>
          <w:rFonts w:ascii="Arial" w:cs="Arial" w:eastAsia="Arial" w:hAnsi="Arial"/>
          <w:sz w:val="17"/>
          <w:szCs w:val="17"/>
          <w:i w:val="1"/>
          <w:iCs w:val="1"/>
          <w:color w:val="auto"/>
        </w:rPr>
        <w:t>The Post</w:t>
      </w:r>
      <w:r>
        <w:rPr>
          <w:rFonts w:ascii="Arial" w:cs="Arial" w:eastAsia="Arial" w:hAnsi="Arial"/>
          <w:sz w:val="17"/>
          <w:szCs w:val="17"/>
          <w:color w:val="auto"/>
        </w:rPr>
        <w:t xml:space="preserve"> to Ongo, Inc., an online subscription-based personal news service offering content from numerous news sources, including </w:t>
      </w:r>
      <w:r>
        <w:rPr>
          <w:rFonts w:ascii="Arial" w:cs="Arial" w:eastAsia="Arial" w:hAnsi="Arial"/>
          <w:sz w:val="17"/>
          <w:szCs w:val="17"/>
          <w:i w:val="1"/>
          <w:iCs w:val="1"/>
          <w:color w:val="auto"/>
        </w:rPr>
        <w:t>The New York Times, USA TODAY</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Financial Times</w:t>
      </w:r>
      <w:r>
        <w:rPr>
          <w:rFonts w:ascii="Arial" w:cs="Arial" w:eastAsia="Arial" w:hAnsi="Arial"/>
          <w:sz w:val="17"/>
          <w:szCs w:val="17"/>
          <w:color w:val="auto"/>
        </w:rPr>
        <w:t xml:space="preserve">, in addition to the </w:t>
      </w:r>
      <w:r>
        <w:rPr>
          <w:rFonts w:ascii="Arial" w:cs="Arial" w:eastAsia="Arial" w:hAnsi="Arial"/>
          <w:sz w:val="17"/>
          <w:szCs w:val="17"/>
          <w:i w:val="1"/>
          <w:iCs w:val="1"/>
          <w:color w:val="auto"/>
        </w:rPr>
        <w:t>Post</w:t>
      </w:r>
      <w:r>
        <w:rPr>
          <w:rFonts w:ascii="Arial" w:cs="Arial" w:eastAsia="Arial" w:hAnsi="Arial"/>
          <w:sz w:val="17"/>
          <w:szCs w:val="17"/>
          <w:color w:val="auto"/>
        </w:rPr>
        <w:t>.</w:t>
      </w:r>
    </w:p>
    <w:p>
      <w:pPr>
        <w:spacing w:after="0" w:line="164"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 xml:space="preserve">WP Company owns an interest in Classified Ventures, a newspaper industry company that offers online classified advertising databases for cars and apartment rentals. </w:t>
      </w:r>
      <w:r>
        <w:rPr>
          <w:rFonts w:ascii="Arial" w:cs="Arial" w:eastAsia="Arial" w:hAnsi="Arial"/>
          <w:sz w:val="17"/>
          <w:szCs w:val="17"/>
          <w:i w:val="1"/>
          <w:iCs w:val="1"/>
          <w:color w:val="auto"/>
        </w:rPr>
        <w:t>Washingtonpost.com</w:t>
      </w:r>
      <w:r>
        <w:rPr>
          <w:rFonts w:ascii="Arial" w:cs="Arial" w:eastAsia="Arial" w:hAnsi="Arial"/>
          <w:sz w:val="17"/>
          <w:szCs w:val="17"/>
          <w:color w:val="auto"/>
        </w:rPr>
        <w:t xml:space="preserve"> provides links to the Classified Ventures’ national car and apartment rental websites (</w:t>
      </w:r>
      <w:r>
        <w:rPr>
          <w:rFonts w:ascii="Arial" w:cs="Arial" w:eastAsia="Arial" w:hAnsi="Arial"/>
          <w:sz w:val="17"/>
          <w:szCs w:val="17"/>
          <w:i w:val="1"/>
          <w:iCs w:val="1"/>
          <w:color w:val="auto"/>
        </w:rPr>
        <w:t>cars.com</w:t>
      </w:r>
      <w:r>
        <w:rPr>
          <w:rFonts w:ascii="Arial" w:cs="Arial" w:eastAsia="Arial" w:hAnsi="Arial"/>
          <w:sz w:val="17"/>
          <w:szCs w:val="17"/>
          <w:color w:val="auto"/>
        </w:rPr>
        <w:t xml:space="preserve"> and </w:t>
      </w:r>
      <w:r>
        <w:rPr>
          <w:rFonts w:ascii="Arial" w:cs="Arial" w:eastAsia="Arial" w:hAnsi="Arial"/>
          <w:sz w:val="17"/>
          <w:szCs w:val="17"/>
          <w:i w:val="1"/>
          <w:iCs w:val="1"/>
          <w:color w:val="auto"/>
        </w:rPr>
        <w:t>apartments.com</w:t>
      </w:r>
      <w:r>
        <w:rPr>
          <w:rFonts w:ascii="Arial" w:cs="Arial" w:eastAsia="Arial" w:hAnsi="Arial"/>
          <w:sz w:val="17"/>
          <w:szCs w:val="17"/>
          <w:color w:val="auto"/>
        </w:rPr>
        <w:t>).</w:t>
      </w:r>
    </w:p>
    <w:p>
      <w:pPr>
        <w:spacing w:after="0" w:line="37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4" w:name="page25"/>
    <w:bookmarkEnd w:id="24"/>
    <w:p>
      <w:pPr>
        <w:ind w:left="9"/>
        <w:spacing w:after="0" w:line="233" w:lineRule="auto"/>
        <w:rPr>
          <w:sz w:val="20"/>
          <w:szCs w:val="20"/>
          <w:color w:val="auto"/>
        </w:rPr>
      </w:pPr>
      <w:r>
        <w:rPr>
          <w:rFonts w:ascii="Arial" w:cs="Arial" w:eastAsia="Arial" w:hAnsi="Arial"/>
          <w:sz w:val="17"/>
          <w:szCs w:val="17"/>
          <w:color w:val="auto"/>
        </w:rPr>
        <w:t>WP Company has about 536 full-time editors, producers, reporters, photographers and videographers on its staff. WP Company draws upon the news reporting facilities of the major wire services, maintains a network of correspondents and contract writers in international news centers and maintains reporters in eight local news bureaus.</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The Slate Group</w:t>
      </w:r>
    </w:p>
    <w:p>
      <w:pPr>
        <w:spacing w:after="0" w:line="179"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 xml:space="preserve">The Slate Group LLC (The Slate Group) publishes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 online magazine, and additional websites. </w:t>
      </w:r>
      <w:r>
        <w:rPr>
          <w:rFonts w:ascii="Arial" w:cs="Arial" w:eastAsia="Arial" w:hAnsi="Arial"/>
          <w:sz w:val="17"/>
          <w:szCs w:val="17"/>
          <w:i w:val="1"/>
          <w:iCs w:val="1"/>
          <w:color w:val="auto"/>
        </w:rPr>
        <w:t>Slate</w:t>
      </w:r>
      <w:r>
        <w:rPr>
          <w:rFonts w:ascii="Arial" w:cs="Arial" w:eastAsia="Arial" w:hAnsi="Arial"/>
          <w:sz w:val="17"/>
          <w:szCs w:val="17"/>
          <w:color w:val="auto"/>
        </w:rPr>
        <w:t xml:space="preserve"> features articles analyzing news, politics contemporary culture and adds new material on a daily basis. Content is supplied by the magazine’s own editorial staff, as well as by independent contributors. The Slate Group also publishes </w:t>
      </w:r>
      <w:r>
        <w:rPr>
          <w:rFonts w:ascii="Arial" w:cs="Arial" w:eastAsia="Arial" w:hAnsi="Arial"/>
          <w:sz w:val="17"/>
          <w:szCs w:val="17"/>
          <w:i w:val="1"/>
          <w:iCs w:val="1"/>
          <w:color w:val="auto"/>
        </w:rPr>
        <w:t>Slate V</w:t>
      </w:r>
      <w:r>
        <w:rPr>
          <w:rFonts w:ascii="Arial" w:cs="Arial" w:eastAsia="Arial" w:hAnsi="Arial"/>
          <w:sz w:val="17"/>
          <w:szCs w:val="17"/>
          <w:color w:val="auto"/>
        </w:rPr>
        <w:t xml:space="preserve">, an online video magazine; </w:t>
      </w:r>
      <w:r>
        <w:rPr>
          <w:rFonts w:ascii="Arial" w:cs="Arial" w:eastAsia="Arial" w:hAnsi="Arial"/>
          <w:sz w:val="17"/>
          <w:szCs w:val="17"/>
          <w:i w:val="1"/>
          <w:iCs w:val="1"/>
          <w:color w:val="auto"/>
        </w:rPr>
        <w:t>The Root</w:t>
      </w:r>
      <w:r>
        <w:rPr>
          <w:rFonts w:ascii="Arial" w:cs="Arial" w:eastAsia="Arial" w:hAnsi="Arial"/>
          <w:sz w:val="17"/>
          <w:szCs w:val="17"/>
          <w:color w:val="auto"/>
        </w:rPr>
        <w:t xml:space="preserve">, an online magazine focused on issues of importance to Afr Americans and others interested in black culture, offering daily news and provocative commentary on politics and culture. The Slate Group owns an in in E2J2 SAS, a company incorporated in France, which produces two French-language news magazine websites at </w:t>
      </w:r>
      <w:r>
        <w:rPr>
          <w:rFonts w:ascii="Arial" w:cs="Arial" w:eastAsia="Arial" w:hAnsi="Arial"/>
          <w:sz w:val="17"/>
          <w:szCs w:val="17"/>
          <w:i w:val="1"/>
          <w:iCs w:val="1"/>
          <w:color w:val="auto"/>
        </w:rPr>
        <w:t>slate.fr</w:t>
      </w:r>
      <w:r>
        <w:rPr>
          <w:rFonts w:ascii="Arial" w:cs="Arial" w:eastAsia="Arial" w:hAnsi="Arial"/>
          <w:sz w:val="17"/>
          <w:szCs w:val="17"/>
          <w:color w:val="auto"/>
        </w:rPr>
        <w:t xml:space="preserve"> and </w:t>
      </w:r>
      <w:r>
        <w:rPr>
          <w:rFonts w:ascii="Arial" w:cs="Arial" w:eastAsia="Arial" w:hAnsi="Arial"/>
          <w:sz w:val="17"/>
          <w:szCs w:val="17"/>
          <w:i w:val="1"/>
          <w:iCs w:val="1"/>
          <w:color w:val="auto"/>
        </w:rPr>
        <w:t>slateafrique.com</w:t>
      </w:r>
      <w:r>
        <w:rPr>
          <w:rFonts w:ascii="Arial" w:cs="Arial" w:eastAsia="Arial" w:hAnsi="Arial"/>
          <w:sz w:val="17"/>
          <w:szCs w:val="17"/>
          <w:color w:val="auto"/>
        </w:rPr>
        <w:t>. The Group provides content, technology, and branding support. The Slate Group has about 82 full-time employees who edit and produce content, and sell advertising for its various websites.</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Social Code</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Social Code LLC (Social Code) is an agency specializing in paid advertising on social-media platforms that started serving clients in July 2010.</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The FP Group</w:t>
      </w:r>
    </w:p>
    <w:p>
      <w:pPr>
        <w:spacing w:after="0" w:line="179" w:lineRule="exact"/>
        <w:rPr>
          <w:sz w:val="20"/>
          <w:szCs w:val="20"/>
          <w:color w:val="auto"/>
        </w:rPr>
      </w:pPr>
    </w:p>
    <w:p>
      <w:pPr>
        <w:ind w:left="9" w:right="40"/>
        <w:spacing w:after="0" w:line="253" w:lineRule="auto"/>
        <w:rPr>
          <w:sz w:val="20"/>
          <w:szCs w:val="20"/>
          <w:color w:val="auto"/>
        </w:rPr>
      </w:pPr>
      <w:r>
        <w:rPr>
          <w:rFonts w:ascii="Arial" w:cs="Arial" w:eastAsia="Arial" w:hAnsi="Arial"/>
          <w:sz w:val="17"/>
          <w:szCs w:val="17"/>
          <w:color w:val="auto"/>
        </w:rPr>
        <w:t xml:space="preserve">The FP Group publishes </w:t>
      </w:r>
      <w:r>
        <w:rPr>
          <w:rFonts w:ascii="Arial" w:cs="Arial" w:eastAsia="Arial" w:hAnsi="Arial"/>
          <w:sz w:val="17"/>
          <w:szCs w:val="17"/>
          <w:i w:val="1"/>
          <w:iCs w:val="1"/>
          <w:color w:val="auto"/>
        </w:rPr>
        <w:t>Foreign Policy</w:t>
      </w:r>
      <w:r>
        <w:rPr>
          <w:rFonts w:ascii="Arial" w:cs="Arial" w:eastAsia="Arial" w:hAnsi="Arial"/>
          <w:sz w:val="17"/>
          <w:szCs w:val="17"/>
          <w:color w:val="auto"/>
        </w:rPr>
        <w:t>, a bimonthly print magazine and website that features blogs and articles analyzing current events, business a policy news from around the world. In addition, FP Group hosts a number of foreign policy conferences every year.</w:t>
      </w:r>
    </w:p>
    <w:p>
      <w:pPr>
        <w:spacing w:after="0" w:line="14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Express Publications</w:t>
      </w:r>
    </w:p>
    <w:p>
      <w:pPr>
        <w:spacing w:after="0" w:line="179" w:lineRule="exact"/>
        <w:rPr>
          <w:sz w:val="20"/>
          <w:szCs w:val="20"/>
          <w:color w:val="auto"/>
        </w:rPr>
      </w:pPr>
    </w:p>
    <w:p>
      <w:pPr>
        <w:ind w:left="9" w:right="40"/>
        <w:spacing w:after="0" w:line="239" w:lineRule="auto"/>
        <w:rPr>
          <w:sz w:val="20"/>
          <w:szCs w:val="20"/>
          <w:color w:val="auto"/>
        </w:rPr>
      </w:pPr>
      <w:r>
        <w:rPr>
          <w:rFonts w:ascii="Arial" w:cs="Arial" w:eastAsia="Arial" w:hAnsi="Arial"/>
          <w:sz w:val="17"/>
          <w:szCs w:val="17"/>
          <w:color w:val="auto"/>
        </w:rPr>
        <w:t xml:space="preserve">Express Publications Company, LLC (Express Publications), another subsidiary of the Company, publishes </w:t>
      </w:r>
      <w:r>
        <w:rPr>
          <w:rFonts w:ascii="Arial" w:cs="Arial" w:eastAsia="Arial" w:hAnsi="Arial"/>
          <w:sz w:val="17"/>
          <w:szCs w:val="17"/>
          <w:i w:val="1"/>
          <w:iCs w:val="1"/>
          <w:color w:val="auto"/>
        </w:rPr>
        <w:t>Express</w:t>
      </w:r>
      <w:r>
        <w:rPr>
          <w:rFonts w:ascii="Arial" w:cs="Arial" w:eastAsia="Arial" w:hAnsi="Arial"/>
          <w:sz w:val="17"/>
          <w:szCs w:val="17"/>
          <w:color w:val="auto"/>
        </w:rPr>
        <w:t>, a weekday tabloid newspaper, w distributed free of charge using hawkers and news boxes near Metro stations</w:t>
      </w:r>
    </w:p>
    <w:p>
      <w:pPr>
        <w:ind w:left="9"/>
        <w:spacing w:after="0" w:line="229" w:lineRule="auto"/>
        <w:rPr>
          <w:sz w:val="20"/>
          <w:szCs w:val="20"/>
          <w:color w:val="auto"/>
        </w:rPr>
      </w:pPr>
      <w:r>
        <w:rPr>
          <w:rFonts w:ascii="Arial" w:cs="Arial" w:eastAsia="Arial" w:hAnsi="Arial"/>
          <w:sz w:val="17"/>
          <w:szCs w:val="17"/>
          <w:color w:val="auto"/>
        </w:rPr>
        <w:t>and in other locations in Washington, DC, and nearby suburbs with heavy daytime sidewalk traffic. A typical edition</w:t>
      </w:r>
    </w:p>
    <w:p>
      <w:pPr>
        <w:spacing w:after="0" w:line="1"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 xml:space="preserve">of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is 48 to 60 pages and contains short news, entertainment and sports stories, as well as both classified and display advertising. Current dail circulation is approximately 180,000 copies.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relies primarily on wire service and syndicated content and is edited by a full-time newsroom sta</w:t>
      </w:r>
    </w:p>
    <w:p>
      <w:pPr>
        <w:spacing w:after="0" w:line="1" w:lineRule="exact"/>
        <w:rPr>
          <w:sz w:val="20"/>
          <w:szCs w:val="20"/>
          <w:color w:val="auto"/>
        </w:rPr>
      </w:pPr>
    </w:p>
    <w:p>
      <w:pPr>
        <w:ind w:left="9" w:hanging="9"/>
        <w:spacing w:after="0" w:line="235" w:lineRule="auto"/>
        <w:tabs>
          <w:tab w:leader="none" w:pos="27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Advertising sales, production and certain other services for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are provided by WP Company. The </w:t>
      </w:r>
      <w:r>
        <w:rPr>
          <w:rFonts w:ascii="Arial" w:cs="Arial" w:eastAsia="Arial" w:hAnsi="Arial"/>
          <w:sz w:val="17"/>
          <w:szCs w:val="17"/>
          <w:i w:val="1"/>
          <w:iCs w:val="1"/>
          <w:color w:val="auto"/>
        </w:rPr>
        <w:t>Express</w:t>
      </w:r>
      <w:r>
        <w:rPr>
          <w:rFonts w:ascii="Arial" w:cs="Arial" w:eastAsia="Arial" w:hAnsi="Arial"/>
          <w:sz w:val="17"/>
          <w:szCs w:val="17"/>
          <w:color w:val="auto"/>
        </w:rPr>
        <w:t xml:space="preserve"> newsroom also produces a websi called </w:t>
      </w:r>
      <w:r>
        <w:rPr>
          <w:rFonts w:ascii="Arial" w:cs="Arial" w:eastAsia="Arial" w:hAnsi="Arial"/>
          <w:sz w:val="17"/>
          <w:szCs w:val="17"/>
          <w:i w:val="1"/>
          <w:iCs w:val="1"/>
          <w:color w:val="auto"/>
        </w:rPr>
        <w:t>ExpressNightOut.com,</w:t>
      </w:r>
      <w:r>
        <w:rPr>
          <w:rFonts w:ascii="Arial" w:cs="Arial" w:eastAsia="Arial" w:hAnsi="Arial"/>
          <w:sz w:val="17"/>
          <w:szCs w:val="17"/>
          <w:color w:val="auto"/>
        </w:rPr>
        <w:t xml:space="preserve"> which features entertainment and lifestyle coverage of local interest.</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Post–Newsweek Media</w:t>
      </w:r>
    </w:p>
    <w:p>
      <w:pPr>
        <w:spacing w:after="0" w:line="197"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 xml:space="preserve">The Company’s Post–Newsweek Media, Inc. (PNM) subsidiary publishes two weekly paid-circulation, three twice-weekly paid-circulation and 14 contr circulation weekly community newspapers. This subsidiary’s newspapers are divided into three groups: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which circulate in Montgomery, Prince George’s and Frederick counties and in parts of Carroll County, MD;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which circulate in southern Prince George’s County and in Charles, St. Mary’s and Calvert counties, MD; and the </w:t>
      </w:r>
      <w:r>
        <w:rPr>
          <w:rFonts w:ascii="Arial" w:cs="Arial" w:eastAsia="Arial" w:hAnsi="Arial"/>
          <w:sz w:val="16"/>
          <w:szCs w:val="16"/>
          <w:i w:val="1"/>
          <w:iCs w:val="1"/>
          <w:color w:val="auto"/>
        </w:rPr>
        <w:t>Fairfax County Times</w:t>
      </w:r>
      <w:r>
        <w:rPr>
          <w:rFonts w:ascii="Arial" w:cs="Arial" w:eastAsia="Arial" w:hAnsi="Arial"/>
          <w:sz w:val="16"/>
          <w:szCs w:val="16"/>
          <w:color w:val="auto"/>
        </w:rPr>
        <w:t>, which circulates in Fairfax County, VA. D 2011, these newspapers had a combined average circulation of approximately 714,000 copies. PNM also produces military newspapers (most of whic weekly) under agreements where editorial material is supplied by local military bases, with the exception of one independent newspaper. In 2011, the military newspapers produced by PNM had a combined average circulation of more than 102,000 copies.</w:t>
      </w:r>
    </w:p>
    <w:p>
      <w:pPr>
        <w:spacing w:after="0" w:line="156"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i w:val="1"/>
          <w:iCs w:val="1"/>
          <w:color w:val="auto"/>
        </w:rPr>
        <w:t xml:space="preserve">The Gazette Newspapers </w:t>
      </w:r>
      <w:r>
        <w:rPr>
          <w:rFonts w:ascii="Arial" w:cs="Arial" w:eastAsia="Arial" w:hAnsi="Arial"/>
          <w:sz w:val="17"/>
          <w:szCs w:val="17"/>
          <w:color w:val="auto"/>
        </w:rPr>
        <w:t>have a companion website (</w:t>
      </w:r>
      <w:r>
        <w:rPr>
          <w:rFonts w:ascii="Arial" w:cs="Arial" w:eastAsia="Arial" w:hAnsi="Arial"/>
          <w:sz w:val="17"/>
          <w:szCs w:val="17"/>
          <w:i w:val="1"/>
          <w:iCs w:val="1"/>
          <w:color w:val="auto"/>
        </w:rPr>
        <w:t>Gazette.net</w:t>
      </w:r>
      <w:r>
        <w:rPr>
          <w:rFonts w:ascii="Arial" w:cs="Arial" w:eastAsia="Arial" w:hAnsi="Arial"/>
          <w:sz w:val="17"/>
          <w:szCs w:val="17"/>
          <w:color w:val="auto"/>
        </w:rPr>
        <w:t>) that includes editorial material and classified advertising from the print newspapers</w:t>
      </w:r>
      <w:r>
        <w:rPr>
          <w:rFonts w:ascii="Arial" w:cs="Arial" w:eastAsia="Arial" w:hAnsi="Arial"/>
          <w:sz w:val="17"/>
          <w:szCs w:val="17"/>
          <w:i w:val="1"/>
          <w:iCs w:val="1"/>
          <w:color w:val="auto"/>
        </w:rPr>
        <w:t xml:space="preserve"> Southern Maryland Newspapers</w:t>
      </w:r>
      <w:r>
        <w:rPr>
          <w:rFonts w:ascii="Arial" w:cs="Arial" w:eastAsia="Arial" w:hAnsi="Arial"/>
          <w:sz w:val="17"/>
          <w:szCs w:val="17"/>
          <w:color w:val="auto"/>
        </w:rPr>
        <w:t>’ website (</w:t>
      </w:r>
      <w:r>
        <w:rPr>
          <w:rFonts w:ascii="Arial" w:cs="Arial" w:eastAsia="Arial" w:hAnsi="Arial"/>
          <w:sz w:val="17"/>
          <w:szCs w:val="17"/>
          <w:i w:val="1"/>
          <w:iCs w:val="1"/>
          <w:color w:val="auto"/>
        </w:rPr>
        <w:t>SoMdNews.com</w:t>
      </w:r>
      <w:r>
        <w:rPr>
          <w:rFonts w:ascii="Arial" w:cs="Arial" w:eastAsia="Arial" w:hAnsi="Arial"/>
          <w:sz w:val="17"/>
          <w:szCs w:val="17"/>
          <w:color w:val="auto"/>
        </w:rPr>
        <w:t>) also includes editorial and classified advertising from the print newspapers. The</w:t>
      </w:r>
      <w:r>
        <w:rPr>
          <w:rFonts w:ascii="Arial" w:cs="Arial" w:eastAsia="Arial" w:hAnsi="Arial"/>
          <w:sz w:val="17"/>
          <w:szCs w:val="17"/>
          <w:i w:val="1"/>
          <w:iCs w:val="1"/>
          <w:color w:val="auto"/>
        </w:rPr>
        <w:t xml:space="preserve"> Fairfax C Times </w:t>
      </w:r>
      <w:r>
        <w:rPr>
          <w:rFonts w:ascii="Arial" w:cs="Arial" w:eastAsia="Arial" w:hAnsi="Arial"/>
          <w:sz w:val="17"/>
          <w:szCs w:val="17"/>
          <w:color w:val="auto"/>
        </w:rPr>
        <w:t>website (</w:t>
      </w:r>
      <w:r>
        <w:rPr>
          <w:rFonts w:ascii="Arial" w:cs="Arial" w:eastAsia="Arial" w:hAnsi="Arial"/>
          <w:sz w:val="17"/>
          <w:szCs w:val="17"/>
          <w:i w:val="1"/>
          <w:iCs w:val="1"/>
          <w:color w:val="auto"/>
        </w:rPr>
        <w:t>FairfaxTimes.com</w:t>
      </w:r>
      <w:r>
        <w:rPr>
          <w:rFonts w:ascii="Arial" w:cs="Arial" w:eastAsia="Arial" w:hAnsi="Arial"/>
          <w:sz w:val="17"/>
          <w:szCs w:val="17"/>
          <w:color w:val="auto"/>
        </w:rPr>
        <w:t>) also includes editorials and classified advertising from the print newspapers. The military newspapers produced by</w:t>
      </w:r>
      <w:r>
        <w:rPr>
          <w:rFonts w:ascii="Arial" w:cs="Arial" w:eastAsia="Arial" w:hAnsi="Arial"/>
          <w:sz w:val="17"/>
          <w:szCs w:val="17"/>
          <w:i w:val="1"/>
          <w:iCs w:val="1"/>
          <w:color w:val="auto"/>
        </w:rPr>
        <w:t xml:space="preserve"> </w:t>
      </w:r>
      <w:r>
        <w:rPr>
          <w:rFonts w:ascii="Arial" w:cs="Arial" w:eastAsia="Arial" w:hAnsi="Arial"/>
          <w:sz w:val="17"/>
          <w:szCs w:val="17"/>
          <w:color w:val="auto"/>
        </w:rPr>
        <w:t>division are supported by a website (</w:t>
      </w:r>
      <w:r>
        <w:rPr>
          <w:rFonts w:ascii="Arial" w:cs="Arial" w:eastAsia="Arial" w:hAnsi="Arial"/>
          <w:sz w:val="17"/>
          <w:szCs w:val="17"/>
          <w:i w:val="1"/>
          <w:iCs w:val="1"/>
          <w:color w:val="auto"/>
        </w:rPr>
        <w:t>DCMilitary.com</w:t>
      </w:r>
      <w:r>
        <w:rPr>
          <w:rFonts w:ascii="Arial" w:cs="Arial" w:eastAsia="Arial" w:hAnsi="Arial"/>
          <w:sz w:val="17"/>
          <w:szCs w:val="17"/>
          <w:color w:val="auto"/>
        </w:rPr>
        <w:t>) that includes base guides and other features, as well as articles from the print newspapers. Each website also contains display advertising that is sold specifically for the site.</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6"/>
          <w:szCs w:val="16"/>
          <w:color w:val="auto"/>
        </w:rPr>
        <w:t>PNM employs approximately 123 editors, reporters and photographers. PNM also operates a commercial printing business in suburban Maryland.</w:t>
      </w:r>
    </w:p>
    <w:p>
      <w:pPr>
        <w:spacing w:after="0" w:line="200" w:lineRule="exact"/>
        <w:rPr>
          <w:sz w:val="20"/>
          <w:szCs w:val="20"/>
          <w:color w:val="auto"/>
        </w:rPr>
      </w:pPr>
    </w:p>
    <w:p>
      <w:pPr>
        <w:spacing w:after="0" w:line="21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25" w:name="page26"/>
    <w:bookmarkEnd w:id="25"/>
    <w:p>
      <w:pPr>
        <w:ind w:left="9"/>
        <w:spacing w:after="0"/>
        <w:rPr>
          <w:sz w:val="20"/>
          <w:szCs w:val="20"/>
          <w:color w:val="auto"/>
        </w:rPr>
      </w:pPr>
      <w:r>
        <w:rPr>
          <w:rFonts w:ascii="Arial" w:cs="Arial" w:eastAsia="Arial" w:hAnsi="Arial"/>
          <w:sz w:val="17"/>
          <w:szCs w:val="17"/>
          <w:b w:val="1"/>
          <w:bCs w:val="1"/>
          <w:color w:val="auto"/>
        </w:rPr>
        <w:t>The Herald</w:t>
      </w:r>
    </w:p>
    <w:p>
      <w:pPr>
        <w:spacing w:after="0" w:line="179" w:lineRule="exact"/>
        <w:rPr>
          <w:sz w:val="20"/>
          <w:szCs w:val="20"/>
          <w:color w:val="auto"/>
        </w:rPr>
      </w:pPr>
    </w:p>
    <w:p>
      <w:pPr>
        <w:jc w:val="both"/>
        <w:ind w:left="9"/>
        <w:spacing w:after="0" w:line="234" w:lineRule="auto"/>
        <w:rPr>
          <w:sz w:val="20"/>
          <w:szCs w:val="20"/>
          <w:color w:val="auto"/>
        </w:rPr>
      </w:pPr>
      <w:r>
        <w:rPr>
          <w:rFonts w:ascii="Arial" w:cs="Arial" w:eastAsia="Arial" w:hAnsi="Arial"/>
          <w:sz w:val="17"/>
          <w:szCs w:val="17"/>
          <w:color w:val="auto"/>
        </w:rPr>
        <w:t xml:space="preserve">The Company owns The Daily Herald Company, publisher of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in Everett, WA, about 30 miles north of Seattle.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is published morn seven days a week and is primarily distributed by home delivery in Snohomish County, WA, and online at </w:t>
      </w:r>
      <w:r>
        <w:rPr>
          <w:rFonts w:ascii="Arial" w:cs="Arial" w:eastAsia="Arial" w:hAnsi="Arial"/>
          <w:sz w:val="17"/>
          <w:szCs w:val="17"/>
          <w:i w:val="1"/>
          <w:iCs w:val="1"/>
          <w:color w:val="auto"/>
        </w:rPr>
        <w:t>HeraldNet.com.</w:t>
      </w:r>
      <w:r>
        <w:rPr>
          <w:rFonts w:ascii="Arial" w:cs="Arial" w:eastAsia="Arial" w:hAnsi="Arial"/>
          <w:sz w:val="17"/>
          <w:szCs w:val="17"/>
          <w:color w:val="auto"/>
        </w:rPr>
        <w:t xml:space="preserve"> The Daily Herald Company provides commercial printing services and is a regional print site for </w:t>
      </w:r>
      <w:r>
        <w:rPr>
          <w:rFonts w:ascii="Arial" w:cs="Arial" w:eastAsia="Arial" w:hAnsi="Arial"/>
          <w:sz w:val="17"/>
          <w:szCs w:val="17"/>
          <w:i w:val="1"/>
          <w:iCs w:val="1"/>
          <w:color w:val="auto"/>
        </w:rPr>
        <w:t>USA TODAY</w:t>
      </w:r>
      <w:r>
        <w:rPr>
          <w:rFonts w:ascii="Arial" w:cs="Arial" w:eastAsia="Arial" w:hAnsi="Arial"/>
          <w:sz w:val="17"/>
          <w:szCs w:val="17"/>
          <w:color w:val="auto"/>
        </w:rPr>
        <w:t xml:space="preserve">. The Daily Herald Company publishes </w:t>
      </w:r>
      <w:r>
        <w:rPr>
          <w:rFonts w:ascii="Arial" w:cs="Arial" w:eastAsia="Arial" w:hAnsi="Arial"/>
          <w:sz w:val="17"/>
          <w:szCs w:val="17"/>
          <w:i w:val="1"/>
          <w:iCs w:val="1"/>
          <w:color w:val="auto"/>
        </w:rPr>
        <w:t>The Weekly Herald</w:t>
      </w:r>
      <w:r>
        <w:rPr>
          <w:rFonts w:ascii="Arial" w:cs="Arial" w:eastAsia="Arial" w:hAnsi="Arial"/>
          <w:sz w:val="17"/>
          <w:szCs w:val="17"/>
          <w:color w:val="auto"/>
        </w:rPr>
        <w:t xml:space="preserve"> (formerly </w:t>
      </w:r>
      <w:r>
        <w:rPr>
          <w:rFonts w:ascii="Arial" w:cs="Arial" w:eastAsia="Arial" w:hAnsi="Arial"/>
          <w:sz w:val="17"/>
          <w:szCs w:val="17"/>
          <w:i w:val="1"/>
          <w:iCs w:val="1"/>
          <w:color w:val="auto"/>
        </w:rPr>
        <w:t>Enterprise</w:t>
      </w:r>
      <w:r>
        <w:rPr>
          <w:rFonts w:ascii="Arial" w:cs="Arial" w:eastAsia="Arial" w:hAnsi="Arial"/>
          <w:sz w:val="17"/>
          <w:szCs w:val="17"/>
          <w:color w:val="auto"/>
        </w:rPr>
        <w:t>) a community newspaper that is home delivered in south Snohomish County;</w:t>
      </w:r>
      <w:r>
        <w:rPr>
          <w:rFonts w:ascii="Arial" w:cs="Arial" w:eastAsia="Arial" w:hAnsi="Arial"/>
          <w:sz w:val="17"/>
          <w:szCs w:val="17"/>
          <w:i w:val="1"/>
          <w:iCs w:val="1"/>
          <w:color w:val="auto"/>
        </w:rPr>
        <w:t xml:space="preserve"> La Raza del Noroeste, </w:t>
      </w:r>
      <w:r>
        <w:rPr>
          <w:rFonts w:ascii="Arial" w:cs="Arial" w:eastAsia="Arial" w:hAnsi="Arial"/>
          <w:sz w:val="17"/>
          <w:szCs w:val="17"/>
          <w:color w:val="auto"/>
        </w:rPr>
        <w:t>a weekly Spanish-language newspap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 distributed in Snohomish, King, Skagit and northern Pierce counties; and the </w:t>
      </w:r>
      <w:r>
        <w:rPr>
          <w:rFonts w:ascii="Arial" w:cs="Arial" w:eastAsia="Arial" w:hAnsi="Arial"/>
          <w:sz w:val="17"/>
          <w:szCs w:val="17"/>
          <w:i w:val="1"/>
          <w:iCs w:val="1"/>
          <w:color w:val="auto"/>
        </w:rPr>
        <w:t>Snohomish County Business Journal</w:t>
      </w:r>
      <w:r>
        <w:rPr>
          <w:rFonts w:ascii="Arial" w:cs="Arial" w:eastAsia="Arial" w:hAnsi="Arial"/>
          <w:sz w:val="17"/>
          <w:szCs w:val="17"/>
          <w:color w:val="auto"/>
        </w:rPr>
        <w:t>, a monthly publication focused o Snohomish County business news.</w:t>
      </w:r>
    </w:p>
    <w:p>
      <w:pPr>
        <w:spacing w:after="0" w:line="160"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i w:val="1"/>
          <w:iCs w:val="1"/>
          <w:color w:val="auto"/>
        </w:rPr>
        <w:t>The Herald’</w:t>
      </w:r>
      <w:r>
        <w:rPr>
          <w:rFonts w:ascii="Arial" w:cs="Arial" w:eastAsia="Arial" w:hAnsi="Arial"/>
          <w:sz w:val="17"/>
          <w:szCs w:val="17"/>
          <w:color w:val="auto"/>
        </w:rPr>
        <w:t>s total average circulation as reported to ABC for the 12 months ending March 31, 2011, was 47,727 daily Monday through Friday, 47,082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Monday through Saturday and 49,245 Sunday. The aggregate average weekly circulation of </w:t>
      </w:r>
      <w:r>
        <w:rPr>
          <w:rFonts w:ascii="Arial" w:cs="Arial" w:eastAsia="Arial" w:hAnsi="Arial"/>
          <w:sz w:val="17"/>
          <w:szCs w:val="17"/>
          <w:i w:val="1"/>
          <w:iCs w:val="1"/>
          <w:color w:val="auto"/>
        </w:rPr>
        <w:t>The Weekly Herald</w:t>
      </w:r>
      <w:r>
        <w:rPr>
          <w:rFonts w:ascii="Arial" w:cs="Arial" w:eastAsia="Arial" w:hAnsi="Arial"/>
          <w:sz w:val="17"/>
          <w:szCs w:val="17"/>
          <w:color w:val="auto"/>
        </w:rPr>
        <w:t xml:space="preserve"> during the 12-month period ending March 31, 2011, was 50,849 copies as reported by Verified Audit Circulation. The circulation of </w:t>
      </w:r>
      <w:r>
        <w:rPr>
          <w:rFonts w:ascii="Arial" w:cs="Arial" w:eastAsia="Arial" w:hAnsi="Arial"/>
          <w:sz w:val="17"/>
          <w:szCs w:val="17"/>
          <w:i w:val="1"/>
          <w:iCs w:val="1"/>
          <w:color w:val="auto"/>
        </w:rPr>
        <w:t>La Raza del Noroeste</w:t>
      </w:r>
      <w:r>
        <w:rPr>
          <w:rFonts w:ascii="Arial" w:cs="Arial" w:eastAsia="Arial" w:hAnsi="Arial"/>
          <w:sz w:val="17"/>
          <w:szCs w:val="17"/>
          <w:color w:val="auto"/>
        </w:rPr>
        <w:t xml:space="preserve"> during the 12-month period end March 31, 2011, was 21,197 copies, as reported by Verified Audit Circulation. The monthly circulation of the </w:t>
      </w:r>
      <w:r>
        <w:rPr>
          <w:rFonts w:ascii="Arial" w:cs="Arial" w:eastAsia="Arial" w:hAnsi="Arial"/>
          <w:sz w:val="17"/>
          <w:szCs w:val="17"/>
          <w:i w:val="1"/>
          <w:iCs w:val="1"/>
          <w:color w:val="auto"/>
        </w:rPr>
        <w:t>Snohomish County Business Journal</w:t>
      </w:r>
      <w:r>
        <w:rPr>
          <w:rFonts w:ascii="Arial" w:cs="Arial" w:eastAsia="Arial" w:hAnsi="Arial"/>
          <w:sz w:val="17"/>
          <w:szCs w:val="17"/>
          <w:color w:val="auto"/>
        </w:rPr>
        <w:t xml:space="preserve"> is approximately 13,120 copies.</w:t>
      </w:r>
    </w:p>
    <w:p>
      <w:pPr>
        <w:spacing w:after="0" w:line="160" w:lineRule="exact"/>
        <w:rPr>
          <w:sz w:val="20"/>
          <w:szCs w:val="20"/>
          <w:color w:val="auto"/>
        </w:rPr>
      </w:pPr>
    </w:p>
    <w:p>
      <w:pPr>
        <w:ind w:left="9" w:right="420"/>
        <w:spacing w:after="0" w:line="253" w:lineRule="auto"/>
        <w:rPr>
          <w:sz w:val="20"/>
          <w:szCs w:val="20"/>
          <w:color w:val="auto"/>
        </w:rPr>
      </w:pPr>
      <w:r>
        <w:rPr>
          <w:rFonts w:ascii="Arial" w:cs="Arial" w:eastAsia="Arial" w:hAnsi="Arial"/>
          <w:sz w:val="17"/>
          <w:szCs w:val="17"/>
          <w:i w:val="1"/>
          <w:iCs w:val="1"/>
          <w:color w:val="auto"/>
        </w:rPr>
        <w:t xml:space="preserve">The Herald, The Weekly Herald, La Raza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Snohomish County Business Journal </w:t>
      </w:r>
      <w:r>
        <w:rPr>
          <w:rFonts w:ascii="Arial" w:cs="Arial" w:eastAsia="Arial" w:hAnsi="Arial"/>
          <w:sz w:val="17"/>
          <w:szCs w:val="17"/>
          <w:color w:val="auto"/>
        </w:rPr>
        <w:t>together employ approximately 67 editors, reporters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photographers.</w:t>
      </w:r>
    </w:p>
    <w:p>
      <w:pPr>
        <w:spacing w:after="0" w:line="182"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Greater Washington Publishing</w:t>
      </w:r>
    </w:p>
    <w:p>
      <w:pPr>
        <w:spacing w:after="0" w:line="197"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and websites. The periodical distributed in the greater Washington, DC, metropolitan area using sidewalk distribution boxes and community racks placed in free outlets targeting re new home buyers and seniors. Greater Washington Publishing’s periodicals are </w:t>
      </w:r>
      <w:r>
        <w:rPr>
          <w:rFonts w:ascii="Arial" w:cs="Arial" w:eastAsia="Arial" w:hAnsi="Arial"/>
          <w:sz w:val="16"/>
          <w:szCs w:val="16"/>
          <w:i w:val="1"/>
          <w:iCs w:val="1"/>
          <w:color w:val="auto"/>
        </w:rPr>
        <w:t>Apartment Showcase,</w:t>
      </w:r>
      <w:r>
        <w:rPr>
          <w:rFonts w:ascii="Arial" w:cs="Arial" w:eastAsia="Arial" w:hAnsi="Arial"/>
          <w:sz w:val="16"/>
          <w:szCs w:val="16"/>
          <w:color w:val="auto"/>
        </w:rPr>
        <w:t xml:space="preserve"> which is published monthly and has an averag circulation of about 39,000 copies; </w:t>
      </w:r>
      <w:r>
        <w:rPr>
          <w:rFonts w:ascii="Arial" w:cs="Arial" w:eastAsia="Arial" w:hAnsi="Arial"/>
          <w:sz w:val="16"/>
          <w:szCs w:val="16"/>
          <w:i w:val="1"/>
          <w:iCs w:val="1"/>
          <w:color w:val="auto"/>
        </w:rPr>
        <w:t>New Homes Guide,</w:t>
      </w:r>
      <w:r>
        <w:rPr>
          <w:rFonts w:ascii="Arial" w:cs="Arial" w:eastAsia="Arial" w:hAnsi="Arial"/>
          <w:sz w:val="16"/>
          <w:szCs w:val="16"/>
          <w:color w:val="auto"/>
        </w:rPr>
        <w:t xml:space="preserve"> which is published six times a year and has an average circulation of about 43,500 copies; and </w:t>
      </w:r>
      <w:r>
        <w:rPr>
          <w:rFonts w:ascii="Arial" w:cs="Arial" w:eastAsia="Arial" w:hAnsi="Arial"/>
          <w:sz w:val="16"/>
          <w:szCs w:val="16"/>
          <w:i w:val="1"/>
          <w:iCs w:val="1"/>
          <w:color w:val="auto"/>
        </w:rPr>
        <w:t xml:space="preserve">Guide to Retirement Living Sourcebook, </w:t>
      </w:r>
      <w:r>
        <w:rPr>
          <w:rFonts w:ascii="Arial" w:cs="Arial" w:eastAsia="Arial" w:hAnsi="Arial"/>
          <w:sz w:val="16"/>
          <w:szCs w:val="16"/>
          <w:color w:val="auto"/>
        </w:rPr>
        <w:t>which is published nine times a year and has an average circulation of about 38,000 copies.</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El Tiempo Latino</w:t>
      </w:r>
    </w:p>
    <w:p>
      <w:pPr>
        <w:spacing w:after="0" w:line="179" w:lineRule="exact"/>
        <w:rPr>
          <w:sz w:val="20"/>
          <w:szCs w:val="20"/>
          <w:color w:val="auto"/>
        </w:rPr>
      </w:pPr>
    </w:p>
    <w:p>
      <w:pPr>
        <w:jc w:val="both"/>
        <w:ind w:left="9"/>
        <w:spacing w:after="0" w:line="250" w:lineRule="auto"/>
        <w:rPr>
          <w:sz w:val="20"/>
          <w:szCs w:val="20"/>
          <w:color w:val="auto"/>
        </w:rPr>
      </w:pPr>
      <w:r>
        <w:rPr>
          <w:rFonts w:ascii="Arial" w:cs="Arial" w:eastAsia="Arial" w:hAnsi="Arial"/>
          <w:sz w:val="16"/>
          <w:szCs w:val="16"/>
          <w:color w:val="auto"/>
        </w:rPr>
        <w:t xml:space="preserve">El Tiempo Latino LLC publishes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 weekly Spanish-language newspaper that is distributed free of charge in northern Virginia, suburb Maryland and Washington, DC, using sidewalk news boxes and retail locations that provide space for distribution.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provides a mix of l national and international news together with sports and community events coverage and has a current circulation of approximately 50,000 copies.</w:t>
      </w:r>
    </w:p>
    <w:p>
      <w:pPr>
        <w:spacing w:after="0" w:line="1"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Employees of the newspaper handle advertising sales and prepress production, and content is provided by a combination of wire service copy, contrib from freelance writers and photographers and stories produced by the newspaper’s own editorial staff.</w:t>
      </w:r>
    </w:p>
    <w:p>
      <w:pPr>
        <w:spacing w:after="0" w:line="156" w:lineRule="exact"/>
        <w:rPr>
          <w:sz w:val="20"/>
          <w:szCs w:val="20"/>
          <w:color w:val="auto"/>
        </w:rPr>
      </w:pPr>
    </w:p>
    <w:p>
      <w:pPr>
        <w:ind w:left="4769"/>
        <w:spacing w:after="0"/>
        <w:rPr>
          <w:sz w:val="20"/>
          <w:szCs w:val="20"/>
          <w:color w:val="auto"/>
        </w:rPr>
      </w:pPr>
      <w:r>
        <w:rPr>
          <w:rFonts w:ascii="Arial" w:cs="Arial" w:eastAsia="Arial" w:hAnsi="Arial"/>
          <w:sz w:val="17"/>
          <w:szCs w:val="17"/>
          <w:b w:val="1"/>
          <w:bCs w:val="1"/>
          <w:color w:val="auto"/>
        </w:rPr>
        <w:t>Television Broadcasting</w:t>
      </w:r>
    </w:p>
    <w:p>
      <w:pPr>
        <w:spacing w:after="0" w:line="197" w:lineRule="exact"/>
        <w:rPr>
          <w:sz w:val="20"/>
          <w:szCs w:val="20"/>
          <w:color w:val="auto"/>
        </w:rPr>
      </w:pPr>
    </w:p>
    <w:p>
      <w:pPr>
        <w:jc w:val="both"/>
        <w:ind w:left="9"/>
        <w:spacing w:after="0" w:line="260" w:lineRule="auto"/>
        <w:rPr>
          <w:sz w:val="20"/>
          <w:szCs w:val="20"/>
          <w:color w:val="auto"/>
        </w:rPr>
      </w:pPr>
      <w:r>
        <w:rPr>
          <w:rFonts w:ascii="Arial" w:cs="Arial" w:eastAsia="Arial" w:hAnsi="Arial"/>
          <w:sz w:val="16"/>
          <w:szCs w:val="16"/>
          <w:color w:val="auto"/>
        </w:rPr>
        <w:t>Post–Newsweek Stations, Inc. (PNS), a subsidiary of the Company, owns six television stations located in Houston, TX; Detroit, MI; Miami, FL; Orland San Antonio, TX; and Jacksonville, FL. The following table sets forth certain information with respect to each of the Company’s television stations:</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2700" w:type="dxa"/>
            <w:vAlign w:val="bottom"/>
          </w:tcPr>
          <w:p>
            <w:pPr>
              <w:jc w:val="center"/>
              <w:spacing w:after="0"/>
              <w:rPr>
                <w:sz w:val="20"/>
                <w:szCs w:val="20"/>
                <w:color w:val="auto"/>
              </w:rPr>
            </w:pPr>
            <w:r>
              <w:rPr>
                <w:rFonts w:ascii="Arial" w:cs="Arial" w:eastAsia="Arial" w:hAnsi="Arial"/>
                <w:sz w:val="12"/>
                <w:szCs w:val="12"/>
                <w:b w:val="1"/>
                <w:bCs w:val="1"/>
                <w:color w:val="auto"/>
              </w:rPr>
              <w:t>Station Location and</w:t>
            </w:r>
          </w:p>
        </w:tc>
        <w:tc>
          <w:tcPr>
            <w:tcW w:w="1820" w:type="dxa"/>
            <w:vAlign w:val="bottom"/>
          </w:tcPr>
          <w:p>
            <w:pPr>
              <w:jc w:val="center"/>
              <w:ind w:left="58"/>
              <w:spacing w:after="0"/>
              <w:rPr>
                <w:sz w:val="20"/>
                <w:szCs w:val="20"/>
                <w:color w:val="auto"/>
              </w:rPr>
            </w:pPr>
            <w:r>
              <w:rPr>
                <w:rFonts w:ascii="Arial" w:cs="Arial" w:eastAsia="Arial" w:hAnsi="Arial"/>
                <w:sz w:val="12"/>
                <w:szCs w:val="12"/>
                <w:b w:val="1"/>
                <w:bCs w:val="1"/>
                <w:color w:val="auto"/>
              </w:rPr>
              <w:t>National</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rPr>
              <w:t>Primary</w:t>
            </w: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840" w:type="dxa"/>
            <w:vAlign w:val="bottom"/>
          </w:tcPr>
          <w:p>
            <w:pPr>
              <w:jc w:val="center"/>
              <w:ind w:left="58"/>
              <w:spacing w:after="0"/>
              <w:rPr>
                <w:sz w:val="20"/>
                <w:szCs w:val="20"/>
                <w:color w:val="auto"/>
              </w:rPr>
            </w:pPr>
            <w:r>
              <w:rPr>
                <w:rFonts w:ascii="Arial" w:cs="Arial" w:eastAsia="Arial" w:hAnsi="Arial"/>
                <w:sz w:val="12"/>
                <w:szCs w:val="12"/>
                <w:b w:val="1"/>
                <w:bCs w:val="1"/>
                <w:color w:val="auto"/>
              </w:rPr>
              <w:t>Expiration Date</w:t>
            </w:r>
          </w:p>
        </w:tc>
        <w:tc>
          <w:tcPr>
            <w:tcW w:w="1220" w:type="dxa"/>
            <w:vAlign w:val="bottom"/>
          </w:tcPr>
          <w:p>
            <w:pPr>
              <w:jc w:val="right"/>
              <w:spacing w:after="0"/>
              <w:rPr>
                <w:sz w:val="20"/>
                <w:szCs w:val="20"/>
                <w:color w:val="auto"/>
              </w:rPr>
            </w:pPr>
            <w:r>
              <w:rPr>
                <w:rFonts w:ascii="Arial" w:cs="Arial" w:eastAsia="Arial" w:hAnsi="Arial"/>
                <w:sz w:val="12"/>
                <w:szCs w:val="12"/>
                <w:b w:val="1"/>
                <w:bCs w:val="1"/>
                <w:color w:val="auto"/>
              </w:rPr>
              <w:t>Total Commer</w:t>
            </w:r>
          </w:p>
        </w:tc>
      </w:tr>
      <w:tr>
        <w:trPr>
          <w:trHeight w:val="137"/>
        </w:trPr>
        <w:tc>
          <w:tcPr>
            <w:tcW w:w="27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Year Commercial</w:t>
            </w:r>
          </w:p>
        </w:tc>
        <w:tc>
          <w:tcPr>
            <w:tcW w:w="1820" w:type="dxa"/>
            <w:vAlign w:val="bottom"/>
          </w:tcPr>
          <w:p>
            <w:pPr>
              <w:jc w:val="center"/>
              <w:ind w:left="38"/>
              <w:spacing w:after="0" w:line="137" w:lineRule="exact"/>
              <w:rPr>
                <w:sz w:val="20"/>
                <w:szCs w:val="20"/>
                <w:color w:val="auto"/>
              </w:rPr>
            </w:pPr>
            <w:r>
              <w:rPr>
                <w:rFonts w:ascii="Arial" w:cs="Arial" w:eastAsia="Arial" w:hAnsi="Arial"/>
                <w:sz w:val="12"/>
                <w:szCs w:val="12"/>
                <w:b w:val="1"/>
                <w:bCs w:val="1"/>
                <w:color w:val="auto"/>
              </w:rPr>
              <w:t>Market</w:t>
            </w:r>
          </w:p>
        </w:tc>
        <w:tc>
          <w:tcPr>
            <w:tcW w:w="16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Network</w:t>
            </w:r>
          </w:p>
        </w:tc>
        <w:tc>
          <w:tcPr>
            <w:tcW w:w="17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Date of FCC</w:t>
            </w:r>
          </w:p>
        </w:tc>
        <w:tc>
          <w:tcPr>
            <w:tcW w:w="1840" w:type="dxa"/>
            <w:vAlign w:val="bottom"/>
          </w:tcPr>
          <w:p>
            <w:pPr>
              <w:jc w:val="center"/>
              <w:ind w:left="58"/>
              <w:spacing w:after="0" w:line="137" w:lineRule="exact"/>
              <w:rPr>
                <w:sz w:val="20"/>
                <w:szCs w:val="20"/>
                <w:color w:val="auto"/>
              </w:rPr>
            </w:pPr>
            <w:r>
              <w:rPr>
                <w:rFonts w:ascii="Arial" w:cs="Arial" w:eastAsia="Arial" w:hAnsi="Arial"/>
                <w:sz w:val="12"/>
                <w:szCs w:val="12"/>
                <w:b w:val="1"/>
                <w:bCs w:val="1"/>
                <w:color w:val="auto"/>
              </w:rPr>
              <w:t>of Network</w:t>
            </w:r>
          </w:p>
        </w:tc>
        <w:tc>
          <w:tcPr>
            <w:tcW w:w="122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Stations</w:t>
            </w:r>
          </w:p>
        </w:tc>
      </w:tr>
      <w:tr>
        <w:trPr>
          <w:trHeight w:val="15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Operation Commenced</w:t>
            </w:r>
          </w:p>
        </w:tc>
        <w:tc>
          <w:tcPr>
            <w:tcW w:w="182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Ranking (a)</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Affiliation</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License</w:t>
            </w:r>
          </w:p>
        </w:tc>
        <w:tc>
          <w:tcPr>
            <w:tcW w:w="184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Agreement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DMA (b)</w:t>
            </w:r>
          </w:p>
        </w:tc>
      </w:tr>
      <w:tr>
        <w:trPr>
          <w:trHeight w:val="141"/>
        </w:trPr>
        <w:tc>
          <w:tcPr>
            <w:tcW w:w="2700" w:type="dxa"/>
            <w:vAlign w:val="bottom"/>
          </w:tcPr>
          <w:p>
            <w:pPr>
              <w:spacing w:after="0"/>
              <w:rPr>
                <w:sz w:val="20"/>
                <w:szCs w:val="20"/>
                <w:color w:val="auto"/>
              </w:rPr>
            </w:pPr>
            <w:r>
              <w:rPr>
                <w:rFonts w:ascii="Arial" w:cs="Arial" w:eastAsia="Arial" w:hAnsi="Arial"/>
                <w:sz w:val="12"/>
                <w:szCs w:val="12"/>
                <w:color w:val="auto"/>
              </w:rPr>
              <w:t>KPRC, Houston, TX, 1949</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10th</w:t>
            </w:r>
          </w:p>
        </w:tc>
        <w:tc>
          <w:tcPr>
            <w:tcW w:w="1620" w:type="dxa"/>
            <w:vAlign w:val="bottom"/>
          </w:tcPr>
          <w:p>
            <w:pPr>
              <w:jc w:val="center"/>
              <w:spacing w:after="0"/>
              <w:rPr>
                <w:sz w:val="20"/>
                <w:szCs w:val="20"/>
                <w:color w:val="auto"/>
              </w:rPr>
            </w:pPr>
            <w:r>
              <w:rPr>
                <w:rFonts w:ascii="Arial" w:cs="Arial" w:eastAsia="Arial" w:hAnsi="Arial"/>
                <w:sz w:val="12"/>
                <w:szCs w:val="12"/>
                <w:color w:val="auto"/>
              </w:rPr>
              <w:t>NBC</w:t>
            </w:r>
          </w:p>
        </w:tc>
        <w:tc>
          <w:tcPr>
            <w:tcW w:w="1740" w:type="dxa"/>
            <w:vAlign w:val="bottom"/>
          </w:tcPr>
          <w:p>
            <w:pPr>
              <w:jc w:val="center"/>
              <w:spacing w:after="0"/>
              <w:rPr>
                <w:sz w:val="20"/>
                <w:szCs w:val="20"/>
                <w:color w:val="auto"/>
              </w:rPr>
            </w:pPr>
            <w:r>
              <w:rPr>
                <w:rFonts w:ascii="Arial" w:cs="Arial" w:eastAsia="Arial" w:hAnsi="Arial"/>
                <w:sz w:val="12"/>
                <w:szCs w:val="12"/>
                <w:color w:val="auto"/>
              </w:rPr>
              <w:t>Aug. 1, 2014</w:t>
            </w:r>
          </w:p>
        </w:tc>
        <w:tc>
          <w:tcPr>
            <w:tcW w:w="1840" w:type="dxa"/>
            <w:vAlign w:val="bottom"/>
          </w:tcPr>
          <w:p>
            <w:pPr>
              <w:jc w:val="center"/>
              <w:ind w:left="58"/>
              <w:spacing w:after="0"/>
              <w:rPr>
                <w:sz w:val="20"/>
                <w:szCs w:val="20"/>
                <w:color w:val="auto"/>
              </w:rPr>
            </w:pPr>
            <w:r>
              <w:rPr>
                <w:rFonts w:ascii="Arial" w:cs="Arial" w:eastAsia="Arial" w:hAnsi="Arial"/>
                <w:sz w:val="12"/>
                <w:szCs w:val="12"/>
                <w:color w:val="auto"/>
              </w:rPr>
              <w:t>Dec. 31, 2016</w:t>
            </w:r>
          </w:p>
        </w:tc>
        <w:tc>
          <w:tcPr>
            <w:tcW w:w="1220" w:type="dxa"/>
            <w:vAlign w:val="bottom"/>
          </w:tcPr>
          <w:p>
            <w:pPr>
              <w:jc w:val="center"/>
              <w:ind w:left="538"/>
              <w:spacing w:after="0"/>
              <w:rPr>
                <w:sz w:val="20"/>
                <w:szCs w:val="20"/>
                <w:color w:val="auto"/>
              </w:rPr>
            </w:pPr>
            <w:r>
              <w:rPr>
                <w:rFonts w:ascii="Arial" w:cs="Arial" w:eastAsia="Arial" w:hAnsi="Arial"/>
                <w:sz w:val="12"/>
                <w:szCs w:val="12"/>
                <w:color w:val="auto"/>
              </w:rPr>
              <w:t>14</w:t>
            </w:r>
          </w:p>
        </w:tc>
      </w:tr>
      <w:tr>
        <w:trPr>
          <w:trHeight w:val="235"/>
        </w:trPr>
        <w:tc>
          <w:tcPr>
            <w:tcW w:w="2700" w:type="dxa"/>
            <w:vAlign w:val="bottom"/>
          </w:tcPr>
          <w:p>
            <w:pPr>
              <w:spacing w:after="0"/>
              <w:rPr>
                <w:sz w:val="20"/>
                <w:szCs w:val="20"/>
                <w:color w:val="auto"/>
              </w:rPr>
            </w:pPr>
            <w:r>
              <w:rPr>
                <w:rFonts w:ascii="Arial" w:cs="Arial" w:eastAsia="Arial" w:hAnsi="Arial"/>
                <w:sz w:val="12"/>
                <w:szCs w:val="12"/>
                <w:color w:val="auto"/>
              </w:rPr>
              <w:t>WDIV, Detroit, MI, 1947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11th</w:t>
            </w:r>
          </w:p>
        </w:tc>
        <w:tc>
          <w:tcPr>
            <w:tcW w:w="1620" w:type="dxa"/>
            <w:vAlign w:val="bottom"/>
          </w:tcPr>
          <w:p>
            <w:pPr>
              <w:jc w:val="center"/>
              <w:spacing w:after="0"/>
              <w:rPr>
                <w:sz w:val="20"/>
                <w:szCs w:val="20"/>
                <w:color w:val="auto"/>
              </w:rPr>
            </w:pPr>
            <w:r>
              <w:rPr>
                <w:rFonts w:ascii="Arial" w:cs="Arial" w:eastAsia="Arial" w:hAnsi="Arial"/>
                <w:sz w:val="12"/>
                <w:szCs w:val="12"/>
                <w:color w:val="auto"/>
              </w:rPr>
              <w:t>NBC</w:t>
            </w:r>
          </w:p>
        </w:tc>
        <w:tc>
          <w:tcPr>
            <w:tcW w:w="1740" w:type="dxa"/>
            <w:vAlign w:val="bottom"/>
          </w:tcPr>
          <w:p>
            <w:pPr>
              <w:jc w:val="center"/>
              <w:spacing w:after="0"/>
              <w:rPr>
                <w:sz w:val="20"/>
                <w:szCs w:val="20"/>
                <w:color w:val="auto"/>
              </w:rPr>
            </w:pPr>
            <w:r>
              <w:rPr>
                <w:rFonts w:ascii="Arial" w:cs="Arial" w:eastAsia="Arial" w:hAnsi="Arial"/>
                <w:sz w:val="12"/>
                <w:szCs w:val="12"/>
                <w:color w:val="auto"/>
              </w:rPr>
              <w:t>Oct. 1, 2013</w:t>
            </w:r>
          </w:p>
        </w:tc>
        <w:tc>
          <w:tcPr>
            <w:tcW w:w="1840" w:type="dxa"/>
            <w:vAlign w:val="bottom"/>
          </w:tcPr>
          <w:p>
            <w:pPr>
              <w:jc w:val="center"/>
              <w:ind w:left="38"/>
              <w:spacing w:after="0"/>
              <w:rPr>
                <w:sz w:val="20"/>
                <w:szCs w:val="20"/>
                <w:color w:val="auto"/>
              </w:rPr>
            </w:pPr>
            <w:r>
              <w:rPr>
                <w:rFonts w:ascii="Arial" w:cs="Arial" w:eastAsia="Arial" w:hAnsi="Arial"/>
                <w:sz w:val="12"/>
                <w:szCs w:val="12"/>
                <w:color w:val="auto"/>
              </w:rPr>
              <w:t>Dec. 31, 2016</w:t>
            </w:r>
          </w:p>
        </w:tc>
        <w:tc>
          <w:tcPr>
            <w:tcW w:w="1220" w:type="dxa"/>
            <w:vAlign w:val="bottom"/>
          </w:tcPr>
          <w:p>
            <w:pPr>
              <w:jc w:val="center"/>
              <w:ind w:left="518"/>
              <w:spacing w:after="0"/>
              <w:rPr>
                <w:sz w:val="20"/>
                <w:szCs w:val="20"/>
                <w:color w:val="auto"/>
              </w:rPr>
            </w:pPr>
            <w:r>
              <w:rPr>
                <w:rFonts w:ascii="Arial" w:cs="Arial" w:eastAsia="Arial" w:hAnsi="Arial"/>
                <w:sz w:val="12"/>
                <w:szCs w:val="12"/>
                <w:color w:val="auto"/>
              </w:rPr>
              <w:t>8</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WPLG, Miami, FL, 1961</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16th</w:t>
            </w:r>
          </w:p>
        </w:tc>
        <w:tc>
          <w:tcPr>
            <w:tcW w:w="1620" w:type="dxa"/>
            <w:vAlign w:val="bottom"/>
          </w:tcPr>
          <w:p>
            <w:pPr>
              <w:jc w:val="center"/>
              <w:spacing w:after="0"/>
              <w:rPr>
                <w:sz w:val="20"/>
                <w:szCs w:val="20"/>
                <w:color w:val="auto"/>
              </w:rPr>
            </w:pPr>
            <w:r>
              <w:rPr>
                <w:rFonts w:ascii="Arial" w:cs="Arial" w:eastAsia="Arial" w:hAnsi="Arial"/>
                <w:sz w:val="12"/>
                <w:szCs w:val="12"/>
                <w:color w:val="auto"/>
              </w:rPr>
              <w:t>ABC</w:t>
            </w:r>
          </w:p>
        </w:tc>
        <w:tc>
          <w:tcPr>
            <w:tcW w:w="174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40" w:type="dxa"/>
            <w:vAlign w:val="bottom"/>
          </w:tcPr>
          <w:p>
            <w:pPr>
              <w:jc w:val="center"/>
              <w:ind w:left="38"/>
              <w:spacing w:after="0"/>
              <w:rPr>
                <w:sz w:val="20"/>
                <w:szCs w:val="20"/>
                <w:color w:val="auto"/>
              </w:rPr>
            </w:pPr>
            <w:r>
              <w:rPr>
                <w:rFonts w:ascii="Arial" w:cs="Arial" w:eastAsia="Arial" w:hAnsi="Arial"/>
                <w:sz w:val="12"/>
                <w:szCs w:val="12"/>
                <w:color w:val="auto"/>
              </w:rPr>
              <w:t>Feb. 29, 2012 (c)</w:t>
            </w:r>
          </w:p>
        </w:tc>
        <w:tc>
          <w:tcPr>
            <w:tcW w:w="1220" w:type="dxa"/>
            <w:vAlign w:val="bottom"/>
          </w:tcPr>
          <w:p>
            <w:pPr>
              <w:jc w:val="center"/>
              <w:ind w:left="538"/>
              <w:spacing w:after="0"/>
              <w:rPr>
                <w:sz w:val="20"/>
                <w:szCs w:val="20"/>
                <w:color w:val="auto"/>
              </w:rPr>
            </w:pPr>
            <w:r>
              <w:rPr>
                <w:rFonts w:ascii="Arial" w:cs="Arial" w:eastAsia="Arial" w:hAnsi="Arial"/>
                <w:sz w:val="12"/>
                <w:szCs w:val="12"/>
                <w:color w:val="auto"/>
              </w:rPr>
              <w:t>13</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WKMG, Orlando, FL, 1954</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19th</w:t>
            </w:r>
          </w:p>
        </w:tc>
        <w:tc>
          <w:tcPr>
            <w:tcW w:w="1620" w:type="dxa"/>
            <w:vAlign w:val="bottom"/>
          </w:tcPr>
          <w:p>
            <w:pPr>
              <w:jc w:val="center"/>
              <w:spacing w:after="0"/>
              <w:rPr>
                <w:sz w:val="20"/>
                <w:szCs w:val="20"/>
                <w:color w:val="auto"/>
              </w:rPr>
            </w:pPr>
            <w:r>
              <w:rPr>
                <w:rFonts w:ascii="Arial" w:cs="Arial" w:eastAsia="Arial" w:hAnsi="Arial"/>
                <w:sz w:val="12"/>
                <w:szCs w:val="12"/>
                <w:color w:val="auto"/>
              </w:rPr>
              <w:t>CBS</w:t>
            </w:r>
          </w:p>
        </w:tc>
        <w:tc>
          <w:tcPr>
            <w:tcW w:w="174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40" w:type="dxa"/>
            <w:vAlign w:val="bottom"/>
          </w:tcPr>
          <w:p>
            <w:pPr>
              <w:jc w:val="center"/>
              <w:ind w:left="38"/>
              <w:spacing w:after="0"/>
              <w:rPr>
                <w:sz w:val="20"/>
                <w:szCs w:val="20"/>
                <w:color w:val="auto"/>
              </w:rPr>
            </w:pPr>
            <w:r>
              <w:rPr>
                <w:rFonts w:ascii="Arial" w:cs="Arial" w:eastAsia="Arial" w:hAnsi="Arial"/>
                <w:sz w:val="12"/>
                <w:szCs w:val="12"/>
                <w:color w:val="auto"/>
              </w:rPr>
              <w:t>Apr. 6, 2015</w:t>
            </w:r>
          </w:p>
        </w:tc>
        <w:tc>
          <w:tcPr>
            <w:tcW w:w="1220" w:type="dxa"/>
            <w:vAlign w:val="bottom"/>
          </w:tcPr>
          <w:p>
            <w:pPr>
              <w:jc w:val="center"/>
              <w:ind w:left="538"/>
              <w:spacing w:after="0"/>
              <w:rPr>
                <w:sz w:val="20"/>
                <w:szCs w:val="20"/>
                <w:color w:val="auto"/>
              </w:rPr>
            </w:pPr>
            <w:r>
              <w:rPr>
                <w:rFonts w:ascii="Arial" w:cs="Arial" w:eastAsia="Arial" w:hAnsi="Arial"/>
                <w:sz w:val="12"/>
                <w:szCs w:val="12"/>
                <w:color w:val="auto"/>
              </w:rPr>
              <w:t>13</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KSAT, San Antonio, TX, 1957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36th</w:t>
            </w:r>
          </w:p>
        </w:tc>
        <w:tc>
          <w:tcPr>
            <w:tcW w:w="1620" w:type="dxa"/>
            <w:vAlign w:val="bottom"/>
          </w:tcPr>
          <w:p>
            <w:pPr>
              <w:jc w:val="center"/>
              <w:spacing w:after="0"/>
              <w:rPr>
                <w:sz w:val="20"/>
                <w:szCs w:val="20"/>
                <w:color w:val="auto"/>
              </w:rPr>
            </w:pPr>
            <w:r>
              <w:rPr>
                <w:rFonts w:ascii="Arial" w:cs="Arial" w:eastAsia="Arial" w:hAnsi="Arial"/>
                <w:sz w:val="12"/>
                <w:szCs w:val="12"/>
                <w:color w:val="auto"/>
              </w:rPr>
              <w:t>ABC</w:t>
            </w:r>
          </w:p>
        </w:tc>
        <w:tc>
          <w:tcPr>
            <w:tcW w:w="1740" w:type="dxa"/>
            <w:vAlign w:val="bottom"/>
          </w:tcPr>
          <w:p>
            <w:pPr>
              <w:jc w:val="center"/>
              <w:spacing w:after="0"/>
              <w:rPr>
                <w:sz w:val="20"/>
                <w:szCs w:val="20"/>
                <w:color w:val="auto"/>
              </w:rPr>
            </w:pPr>
            <w:r>
              <w:rPr>
                <w:rFonts w:ascii="Arial" w:cs="Arial" w:eastAsia="Arial" w:hAnsi="Arial"/>
                <w:sz w:val="12"/>
                <w:szCs w:val="12"/>
                <w:color w:val="auto"/>
              </w:rPr>
              <w:t>Aug. 1, 2014</w:t>
            </w:r>
          </w:p>
        </w:tc>
        <w:tc>
          <w:tcPr>
            <w:tcW w:w="1840" w:type="dxa"/>
            <w:vAlign w:val="bottom"/>
          </w:tcPr>
          <w:p>
            <w:pPr>
              <w:jc w:val="center"/>
              <w:ind w:left="38"/>
              <w:spacing w:after="0"/>
              <w:rPr>
                <w:sz w:val="20"/>
                <w:szCs w:val="20"/>
                <w:color w:val="auto"/>
              </w:rPr>
            </w:pPr>
            <w:r>
              <w:rPr>
                <w:rFonts w:ascii="Arial" w:cs="Arial" w:eastAsia="Arial" w:hAnsi="Arial"/>
                <w:sz w:val="12"/>
                <w:szCs w:val="12"/>
                <w:color w:val="auto"/>
              </w:rPr>
              <w:t>Feb. 29, 2012 (c)</w:t>
            </w:r>
          </w:p>
        </w:tc>
        <w:tc>
          <w:tcPr>
            <w:tcW w:w="1220" w:type="dxa"/>
            <w:vAlign w:val="bottom"/>
          </w:tcPr>
          <w:p>
            <w:pPr>
              <w:jc w:val="center"/>
              <w:ind w:left="538"/>
              <w:spacing w:after="0"/>
              <w:rPr>
                <w:sz w:val="20"/>
                <w:szCs w:val="20"/>
                <w:color w:val="auto"/>
              </w:rPr>
            </w:pPr>
            <w:r>
              <w:rPr>
                <w:rFonts w:ascii="Arial" w:cs="Arial" w:eastAsia="Arial" w:hAnsi="Arial"/>
                <w:sz w:val="12"/>
                <w:szCs w:val="12"/>
                <w:color w:val="auto"/>
              </w:rPr>
              <w:t>10</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WJXT, Jacksonville, FL, 1947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50th</w:t>
            </w:r>
          </w:p>
        </w:tc>
        <w:tc>
          <w:tcPr>
            <w:tcW w:w="1620" w:type="dxa"/>
            <w:vAlign w:val="bottom"/>
          </w:tcPr>
          <w:p>
            <w:pPr>
              <w:jc w:val="center"/>
              <w:spacing w:after="0"/>
              <w:rPr>
                <w:sz w:val="20"/>
                <w:szCs w:val="20"/>
                <w:color w:val="auto"/>
              </w:rPr>
            </w:pPr>
            <w:r>
              <w:rPr>
                <w:rFonts w:ascii="Arial" w:cs="Arial" w:eastAsia="Arial" w:hAnsi="Arial"/>
                <w:sz w:val="12"/>
                <w:szCs w:val="12"/>
                <w:color w:val="auto"/>
              </w:rPr>
              <w:t>None</w:t>
            </w:r>
          </w:p>
        </w:tc>
        <w:tc>
          <w:tcPr>
            <w:tcW w:w="174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40" w:type="dxa"/>
            <w:vAlign w:val="bottom"/>
          </w:tcPr>
          <w:p>
            <w:pPr>
              <w:jc w:val="center"/>
              <w:ind w:left="58"/>
              <w:spacing w:after="0"/>
              <w:rPr>
                <w:sz w:val="20"/>
                <w:szCs w:val="20"/>
                <w:color w:val="auto"/>
              </w:rPr>
            </w:pPr>
            <w:r>
              <w:rPr>
                <w:rFonts w:ascii="Arial" w:cs="Arial" w:eastAsia="Arial" w:hAnsi="Arial"/>
                <w:sz w:val="12"/>
                <w:szCs w:val="12"/>
                <w:color w:val="auto"/>
                <w:w w:val="99"/>
              </w:rPr>
              <w:t>—</w:t>
            </w:r>
          </w:p>
        </w:tc>
        <w:tc>
          <w:tcPr>
            <w:tcW w:w="1220" w:type="dxa"/>
            <w:vAlign w:val="bottom"/>
          </w:tcPr>
          <w:p>
            <w:pPr>
              <w:jc w:val="center"/>
              <w:ind w:left="518"/>
              <w:spacing w:after="0"/>
              <w:rPr>
                <w:sz w:val="20"/>
                <w:szCs w:val="20"/>
                <w:color w:val="auto"/>
              </w:rPr>
            </w:pPr>
            <w:r>
              <w:rPr>
                <w:rFonts w:ascii="Arial" w:cs="Arial" w:eastAsia="Arial" w:hAnsi="Arial"/>
                <w:sz w:val="12"/>
                <w:szCs w:val="12"/>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23406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153" w:lineRule="exact"/>
        <w:rPr>
          <w:sz w:val="20"/>
          <w:szCs w:val="20"/>
          <w:color w:val="auto"/>
        </w:rPr>
      </w:pPr>
    </w:p>
    <w:p>
      <w:pPr>
        <w:ind w:left="289" w:hanging="289"/>
        <w:spacing w:after="0"/>
        <w:tabs>
          <w:tab w:leader="none" w:pos="289" w:val="left"/>
        </w:tabs>
        <w:numPr>
          <w:ilvl w:val="0"/>
          <w:numId w:val="4"/>
        </w:numPr>
        <w:rPr>
          <w:rFonts w:ascii="Arial" w:cs="Arial" w:eastAsia="Arial" w:hAnsi="Arial"/>
          <w:sz w:val="12"/>
          <w:szCs w:val="12"/>
          <w:color w:val="auto"/>
        </w:rPr>
      </w:pPr>
      <w:r>
        <w:rPr>
          <w:rFonts w:ascii="Arial" w:cs="Arial" w:eastAsia="Arial" w:hAnsi="Arial"/>
          <w:sz w:val="12"/>
          <w:szCs w:val="12"/>
          <w:color w:val="auto"/>
        </w:rPr>
        <w:t>Source: 2011/2012 DMA Market Rankings, Nielsen Media Research, fall 2011, based on television homes in DMA (see note (b) below).</w:t>
      </w:r>
    </w:p>
    <w:p>
      <w:pPr>
        <w:ind w:left="289" w:hanging="289"/>
        <w:spacing w:after="0" w:line="237" w:lineRule="auto"/>
        <w:tabs>
          <w:tab w:leader="none" w:pos="289" w:val="left"/>
        </w:tabs>
        <w:numPr>
          <w:ilvl w:val="0"/>
          <w:numId w:val="4"/>
        </w:numPr>
        <w:rPr>
          <w:rFonts w:ascii="Arial" w:cs="Arial" w:eastAsia="Arial" w:hAnsi="Arial"/>
          <w:sz w:val="12"/>
          <w:szCs w:val="12"/>
          <w:color w:val="auto"/>
        </w:rPr>
      </w:pPr>
      <w:r>
        <w:rPr>
          <w:rFonts w:ascii="Arial" w:cs="Arial" w:eastAsia="Arial" w:hAnsi="Arial"/>
          <w:sz w:val="12"/>
          <w:szCs w:val="12"/>
          <w:color w:val="auto"/>
        </w:rPr>
        <w:t>Designated Market Area (“DMA”) is a market designation of A.C. Nielsen that defines each television market exclusive of another, based on measured viewing patterns.</w:t>
      </w:r>
    </w:p>
    <w:p>
      <w:pPr>
        <w:ind w:left="289" w:hanging="289"/>
        <w:spacing w:after="0"/>
        <w:tabs>
          <w:tab w:leader="none" w:pos="289"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Company presently is negotiating a new affiliation agreement for these stations with the ABC Television Network.</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26" w:name="page27"/>
    <w:bookmarkEnd w:id="26"/>
    <w:p>
      <w:pPr>
        <w:jc w:val="both"/>
        <w:spacing w:after="0" w:line="232" w:lineRule="auto"/>
        <w:rPr>
          <w:sz w:val="20"/>
          <w:szCs w:val="20"/>
          <w:color w:val="auto"/>
        </w:rPr>
      </w:pPr>
      <w:r>
        <w:rPr>
          <w:rFonts w:ascii="Arial" w:cs="Arial" w:eastAsia="Arial" w:hAnsi="Arial"/>
          <w:sz w:val="17"/>
          <w:szCs w:val="17"/>
          <w:color w:val="auto"/>
        </w:rPr>
        <w:t>Revenue from broadcasting operations is derived primarily from the sale of advertising time to local, regional and national advertisers. In 2011, adverti revenue accounted for 90% of the total for PNS’s operations. Advertising revenue is sensitive to a number of factors, some specific to a particular stati market and others more general in nature. Some examples include a station’s audience share and market ranking; seasonal fluctuations in demand fo time; annual or biannual events, such as sporting events and political elections; and broader economic trends.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Broadcasting and Related Matters</w:t>
      </w:r>
    </w:p>
    <w:p>
      <w:pPr>
        <w:spacing w:after="0" w:line="197"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PNS’s television broadcasting operations are subject to the jurisdiction of the FCC under the Communications Act. The FCC assigns frequency bands broadcast and other uses; manages broadcast licensing; regulates equipment used by stations; and adopts and implements regulations and policies t directly or indirectly affect the ownership, operations and profitability of broadcasting stations, among other things.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Each PNS television station holds an FCC license that is renewable upon application for an eight-year period.</w:t>
      </w:r>
    </w:p>
    <w:p>
      <w:pPr>
        <w:spacing w:after="0" w:line="15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 xml:space="preserve">Digital Television (DTV) and Spectrum Issues. </w:t>
      </w:r>
      <w:r>
        <w:rPr>
          <w:rFonts w:ascii="Arial" w:cs="Arial" w:eastAsia="Arial" w:hAnsi="Arial"/>
          <w:sz w:val="17"/>
          <w:szCs w:val="17"/>
          <w:color w:val="auto"/>
        </w:rPr>
        <w:t>Each PNS station (and each full-power television station nationwide) now broadcasts only in digital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digital broadcast format allows transmission of HDTV programming, multiple channels of standard-definition television programming (multicasting) subchannels of programming designed for reception by mobile devices (mobile DTV) and subscription video and data services known as “ancillary an supplementary” services. PNS, along with other broadcasting companies, has been actively pursuing the use of digital spectrum to provide mobile DT consumers, in partnership with consumer electronics manufacturers and others.</w:t>
      </w:r>
    </w:p>
    <w:p>
      <w:pPr>
        <w:spacing w:after="0" w:line="178"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may increase in the future because of the FCC’s decision to allow electronic devices known as “white space” devices to operate in the television frequency on an unlicensed basis. Although a small number of challenges to the white space rules remain pending at the FCC and before a court, in January 20 FCC conditionally selected several entities to administer databases with information about television station service areas that will be used to avoid interference by white space devices. In addition, in December 2011, the FCC authorized the first database to begin live operations and approved the f white space device.</w:t>
      </w:r>
    </w:p>
    <w:p>
      <w:pPr>
        <w:spacing w:after="0" w:line="17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Pursuant to a statutory requirement, the FCC’s NB Plan was submitted to Congress in March 2010. In connection with the NB Plan, the FCC and Con are considering reallocation of spectrum for use by wireless broadband providers, including substantial amounts of spectrum currently in the television broadcast band. One of the proposals of the NB Plan is that Congress authorize incentive auctions, whereby the government would auction spectrum relinquished by broadcast television stations in exchange for a share of the auction revenues. The FCC commenced a rulemaking proceeding in Nove 2010 to consider, among other things, permitting two or more stations to share a single television channel. Though not yet part of a rulemaking procee the NB Plan also proposed other steps that could materially affect PNS’s operations, including a “repacking,” whereby the FCC would require certain stations to move to new channel allotments so as to free up a nationwide block of spectrum for wireless broadband use. Congress is currently conside legislation that would authorize incentive spectrum auctions and address related issues, such as repacking. Though the Company cannot predict whet the legislation will become law, implementation of the legislation could have an adverse effect on the Company. If the FCC moves forward with a repac it could result in PNS stations having smaller service areas and/or receiving more interference than they do today. Stations moving to new channels al could incur significant expense. The NB Plan and legislation pending in Congress propose that stations be compensated for such expenses from spec auction proceeds. The Company cannot predict whether a repacking will occur or whether compensation will be provided for expenses that the PNS s may incur. The NB Plan also suggested the imposition of spectrum usage fees, noting that legislative action may be required. The FCC has stated tha dozens of rulemakings may be required to implement the NB Plan.</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17"/>
          <w:szCs w:val="17"/>
          <w:i w:val="1"/>
          <w:iCs w:val="1"/>
          <w:color w:val="auto"/>
        </w:rPr>
        <w:t xml:space="preserve">Carriage of Local Broadcast Signals. </w:t>
      </w:r>
      <w:r>
        <w:rPr>
          <w:rFonts w:ascii="Arial" w:cs="Arial" w:eastAsia="Arial" w:hAnsi="Arial"/>
          <w:sz w:val="17"/>
          <w:szCs w:val="17"/>
          <w:color w:val="auto"/>
        </w:rPr>
        <w:t>The Communications Act and the FCC rules allow a commercial television broadcast station, under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to insist on mandatory carriage of its signal on cable systems serving the station’s market area (“must carry”). Alternatively, stations ma elect, at three-year intervals, to forego must-carry rights and allow their signals to be carried by cable systems only pursuant to a “retransmission cons agreement. For stations that elect must carry, only a single stream of video (that is, a single channel of programming), rather than a television broadca station’s entire signal, is eligible for mandatory carriage by a cable system operator. Thus, a television station currently can obtain carriage of one or m digital multicast streams only through a retransmission consent agreement with a cable operator.</w:t>
      </w:r>
    </w:p>
    <w:p>
      <w:pPr>
        <w:spacing w:after="0" w:line="36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47" w:right="139" w:bottom="1440" w:gutter="0" w:footer="0" w:header="0"/>
        </w:sectPr>
      </w:pPr>
    </w:p>
    <w:bookmarkStart w:id="27" w:name="page28"/>
    <w:bookmarkEnd w:id="27"/>
    <w:p>
      <w:pPr>
        <w:jc w:val="both"/>
        <w:ind w:right="20"/>
        <w:spacing w:after="0" w:line="233" w:lineRule="auto"/>
        <w:rPr>
          <w:sz w:val="20"/>
          <w:szCs w:val="20"/>
          <w:color w:val="auto"/>
        </w:rPr>
      </w:pPr>
      <w:r>
        <w:rPr>
          <w:rFonts w:ascii="Arial" w:cs="Arial" w:eastAsia="Arial" w:hAnsi="Arial"/>
          <w:sz w:val="17"/>
          <w:szCs w:val="17"/>
          <w:color w:val="auto"/>
        </w:rPr>
        <w:t>Stations that elect retransmission consent may negotiate for compensation from cable systems in exchange for the right to carry their signals. Each of PNS’s television stations is being carried on all of the major cable systems in each station’s respective local market, pursuant to retransmission conse agreements.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 In the FCC ruled that if a DBS operator carries the signal of any television station in a market in HDTV, it will be required to carry all other local stations in HDTV (rather than in a lower resolution format). Recognizing the capacity and technological constraints faced by DBS operators, the FCC established four-year phase-in period, starting in 2009, during which DBS systems must progressively transition their local-into-local markets into compliance with “HD carry-one, carry-all” requirement. DISH Network (DISH) and DirecTV have HDTV local station carriage in all of the PNS stations’ markets, and all stations are carried in HDTV by both of these DBS operators.</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As with cable, stations make DBS carriage elections between mandatory carriage and retransmission consent at three-year intervals. On or prior to October 1, 2011, the Company elected retransmission consent status for its stations with respect to major cable operators and the two DBS operators These elections apply to the three-year period from January 1, 2012, through December 31, 2014, and the stations are carried by the major cable and operators serving each of its stations’ markets pursuant to retransmission consent agreements.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March 2011, the FCC initiated a rulemaking seeking comments on changes to the FCC’s retransmission consent rules, many of which had been proposed by cable and DBS operators, such as authorization for “interim carriage” of a broadcaster’s signal by cable and DBS operators after the broadcaster’s grant of retransmission consent has expired and limitations on the positions that broadcasters may take during negotiations. This rulem also sought comment on limiting or eliminating the network nonduplication and syndicated exclusivity rules. Broadcasters opposed many of the propos rule changes on which the FCC sought comment, asserting that they would be contrary to the Communications Act and the public interest. Changes t retransmission consent and/or network nonduplication and syndicated exclusivity rules could materially affect the PNS stations’ (and Cable ONE’s cab systems’) bargaining leverage in future retransmission consent negotiations, and the Company cannot predict the net effect that such an order would Congress may also pass legislation that would affect the must-carry/retransmission consent regime.</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May 2010, Congress passed the U.S. Federal Satellite Television Extension and Localism Act (STELA), which extends the statutory copyright licens satellite carriage of distant broadcast television signals through December 31, 2014. In November 2010, the FCC released four items implementing ST Among other things, these items eliminated the requirement that satellite carriers carry a local network-affiliated station as a precondition to carrying a significantly viewed station affiliated with the same network; amended the rules for predicting when a household will be “unserved” so that a satellite c may import a distant network-affiliated signal; and sought comment on ways to enable greater access to in-state television signals. These changes mi result in increased DBS carriage of distant and significantly viewed signals in PNS stations’ markets, which could materially affect viewership of the PN stations and the stations’ retransmission consent negotiations with DBS operators. These changes also could expand the DBS carriage of PNS station other markets.</w:t>
      </w:r>
    </w:p>
    <w:p>
      <w:pPr>
        <w:spacing w:after="0" w:line="17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In August 2011, the FCC released a report on possible alternatives to the designated market area system and the availability of in-state programming viewers. Also in August 2011, the U.S. Federal Copyright Office released a report assessing possible mechanisms for eliminating the cable and satelli statutory licenses. Finally, in November 2011, the Government Accountability Office released a report on the effect that elimination of the compulsory licenses would have on the industry and viewers. All three reports were required by STELA and could be the basis for future legislative or regulatory developments on these issues. The Company cannot predict if or how the communications or copyright regimes may change, nor can the Company p the net effect that changes to these regimes would have on the Company’s cable and broadcast operations, or on the Company overall.</w:t>
      </w:r>
    </w:p>
    <w:p>
      <w:pPr>
        <w:spacing w:after="0" w:line="154" w:lineRule="exact"/>
        <w:rPr>
          <w:sz w:val="20"/>
          <w:szCs w:val="20"/>
          <w:color w:val="auto"/>
        </w:rPr>
      </w:pPr>
    </w:p>
    <w:p>
      <w:pPr>
        <w:spacing w:after="0" w:line="233" w:lineRule="auto"/>
        <w:rPr>
          <w:sz w:val="20"/>
          <w:szCs w:val="20"/>
          <w:color w:val="auto"/>
        </w:rPr>
      </w:pPr>
      <w:r>
        <w:rPr>
          <w:rFonts w:ascii="Arial" w:cs="Arial" w:eastAsia="Arial" w:hAnsi="Arial"/>
          <w:sz w:val="17"/>
          <w:szCs w:val="17"/>
          <w:i w:val="1"/>
          <w:iCs w:val="1"/>
          <w:color w:val="auto"/>
        </w:rPr>
        <w:t xml:space="preserve">Ownership Limits. </w:t>
      </w:r>
      <w:r>
        <w:rPr>
          <w:rFonts w:ascii="Arial" w:cs="Arial" w:eastAsia="Arial" w:hAnsi="Arial"/>
          <w:sz w:val="17"/>
          <w:szCs w:val="17"/>
          <w:color w:val="auto"/>
        </w:rPr>
        <w:t>The Communications Act and the FCC’s rules limit the number and types of media outlets in which a single person or entity may ha</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interest. Among other restrictions, the FCC’s local television ownership rule (also referred to as the “duopoly rule”) generally prohibits one company from owning two television stations in the same market unless there would remain at least eight independently owned full-power television st in that market (including noncommercial stations and counting co-owned stations as one), and at least one of the commonly owned stations is not am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28" w:name="page29"/>
    <w:bookmarkEnd w:id="28"/>
    <w:p>
      <w:pPr>
        <w:jc w:val="both"/>
        <w:spacing w:after="0" w:line="233" w:lineRule="auto"/>
        <w:rPr>
          <w:sz w:val="20"/>
          <w:szCs w:val="20"/>
          <w:color w:val="auto"/>
        </w:rPr>
      </w:pPr>
      <w:r>
        <w:rPr>
          <w:rFonts w:ascii="Arial" w:cs="Arial" w:eastAsia="Arial" w:hAnsi="Arial"/>
          <w:sz w:val="17"/>
          <w:szCs w:val="17"/>
          <w:color w:val="auto"/>
        </w:rPr>
        <w:t>The FCC also restricts so-called “cross-ownership” of newspapers and broadcast stations within a market. In its 2008 ownership rules review order, th liberalized its daily newspaper/broadcast cross-ownership rule to presumptively allow newspaper/broadcast combinations in the 20 largest markets, su to several fairly rigorous economic hardship and public interest criteria.</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 number of media companies and public interest groups challenged the FCC’s modification of the daily newspaper/broadcast cross-ownership rule a retention of the other ownership rules. In July 2011, a court rejected a challenge to the FCC's retention of the local television ownership rule, but rema the FCC's relaxation of the newspaper/broadcast rule back to the FCC for its failure to comply with statutory notice requirements. Media parties have s U.S. Supreme Court review of the court’s decision.</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Even as the judicial review process continues, the FCC has commenced another rulemaking proceeding regarding the media ownership rules. The Communications Act requires the FCC to review its ownership rules periodically and to repeal or modify any rule that it determines is no longer in the p interest. In December 2011, the FCC issued a notice of proposed rulemaking, proposing to retain the local television ownership rule, seeking commen possible waiver standard for smaller markets and proposing a modest relaxation of the newspaper/broadcast rule (similar to the rule that the FCC ado during the last ownership review that was rejected in court). The notice also addresses the FCC’s radio ownership and radio/television cross-ownershi rules, and it asks about shared services agreements and local news agreements, including whether such arrangements should be attributable for purp of the ownership rules. The proceeding is pending, and it is not possible to predict its outcome, but changes to the FCC’s ownership rules could affect operations.</w:t>
      </w:r>
    </w:p>
    <w:p>
      <w:pPr>
        <w:spacing w:after="0" w:line="159"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 xml:space="preserve">Programming. </w:t>
      </w:r>
      <w:r>
        <w:rPr>
          <w:rFonts w:ascii="Arial" w:cs="Arial" w:eastAsia="Arial" w:hAnsi="Arial"/>
          <w:sz w:val="16"/>
          <w:szCs w:val="16"/>
          <w:color w:val="auto"/>
        </w:rPr>
        <w:t>Five of PNS’s six stations are affiliated with one or more of the national television networks, which provide a substantial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to their television station affiliates. The expiration dates of these affiliation agreements are set forth at the beginning of the Television Broadcasting section. The ABC network affiliation agreements for WPLG and KSAT expire on February 29, 2012. The Company is negotiating the ter a new agreement with the ABC network. Based on recent experience, PNS expects the existing arrangement to be extended until a final agreement is reached. PNS’s Jacksonville station, WJXT, has operated as an independent station since 2002. In addition, each of the Company’s stations receives programming from syndicators and other third-party programming providers. PNS’s performance depends, in part, on the quality and availability of thir party programming, and any substantial decline in the quality or availability of this programming could materially affect PNS’s operations.</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 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serve the educational and informational needs of children and to complete reports on a quarterly basis concerning children’s programming. In addition FCC requires stations to limit the amount of advertising that appears during certain children’s programs. In October 2009, the FCC initiated a proceedi consider changes to its children’s programming rules in light of technological developments and changes in the video marketplace, but no specific cha to the children’s programming requirements have yet been adopted.</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November 2011, the FCC started a proceeding to seek comment on proposals that would require television broadcasters to make standardized disclosures regarding the programs they air and certain other matters. And, in October 2011, the FCC proposed a rule that would require television sta to submit most of their public inspection files to the FCC electronically, for hosting on the FCC’s website. The FCC also has sought comment on requir additional categories of documents to be included in the public file, including joint operating agreements and sponsorship identification information. Th proceedings are pending, and it is not possible to predict their outcome, but changes to these rules could affect PNS’s operations and regulatory comp costs.</w:t>
      </w:r>
    </w:p>
    <w:p>
      <w:pPr>
        <w:spacing w:after="0" w:line="179"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a separate “localism” proceeding that was opened in late 2007, the FCC received comments on whether to adopt additional proposals, including lic renewal guidelines that would establish minimum amounts of locally-oriented programming, require broadcasters to establish permanent community advisory boards and require stations to locate their main studios in their communities of license. The localism proceeding remains pending at the FCC not possible to predict what, if any, effect adoption of the proposed new obligations would have on PNS’s operations, but a substantial increase in programming obligations could adversely affect PNS.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FCC has other regulations and policies to ensure that broadcast licensees operate in the public interest, including rules requiring the closed-capti of programming to assist television viewing by the hearing impaired and the equal employment opportunities rule requiring station licensees to provide opportunity in employment to all qualified job applicants and prohibiting discrimination against any person by broadcast stations based on race, color, religion, national origin or gender. In addition, pursuant to the U.S. Federal Twenty-First Century Communications and Video Accessibility</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72" w:right="139" w:bottom="1440" w:gutter="0" w:footer="0" w:header="0"/>
        </w:sectPr>
      </w:pPr>
    </w:p>
    <w:bookmarkStart w:id="29" w:name="page30"/>
    <w:bookmarkEnd w:id="29"/>
    <w:p>
      <w:pPr>
        <w:jc w:val="both"/>
        <w:spacing w:after="0" w:line="245" w:lineRule="auto"/>
        <w:rPr>
          <w:sz w:val="20"/>
          <w:szCs w:val="20"/>
          <w:color w:val="auto"/>
        </w:rPr>
      </w:pPr>
      <w:r>
        <w:rPr>
          <w:rFonts w:ascii="Arial" w:cs="Arial" w:eastAsia="Arial" w:hAnsi="Arial"/>
          <w:sz w:val="16"/>
          <w:szCs w:val="16"/>
          <w:color w:val="auto"/>
        </w:rPr>
        <w:t>Act (CVAA), the FCC has adopted video description rules to assist television viewing by the visually impaired. Thus, (1) television stations affiliated wit of the four highest ranking television networks in the top 25 markets must provide 50 hours per calendar quarter of audio description of key visual elem in programming aired during prime time or children’s programming and (2) television stations affiliated with any television network must pass through v descriptions when the network provides them. Compliance with the new rules is required by July 1, 2012, and could impose additional costs on the PN stations that could affect PNS’s operations. Also under CVAA, the FCC has commenced a proceeding to adopt rules requiring closed-captioning for ce video programming delivered over the Internet. The FCC also has issued rules designed to maintain a consistent loudness between programming and commercial advertisements, which will become effective in December 2012. Compliance with new rules on captioning programming delivered over the Internet and on commercial loudness could impose additional costs on the PNS stations that could affect PNS’s operations.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Political Advertising. </w:t>
      </w:r>
      <w:r>
        <w:rPr>
          <w:rFonts w:ascii="Arial" w:cs="Arial" w:eastAsia="Arial" w:hAnsi="Arial"/>
          <w:sz w:val="17"/>
          <w:szCs w:val="17"/>
          <w:color w:val="auto"/>
        </w:rPr>
        <w:t>The FCC regulates the sale of advertising by PNS’s stations to candidates for public office and imposes other restrictions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broadcast of political announcements more generally. The application of these regulations may limit the advertising revenues of PNS’s television statio during the periods preceding elections.</w:t>
      </w:r>
    </w:p>
    <w:p>
      <w:pPr>
        <w:spacing w:after="0" w:line="158" w:lineRule="exact"/>
        <w:rPr>
          <w:sz w:val="20"/>
          <w:szCs w:val="20"/>
          <w:color w:val="auto"/>
        </w:rPr>
      </w:pPr>
    </w:p>
    <w:p>
      <w:pPr>
        <w:spacing w:after="0" w:line="235" w:lineRule="auto"/>
        <w:rPr>
          <w:sz w:val="20"/>
          <w:szCs w:val="20"/>
          <w:color w:val="auto"/>
        </w:rPr>
      </w:pPr>
      <w:r>
        <w:rPr>
          <w:rFonts w:ascii="Arial" w:cs="Arial" w:eastAsia="Arial" w:hAnsi="Arial"/>
          <w:sz w:val="17"/>
          <w:szCs w:val="17"/>
          <w:i w:val="1"/>
          <w:iCs w:val="1"/>
          <w:color w:val="auto"/>
        </w:rPr>
        <w:t xml:space="preserve">Broadcast Indecency. </w:t>
      </w:r>
      <w:r>
        <w:rPr>
          <w:rFonts w:ascii="Arial" w:cs="Arial" w:eastAsia="Arial" w:hAnsi="Arial"/>
          <w:sz w:val="17"/>
          <w:szCs w:val="17"/>
          <w:color w:val="auto"/>
        </w:rPr>
        <w:t>The FCC’s policies prohibit the broadcast of indecent and profane material during certain hours of the day, and the FCC regular</w:t>
      </w:r>
      <w:r>
        <w:rPr>
          <w:rFonts w:ascii="Arial" w:cs="Arial" w:eastAsia="Arial" w:hAnsi="Arial"/>
          <w:sz w:val="17"/>
          <w:szCs w:val="17"/>
          <w:i w:val="1"/>
          <w:iCs w:val="1"/>
          <w:color w:val="auto"/>
        </w:rPr>
        <w:t xml:space="preserve"> </w:t>
      </w:r>
      <w:r>
        <w:rPr>
          <w:rFonts w:ascii="Arial" w:cs="Arial" w:eastAsia="Arial" w:hAnsi="Arial"/>
          <w:sz w:val="17"/>
          <w:szCs w:val="17"/>
          <w:color w:val="auto"/>
        </w:rPr>
        <w:t>imposes monetary forfeitures when it determines that a television station violated that policy. Court challenges concerning the validity of the FCC’s indecency policy are ongoing, and many broadcasters have argued, among other things, that the FCC has failed to justify its indecency decisions adequately, that the FCC’s policy is too subjective to guide broadcasters’ programming decisions and that its enforcement approach otherwise violates First Amendment.</w:t>
      </w:r>
    </w:p>
    <w:p>
      <w:pPr>
        <w:spacing w:after="0" w:line="16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In 2009, the U.S. Supreme Court issued a decision, </w:t>
      </w:r>
      <w:r>
        <w:rPr>
          <w:rFonts w:ascii="Arial" w:cs="Arial" w:eastAsia="Arial" w:hAnsi="Arial"/>
          <w:sz w:val="17"/>
          <w:szCs w:val="17"/>
          <w:i w:val="1"/>
          <w:iCs w:val="1"/>
          <w:color w:val="auto"/>
        </w:rPr>
        <w:t>Fox Television Stations, Inc.</w:t>
      </w:r>
      <w:r>
        <w:rPr>
          <w:rFonts w:ascii="Arial" w:cs="Arial" w:eastAsia="Arial" w:hAnsi="Arial"/>
          <w:sz w:val="17"/>
          <w:szCs w:val="17"/>
          <w:color w:val="auto"/>
        </w:rPr>
        <w:t xml:space="preserve"> v. </w:t>
      </w:r>
      <w:r>
        <w:rPr>
          <w:rFonts w:ascii="Arial" w:cs="Arial" w:eastAsia="Arial" w:hAnsi="Arial"/>
          <w:sz w:val="17"/>
          <w:szCs w:val="17"/>
          <w:i w:val="1"/>
          <w:iCs w:val="1"/>
          <w:color w:val="auto"/>
        </w:rPr>
        <w:t>FCC</w:t>
      </w:r>
      <w:r>
        <w:rPr>
          <w:rFonts w:ascii="Arial" w:cs="Arial" w:eastAsia="Arial" w:hAnsi="Arial"/>
          <w:sz w:val="17"/>
          <w:szCs w:val="17"/>
          <w:color w:val="auto"/>
        </w:rPr>
        <w:t xml:space="preserve">, in which it reversed a decision by the U.S. Court of Appeals Second Circuit. The Second Circuit decision had held that the FCC violated its procedural obligations when it found that certain television stations’ broadcast of so-called “fleeting expletives” was indecent. Following the U.S. Supreme Court’s reversal and remand of the decision, the Second Circuit invalidated the FCC’s indecency policy on another basis, finding that the FCC’s policy was unconstitutionally vague. Following that decision, in </w:t>
      </w:r>
      <w:r>
        <w:rPr>
          <w:rFonts w:ascii="Arial" w:cs="Arial" w:eastAsia="Arial" w:hAnsi="Arial"/>
          <w:sz w:val="17"/>
          <w:szCs w:val="17"/>
          <w:i w:val="1"/>
          <w:iCs w:val="1"/>
          <w:color w:val="auto"/>
        </w:rPr>
        <w:t>ABC, I</w:t>
      </w:r>
      <w:r>
        <w:rPr>
          <w:rFonts w:ascii="Arial" w:cs="Arial" w:eastAsia="Arial" w:hAnsi="Arial"/>
          <w:sz w:val="17"/>
          <w:szCs w:val="17"/>
          <w:color w:val="auto"/>
        </w:rPr>
        <w:t xml:space="preserve"> </w:t>
      </w:r>
      <w:r>
        <w:rPr>
          <w:rFonts w:ascii="Arial" w:cs="Arial" w:eastAsia="Arial" w:hAnsi="Arial"/>
          <w:sz w:val="17"/>
          <w:szCs w:val="17"/>
          <w:i w:val="1"/>
          <w:iCs w:val="1"/>
          <w:color w:val="auto"/>
        </w:rPr>
        <w:t>FCC</w:t>
      </w:r>
      <w:r>
        <w:rPr>
          <w:rFonts w:ascii="Arial" w:cs="Arial" w:eastAsia="Arial" w:hAnsi="Arial"/>
          <w:sz w:val="17"/>
          <w:szCs w:val="17"/>
          <w:color w:val="auto"/>
        </w:rPr>
        <w:t>, the Second Circuit vacated a monetary forfeiture issued by the FCC against 52 television stations affiliated with the ABC network (including PN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station KSAT), based on the broadcast of an allegedly indecent scene in an episode of NYPD Blue. The Second Circuit found that there was “no signif distinction” between the FCC policy that it found unconstitutional in its second </w:t>
      </w:r>
      <w:r>
        <w:rPr>
          <w:rFonts w:ascii="Arial" w:cs="Arial" w:eastAsia="Arial" w:hAnsi="Arial"/>
          <w:sz w:val="17"/>
          <w:szCs w:val="17"/>
          <w:i w:val="1"/>
          <w:iCs w:val="1"/>
          <w:color w:val="auto"/>
        </w:rPr>
        <w:t>Fox</w:t>
      </w:r>
      <w:r>
        <w:rPr>
          <w:rFonts w:ascii="Arial" w:cs="Arial" w:eastAsia="Arial" w:hAnsi="Arial"/>
          <w:sz w:val="17"/>
          <w:szCs w:val="17"/>
          <w:color w:val="auto"/>
        </w:rPr>
        <w:t xml:space="preserve"> decision and the policy that the FCC applied with respect to NYPD Accordingly, the U.S. Supreme Court held the forfeiture against KSAT invalid. The FCC asked the U.S. Supreme Court to review both the </w:t>
      </w:r>
      <w:r>
        <w:rPr>
          <w:rFonts w:ascii="Arial" w:cs="Arial" w:eastAsia="Arial" w:hAnsi="Arial"/>
          <w:sz w:val="17"/>
          <w:szCs w:val="17"/>
          <w:i w:val="1"/>
          <w:iCs w:val="1"/>
          <w:color w:val="auto"/>
        </w:rPr>
        <w:t>Fox</w:t>
      </w:r>
      <w:r>
        <w:rPr>
          <w:rFonts w:ascii="Arial" w:cs="Arial" w:eastAsia="Arial" w:hAnsi="Arial"/>
          <w:sz w:val="17"/>
          <w:szCs w:val="17"/>
          <w:color w:val="auto"/>
        </w:rPr>
        <w:t xml:space="preserve"> and </w:t>
      </w:r>
      <w:r>
        <w:rPr>
          <w:rFonts w:ascii="Arial" w:cs="Arial" w:eastAsia="Arial" w:hAnsi="Arial"/>
          <w:sz w:val="17"/>
          <w:szCs w:val="17"/>
          <w:i w:val="1"/>
          <w:iCs w:val="1"/>
          <w:color w:val="auto"/>
        </w:rPr>
        <w:t>AB</w:t>
      </w:r>
      <w:r>
        <w:rPr>
          <w:rFonts w:ascii="Arial" w:cs="Arial" w:eastAsia="Arial" w:hAnsi="Arial"/>
          <w:sz w:val="17"/>
          <w:szCs w:val="17"/>
          <w:color w:val="auto"/>
        </w:rPr>
        <w:t xml:space="preserve"> cases, and the U.S. Supreme Court held oral argument on the combined cases in January 2012. If the FCC’s indecency policy is upheld, this could re additional costs imposed on PNS’s stations and additional regulatory risks.</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Sponsorship Identification. </w:t>
      </w:r>
      <w:r>
        <w:rPr>
          <w:rFonts w:ascii="Arial" w:cs="Arial" w:eastAsia="Arial" w:hAnsi="Arial"/>
          <w:sz w:val="17"/>
          <w:szCs w:val="17"/>
          <w:color w:val="auto"/>
        </w:rPr>
        <w:t>The FCC’s rules require that broadcast stations make announcements in connection with certain broadcasts for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payment or other consideration. During 2006 and 2007, three PNS stations responded to FCC complaints alleging that they, along with nume other television stations and cable networks, violated this requirement by broadcasting material in their newscasts without disclosing its source. The st responded to these complaints by asserting that they did not receive any consideration in exchange for the relevant broadcasts and that the broadcast not violate FCC rules. Although the FCC took enforcement action in 2007 against a cable operator in connection with the same set of complaints, it ha taken any action with respect to the affected PNS stations.</w:t>
      </w:r>
    </w:p>
    <w:p>
      <w:pPr>
        <w:spacing w:after="0" w:line="178"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FCC proceedings other matters described in this section could adversely affect the profitability of PNS’s television broadcasting operations.</w:t>
      </w:r>
    </w:p>
    <w:p>
      <w:pPr>
        <w:spacing w:after="0" w:line="156"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Other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Avenue100 Media Solutions Inc.</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Avenue100 Media Solutions Inc. (Avenue100) is a digital marketing company headquartered in Woburn, MA, that sources leads for academic institutio and recruiting organizations. Avenue100 operates as an independent subsidiary of the Company.</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Bowater Mersey Paper Company</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owns 49% of the common stock of Bowater Mersey Paper Company Limited (Bowater Mersey), the majority interest of which is held by subsidiary of AbitibiBowater, Inc. Bowater Mersey is engaged in the manufacture and sale of newsprint and lumber, as well as the production of electri Nova Scotia, Canada.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WaPo Labs</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WaPo Labs is an innovative digital team focusing on experimenting with emerging technologies. In addition to working closely with the Company’s new websites, the team created and launched two new products in 2011, </w:t>
      </w:r>
      <w:r>
        <w:rPr>
          <w:rFonts w:ascii="Arial" w:cs="Arial" w:eastAsia="Arial" w:hAnsi="Arial"/>
          <w:sz w:val="17"/>
          <w:szCs w:val="17"/>
          <w:i w:val="1"/>
          <w:iCs w:val="1"/>
          <w:color w:val="auto"/>
        </w:rPr>
        <w:t>Washington Post Social Reader</w:t>
      </w:r>
      <w:r>
        <w:rPr>
          <w:rFonts w:ascii="Arial" w:cs="Arial" w:eastAsia="Arial" w:hAnsi="Arial"/>
          <w:sz w:val="17"/>
          <w:szCs w:val="17"/>
          <w:color w:val="auto"/>
        </w:rPr>
        <w:t xml:space="preserve"> (</w:t>
      </w:r>
      <w:r>
        <w:rPr>
          <w:rFonts w:ascii="Arial" w:cs="Arial" w:eastAsia="Arial" w:hAnsi="Arial"/>
          <w:sz w:val="17"/>
          <w:szCs w:val="17"/>
          <w:i w:val="1"/>
          <w:iCs w:val="1"/>
          <w:color w:val="auto"/>
        </w:rPr>
        <w:t>Social Reader</w:t>
      </w:r>
      <w:r>
        <w:rPr>
          <w:rFonts w:ascii="Arial" w:cs="Arial" w:eastAsia="Arial" w:hAnsi="Arial"/>
          <w:sz w:val="17"/>
          <w:szCs w:val="17"/>
          <w:color w:val="auto"/>
        </w:rPr>
        <w:t xml:space="preserve">) and </w:t>
      </w:r>
      <w:r>
        <w:rPr>
          <w:rFonts w:ascii="Arial" w:cs="Arial" w:eastAsia="Arial" w:hAnsi="Arial"/>
          <w:sz w:val="17"/>
          <w:szCs w:val="17"/>
          <w:i w:val="1"/>
          <w:iCs w:val="1"/>
          <w:color w:val="auto"/>
        </w:rPr>
        <w:t>Trove</w:t>
      </w:r>
      <w:r>
        <w:rPr>
          <w:rFonts w:ascii="Arial" w:cs="Arial" w:eastAsia="Arial" w:hAnsi="Arial"/>
          <w:sz w:val="17"/>
          <w:szCs w:val="17"/>
          <w:color w:val="auto"/>
        </w:rPr>
        <w:t xml:space="preserve">. </w:t>
      </w:r>
      <w:r>
        <w:rPr>
          <w:rFonts w:ascii="Arial" w:cs="Arial" w:eastAsia="Arial" w:hAnsi="Arial"/>
          <w:sz w:val="17"/>
          <w:szCs w:val="17"/>
          <w:i w:val="1"/>
          <w:iCs w:val="1"/>
          <w:color w:val="auto"/>
        </w:rPr>
        <w:t>Social Reader</w:t>
      </w:r>
      <w:r>
        <w:rPr>
          <w:rFonts w:ascii="Arial" w:cs="Arial" w:eastAsia="Arial" w:hAnsi="Arial"/>
          <w:sz w:val="17"/>
          <w:szCs w:val="17"/>
          <w:color w:val="auto"/>
        </w:rPr>
        <w:t xml:space="preserve"> is a n application on Facebook that enables users to share what they are reading and see what their friends are reading. </w:t>
      </w:r>
      <w:r>
        <w:rPr>
          <w:rFonts w:ascii="Arial" w:cs="Arial" w:eastAsia="Arial" w:hAnsi="Arial"/>
          <w:sz w:val="17"/>
          <w:szCs w:val="17"/>
          <w:i w:val="1"/>
          <w:iCs w:val="1"/>
          <w:color w:val="auto"/>
        </w:rPr>
        <w:t>Social Reader</w:t>
      </w:r>
      <w:r>
        <w:rPr>
          <w:rFonts w:ascii="Arial" w:cs="Arial" w:eastAsia="Arial" w:hAnsi="Arial"/>
          <w:sz w:val="17"/>
          <w:szCs w:val="17"/>
          <w:color w:val="auto"/>
        </w:rPr>
        <w:t xml:space="preserve"> aggregates content the </w:t>
      </w:r>
      <w:r>
        <w:rPr>
          <w:rFonts w:ascii="Arial" w:cs="Arial" w:eastAsia="Arial" w:hAnsi="Arial"/>
          <w:sz w:val="17"/>
          <w:szCs w:val="17"/>
          <w:i w:val="1"/>
          <w:iCs w:val="1"/>
          <w:color w:val="auto"/>
        </w:rPr>
        <w:t>Post, Slate, Foreign Policy, Express, the Root</w:t>
      </w:r>
      <w:r>
        <w:rPr>
          <w:rFonts w:ascii="Arial" w:cs="Arial" w:eastAsia="Arial" w:hAnsi="Arial"/>
          <w:sz w:val="17"/>
          <w:szCs w:val="17"/>
          <w:color w:val="auto"/>
        </w:rPr>
        <w:t xml:space="preserve"> and more than 20 other content partners to create a socially powered newswire of articles. Launche September 2011, over 15 million people have downloaded </w:t>
      </w:r>
      <w:r>
        <w:rPr>
          <w:rFonts w:ascii="Arial" w:cs="Arial" w:eastAsia="Arial" w:hAnsi="Arial"/>
          <w:sz w:val="17"/>
          <w:szCs w:val="17"/>
          <w:i w:val="1"/>
          <w:iCs w:val="1"/>
          <w:color w:val="auto"/>
        </w:rPr>
        <w:t>Social Reader</w:t>
      </w:r>
      <w:r>
        <w:rPr>
          <w:rFonts w:ascii="Arial" w:cs="Arial" w:eastAsia="Arial" w:hAnsi="Arial"/>
          <w:sz w:val="17"/>
          <w:szCs w:val="17"/>
          <w:color w:val="auto"/>
        </w:rPr>
        <w:t xml:space="preserve"> in just over five months. </w:t>
      </w:r>
      <w:r>
        <w:rPr>
          <w:rFonts w:ascii="Arial" w:cs="Arial" w:eastAsia="Arial" w:hAnsi="Arial"/>
          <w:sz w:val="17"/>
          <w:szCs w:val="17"/>
          <w:i w:val="1"/>
          <w:iCs w:val="1"/>
          <w:color w:val="auto"/>
        </w:rPr>
        <w:t>Trove</w:t>
      </w:r>
      <w:r>
        <w:rPr>
          <w:rFonts w:ascii="Arial" w:cs="Arial" w:eastAsia="Arial" w:hAnsi="Arial"/>
          <w:sz w:val="17"/>
          <w:szCs w:val="17"/>
          <w:color w:val="auto"/>
        </w:rPr>
        <w:t xml:space="preserve"> is a personalized news site and is the techno powering </w:t>
      </w:r>
      <w:r>
        <w:rPr>
          <w:rFonts w:ascii="Arial" w:cs="Arial" w:eastAsia="Arial" w:hAnsi="Arial"/>
          <w:sz w:val="17"/>
          <w:szCs w:val="17"/>
          <w:i w:val="1"/>
          <w:iCs w:val="1"/>
          <w:color w:val="auto"/>
        </w:rPr>
        <w:t>Social Reader</w:t>
      </w:r>
      <w:r>
        <w:rPr>
          <w:rFonts w:ascii="Arial" w:cs="Arial" w:eastAsia="Arial" w:hAnsi="Arial"/>
          <w:sz w:val="17"/>
          <w:szCs w:val="17"/>
          <w:color w:val="auto"/>
        </w:rPr>
        <w:t xml:space="preserve">. </w:t>
      </w:r>
      <w:r>
        <w:rPr>
          <w:rFonts w:ascii="Arial" w:cs="Arial" w:eastAsia="Arial" w:hAnsi="Arial"/>
          <w:sz w:val="17"/>
          <w:szCs w:val="17"/>
          <w:i w:val="1"/>
          <w:iCs w:val="1"/>
          <w:color w:val="auto"/>
        </w:rPr>
        <w:t>Trove</w:t>
      </w:r>
      <w:r>
        <w:rPr>
          <w:rFonts w:ascii="Arial" w:cs="Arial" w:eastAsia="Arial" w:hAnsi="Arial"/>
          <w:sz w:val="17"/>
          <w:szCs w:val="17"/>
          <w:color w:val="auto"/>
        </w:rPr>
        <w:t xml:space="preserve"> aggregates news from more than 10,000 sources across the web and allows users to customize channels based on th interests.</w:t>
      </w:r>
    </w:p>
    <w:p>
      <w:pPr>
        <w:spacing w:after="0" w:line="195"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Production and Raw Materials</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El Tiempo Latino</w:t>
      </w:r>
      <w:r>
        <w:rPr>
          <w:rFonts w:ascii="Arial" w:cs="Arial" w:eastAsia="Arial" w:hAnsi="Arial"/>
          <w:sz w:val="17"/>
          <w:szCs w:val="17"/>
          <w:color w:val="auto"/>
        </w:rPr>
        <w:t xml:space="preserve"> are produced at the printing plant of WP Company in Fairfax County, VA. </w:t>
      </w:r>
      <w:r>
        <w:rPr>
          <w:rFonts w:ascii="Arial" w:cs="Arial" w:eastAsia="Arial" w:hAnsi="Arial"/>
          <w:sz w:val="17"/>
          <w:szCs w:val="17"/>
          <w:i w:val="1"/>
          <w:iCs w:val="1"/>
          <w:color w:val="auto"/>
        </w:rPr>
        <w:t>The Herald, The Weekly Herald,</w:t>
      </w:r>
      <w:r>
        <w:rPr>
          <w:rFonts w:ascii="Arial" w:cs="Arial" w:eastAsia="Arial" w:hAnsi="Arial"/>
          <w:sz w:val="17"/>
          <w:szCs w:val="17"/>
          <w:color w:val="auto"/>
        </w:rPr>
        <w:t xml:space="preserve"> the </w:t>
      </w:r>
      <w:r>
        <w:rPr>
          <w:rFonts w:ascii="Arial" w:cs="Arial" w:eastAsia="Arial" w:hAnsi="Arial"/>
          <w:sz w:val="17"/>
          <w:szCs w:val="17"/>
          <w:i w:val="1"/>
          <w:iCs w:val="1"/>
          <w:color w:val="auto"/>
        </w:rPr>
        <w:t>SCBJ</w:t>
      </w:r>
      <w:r>
        <w:rPr>
          <w:rFonts w:ascii="Arial" w:cs="Arial" w:eastAsia="Arial" w:hAnsi="Arial"/>
          <w:sz w:val="17"/>
          <w:szCs w:val="17"/>
          <w:color w:val="auto"/>
        </w:rPr>
        <w:t xml:space="preserve"> a </w:t>
      </w:r>
      <w:r>
        <w:rPr>
          <w:rFonts w:ascii="Arial" w:cs="Arial" w:eastAsia="Arial" w:hAnsi="Arial"/>
          <w:sz w:val="17"/>
          <w:szCs w:val="17"/>
          <w:i w:val="1"/>
          <w:iCs w:val="1"/>
          <w:color w:val="auto"/>
        </w:rPr>
        <w:t xml:space="preserve">La Raza del Noroeste </w:t>
      </w:r>
      <w:r>
        <w:rPr>
          <w:rFonts w:ascii="Arial" w:cs="Arial" w:eastAsia="Arial" w:hAnsi="Arial"/>
          <w:sz w:val="17"/>
          <w:szCs w:val="17"/>
          <w:color w:val="auto"/>
        </w:rPr>
        <w:t>are produced at The Daily Herald Company’s plant in Everett, WA.</w:t>
      </w:r>
      <w:r>
        <w:rPr>
          <w:rFonts w:ascii="Arial" w:cs="Arial" w:eastAsia="Arial" w:hAnsi="Arial"/>
          <w:sz w:val="17"/>
          <w:szCs w:val="17"/>
          <w:i w:val="1"/>
          <w:iCs w:val="1"/>
          <w:color w:val="auto"/>
        </w:rPr>
        <w:t xml:space="preserve"> The Gazette Newspapers, Southern Maryland Newspapers</w:t>
      </w:r>
      <w:r>
        <w:rPr>
          <w:rFonts w:ascii="Arial" w:cs="Arial" w:eastAsia="Arial" w:hAnsi="Arial"/>
          <w:sz w:val="17"/>
          <w:szCs w:val="17"/>
          <w:color w:val="auto"/>
        </w:rPr>
        <w:t>,</w:t>
      </w:r>
      <w:r>
        <w:rPr>
          <w:rFonts w:ascii="Arial" w:cs="Arial" w:eastAsia="Arial" w:hAnsi="Arial"/>
          <w:sz w:val="17"/>
          <w:szCs w:val="17"/>
          <w:i w:val="1"/>
          <w:iCs w:val="1"/>
          <w:color w:val="auto"/>
        </w:rPr>
        <w:t xml:space="preserve"> Express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Fairfax County Times </w:t>
      </w:r>
      <w:r>
        <w:rPr>
          <w:rFonts w:ascii="Arial" w:cs="Arial" w:eastAsia="Arial" w:hAnsi="Arial"/>
          <w:sz w:val="17"/>
          <w:szCs w:val="17"/>
          <w:color w:val="auto"/>
        </w:rPr>
        <w:t>are printed at the commercial printing facilities owned by PNM. Six military papers, one free weekly and one p</w:t>
      </w:r>
      <w:r>
        <w:rPr>
          <w:rFonts w:ascii="Arial" w:cs="Arial" w:eastAsia="Arial" w:hAnsi="Arial"/>
          <w:sz w:val="17"/>
          <w:szCs w:val="17"/>
          <w:i w:val="1"/>
          <w:iCs w:val="1"/>
          <w:color w:val="auto"/>
        </w:rPr>
        <w:t xml:space="preserve"> </w:t>
      </w:r>
      <w:r>
        <w:rPr>
          <w:rFonts w:ascii="Arial" w:cs="Arial" w:eastAsia="Arial" w:hAnsi="Arial"/>
          <w:sz w:val="17"/>
          <w:szCs w:val="17"/>
          <w:color w:val="auto"/>
        </w:rPr>
        <w:t>weekly from Southern Maryland are printed at Chesapeake Publishing in Easton, MD. Greater Washington Publishing’s periodicals are produced by independent contract printers.</w:t>
      </w:r>
    </w:p>
    <w:p>
      <w:pPr>
        <w:spacing w:after="0" w:line="160" w:lineRule="exact"/>
        <w:rPr>
          <w:sz w:val="20"/>
          <w:szCs w:val="20"/>
          <w:color w:val="auto"/>
        </w:rPr>
      </w:pPr>
    </w:p>
    <w:p>
      <w:pPr>
        <w:ind w:right="60"/>
        <w:spacing w:after="0"/>
        <w:rPr>
          <w:sz w:val="20"/>
          <w:szCs w:val="20"/>
          <w:color w:val="auto"/>
        </w:rPr>
      </w:pPr>
      <w:r>
        <w:rPr>
          <w:rFonts w:ascii="Arial" w:cs="Arial" w:eastAsia="Arial" w:hAnsi="Arial"/>
          <w:sz w:val="17"/>
          <w:szCs w:val="17"/>
          <w:color w:val="auto"/>
        </w:rPr>
        <w:t xml:space="preserve">In 2011,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El Tiempo Latino</w:t>
      </w:r>
      <w:r>
        <w:rPr>
          <w:rFonts w:ascii="Arial" w:cs="Arial" w:eastAsia="Arial" w:hAnsi="Arial"/>
          <w:sz w:val="17"/>
          <w:szCs w:val="17"/>
          <w:color w:val="auto"/>
        </w:rPr>
        <w:t xml:space="preserve"> consumed about 69,000 short tons of newsprint in WP Company’s printing plant in Fairfax County, VA. Such newsprint was purchased from a number of suppliers, including AbitibiBowater, Inc., which supplied approximately 41% of the 2011 newsprint require for these newspapers.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 xml:space="preserve">While the price of newsprint has been volatile historically, it has been steady since August of 2010. According to The RISI East Coast Newsprint Price which provides monthly single-price estimates based on marketplace surveys of both buyers and sellers, 27.7 lb. newsprint (the kind of newsprint use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most of the newspapers published by PNM) has been at $617 per short ton since August 2010. The RISI Index prices do not necessarily correspond with the prices actually paid for newsprint by the Company’s subsidiaries, because of quantity discounts and other factors. The Company believes that adequate supplies of newsprint are available to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the other newspapers published by the Company’s subsidiaries through con with various suppliers. More than 70% of the newsprint consumed by WP Company’s printing plant includes recycled content.</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Competition</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Kaplan’s businesses operate in fragmented and competitive markets. KHE competes with both facilities-based and other distance-learning providers o similar educational services, including not-for-profit colleges and universities and for-profit businesses. PACE competes in each of its professional line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 businesses competes with other for-profit companies and, in certain instances, with government supported schools and institutions that provide similar training and educational programs. Students choose among providers based on program offerings, convenience, quality of instruction, reputation, plac rates, student services and cost.</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Cable television systems operate in a highly competitive environment. In addition to competing with over-the-air reception, cable television systems fa competition from various other forms of video program delivery systems, including DBS services, telephone companies and the Internet. Certain of the Company’s cable television systems have also been partially or substantially overbuilt, using conventional cable system technology, by various small t sized independent telephone companies that typically offer Internet and telephone service as well as basic cable service. Local telephone companies compete with cable television systems in the delivery of high-speed Internet access by providing DSL service. In addition, on their own or via strategic partnerships with DBS operators that permit telephone companies to package the video programming services of DBS operators with telephone comp own DSL service, some telephone companies are competing with the video programming and Internet services being offered by existing cable televisi systems.</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31" w:name="page32"/>
    <w:bookmarkEnd w:id="31"/>
    <w:p>
      <w:pPr>
        <w:spacing w:after="0" w:line="251" w:lineRule="auto"/>
        <w:rPr>
          <w:sz w:val="20"/>
          <w:szCs w:val="20"/>
          <w:color w:val="auto"/>
        </w:rPr>
      </w:pPr>
      <w:r>
        <w:rPr>
          <w:rFonts w:ascii="Arial" w:cs="Arial" w:eastAsia="Arial" w:hAnsi="Arial"/>
          <w:sz w:val="16"/>
          <w:szCs w:val="16"/>
          <w:color w:val="auto"/>
        </w:rPr>
        <w:t>Satellite-delivered broadband and high-powered WiMAX services will increasingly provide competition to Cable ONE. Finally, video programming is becoming increasingly available on the Internet, where viewers can watch programming for free, as well as access pay-per-view offerings. Cable ONE distinguishes itself from its competition by providing excellent local customer service and consistently attaining very high levels of customer satisfactio</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competes in the Washington, DC, metropolitan area with </w:t>
      </w:r>
      <w:r>
        <w:rPr>
          <w:rFonts w:ascii="Arial" w:cs="Arial" w:eastAsia="Arial" w:hAnsi="Arial"/>
          <w:sz w:val="16"/>
          <w:szCs w:val="16"/>
          <w:i w:val="1"/>
          <w:iCs w:val="1"/>
          <w:color w:val="auto"/>
        </w:rPr>
        <w:t>The Washington Times,</w:t>
      </w:r>
      <w:r>
        <w:rPr>
          <w:rFonts w:ascii="Arial" w:cs="Arial" w:eastAsia="Arial" w:hAnsi="Arial"/>
          <w:sz w:val="16"/>
          <w:szCs w:val="16"/>
          <w:color w:val="auto"/>
        </w:rPr>
        <w:t xml:space="preserve"> a newspaper that has published weekday editions since 19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also encounters competition for advertising revenue and circulation in varying degrees from other newspapers and specialized publications distributed in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s circulation area (including newspapers published in suburban and outlying areas and nationally circulated newspapers), and fr websites, television, radio, magazines and other advertising media, including direct-mail advertising.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similarly competes with various other advertising media in its service area, including both daily and weekly free-distribution newspapers.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competes for readers and advertisers bas the quality of its journalism, the demographics and size of its subscriber base, advertising results, rates and customer service.</w:t>
      </w:r>
    </w:p>
    <w:p>
      <w:pPr>
        <w:spacing w:after="0" w:line="149" w:lineRule="exact"/>
        <w:rPr>
          <w:sz w:val="20"/>
          <w:szCs w:val="20"/>
          <w:color w:val="auto"/>
        </w:rPr>
      </w:pPr>
    </w:p>
    <w:p>
      <w:pPr>
        <w:spacing w:after="0" w:line="246" w:lineRule="auto"/>
        <w:rPr>
          <w:sz w:val="20"/>
          <w:szCs w:val="20"/>
          <w:color w:val="auto"/>
        </w:rPr>
      </w:pPr>
      <w:r>
        <w:rPr>
          <w:rFonts w:ascii="Arial" w:cs="Arial" w:eastAsia="Arial" w:hAnsi="Arial"/>
          <w:sz w:val="16"/>
          <w:szCs w:val="16"/>
          <w:i w:val="1"/>
          <w:iCs w:val="1"/>
          <w:color w:val="auto"/>
        </w:rPr>
        <w:t xml:space="preserve">Washingtonpost.com </w:t>
      </w:r>
      <w:r>
        <w:rPr>
          <w:rFonts w:ascii="Arial" w:cs="Arial" w:eastAsia="Arial" w:hAnsi="Arial"/>
          <w:sz w:val="16"/>
          <w:szCs w:val="16"/>
          <w:color w:val="auto"/>
        </w:rPr>
        <w:t>and the websites produced by The Slate Group face competition from many Internet sites that provide news and information, sit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cover niche content, sites that aggregate content from different sources and sites where users generate content. The Company’s websites compe advertising revenue with these types of websites, as well as with a wide variety of other print publications, online services and social networking sites, other forms of advertising. Display advertising is a key source of revenue for Company websites. With advertising inventory continuing to increase and advertising networks becoming more prevalent, the online display advertising marketplace is experiencing some pricing pressures, and the Company’ websites are not immune to this trend.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s website also relies on classified advertising as a key revenue source. Classified advertising has be a crowded field online, with a number of national and local competitors, often with a vertical focus. For example, </w:t>
      </w:r>
      <w:r>
        <w:rPr>
          <w:rFonts w:ascii="Arial" w:cs="Arial" w:eastAsia="Arial" w:hAnsi="Arial"/>
          <w:sz w:val="16"/>
          <w:szCs w:val="16"/>
          <w:i w:val="1"/>
          <w:iCs w:val="1"/>
          <w:color w:val="auto"/>
        </w:rPr>
        <w:t>Carmax.com</w:t>
      </w:r>
      <w:r>
        <w:rPr>
          <w:rFonts w:ascii="Arial" w:cs="Arial" w:eastAsia="Arial" w:hAnsi="Arial"/>
          <w:sz w:val="16"/>
          <w:szCs w:val="16"/>
          <w:color w:val="auto"/>
        </w:rPr>
        <w:t xml:space="preserve"> and </w:t>
      </w:r>
      <w:r>
        <w:rPr>
          <w:rFonts w:ascii="Arial" w:cs="Arial" w:eastAsia="Arial" w:hAnsi="Arial"/>
          <w:sz w:val="16"/>
          <w:szCs w:val="16"/>
          <w:i w:val="1"/>
          <w:iCs w:val="1"/>
          <w:color w:val="auto"/>
        </w:rPr>
        <w:t>AutoTrader.com</w:t>
      </w:r>
      <w:r>
        <w:rPr>
          <w:rFonts w:ascii="Arial" w:cs="Arial" w:eastAsia="Arial" w:hAnsi="Arial"/>
          <w:sz w:val="16"/>
          <w:szCs w:val="16"/>
          <w:color w:val="auto"/>
        </w:rPr>
        <w:t xml:space="preserve"> aggregate national car listings; </w:t>
      </w:r>
      <w:r>
        <w:rPr>
          <w:rFonts w:ascii="Arial" w:cs="Arial" w:eastAsia="Arial" w:hAnsi="Arial"/>
          <w:sz w:val="16"/>
          <w:szCs w:val="16"/>
          <w:i w:val="1"/>
          <w:iCs w:val="1"/>
          <w:color w:val="auto"/>
        </w:rPr>
        <w:t>Realtor.com</w:t>
      </w:r>
      <w:r>
        <w:rPr>
          <w:rFonts w:ascii="Arial" w:cs="Arial" w:eastAsia="Arial" w:hAnsi="Arial"/>
          <w:sz w:val="16"/>
          <w:szCs w:val="16"/>
          <w:color w:val="auto"/>
        </w:rPr>
        <w:t xml:space="preserve"> and </w:t>
      </w:r>
      <w:r>
        <w:rPr>
          <w:rFonts w:ascii="Arial" w:cs="Arial" w:eastAsia="Arial" w:hAnsi="Arial"/>
          <w:sz w:val="16"/>
          <w:szCs w:val="16"/>
          <w:i w:val="1"/>
          <w:iCs w:val="1"/>
          <w:color w:val="auto"/>
        </w:rPr>
        <w:t>Zillow.com</w:t>
      </w:r>
      <w:r>
        <w:rPr>
          <w:rFonts w:ascii="Arial" w:cs="Arial" w:eastAsia="Arial" w:hAnsi="Arial"/>
          <w:sz w:val="16"/>
          <w:szCs w:val="16"/>
          <w:color w:val="auto"/>
        </w:rPr>
        <w:t xml:space="preserve"> aggregate national real estate listings; </w:t>
      </w:r>
      <w:r>
        <w:rPr>
          <w:rFonts w:ascii="Arial" w:cs="Arial" w:eastAsia="Arial" w:hAnsi="Arial"/>
          <w:sz w:val="16"/>
          <w:szCs w:val="16"/>
          <w:i w:val="1"/>
          <w:iCs w:val="1"/>
          <w:color w:val="auto"/>
        </w:rPr>
        <w:t>Monster.com</w:t>
      </w:r>
      <w:r>
        <w:rPr>
          <w:rFonts w:ascii="Arial" w:cs="Arial" w:eastAsia="Arial" w:hAnsi="Arial"/>
          <w:sz w:val="16"/>
          <w:szCs w:val="16"/>
          <w:color w:val="auto"/>
        </w:rPr>
        <w:t xml:space="preserve"> and </w:t>
      </w:r>
      <w:r>
        <w:rPr>
          <w:rFonts w:ascii="Arial" w:cs="Arial" w:eastAsia="Arial" w:hAnsi="Arial"/>
          <w:sz w:val="16"/>
          <w:szCs w:val="16"/>
          <w:i w:val="1"/>
          <w:iCs w:val="1"/>
          <w:color w:val="auto"/>
        </w:rPr>
        <w:t>CareerBuilder.com</w:t>
      </w:r>
      <w:r>
        <w:rPr>
          <w:rFonts w:ascii="Arial" w:cs="Arial" w:eastAsia="Arial" w:hAnsi="Arial"/>
          <w:sz w:val="16"/>
          <w:szCs w:val="16"/>
          <w:color w:val="auto"/>
        </w:rPr>
        <w:t xml:space="preserve"> aggregate employment listings. All of these vertical-niche sites can be searched locally. Finally, several services challenge established business models. Some nationally managed sites, such as Yelp and OpenTable, also offer local information and services. Major search engines have also sought to capitalize access to information about local markets, sometimes in direct competition with services provided by the </w:t>
      </w:r>
      <w:r>
        <w:rPr>
          <w:rFonts w:ascii="Arial" w:cs="Arial" w:eastAsia="Arial" w:hAnsi="Arial"/>
          <w:sz w:val="16"/>
          <w:szCs w:val="16"/>
          <w:i w:val="1"/>
          <w:iCs w:val="1"/>
          <w:color w:val="auto"/>
        </w:rPr>
        <w:t>Post</w:t>
      </w:r>
      <w:r>
        <w:rPr>
          <w:rFonts w:ascii="Arial" w:cs="Arial" w:eastAsia="Arial" w:hAnsi="Arial"/>
          <w:sz w:val="16"/>
          <w:szCs w:val="16"/>
          <w:color w:val="auto"/>
        </w:rPr>
        <w:t>. For example, Google and Yahoo! have launched local services that offer directory information for local markets with enhanced functionality, such as mapping and links to reviews and other information. Daily deal sites have also emerged to compete with traditional forms of local and increasingly national advertising. In addition, other forms digital distribution, such as smart phones, tablets and e-readers, are also competitive with Company news sites.</w:t>
      </w:r>
    </w:p>
    <w:p>
      <w:pPr>
        <w:spacing w:after="0" w:line="170"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The Company’s other print products compete with a variety of newspapers, including regional and national publications, as well as with a wide variety other media outlets, including the Internet, radio, magazines and television (including over-the-air reception, cable, DBS and Internet) for readers and advertising revenue.</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 xml:space="preserve">PNS competes for audiences and advertising revenues with television and radio stations, cable television systems and video services offered by telep companies serving the same or nearby areas; with DBS services; and, to a lesser degree, with other media, such as newspapers and magazines. Cab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by offering movies and other programming on a pay-per-view basis. In addition, DBS services provide nationwide distribution of television programmin including pay-per-view programming and programming packages unique to DBS, using digital transmission technologies. The Company’s television st may also become subject to increased competition from low-power television stations, wireless cable services and satellite master antenna systems, w can carry pay-cable and similar program material. In addition, movies and television programming are available free of charge on the websites of the TV networks, as well as on the advertising-supported website </w:t>
      </w:r>
      <w:r>
        <w:rPr>
          <w:rFonts w:ascii="Arial" w:cs="Arial" w:eastAsia="Arial" w:hAnsi="Arial"/>
          <w:sz w:val="17"/>
          <w:szCs w:val="17"/>
          <w:i w:val="1"/>
          <w:iCs w:val="1"/>
          <w:color w:val="auto"/>
        </w:rPr>
        <w:t>Hulu</w:t>
      </w:r>
      <w:r>
        <w:rPr>
          <w:rFonts w:ascii="Arial" w:cs="Arial" w:eastAsia="Arial" w:hAnsi="Arial"/>
          <w:sz w:val="17"/>
          <w:szCs w:val="17"/>
          <w:color w:val="auto"/>
        </w:rPr>
        <w:t>.</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each of whom is elected annually by the Board of Directors, are as follows:</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Donald E. Graham, age 66, has been Chairman of the Board of the Company since September 1993 and Chief Executive Officer of the Company sinc 1991. Mr. Graham served as President of the Company from May 1991 until September 1993 and prior to that had been a Vice President of the Comp for more than five years. Mr. Graham also served as Publisher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1979 until September 2000 and as Chairman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Septem 2000 to February 2008.</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2" w:name="page33"/>
    <w:bookmarkEnd w:id="32"/>
    <w:p>
      <w:pPr>
        <w:spacing w:after="0" w:line="251" w:lineRule="auto"/>
        <w:rPr>
          <w:sz w:val="20"/>
          <w:szCs w:val="20"/>
          <w:color w:val="auto"/>
        </w:rPr>
      </w:pPr>
      <w:r>
        <w:rPr>
          <w:rFonts w:ascii="Arial" w:cs="Arial" w:eastAsia="Arial" w:hAnsi="Arial"/>
          <w:sz w:val="16"/>
          <w:szCs w:val="16"/>
          <w:color w:val="auto"/>
        </w:rPr>
        <w:t>Veronica Dillon, age 62, became Senior Vice President of the Company in June 2008 and the Vice President, General Counsel and Secretary of the Company in January 2007. Ms. Dillon began her career with the Company in January 1991 as corporate counsel at Kaplan, Inc. She was subsequentl named General Counsel at Kaplan in June 1995 and then served as Kaplan’s Chief Administrative Officer beginning in December 2003.</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Boisfeuillet Jones, Jr., age 65, became Vice Chairman of the Company and Chairman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in February 2008. Mr. Jones joined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in 1980 Vice President and counsel. In 1995, he became President and General Manager and was named Associate Publisher in January 2000. In September 2000, he succeeded Donald Graham as Publisher and Chief Executive Officer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held both positions until February 2008. Mr. Jones left Company on December 31, 2011.</w:t>
      </w:r>
    </w:p>
    <w:p>
      <w:pPr>
        <w:spacing w:after="0" w:line="17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Hal S. Jones, age 59, became Senior Vice President–Finance of the Company in November 2008 and Chief Financial Officer of the Company in Janu 2009. He had most recently been Chief Executive Officer of Kaplan Professional, responsible for Kaplan’s professional businesses in financial service estate, technology and engineering in the U.S. and the U.K. Mr. Jones has spent 21 years at the Company and Kaplan, serving in a variety of senior management positions with a focus on finance, auditing and accounting.</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Ann L. McDaniel, age 56, became Senior Vice President–Human Resources of the Company in June 2008 and was formerly Vice President–Human Resources of the Company since September 2001. She served as Managing Director of Newsweek, Inc., from January 2008 until the sale of </w:t>
      </w:r>
      <w:r>
        <w:rPr>
          <w:rFonts w:ascii="Arial" w:cs="Arial" w:eastAsia="Arial" w:hAnsi="Arial"/>
          <w:sz w:val="17"/>
          <w:szCs w:val="17"/>
          <w:i w:val="1"/>
          <w:iCs w:val="1"/>
          <w:color w:val="auto"/>
        </w:rPr>
        <w:t>Newswe</w:t>
      </w:r>
      <w:r>
        <w:rPr>
          <w:rFonts w:ascii="Arial" w:cs="Arial" w:eastAsia="Arial" w:hAnsi="Arial"/>
          <w:sz w:val="17"/>
          <w:szCs w:val="17"/>
          <w:color w:val="auto"/>
        </w:rPr>
        <w:t xml:space="preserve"> magazine in September 2010. Ms. McDaniel had previously served as Senior Director of Human Resources of the Company since January 2001 and that held various editorial positions at </w:t>
      </w:r>
      <w:r>
        <w:rPr>
          <w:rFonts w:ascii="Arial" w:cs="Arial" w:eastAsia="Arial" w:hAnsi="Arial"/>
          <w:sz w:val="17"/>
          <w:szCs w:val="17"/>
          <w:i w:val="1"/>
          <w:iCs w:val="1"/>
          <w:color w:val="auto"/>
        </w:rPr>
        <w:t>Newsweek</w:t>
      </w:r>
      <w:r>
        <w:rPr>
          <w:rFonts w:ascii="Arial" w:cs="Arial" w:eastAsia="Arial" w:hAnsi="Arial"/>
          <w:sz w:val="17"/>
          <w:szCs w:val="17"/>
          <w:color w:val="auto"/>
        </w:rPr>
        <w:t>.</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Gerald M. Rosberg, age 65, became Senior Vice President–Planning and Development of the Company in June 2008 and was formerly Vice Presiden Planning and Development of the Company since February 1999. He had previously served as Vice President–Affiliates at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 position he ass in November 1997. Mr. Rosberg joined the Company in January 1996 as the </w:t>
      </w:r>
      <w:r>
        <w:rPr>
          <w:rFonts w:ascii="Arial" w:cs="Arial" w:eastAsia="Arial" w:hAnsi="Arial"/>
          <w:sz w:val="17"/>
          <w:szCs w:val="17"/>
          <w:i w:val="1"/>
          <w:iCs w:val="1"/>
          <w:color w:val="auto"/>
        </w:rPr>
        <w:t>Post</w:t>
      </w:r>
      <w:r>
        <w:rPr>
          <w:rFonts w:ascii="Arial" w:cs="Arial" w:eastAsia="Arial" w:hAnsi="Arial"/>
          <w:sz w:val="17"/>
          <w:szCs w:val="17"/>
          <w:color w:val="auto"/>
        </w:rPr>
        <w:t>’s Director of Affiliate Relations.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Wallace R. Cooney, age 49, became Vice President–Finance and Chief Accounting Officer of the Company in June 2008. Mr. Cooney joined the Com in 2001 as Controller and prior to that had been with Gannett Co., Inc. and Price Waterhouse LLP.</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Employees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employ approximately 18,000 people on a full-time basis.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Worldwide, Kaplan employs approximately 12,000 people on a full-time basis. Kaplan also employs substantial numbers of part-time employees who s in instructional and administrative capacities. During peak seasonal periods, Kaplan’s part-time workforce exceeds 17,500 employees. In Canada, 51 Kaplan employees are represented by a union.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Cable ONE has approximately 2,298 full-time employees, none of whom is represented by a union.</w:t>
      </w:r>
    </w:p>
    <w:p>
      <w:pPr>
        <w:spacing w:after="0" w:line="177"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WP Company has approximately 1,911 full-time employees. About 1,016 of WP Company’s full-time employees and about 266 part-time employees a represented by one of five unions. Collective-bargaining agreements are currently in effect with locals of the following unions covering the full-time and time employees and expiring on the dates indicated: 862 editorial, newsroom and commercial department employees, represented by the Communica Workers of America (July 26, 2013); 28 machinists, represented by the International Association of Machinists (January 11, 2014); 10 photoengravers platemakers, represented by the Graphic Communications Conference of the International Brotherhood of Teamsters (February 5, 2015); 28 paper ha and general workers represented by the Graphic Communications Conference of the International Brotherhood of Teamsters (November 15, 2013); an electricians, represented by the International Brotherhood of Electrical Workers (March 12, 2012). The agreement covering 322 mailroom workers represented by the Communications Workers of America expired on May 18, 2003; the parties reached a Comprehensive Tentative Agreement that w subject to ratification on December 16, 2009. WP Company has twice failed to ratify the Comprehensive Tentative Agreement. The agreement coverin engineers, carpenters and painters represented by the International Union of Operating Engineers expired on April 12, 2008; negotiations have yet to produce a successor agreement.</w:t>
      </w:r>
    </w:p>
    <w:p>
      <w:pPr>
        <w:spacing w:after="0" w:line="182"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 xml:space="preserve">Of the approximately 186 full-time and 71 part-time employees at The Daily Herald Company, about 51 full-time and 15 part-time employees are represented by one of three unions. </w:t>
      </w:r>
      <w:r>
        <w:rPr>
          <w:rFonts w:ascii="Arial" w:cs="Arial" w:eastAsia="Arial" w:hAnsi="Arial"/>
          <w:sz w:val="17"/>
          <w:szCs w:val="17"/>
          <w:i w:val="1"/>
          <w:iCs w:val="1"/>
          <w:color w:val="auto"/>
        </w:rPr>
        <w:t>The Hearld’s</w:t>
      </w:r>
      <w:r>
        <w:rPr>
          <w:rFonts w:ascii="Arial" w:cs="Arial" w:eastAsia="Arial" w:hAnsi="Arial"/>
          <w:sz w:val="17"/>
          <w:szCs w:val="17"/>
          <w:color w:val="auto"/>
        </w:rPr>
        <w:t xml:space="preserve"> collective-bargaining agreement with the</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33" w:name="page34"/>
    <w:bookmarkEnd w:id="33"/>
    <w:p>
      <w:pPr>
        <w:ind w:left="9"/>
        <w:spacing w:after="0" w:line="251" w:lineRule="auto"/>
        <w:rPr>
          <w:sz w:val="20"/>
          <w:szCs w:val="20"/>
          <w:color w:val="auto"/>
        </w:rPr>
      </w:pPr>
      <w:r>
        <w:rPr>
          <w:rFonts w:ascii="Arial" w:cs="Arial" w:eastAsia="Arial" w:hAnsi="Arial"/>
          <w:sz w:val="16"/>
          <w:szCs w:val="16"/>
          <w:color w:val="auto"/>
        </w:rPr>
        <w:t>Graphic Communications Conference of the International Brotherhood of Teamsters, which represents press operators, expires on July 26, 2012; its agreement with The Newspaper Guild—Communications Workers of America, which represents printers and mailers, expired on October 31, 2012; an agreement with the International Brotherhood of Teamsters, which represents bundle haulers, has been extended through December 31, 2013.</w:t>
      </w:r>
    </w:p>
    <w:p>
      <w:pPr>
        <w:spacing w:after="0" w:line="167" w:lineRule="exact"/>
        <w:rPr>
          <w:sz w:val="20"/>
          <w:szCs w:val="20"/>
          <w:color w:val="auto"/>
        </w:rPr>
      </w:pPr>
    </w:p>
    <w:p>
      <w:pPr>
        <w:ind w:left="9" w:right="100"/>
        <w:spacing w:after="0" w:line="235" w:lineRule="auto"/>
        <w:rPr>
          <w:sz w:val="20"/>
          <w:szCs w:val="20"/>
          <w:color w:val="auto"/>
        </w:rPr>
      </w:pPr>
      <w:r>
        <w:rPr>
          <w:rFonts w:ascii="Arial" w:cs="Arial" w:eastAsia="Arial" w:hAnsi="Arial"/>
          <w:sz w:val="17"/>
          <w:szCs w:val="17"/>
          <w:color w:val="auto"/>
        </w:rPr>
        <w:t>PNS has approximately 870 full-time employees, of whom about 134 are union-represented. Of the seven collective bargaining agreements covering represented employees, five have expired and are being renegotiated. One collective bargaining agreement will expire in 2012.</w:t>
      </w:r>
    </w:p>
    <w:p>
      <w:pPr>
        <w:spacing w:after="0" w:line="176"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PNM has approximately 352 full-time and 145 part-time employees. The Company has approximately 115 full-time employees. Each of the following − Slate Group, FP Group, Social Code, Avenue100, Robinson Terminal Warehouse Corporation, Greater Washington Publishing, Inc., Express Publicati Company, LLC and El Tiempo Latino LLC − employs fewer than 100 persons. None of these units’ employees is represented by a union.</w:t>
      </w:r>
    </w:p>
    <w:p>
      <w:pPr>
        <w:spacing w:after="0" w:line="147" w:lineRule="exact"/>
        <w:rPr>
          <w:sz w:val="20"/>
          <w:szCs w:val="20"/>
          <w:color w:val="auto"/>
        </w:rPr>
      </w:pPr>
    </w:p>
    <w:p>
      <w:pPr>
        <w:ind w:left="4569"/>
        <w:spacing w:after="0"/>
        <w:rPr>
          <w:sz w:val="20"/>
          <w:szCs w:val="20"/>
          <w:color w:val="auto"/>
        </w:rPr>
      </w:pPr>
      <w:r>
        <w:rPr>
          <w:rFonts w:ascii="Arial" w:cs="Arial" w:eastAsia="Arial" w:hAnsi="Arial"/>
          <w:sz w:val="17"/>
          <w:szCs w:val="17"/>
          <w:b w:val="1"/>
          <w:bCs w:val="1"/>
          <w:color w:val="auto"/>
        </w:rPr>
        <w:t>Forward-Looking Statements</w:t>
      </w:r>
    </w:p>
    <w:p>
      <w:pPr>
        <w:spacing w:after="0" w:line="197"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Annu Report on Form 10-K and elsewhere in the Company’s 2011 Annual Report to Stockholders, are “forward-looking statements” within the meaning of th Private Securities Litigation Reform Act of 1995. Forward-looking statements include comments about the Company’s business strategies and objectiv the prospects for growth in the Company’s various business operations and the Company’s future financial performance. As with any projection or fore forward-looking statements are subject to various risks and uncertainties, including the risks and uncertainties described in Item 1A of this Annual Rep Form 10-K, that could cause actual results or events to differ materially from those anticipated in such statements. Accordingly, undue reliance should placed on any forward-looking statement made by or on behalf of the Company. The Company assumes no obligation to update any forward- looking statement after the date on which such statement is made, even if new information subsequently becomes available.</w:t>
      </w:r>
    </w:p>
    <w:p>
      <w:pPr>
        <w:spacing w:after="0" w:line="153"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Available Information</w:t>
      </w:r>
    </w:p>
    <w:p>
      <w:pPr>
        <w:spacing w:after="0" w:line="179"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 xml:space="preserve">The Company’s Internet address is </w:t>
      </w:r>
      <w:r>
        <w:rPr>
          <w:rFonts w:ascii="Arial" w:cs="Arial" w:eastAsia="Arial" w:hAnsi="Arial"/>
          <w:sz w:val="17"/>
          <w:szCs w:val="17"/>
          <w:i w:val="1"/>
          <w:iCs w:val="1"/>
          <w:color w:val="auto"/>
        </w:rPr>
        <w:t>washpostco.com.</w:t>
      </w:r>
      <w:r>
        <w:rPr>
          <w:rFonts w:ascii="Arial" w:cs="Arial" w:eastAsia="Arial" w:hAnsi="Arial"/>
          <w:sz w:val="17"/>
          <w:szCs w:val="17"/>
          <w:color w:val="auto"/>
        </w:rPr>
        <w:t xml:space="preserve"> The Company makes available free of charge through its website its Annual Report on Form 10-quarterly reports on Form 10-Q, current reports on Form 8-K and amendments to those reports filed or furnished pursuant to Section 13(a) or 15(d) of Exchange Act as soon as reasonably practicable after such documents are electronically filed with the Securities and Exchange Commission. In additi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 available on the Company’s website; printed copies of such documents may be obtained by any stockholder upon written request to the Secretary of t Company at 1150 15th Street, NW, Washington, DC 20071.</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1A. Risk Factors.</w:t>
      </w:r>
    </w:p>
    <w:p>
      <w:pPr>
        <w:spacing w:after="0" w:line="85"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 the Company’s business, financial condition or results of operations.</w:t>
      </w:r>
    </w:p>
    <w:p>
      <w:pPr>
        <w:spacing w:after="0" w:line="156" w:lineRule="exact"/>
        <w:rPr>
          <w:sz w:val="20"/>
          <w:szCs w:val="20"/>
          <w:color w:val="auto"/>
        </w:rPr>
      </w:pPr>
    </w:p>
    <w:p>
      <w:pPr>
        <w:ind w:left="229" w:right="20" w:hanging="229"/>
        <w:spacing w:after="0" w:line="271" w:lineRule="auto"/>
        <w:tabs>
          <w:tab w:leader="none" w:pos="221"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Failure to Comply With Statutory and Regulatory Requirements Could Result in Loss of Access to U.S. Federal Student Loans and Grant Under Title IV, a Requirement to Pay Fines or Monetary Liabilities or Other Sanctions</w:t>
      </w:r>
    </w:p>
    <w:p>
      <w:pPr>
        <w:spacing w:after="0" w:line="38"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To maintain Title IV eligibility, each group of schools combined into an OPEID unit must comply with the extensive statutory and regulatory requiremen the Higher Education Act and other laws relating to its financial aid management, educational programs, financial strength, facilities, recruiting practice various other matters. Failure to comply with these requirements could result in the loss or limitation of the eligibility of one or more of the KHE schools participate in Title IV programs, a requirement to pay fines or to repay Title IV program funds, a denial or refusal by the DOE to consider a school’s application for renewal of its certification to participate in the Title IV programs or for approval to add a new campus or education program, civil or crim penalties or other sanctions. No assurance can be given that the Kaplan schools and programs currently participating in Title IV programs will maintain Title IV eligibility, accreditation</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34" w:name="page35"/>
    <w:bookmarkEnd w:id="34"/>
    <w:p>
      <w:pPr>
        <w:jc w:val="both"/>
        <w:ind w:left="9"/>
        <w:spacing w:after="0" w:line="233" w:lineRule="auto"/>
        <w:rPr>
          <w:sz w:val="20"/>
          <w:szCs w:val="20"/>
          <w:color w:val="auto"/>
        </w:rPr>
      </w:pPr>
      <w:r>
        <w:rPr>
          <w:rFonts w:ascii="Arial" w:cs="Arial" w:eastAsia="Arial" w:hAnsi="Arial"/>
          <w:sz w:val="17"/>
          <w:szCs w:val="17"/>
          <w:color w:val="auto"/>
        </w:rPr>
        <w:t>and state authorization in the future or that the DOE might not successfully assert that one or more of such schools or programs have previously failed comply with Title IV requirements. The loss of Title IV eligibility by either (1) the single OPEID unit that includes Kaplan University or (2) a combination other OPEID units would have a material adverse effect on Kaplan’s operating results.</w:t>
      </w:r>
    </w:p>
    <w:p>
      <w:pPr>
        <w:spacing w:after="0" w:line="155" w:lineRule="exact"/>
        <w:rPr>
          <w:sz w:val="20"/>
          <w:szCs w:val="20"/>
          <w:color w:val="auto"/>
        </w:rPr>
      </w:pPr>
    </w:p>
    <w:p>
      <w:pPr>
        <w:ind w:left="229" w:hanging="229"/>
        <w:spacing w:after="0" w:line="271" w:lineRule="auto"/>
        <w:tabs>
          <w:tab w:leader="none" w:pos="221"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Program Reviews, Audits, Investigations and Other Reviews of KHE Schools Could Result in Findings of Failure to Comply With Statutor Regulatory Requirements</w:t>
      </w:r>
    </w:p>
    <w:p>
      <w:pPr>
        <w:spacing w:after="0" w:line="3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KHE schools are subject to program reviews, audits, investigations and other compliance reviews conducted by various regulatory agencies and audit including, among others, the DOE, the DOE’s Office of the Inspector General, accrediting bodies and state and various other agencies, as well as ann audits by an independent certified public accountant of each OPEID unit’s compliance with Title IV statutory and regulatory requirements. These comp reviews can result in findings of noncompliance with statutory and regulatory requirements that can, in turn, result in proceedings to impose fines, liabi civil or criminal penalties or other sanctions against the school, including loss or limitation of its eligibility to participate in Title IV programs. Certain KH schools are the subject of ongoing compliance reviews and lawsuits related to their compliance with statutory and regulatory requirements and may be subject to future compliance reviews.</w:t>
      </w:r>
    </w:p>
    <w:p>
      <w:pPr>
        <w:spacing w:after="0" w:line="178"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KHE schools also may be subject to complaints and lawsuits by present or former students or employees or other persons related to compliance with statutory, common law and regulatory requirements that, if successful, could result in monetary liabilities or fines or other sanctions.</w:t>
      </w:r>
    </w:p>
    <w:p>
      <w:pPr>
        <w:spacing w:after="0" w:line="156" w:lineRule="exact"/>
        <w:rPr>
          <w:sz w:val="20"/>
          <w:szCs w:val="20"/>
          <w:color w:val="auto"/>
        </w:rPr>
      </w:pPr>
    </w:p>
    <w:p>
      <w:pPr>
        <w:ind w:left="229" w:right="100" w:hanging="229"/>
        <w:spacing w:after="0" w:line="271" w:lineRule="auto"/>
        <w:tabs>
          <w:tab w:leader="none" w:pos="221"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Reductions in the Amount of Funds Available to Students, Including under Title IV Programs, in KHE Schools, Changes in the Terms on Such Funds Are Made Available or Loss or Limitation of Eligibility to Receive Such Funds</w:t>
      </w:r>
    </w:p>
    <w:p>
      <w:pPr>
        <w:spacing w:after="0" w:line="3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During the Company’s 2011 fiscal year, funds provided under the student financial aid programs created under Title IV accounted for approximately $1 million of the revenues of the schools in KHE. Any legislative, regulatory or other development that has the effect of materially reducing the amount of IV financial assistance or other funds available to the students of those schools would have a material adverse effect on Kaplan’s business and operat In addition, any development that has the effect of making the terms on which Title IV financial assistance or other funds are available to students of th schools materially less attractive could have a material adverse effect on Kaplan’s business and operations.</w:t>
      </w:r>
    </w:p>
    <w:p>
      <w:pPr>
        <w:spacing w:after="0" w:line="156" w:lineRule="exact"/>
        <w:rPr>
          <w:sz w:val="20"/>
          <w:szCs w:val="20"/>
          <w:color w:val="auto"/>
        </w:rPr>
      </w:pPr>
    </w:p>
    <w:p>
      <w:pPr>
        <w:ind w:left="209" w:hanging="209"/>
        <w:spacing w:after="0"/>
        <w:tabs>
          <w:tab w:leader="none" w:pos="209"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Recent Regulatory Changes Could Have a Material Adverse Effect on Kaplan’s Business and Operations</w:t>
      </w:r>
    </w:p>
    <w:p>
      <w:pPr>
        <w:spacing w:after="0" w:line="98"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New regulations went into effect on July 1, 2011, relating to various “program integrity” topics. The topics covered in the new regulations include, but a limited to, the following:</w:t>
      </w:r>
    </w:p>
    <w:p>
      <w:pPr>
        <w:spacing w:after="0" w:line="39" w:lineRule="exact"/>
        <w:rPr>
          <w:sz w:val="20"/>
          <w:szCs w:val="20"/>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Revisions to the incentive compensation rule (see separate risk factor discussed below);</w:t>
      </w:r>
    </w:p>
    <w:p>
      <w:pPr>
        <w:spacing w:after="0" w:line="40" w:lineRule="exact"/>
        <w:rPr>
          <w:rFonts w:ascii="Arial" w:cs="Arial" w:eastAsia="Arial" w:hAnsi="Arial"/>
          <w:sz w:val="17"/>
          <w:szCs w:val="17"/>
          <w:color w:val="auto"/>
        </w:rPr>
      </w:pPr>
    </w:p>
    <w:p>
      <w:pPr>
        <w:ind w:left="669" w:right="200" w:hanging="264"/>
        <w:spacing w:after="0" w:line="235" w:lineRule="auto"/>
        <w:tabs>
          <w:tab w:leader="none" w:pos="646"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of the notice and approval requirements for adding new academic programs and new reporting and disclosure requirements for academic programs;</w:t>
      </w:r>
    </w:p>
    <w:p>
      <w:pPr>
        <w:spacing w:after="0" w:line="39" w:lineRule="exact"/>
        <w:rPr>
          <w:rFonts w:ascii="Arial" w:cs="Arial" w:eastAsia="Arial" w:hAnsi="Arial"/>
          <w:sz w:val="17"/>
          <w:szCs w:val="17"/>
          <w:color w:val="auto"/>
        </w:rPr>
      </w:pPr>
    </w:p>
    <w:p>
      <w:pPr>
        <w:ind w:left="669" w:right="100" w:hanging="264"/>
        <w:spacing w:after="0" w:line="235" w:lineRule="auto"/>
        <w:tabs>
          <w:tab w:leader="none" w:pos="646"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Revision and expansion of the types of activities that are deemed a “substantial misrepresentation” and the ability of the DOE to enforce the provisions;</w:t>
      </w:r>
    </w:p>
    <w:p>
      <w:pPr>
        <w:spacing w:after="0" w:line="39"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Requirement that states authorize institutions and set forth certain minimum requirements to obtain such authorizations;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Limiting agreements between related institutions;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Defining a “credit hour”;</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Administration of ability-to-benefit examinations;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Student attendance requirements;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Proof of high school graduation;</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Verification of information included on student aid applications;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academic progress;</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Retaking coursework;</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Return of Title IV funds; and</w:t>
      </w:r>
    </w:p>
    <w:p>
      <w:pPr>
        <w:spacing w:after="0" w:line="40" w:lineRule="exact"/>
        <w:rPr>
          <w:rFonts w:ascii="Arial" w:cs="Arial" w:eastAsia="Arial" w:hAnsi="Arial"/>
          <w:sz w:val="17"/>
          <w:szCs w:val="17"/>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Disbursements of Title IV funds.</w:t>
      </w:r>
    </w:p>
    <w:p>
      <w:pPr>
        <w:spacing w:after="0" w:line="2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35" w:name="page36"/>
    <w:bookmarkEnd w:id="35"/>
    <w:p>
      <w:pPr>
        <w:jc w:val="both"/>
        <w:ind w:left="9"/>
        <w:spacing w:after="0" w:line="233" w:lineRule="auto"/>
        <w:rPr>
          <w:sz w:val="20"/>
          <w:szCs w:val="20"/>
          <w:color w:val="auto"/>
        </w:rPr>
      </w:pPr>
      <w:r>
        <w:rPr>
          <w:rFonts w:ascii="Arial" w:cs="Arial" w:eastAsia="Arial" w:hAnsi="Arial"/>
          <w:sz w:val="17"/>
          <w:szCs w:val="17"/>
          <w:color w:val="auto"/>
        </w:rPr>
        <w:t>The implementation of these new regulations required Kaplan to change its practices to comply with these requirements and has increased its adminis costs. The changes to its practices or its inability to comply with the final regulations could have a material adverse effect on Kaplan’s business and re of operations.</w:t>
      </w:r>
    </w:p>
    <w:p>
      <w:pPr>
        <w:spacing w:after="0" w:line="155" w:lineRule="exact"/>
        <w:rPr>
          <w:sz w:val="20"/>
          <w:szCs w:val="20"/>
          <w:color w:val="auto"/>
        </w:rPr>
      </w:pPr>
    </w:p>
    <w:p>
      <w:pPr>
        <w:ind w:left="229" w:hanging="229"/>
        <w:spacing w:after="0" w:line="271" w:lineRule="auto"/>
        <w:tabs>
          <w:tab w:leader="none" w:pos="221"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Compliance With Recently Adopted Regulations Regarding Incentive Compensation Can Make It Difficult for Kaplan to Attract Students a Retain Qualified Personnel</w:t>
      </w:r>
    </w:p>
    <w:p>
      <w:pPr>
        <w:spacing w:after="0" w:line="3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 such payment is based directly or indirectly on success in securing enrollments or financial aid. On July 1, 2011, new regulations went into effect that amended the incentive compensation rule by reducing the scope of permissible payments under the rule and expanding the scope of payments and employees subject to the rule. The Company cannot predict how the DOE will interpret and enforce the revised incentive compensation rule or the full the new rule will have on the results of KHE. KHE modified some of its compensation practices as a result of the revisions to the incentive compensati rule. These changes to compensation arrangements can make it difficult to attract students and to provide adequate incentives to promote superior job performance and retain qualified personnel, and could have a material adverse effect on Kaplan’s business and results of operations.</w:t>
      </w:r>
    </w:p>
    <w:p>
      <w:pPr>
        <w:spacing w:after="0" w:line="153" w:lineRule="exact"/>
        <w:rPr>
          <w:sz w:val="20"/>
          <w:szCs w:val="20"/>
          <w:color w:val="auto"/>
        </w:rPr>
      </w:pPr>
    </w:p>
    <w:p>
      <w:pPr>
        <w:ind w:left="229" w:right="140" w:hanging="229"/>
        <w:spacing w:after="0" w:line="271" w:lineRule="auto"/>
        <w:tabs>
          <w:tab w:leader="none" w:pos="221"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New DOE Rule Regarding Gainful Employment Resulted in Regulatory Changes That Could Have a Material Adverse Effect on Kaplan’s Business and Operations</w:t>
      </w:r>
    </w:p>
    <w:p>
      <w:pPr>
        <w:spacing w:after="0" w:line="38"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In June 2011, the DOE issued final regulations that tie an education program’s Title IV eligibility to whether the program leads to gainful employment. regulations define an education program that leads to gainful employment as one that complies with the following gainful employment metrics as calcu under the complex formulas prescribed in the regulations: (1) the average annual loan payment for program graduates is 12% or less of annual earni</w:t>
      </w:r>
    </w:p>
    <w:p>
      <w:pPr>
        <w:spacing w:after="0" w:line="2" w:lineRule="exact"/>
        <w:rPr>
          <w:sz w:val="20"/>
          <w:szCs w:val="20"/>
          <w:color w:val="auto"/>
        </w:rPr>
      </w:pPr>
    </w:p>
    <w:p>
      <w:pPr>
        <w:ind w:left="9" w:hanging="9"/>
        <w:spacing w:after="0" w:line="233" w:lineRule="auto"/>
        <w:tabs>
          <w:tab w:leader="none" w:pos="2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average annual loan payment for program graduates is 30% or less of discretionary income (generally defined as annual earnings above 150% the U.S. Federal poverty level); and (3) the U.S. Federal loan repayment rate must be at least 35% for loans owed by students for attendance in the program regardless of whether they graduated.</w:t>
      </w:r>
    </w:p>
    <w:p>
      <w:pPr>
        <w:spacing w:after="0" w:line="175"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If a program fails all three of the gainful employment metrics in a single U.S. Federal fiscal year, the DOE requires the institution, among other things, t disclose to current and prospective students the amount by which the program under-performed the metrics and the institution’s plan for program improvement, and to establish a three-day waiting period before students can enroll. Should a program fail to achieve the metrics twice within three ye the Department requires the institution, among other things, to disclose to current and prospective students that they should expect to have difficulty repaying their student loans; that the program is at risk of losing eligibility to receive U.S. Federal financial aid; and that transfer options exist (includin providing resources to students to research other educational options and compare program costs). Should a program fail three times within a four-ye period, the DOE would terminate the program’s eligibility for U.S. Federal student aid, and the institution would not be able to reestablish the program’ eligibility for at least three years, although the program could continue to operate without student aid. The final rule is scheduled to go into effect on Ju 2012. However, the first final debt measures will not be released until 2013, and a program cannot lose eligibility until 2015.</w:t>
      </w:r>
    </w:p>
    <w:p>
      <w:pPr>
        <w:spacing w:after="0" w:line="171"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The continuing eligibility of Kaplan’s education programs for Title IV funding may be affected by factors beyond its control, such as changes in the actu deemed income level of Kaplan graduates, changes in student borrowing levels, increases in interest rates, changes in the U.S. Federal poverty incom level relevant for calculating the discretionary income test, changes in the percentage of former students who are current in repayment of their student and other factors. To the extent any of these events occur, Kaplan may need to eliminate or limit enrollments in certain educational programs at some of its schools in order to comply with the new regulations, which could have a material adverse effect on its business and operations.</w:t>
      </w:r>
    </w:p>
    <w:p>
      <w:pPr>
        <w:spacing w:after="0" w:line="150" w:lineRule="exact"/>
        <w:rPr>
          <w:sz w:val="20"/>
          <w:szCs w:val="20"/>
          <w:color w:val="auto"/>
        </w:rPr>
      </w:pPr>
    </w:p>
    <w:p>
      <w:pPr>
        <w:ind w:left="229" w:right="320" w:hanging="229"/>
        <w:spacing w:after="0" w:line="271" w:lineRule="auto"/>
        <w:tabs>
          <w:tab w:leader="none" w:pos="221"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Congressional Examination of For-Profit Education Could Lead to Legislation or Other Governmental Action That May Materially and Adversely Affect Kaplan’s Business</w:t>
      </w:r>
    </w:p>
    <w:p>
      <w:pPr>
        <w:spacing w:after="0" w:line="3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Throughout 2010 and 2011, there was increased attention by Congress on the role that for-profit educational institutions play in higher education, inclu their participation in Title IV programs and U.S. Department of Defense oversight of tuition assistance for military service members attending for-profit colleges. Since June 2010, the HELP Committee has held a series of hearings to examine the for-profit education sector.</w:t>
      </w:r>
    </w:p>
    <w:p>
      <w:pPr>
        <w:spacing w:after="0" w:line="175" w:lineRule="exact"/>
        <w:rPr>
          <w:sz w:val="20"/>
          <w:szCs w:val="20"/>
          <w:color w:val="auto"/>
        </w:rPr>
      </w:pPr>
    </w:p>
    <w:p>
      <w:pPr>
        <w:jc w:val="center"/>
        <w:ind w:left="820"/>
        <w:spacing w:after="0" w:line="459" w:lineRule="auto"/>
        <w:rPr>
          <w:sz w:val="20"/>
          <w:szCs w:val="20"/>
          <w:color w:val="auto"/>
        </w:rPr>
      </w:pPr>
      <w:r>
        <w:rPr>
          <w:rFonts w:ascii="Arial" w:cs="Arial" w:eastAsia="Arial" w:hAnsi="Arial"/>
          <w:sz w:val="17"/>
          <w:szCs w:val="17"/>
          <w:color w:val="auto"/>
        </w:rPr>
        <w:t>At this time, the Company cannot predict the ultimate impact that the investigation may have on KHE, or the likelihood of or content of any future legisl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-34925</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36" w:name="page37"/>
    <w:bookmarkEnd w:id="36"/>
    <w:p>
      <w:pPr>
        <w:ind w:left="9"/>
        <w:spacing w:after="0" w:line="230" w:lineRule="auto"/>
        <w:rPr>
          <w:sz w:val="20"/>
          <w:szCs w:val="20"/>
          <w:color w:val="auto"/>
        </w:rPr>
      </w:pPr>
      <w:r>
        <w:rPr>
          <w:rFonts w:ascii="Arial" w:cs="Arial" w:eastAsia="Arial" w:hAnsi="Arial"/>
          <w:sz w:val="17"/>
          <w:szCs w:val="17"/>
          <w:color w:val="auto"/>
        </w:rPr>
        <w:t>Other committees of the Congress have also held hearings into, among other things, the standards and procedures of accrediting agencies, credit hou and program length and the portion of U.S. Federal student financial aid going to for-profit institutions. Several legislators have variously requested the Government Accountability Office to review and make recommendations regarding, among other things, student recruitment practices; educational qu student outcomes; the sufficiency of integrity safeguards against waste, fraud and abuse in Title IV programs; and the percentage of proprietary institu revenue coming from Title IV and other U.S. Federal funding sources. This increased activity may result in legislation, further rulemaking affecting participation in Title IV programs and other governmental actions. In addition, concerns generated by congressional or other activity, or media reports, adversely affect enrollment in for-profit educational institutions.</w:t>
      </w:r>
    </w:p>
    <w:p>
      <w:pPr>
        <w:spacing w:after="0" w:line="178"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Kaplan cannot predict the extent to which these activities could result in further investigations, legislation or rulemaking affecting its participation in Titl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 operations and cash flows would be adversely and materially impacted.</w:t>
      </w:r>
    </w:p>
    <w:p>
      <w:pPr>
        <w:spacing w:after="0" w:line="155" w:lineRule="exact"/>
        <w:rPr>
          <w:sz w:val="20"/>
          <w:szCs w:val="20"/>
          <w:color w:val="auto"/>
        </w:rPr>
      </w:pPr>
    </w:p>
    <w:p>
      <w:pPr>
        <w:ind w:left="209" w:hanging="209"/>
        <w:spacing w:after="0"/>
        <w:tabs>
          <w:tab w:leader="none" w:pos="20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The Kaplan Commitment Has Materially Impacted Operating Results and Is Expected to Continue to Do So</w:t>
      </w:r>
    </w:p>
    <w:p>
      <w:pPr>
        <w:spacing w:after="0" w:line="9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the fourth quarter of 2010, KHE phased in a new program, called the Kaplan Commitment. Under this program students of Kaplan University, Kapla College and other KHE schools enroll in classes for several weeks and assess whether their educational experience meets their needs and expectatio before they incur any significant financial obligation. Kaplan also conducts academic assessments to help determine whether students are likely to be successful in their chosen course of study. Students who choose to withdraw from the program during the risk-free period, and students who do not pa academic evaluation do not have to pay for the coursework. In general, the risk-free period is approximately four weeks for diploma programs and five weeks for associate’s, bachelor’s and master’s degree programs.</w:t>
      </w:r>
    </w:p>
    <w:p>
      <w:pPr>
        <w:spacing w:after="0" w:line="179" w:lineRule="exact"/>
        <w:rPr>
          <w:sz w:val="20"/>
          <w:szCs w:val="20"/>
          <w:color w:val="auto"/>
        </w:rPr>
      </w:pPr>
    </w:p>
    <w:p>
      <w:pPr>
        <w:jc w:val="both"/>
        <w:ind w:left="9" w:hanging="18"/>
        <w:spacing w:after="0" w:line="230" w:lineRule="auto"/>
        <w:rPr>
          <w:sz w:val="20"/>
          <w:szCs w:val="20"/>
          <w:color w:val="auto"/>
        </w:rPr>
      </w:pPr>
      <w:r>
        <w:rPr>
          <w:rFonts w:ascii="Arial" w:cs="Arial" w:eastAsia="Arial" w:hAnsi="Arial"/>
          <w:sz w:val="17"/>
          <w:szCs w:val="17"/>
          <w:color w:val="auto"/>
        </w:rPr>
        <w:t>The Kaplan Commitment program, along with generally lower demand, has resulted in 37% declines in new enrollments in 2011. Kaplan estimates tha without the Kaplan Commitment, this decline would have been approximately 20% in 2011. Kaplan also estimates that revenue for 2011 would have b approximately $63 million higher if the Kaplan Commitment had not been implemented. This program and related initiatives will likely continue to have significant impact on the future operations of KHE, including student enrollment and retention, tuition revenues, operating income and cash flow. Howe Kaplan is not able to estimate whether the Kaplan Commitment will cause student retention patterns to differ from historical levels. The Kaplan Commi is expected to continue to have a material impact on Kaplan’s operating results.</w:t>
      </w:r>
    </w:p>
    <w:p>
      <w:pPr>
        <w:spacing w:after="0" w:line="159" w:lineRule="exact"/>
        <w:rPr>
          <w:sz w:val="20"/>
          <w:szCs w:val="20"/>
          <w:color w:val="auto"/>
        </w:rPr>
      </w:pPr>
    </w:p>
    <w:p>
      <w:pPr>
        <w:ind w:left="209" w:hanging="209"/>
        <w:spacing w:after="0"/>
        <w:tabs>
          <w:tab w:leader="none" w:pos="209"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Student Loan Defaults Could Result in Loss of Eligibility to Participate in Title IV Programs</w:t>
      </w:r>
    </w:p>
    <w:p>
      <w:pPr>
        <w:spacing w:after="0" w:line="9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A school may lose its eligibility to participate in Title IV programs if student defaults on the repayment of Title IV loans exceed specified rates, referred “cohort default rates.” The DOE calculates a cohort default rate for each of KHE’s OPEID numbers. The schools in an OPEID number whose cohort d rate exceeds 40% for any single year lose their eligibility to participate in the FFEL and Direct Loan programs effective 30 days after notification from t DOE and for at least two fiscal years, except in the event of a successful adjustment or appeal. The schools in an OPEID number whose cohort defau equals or exceeds 25% for three consecutive years lose their Title IV eligibility to participate in FFEL, Direct Loan and U.S. Federal Pell Grant program effective 30 days after notification from the DOE and for at least two fiscal years, except in the event of a successful adjustment or appeal. The school OPEID number whose cohort default rate equals or exceeds 25% in any one of the three most recent fiscal years for which rates have been issued by DOE may be placed on provisional certification by the DOE.</w:t>
      </w:r>
    </w:p>
    <w:p>
      <w:pPr>
        <w:spacing w:after="0" w:line="177" w:lineRule="exact"/>
        <w:rPr>
          <w:sz w:val="20"/>
          <w:szCs w:val="20"/>
          <w:color w:val="auto"/>
        </w:rPr>
      </w:pPr>
    </w:p>
    <w:p>
      <w:pPr>
        <w:ind w:left="9"/>
        <w:spacing w:after="0" w:line="229" w:lineRule="auto"/>
        <w:rPr>
          <w:sz w:val="20"/>
          <w:szCs w:val="20"/>
          <w:color w:val="auto"/>
        </w:rPr>
      </w:pPr>
      <w:r>
        <w:rPr>
          <w:rFonts w:ascii="Arial" w:cs="Arial" w:eastAsia="Arial" w:hAnsi="Arial"/>
          <w:sz w:val="17"/>
          <w:szCs w:val="17"/>
          <w:color w:val="auto"/>
        </w:rPr>
        <w:t>The enactment in August 2008 of HEOA (which reauthorized the Higher Education Act) changed the methodology that will be used to calculate cohort default rates for future years. Under the revised law, the period of time for which student defaults are tracked and included in the cohort default rate calculation is extended by a year, which is expected to increase the cohort default rates for most institutions. That change became effective with the calculation of institutions’ cohort default rates for the U.S. Federal fiscal year ending September 30, 2009; those rates are expected to be calculated a issued by the DOE in 2012. The DOE will not impose sanctions based on rates calculated under this new methodology until rates for three consecutiv years have been calculated, which is expected to occur in 2014. Until that time, the DOE will continue to calculate rates under the old method and imp sanctions based on those rates. The revised law also increases the threshold for ending an institution’s participation in certain Title IV programs from 2 30% for three consecutive years, effective for three-year cohort default rates issued beginning in fiscal year 2012. The revised law changes the thresh placement on provisional certification to 30% for two of the three most recent fiscal years for which the DOE has published official three-year cohort de rates.</w:t>
      </w:r>
    </w:p>
    <w:p>
      <w:pPr>
        <w:spacing w:after="0" w:line="18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72" w:right="139" w:bottom="1440" w:gutter="0" w:footer="0" w:header="0"/>
        </w:sectPr>
      </w:pPr>
    </w:p>
    <w:bookmarkStart w:id="37" w:name="page38"/>
    <w:bookmarkEnd w:id="37"/>
    <w:p>
      <w:pPr>
        <w:jc w:val="both"/>
        <w:ind w:left="9"/>
        <w:spacing w:after="0" w:line="233" w:lineRule="auto"/>
        <w:rPr>
          <w:sz w:val="20"/>
          <w:szCs w:val="20"/>
          <w:color w:val="auto"/>
        </w:rPr>
      </w:pPr>
      <w:r>
        <w:rPr>
          <w:rFonts w:ascii="Arial" w:cs="Arial" w:eastAsia="Arial" w:hAnsi="Arial"/>
          <w:sz w:val="17"/>
          <w:szCs w:val="17"/>
          <w:color w:val="auto"/>
        </w:rPr>
        <w:t>The two-year cohort default rate for Kaplan University (which comprises 68.1% of KHE’s revenue) for the U.S. Federal fiscal year periods 2009, 2008 2007 were 17.3%, 17.2%, and 13.3%, respectively. The cohort default rates for the remaining KHE reporting units for those U.S. Federal fiscal year pe ranged from 9.8% to 23.9%, 5.8% to 25.7%, and 7.8% to 28.7%, respectively.</w:t>
      </w:r>
    </w:p>
    <w:p>
      <w:pPr>
        <w:spacing w:after="0" w:line="175"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For the 2009 cohort year, no reporting unit had a cohort default rate of 25% or more, and none had two or more years above 25%. Two-year cohort de rates for the 2010 cohort year and three-year cohort default rates for the 2009 cohort year will be issued in final form by the DOE in September 2012. loss of Title IV eligibility by either (1) the single OPEID unit that includes Kaplan University or (2) a combination of two or more other OPEID units woul have a material adverse effect on Kaplan’s operating results.</w:t>
      </w:r>
    </w:p>
    <w:p>
      <w:pPr>
        <w:spacing w:after="0" w:line="155" w:lineRule="exact"/>
        <w:rPr>
          <w:sz w:val="20"/>
          <w:szCs w:val="20"/>
          <w:color w:val="auto"/>
        </w:rPr>
      </w:pPr>
    </w:p>
    <w:p>
      <w:pPr>
        <w:ind w:left="209" w:hanging="209"/>
        <w:spacing w:after="0"/>
        <w:tabs>
          <w:tab w:leader="none" w:pos="20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Loss of Eligibility to Participate in Title IV Programs If Title IV Revenues Exceed U.S. Federally-Set Percentage</w:t>
      </w:r>
    </w:p>
    <w:p>
      <w:pPr>
        <w:spacing w:after="0" w:line="98" w:lineRule="exact"/>
        <w:rPr>
          <w:sz w:val="20"/>
          <w:szCs w:val="20"/>
          <w:color w:val="auto"/>
        </w:rPr>
      </w:pPr>
    </w:p>
    <w:p>
      <w:pPr>
        <w:jc w:val="both"/>
        <w:ind w:left="9"/>
        <w:spacing w:after="0" w:line="244" w:lineRule="auto"/>
        <w:rPr>
          <w:sz w:val="20"/>
          <w:szCs w:val="20"/>
          <w:color w:val="auto"/>
        </w:rPr>
      </w:pPr>
      <w:r>
        <w:rPr>
          <w:rFonts w:ascii="Arial" w:cs="Arial" w:eastAsia="Arial" w:hAnsi="Arial"/>
          <w:sz w:val="16"/>
          <w:szCs w:val="16"/>
          <w:color w:val="auto"/>
        </w:rPr>
        <w:t>Under regulations referred to as the 90/10 rule, a KHE OPEID unit would lose its eligibility to participate in the Title IV programs for a period of at least fiscal years if it derives more than 90% of its receipts from the Title IV programs for two consecutive fiscal years, commencing with the unit’s first fiscal that ends after August 14, 2008. Any OPEID reporting unit with receipts from the Title IV programs exceeding 90% for a single fiscal year ending after August 14, 2008, would be placed on provisional certification and may be subject to other enforcement measures. The enactment of the U.S. Federal Ensuring Continued Access to Student Loans Act of 2008 increased student loan limits and the maximum amount of Pell Grants, which could result in increase in the percentage of KHE’s receipts from Title IV programs. These increases, and any future increases or changes in the 90/10 calculation fo make it more difficult for institutions to comply with the 90/10 rule. HEOA has provided temporary relief from the impact of the loan limit increases by tr as non-Title IV revenue any amounts received between July 1, 2008, and June 30, 2011, that are attributable to the increased annual loan limits. Abse relief from the loan limit increases, Kaplan University would have a 90/10 ratio of 82.4% in 2011, and the remaining KHE OPEID numbers would have percentages ranging between 74.2% and 91.4%. The loss of Title IV eligibility by either (1) the single OPEID unit that includes Kaplan University or (2) combination of other OPEID units would have a material adverse effect on Kaplan’s operating results.</w:t>
      </w:r>
    </w:p>
    <w:p>
      <w:pPr>
        <w:spacing w:after="0" w:line="156" w:lineRule="exact"/>
        <w:rPr>
          <w:sz w:val="20"/>
          <w:szCs w:val="20"/>
          <w:color w:val="auto"/>
        </w:rPr>
      </w:pPr>
    </w:p>
    <w:p>
      <w:pPr>
        <w:ind w:left="209" w:hanging="209"/>
        <w:spacing w:after="0"/>
        <w:tabs>
          <w:tab w:leader="none" w:pos="209"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Failure to Maintain Institutional Accreditation Could Lead to Loss of Ability to Participate in Title IV Programs</w:t>
      </w:r>
    </w:p>
    <w:p>
      <w:pPr>
        <w:spacing w:after="0" w:line="98"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KHE’s online university and all of its ground campuses are institutionally accredited by one or another of a number of national and regional accreditors recognized by the DOE. Accreditation by an accrediting agency recognized by the DOE is required for an institution to become and remain eligible to participate in Title IV programs. The loss of accreditation would, among other things, render the affected Kaplan schools and programs ineligible to participate in Title IV programs and would have a material adverse effect on its business and operations.</w:t>
      </w:r>
    </w:p>
    <w:p>
      <w:pPr>
        <w:spacing w:after="0" w:line="155" w:lineRule="exact"/>
        <w:rPr>
          <w:sz w:val="20"/>
          <w:szCs w:val="20"/>
          <w:color w:val="auto"/>
        </w:rPr>
      </w:pPr>
    </w:p>
    <w:p>
      <w:pPr>
        <w:ind w:left="229" w:hanging="229"/>
        <w:spacing w:after="0" w:line="271" w:lineRule="auto"/>
        <w:tabs>
          <w:tab w:leader="none" w:pos="221"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Failure to Maintain Programmatic Accreditation Could Lead to Loss of Ability to Provide Certain Education Programs and Failure to Obta Programmatic Accreditation May Lead to Declines in Enrollments in Unaccredited Programs</w:t>
      </w:r>
      <w:r>
        <w:rPr>
          <w:rFonts w:ascii="Arial" w:cs="Arial" w:eastAsia="Arial" w:hAnsi="Arial"/>
          <w:sz w:val="17"/>
          <w:szCs w:val="17"/>
          <w:b w:val="1"/>
          <w:bCs w:val="1"/>
          <w:color w:val="1F497D"/>
        </w:rPr>
        <w:t>.</w:t>
      </w:r>
    </w:p>
    <w:p>
      <w:pPr>
        <w:spacing w:after="0" w:line="3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Programmatic accreditation is the process through which specific programs are reviewed and approved by industry</w:t>
      </w:r>
      <w:r>
        <w:rPr>
          <w:rFonts w:ascii="Arial" w:cs="Arial" w:eastAsia="Arial" w:hAnsi="Arial"/>
          <w:sz w:val="17"/>
          <w:szCs w:val="17"/>
          <w:color w:val="1F497D"/>
        </w:rPr>
        <w:t>-</w:t>
      </w:r>
      <w:r>
        <w:rPr>
          <w:rFonts w:ascii="Arial" w:cs="Arial" w:eastAsia="Arial" w:hAnsi="Arial"/>
          <w:sz w:val="17"/>
          <w:szCs w:val="17"/>
          <w:color w:val="auto"/>
        </w:rPr>
        <w:t xml:space="preserve"> and program</w:t>
      </w:r>
      <w:r>
        <w:rPr>
          <w:rFonts w:ascii="Arial" w:cs="Arial" w:eastAsia="Arial" w:hAnsi="Arial"/>
          <w:sz w:val="17"/>
          <w:szCs w:val="17"/>
          <w:color w:val="1F497D"/>
        </w:rPr>
        <w:t>-</w:t>
      </w:r>
      <w:r>
        <w:rPr>
          <w:rFonts w:ascii="Arial" w:cs="Arial" w:eastAsia="Arial" w:hAnsi="Arial"/>
          <w:sz w:val="17"/>
          <w:szCs w:val="17"/>
          <w:color w:val="auto"/>
        </w:rPr>
        <w:t>specific accrediting entities. Although programmatic accreditation is not generally necessary for Title IV eligibility, such accreditation may be required to allow students to s certain licensure exams or to work in a particular profession or career. Failure to obtain or maintain such programmatic accreditation may require scho discontinue programs that would not provide appropriate outcomes without that accreditation or may lead to a decline in enrollment in programs due a perceived or real reduction in program value.</w:t>
      </w:r>
    </w:p>
    <w:p>
      <w:pPr>
        <w:spacing w:after="0" w:line="156" w:lineRule="exact"/>
        <w:rPr>
          <w:sz w:val="20"/>
          <w:szCs w:val="20"/>
          <w:color w:val="auto"/>
        </w:rPr>
      </w:pPr>
    </w:p>
    <w:p>
      <w:pPr>
        <w:ind w:left="209" w:hanging="209"/>
        <w:spacing w:after="0"/>
        <w:tabs>
          <w:tab w:leader="none" w:pos="20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Failure to Maintain State Authorizations Could Cause Loss of Ability to Operate and to Participate in Title IV Programs in Some States</w:t>
      </w:r>
    </w:p>
    <w:p>
      <w:pPr>
        <w:spacing w:after="0" w:line="109"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KHE’s ground campuses and online university are subject to state-level regulation and oversight by state licensing agencies, whose approval is neces to allow an institution to operate and grant degrees or diplomas in the state. Institutions that participate in Title IV programs must be legally authorized operate in the state in which the institution is physically located. The loss of such authorization would preclude the campuses or online university from offering postsecondary education and render students ineligible to participate in Title IV programs. Loss of authorization at those state campus locatio in states that require it, for Kaplan University online, could have a material adverse effect on KHE’s business and operations.</w:t>
      </w:r>
    </w:p>
    <w:p>
      <w:pPr>
        <w:spacing w:after="0" w:line="170" w:lineRule="exact"/>
        <w:rPr>
          <w:sz w:val="20"/>
          <w:szCs w:val="20"/>
          <w:color w:val="auto"/>
        </w:rPr>
      </w:pPr>
    </w:p>
    <w:p>
      <w:pPr>
        <w:jc w:val="both"/>
        <w:ind w:left="9" w:right="40"/>
        <w:spacing w:after="0" w:line="233" w:lineRule="auto"/>
        <w:rPr>
          <w:sz w:val="20"/>
          <w:szCs w:val="20"/>
          <w:color w:val="auto"/>
        </w:rPr>
      </w:pPr>
      <w:r>
        <w:rPr>
          <w:rFonts w:ascii="Arial" w:cs="Arial" w:eastAsia="Arial" w:hAnsi="Arial"/>
          <w:sz w:val="17"/>
          <w:szCs w:val="17"/>
          <w:color w:val="auto"/>
        </w:rPr>
        <w:t>Some states have sought to assert jurisdiction over online education institutions that offer education services to residents in the state or to institutions advertise or recruit in the state, notwithstanding the lack of a physical location in the state. State regulatory requirements for online education vary am the states, are not well developed in many states,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72" w:right="139" w:bottom="1440" w:gutter="0" w:footer="0" w:header="0"/>
        </w:sectPr>
      </w:pPr>
    </w:p>
    <w:bookmarkStart w:id="38" w:name="page39"/>
    <w:bookmarkEnd w:id="38"/>
    <w:p>
      <w:pPr>
        <w:jc w:val="both"/>
        <w:ind w:left="9"/>
        <w:spacing w:after="0" w:line="233" w:lineRule="auto"/>
        <w:rPr>
          <w:sz w:val="20"/>
          <w:szCs w:val="20"/>
          <w:color w:val="auto"/>
        </w:rPr>
      </w:pPr>
      <w:r>
        <w:rPr>
          <w:rFonts w:ascii="Arial" w:cs="Arial" w:eastAsia="Arial" w:hAnsi="Arial"/>
          <w:sz w:val="17"/>
          <w:szCs w:val="17"/>
          <w:color w:val="auto"/>
        </w:rPr>
        <w:t>are imprecise or unclear in some states and are subject to change. If KHE is found not to be in compliance with an applicable state regulation and a st seeks to restrict one or more of its business activities within its boundaries, it may not be able to recruit or enroll students in that state and may have to cease providing services and advertising in that state.</w:t>
      </w:r>
    </w:p>
    <w:p>
      <w:pPr>
        <w:spacing w:after="0" w:line="175"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New regulations went into effect on July 1, 2011, that expand the requirements for an institution to be considered legally authorized in the state in whic physically located, for Title IV purposes. In some cases, the regulations require states to revise their current requirements and/or to license schools in for institutions to be deemed legally authorized in those states and, in turn, to participate in the Title IV programs. If the states do not amend their requirements where necessary and if schools do not receive approvals where necessary that comply with these new requirements, then the institution be deemed to lack the state authorization necessary to participate in the Title IV programs.</w:t>
      </w:r>
    </w:p>
    <w:p>
      <w:pPr>
        <w:spacing w:after="0" w:line="176"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addition, new DOE rules currently under judicial review may require institutions offering postsecondary education to students through distance educ in a state in which the institution is not physically located or in which it is otherwise subject to state jurisdiction, as determined by the state, to meet any requirements for it to legally offer postsecondary distance education in that state. The regulations require an institution to document upon request by th DOE that it has the applicable state approval. As a result, some of KHE’s schools and distance education programs may be required to obtain addition revised state authorizations. If KHE is unable to obtain the required approvals, its students in the affected schools or programs may be unable to recei Title IV funds, which could have a material adverse effect on its business and operations.</w:t>
      </w:r>
    </w:p>
    <w:p>
      <w:pPr>
        <w:spacing w:after="0" w:line="159" w:lineRule="exact"/>
        <w:rPr>
          <w:sz w:val="20"/>
          <w:szCs w:val="20"/>
          <w:color w:val="auto"/>
        </w:rPr>
      </w:pPr>
    </w:p>
    <w:p>
      <w:pPr>
        <w:ind w:left="229" w:right="80" w:hanging="229"/>
        <w:spacing w:after="0" w:line="271" w:lineRule="auto"/>
        <w:tabs>
          <w:tab w:leader="none" w:pos="221"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Failure to Correctly Calculate or Timely Return Title IV Funds for Students Who Withdraw Prior to Completing Programs Could Result in Requirement to Post a Letter of Credit or Other Sanctions</w:t>
      </w:r>
    </w:p>
    <w:p>
      <w:pPr>
        <w:spacing w:after="0" w:line="3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DOE regulations require schools participating in Title IV programs to calculate correctly and return on a timely basis unearned Title IV funds disbursed students who withdraw from a program of study prior to completion. These funds must be returned in a timely manner, generally within 45 days of the the school determines that the student has withdrawn. Under DOE regulations, failure to make timely returns of Title IV program funds for 5% or more students sampled in a school’s annual compliance audit in either of its two most recently completed fiscal years could result in a requirement that the s post a letter of credit in an amount equal to 25% of its prior year-returns of Title IV program funds. If unearned funds are not properly calculated and re in a timely manner, an institution is also subject to monetary liabilities, fines or other sanctions.</w:t>
      </w:r>
    </w:p>
    <w:p>
      <w:pPr>
        <w:spacing w:after="0" w:line="159" w:lineRule="exact"/>
        <w:rPr>
          <w:sz w:val="20"/>
          <w:szCs w:val="20"/>
          <w:color w:val="auto"/>
        </w:rPr>
      </w:pPr>
    </w:p>
    <w:p>
      <w:pPr>
        <w:ind w:left="229" w:right="40" w:hanging="229"/>
        <w:spacing w:after="0" w:line="271" w:lineRule="auto"/>
        <w:tabs>
          <w:tab w:leader="none" w:pos="221"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Failure to Demonstrate Financial Responsibility Could Result in a Requirement to Submit Letters of Credit to the DOE, Loss of Eligibility Participate in Title IV Programs or Other Sanctions</w:t>
      </w:r>
    </w:p>
    <w:p>
      <w:pPr>
        <w:spacing w:after="0" w:line="38" w:lineRule="exact"/>
        <w:rPr>
          <w:sz w:val="20"/>
          <w:szCs w:val="20"/>
          <w:color w:val="auto"/>
        </w:rPr>
      </w:pPr>
    </w:p>
    <w:p>
      <w:pPr>
        <w:ind w:left="9"/>
        <w:spacing w:after="0" w:line="229" w:lineRule="auto"/>
        <w:rPr>
          <w:sz w:val="20"/>
          <w:szCs w:val="20"/>
          <w:color w:val="auto"/>
        </w:rPr>
      </w:pPr>
      <w:r>
        <w:rPr>
          <w:rFonts w:ascii="Arial" w:cs="Arial" w:eastAsia="Arial" w:hAnsi="Arial"/>
          <w:sz w:val="17"/>
          <w:szCs w:val="17"/>
          <w:color w:val="auto"/>
        </w:rPr>
        <w:t>An institution participating in the Title IV programs must comply with certain measures of financial responsibility under the Higher Education Act and u DOE regulations. Among other things, the applicable regulations require an institution to achieve a composite score of at least 1.5, as calculated unde regulations, based on data in annual financial statements submitted to the DOE. If an institution fails to achieve a composite score of 1.5 or fails to co with other financial responsibility standards, the DOE may place conditions on the institution’s participation in the Title IV programs and may require th institution to submit to the DOE a letter of credit in an amount of at least 10% to 50% of the institution’s annual Title IV participation for its most recent year. The DOE has measured the compliance of KHE schools, based on the composite score of the division. If one or more of the institutions in KHE f meet the composite score standard or any of the other financial responsibility standards, those institutions may be required to post a letter of credit in f of the DOE and possibly may be subject to other sanctions, including limitation or termination of their participation in Title IV programs. A requirement post a letter of credit or the imposition of any one or more other sanctions by the DOE could have a material adverse effect on Kaplan’s results of operations.</w:t>
      </w:r>
    </w:p>
    <w:p>
      <w:pPr>
        <w:spacing w:after="0" w:line="162" w:lineRule="exact"/>
        <w:rPr>
          <w:sz w:val="20"/>
          <w:szCs w:val="20"/>
          <w:color w:val="auto"/>
        </w:rPr>
      </w:pPr>
    </w:p>
    <w:p>
      <w:pPr>
        <w:ind w:left="209" w:hanging="209"/>
        <w:spacing w:after="0"/>
        <w:tabs>
          <w:tab w:leader="none" w:pos="209"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Failure to Demonstrate Administrative Capability Could Result in Loss of Eligibility to Participate in Title IV Programs or Other Sanctions</w:t>
      </w:r>
    </w:p>
    <w:p>
      <w:pPr>
        <w:spacing w:after="0" w:line="109"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DOE regulations specify extensive criteria that an institution must satisfy to establish that it has the required “administrative capability” to participate in IV programs. These criteria include, but are not limited to, requirements relating to the institution’s compliance with all applicable Title IV requirements;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eligibility of one or more of the schools in KHE to participate in the Title IV programs, a requirement to pay fines or to repay Title IV program funds, a d or refusal by the DOE to consider a school’s application for renewal of its certification to participate in the Title IV programs, civil or criminal penalties o other</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6" w:right="139" w:bottom="1440" w:gutter="0" w:footer="0" w:header="0"/>
        </w:sectPr>
      </w:pPr>
    </w:p>
    <w:bookmarkStart w:id="39" w:name="page40"/>
    <w:bookmarkEnd w:id="39"/>
    <w:p>
      <w:pPr>
        <w:ind w:left="9"/>
        <w:spacing w:after="0"/>
        <w:rPr>
          <w:sz w:val="20"/>
          <w:szCs w:val="20"/>
          <w:color w:val="auto"/>
        </w:rPr>
      </w:pPr>
      <w:r>
        <w:rPr>
          <w:rFonts w:ascii="Arial" w:cs="Arial" w:eastAsia="Arial" w:hAnsi="Arial"/>
          <w:sz w:val="17"/>
          <w:szCs w:val="17"/>
          <w:color w:val="auto"/>
        </w:rPr>
        <w:t>sanctions. Any one or more of these actions by the DOE could have a material adverse effect on Kaplan’s results of operations.</w:t>
      </w:r>
    </w:p>
    <w:p>
      <w:pPr>
        <w:spacing w:after="0" w:line="157" w:lineRule="exact"/>
        <w:rPr>
          <w:sz w:val="20"/>
          <w:szCs w:val="20"/>
          <w:color w:val="auto"/>
        </w:rPr>
      </w:pPr>
    </w:p>
    <w:p>
      <w:pPr>
        <w:ind w:left="229" w:hanging="229"/>
        <w:spacing w:after="0" w:line="271" w:lineRule="auto"/>
        <w:tabs>
          <w:tab w:leader="none" w:pos="221"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Failure to Obtain Regulatory Approval of Transactions Involving a Change of Control May Result in Loss of Ability to Operate Schools or Participate in U.S. Federal Student Financial Aid Programs.</w:t>
      </w:r>
    </w:p>
    <w:p>
      <w:pPr>
        <w:spacing w:after="0" w:line="38" w:lineRule="exact"/>
        <w:rPr>
          <w:sz w:val="20"/>
          <w:szCs w:val="20"/>
          <w:color w:val="auto"/>
        </w:rPr>
      </w:pPr>
    </w:p>
    <w:p>
      <w:pPr>
        <w:jc w:val="both"/>
        <w:ind w:left="9" w:right="20"/>
        <w:spacing w:after="0" w:line="248" w:lineRule="auto"/>
        <w:rPr>
          <w:sz w:val="20"/>
          <w:szCs w:val="20"/>
          <w:color w:val="auto"/>
        </w:rPr>
      </w:pPr>
      <w:r>
        <w:rPr>
          <w:rFonts w:ascii="Arial" w:cs="Arial" w:eastAsia="Arial" w:hAnsi="Arial"/>
          <w:sz w:val="16"/>
          <w:szCs w:val="16"/>
          <w:color w:val="auto"/>
        </w:rPr>
        <w:t>If one or more of KHE’s schools experiences a change of control under the standards of applicable state agencies, accrediting agencies or the DOE, t schools governed by such agencies must seek the approval of the relevant agencies. Failure of any of KHE’s schools to reestablish its state authoriza accreditation or DOE certification following a change of control as defined by the applicable agency could result in a suspension of operating authority suspension or loss of U.S. Federal student financial aid funding, which could have a material adverse effect on KHE’s student population and revenue</w:t>
      </w:r>
    </w:p>
    <w:p>
      <w:pPr>
        <w:spacing w:after="0" w:line="150" w:lineRule="exact"/>
        <w:rPr>
          <w:sz w:val="20"/>
          <w:szCs w:val="20"/>
          <w:color w:val="auto"/>
        </w:rPr>
      </w:pPr>
    </w:p>
    <w:p>
      <w:pPr>
        <w:ind w:left="229" w:hanging="229"/>
        <w:spacing w:after="0" w:line="271" w:lineRule="auto"/>
        <w:tabs>
          <w:tab w:leader="none" w:pos="221"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Actions of Other Postsecondary Education Institutions and Related Media Coverage May Negatively Influence the Regulatory Environme and Kaplan’s Reputation</w:t>
      </w:r>
    </w:p>
    <w:p>
      <w:pPr>
        <w:spacing w:after="0" w:line="3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The HELP Committee hearings, along with other recent investigations and lawsuits, have included allegations of, among other things, deceptive trade practices, false claims against the U.S. and noncompliance with state and DOE regulations. These allegations have attracted significant adverse medi coverage. Allegations against the overall student lending and postsecondary education sectors may impact general public perceptions of private-secto educational institutions, including Kaplan, in a negative manner. Adverse media coverage regarding other educational institutions or regarding Kaplan directly could damage its reputation, reduce student demand for Kaplan programs, adversely impact its revenues and operating profit or result in incre regulatory scrutiny.</w:t>
      </w:r>
    </w:p>
    <w:p>
      <w:pPr>
        <w:spacing w:after="0" w:line="159" w:lineRule="exact"/>
        <w:rPr>
          <w:sz w:val="20"/>
          <w:szCs w:val="20"/>
          <w:color w:val="auto"/>
        </w:rPr>
      </w:pPr>
    </w:p>
    <w:p>
      <w:pPr>
        <w:ind w:left="229" w:hanging="229"/>
        <w:spacing w:after="0" w:line="271" w:lineRule="auto"/>
        <w:tabs>
          <w:tab w:leader="none" w:pos="221"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Changes in the Extent to Which Standardized Tests Are Used in the Admissions Process by Colleges or Graduate Schools Could Reduce Demand for KTP Offerings</w:t>
      </w:r>
    </w:p>
    <w:p>
      <w:pPr>
        <w:spacing w:after="0" w:line="38" w:lineRule="exact"/>
        <w:rPr>
          <w:sz w:val="20"/>
          <w:szCs w:val="20"/>
          <w:color w:val="auto"/>
        </w:rPr>
      </w:pPr>
    </w:p>
    <w:p>
      <w:pPr>
        <w:ind w:left="9" w:right="40"/>
        <w:spacing w:after="0" w:line="247" w:lineRule="auto"/>
        <w:rPr>
          <w:sz w:val="20"/>
          <w:szCs w:val="20"/>
          <w:color w:val="auto"/>
        </w:rPr>
      </w:pPr>
      <w:r>
        <w:rPr>
          <w:rFonts w:ascii="Arial" w:cs="Arial" w:eastAsia="Arial" w:hAnsi="Arial"/>
          <w:sz w:val="16"/>
          <w:szCs w:val="16"/>
          <w:color w:val="auto"/>
        </w:rPr>
        <w:t>A substantial portion of Kaplan’s revenue is generated by KTP. The source of this income is fees charged for courses that prepare students for a broa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50" w:lineRule="exact"/>
        <w:rPr>
          <w:sz w:val="20"/>
          <w:szCs w:val="20"/>
          <w:color w:val="auto"/>
        </w:rPr>
      </w:pPr>
    </w:p>
    <w:p>
      <w:pPr>
        <w:ind w:left="229" w:right="40" w:hanging="229"/>
        <w:spacing w:after="0" w:line="271" w:lineRule="auto"/>
        <w:tabs>
          <w:tab w:leader="none" w:pos="221"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Changes in the Extent to Which Licensing and Proficiency Examinations Are Used to Qualify Individuals to Pursue Certain Careers Coul Reduce Demand for Kaplan Offerings</w:t>
      </w:r>
    </w:p>
    <w:p>
      <w:pPr>
        <w:spacing w:after="0" w:line="38"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A substantial portion of PACE and Kaplan International’s revenue comes from preparing individuals for licensing or technical proficiency examinations various fields. Any significant relaxation or elimination of licensing or technical proficiency requirements in those fields served by PACE and Kaplan International’s businesses could negatively impact Kaplan’s operating results.</w:t>
      </w:r>
    </w:p>
    <w:p>
      <w:pPr>
        <w:spacing w:after="0" w:line="155" w:lineRule="exact"/>
        <w:rPr>
          <w:sz w:val="20"/>
          <w:szCs w:val="20"/>
          <w:color w:val="auto"/>
        </w:rPr>
      </w:pPr>
    </w:p>
    <w:p>
      <w:pPr>
        <w:ind w:left="209" w:hanging="209"/>
        <w:spacing w:after="0"/>
        <w:tabs>
          <w:tab w:leader="none" w:pos="209"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System Disruptions and Security Threats to the Company’s Technology Infrastructure Could Have a Material Adverse Effect on its Busin</w:t>
      </w:r>
    </w:p>
    <w:p>
      <w:pPr>
        <w:spacing w:after="0" w:line="109"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Kaplan’s reputation and ability to attract and retain students is highly dependent on the performance and reliability of its information technology platfor with respect to its online and campus-based education offerings. Kaplan’s delivery of these programs could be negatively affected due to events beyo control, including natural disasters and network and telecommunications failures. Any such computer system error or failure could result in a significan outage that materially disrupts Kaplan’s online and on-ground operations.</w:t>
      </w:r>
    </w:p>
    <w:p>
      <w:pPr>
        <w:spacing w:after="0" w:line="175"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Company’s computer networks may also be vulnerable to unauthorized access, computer hackers, computer viruses and other security threats. T Company has, and will continue to, expend significant resources to protect against the threat of security breaches, but its systems may still be vulnera these threats. A user who circumvents security measures could misappropriate proprietary information or cause disruptions or malfunctions in operatio Any of these events could have a material adverse effect on the Company’s business and results of operations.</w:t>
      </w:r>
    </w:p>
    <w:p>
      <w:pPr>
        <w:spacing w:after="0" w:line="155" w:lineRule="exact"/>
        <w:rPr>
          <w:sz w:val="20"/>
          <w:szCs w:val="20"/>
          <w:color w:val="auto"/>
        </w:rPr>
      </w:pPr>
    </w:p>
    <w:p>
      <w:pPr>
        <w:ind w:left="149" w:hanging="149"/>
        <w:spacing w:after="0"/>
        <w:tabs>
          <w:tab w:leader="none" w:pos="14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Failure to Successfully Assimilate Acquired Businesses</w:t>
      </w:r>
    </w:p>
    <w:p>
      <w:pPr>
        <w:spacing w:after="0" w:line="98"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The Company’s Kaplan subsidiary has historically been an active acquirer of businesses that provide educational services. Consistent with this histori trend, during 2011 Kaplan completed five acquisitions. Acquisitions involve various inherent risks and uncertainties, including difficulties in efficiently integrating the service offerings, accounting and other</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40" w:name="page41"/>
    <w:bookmarkEnd w:id="40"/>
    <w:p>
      <w:pPr>
        <w:ind w:left="9"/>
        <w:spacing w:after="0" w:line="231" w:lineRule="auto"/>
        <w:rPr>
          <w:sz w:val="20"/>
          <w:szCs w:val="20"/>
          <w:color w:val="auto"/>
        </w:rPr>
      </w:pPr>
      <w:r>
        <w:rPr>
          <w:rFonts w:ascii="Arial" w:cs="Arial" w:eastAsia="Arial" w:hAnsi="Arial"/>
          <w:sz w:val="17"/>
          <w:szCs w:val="17"/>
          <w:color w:val="auto"/>
        </w:rPr>
        <w:t>administrative systems of an acquired business; the challenges of assimilating and retaining key personnel; the consequences of diverting the attentio senior management from existing operations; the possibility that an acquired business does not meet or exceed the financial projections that supporte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 results.</w:t>
      </w:r>
    </w:p>
    <w:p>
      <w:pPr>
        <w:spacing w:after="0" w:line="156" w:lineRule="exact"/>
        <w:rPr>
          <w:sz w:val="20"/>
          <w:szCs w:val="20"/>
          <w:color w:val="auto"/>
        </w:rPr>
      </w:pPr>
    </w:p>
    <w:p>
      <w:pPr>
        <w:ind w:left="209" w:hanging="209"/>
        <w:spacing w:after="0"/>
        <w:tabs>
          <w:tab w:leader="none" w:pos="209"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Difficulties of Managing Foreign Operations</w:t>
      </w:r>
    </w:p>
    <w:p>
      <w:pPr>
        <w:spacing w:after="0" w:line="98"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Kaplan has operations and investments in a growing number of foreign countries, including Canada, Mexico, the U.K., Ireland, France, Israel, Australi Zealand, Singapore, India and China. Operating in foreign countries presents a number of inherent risks, including the difficulties of complying with unfamiliar laws and regulations, effectively managing and staffing foreign operations, successfully navigating local customs and practices, preparing fo potential political and economic instability and adapting to currency exchange rate fluctuations. Failure to effectively manage these risks could have a material adverse effect on Kaplan’s operating results.</w:t>
      </w:r>
    </w:p>
    <w:p>
      <w:pPr>
        <w:spacing w:after="0" w:line="156" w:lineRule="exact"/>
        <w:rPr>
          <w:sz w:val="20"/>
          <w:szCs w:val="20"/>
          <w:color w:val="auto"/>
        </w:rPr>
      </w:pPr>
    </w:p>
    <w:p>
      <w:pPr>
        <w:ind w:left="209" w:hanging="209"/>
        <w:spacing w:after="0"/>
        <w:tabs>
          <w:tab w:leader="none" w:pos="20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Changes in International Regulatory and Physical Environments Could Negatively Affect International Student Enrollments</w:t>
      </w:r>
    </w:p>
    <w:p>
      <w:pPr>
        <w:spacing w:after="0" w:line="98" w:lineRule="exact"/>
        <w:rPr>
          <w:sz w:val="20"/>
          <w:szCs w:val="20"/>
          <w:color w:val="auto"/>
        </w:rPr>
      </w:pPr>
    </w:p>
    <w:p>
      <w:pPr>
        <w:ind w:left="9"/>
        <w:spacing w:after="0" w:line="246" w:lineRule="auto"/>
        <w:rPr>
          <w:sz w:val="20"/>
          <w:szCs w:val="20"/>
          <w:color w:val="auto"/>
        </w:rPr>
      </w:pPr>
      <w:r>
        <w:rPr>
          <w:rFonts w:ascii="Arial" w:cs="Arial" w:eastAsia="Arial" w:hAnsi="Arial"/>
          <w:sz w:val="16"/>
          <w:szCs w:val="16"/>
          <w:color w:val="auto"/>
        </w:rPr>
        <w:t>A substantial portion of Kaplan International’s revenue comes from programs that prepare international students to study and travel to English-speakin countries, principally the U.S., the U.K., Australia and Singapore. Kaplan International’s ability to enroll students in these programs is directly depende its ability to comply with complex regulatory environments. A recent example of this is the immigration regulatory changes in the U.K., which impose recruitment quotas and stringent progress criteria as requirements for the maintenance of certain overseas student recruitment licenses. Any significa changes to the regulatory environment or a natural disaster or pandemic in either the students’ countries of origin or the countries to which they desire travel or study could negatively affect Kaplan’s ability to attract and retain such students, which could negatively impact Kaplan’s operating results.</w:t>
      </w:r>
    </w:p>
    <w:p>
      <w:pPr>
        <w:spacing w:after="0" w:line="152" w:lineRule="exact"/>
        <w:rPr>
          <w:sz w:val="20"/>
          <w:szCs w:val="20"/>
          <w:color w:val="auto"/>
        </w:rPr>
      </w:pPr>
    </w:p>
    <w:p>
      <w:pPr>
        <w:ind w:left="209" w:hanging="209"/>
        <w:spacing w:after="0"/>
        <w:tabs>
          <w:tab w:leader="none" w:pos="209"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Changing Preferences of Readers or Viewers Away From Traditional Media Outlets</w:t>
      </w:r>
    </w:p>
    <w:p>
      <w:pPr>
        <w:spacing w:after="0" w:line="98"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The rates that the Company’s print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that individuals decide to obtain news, entertainment, classif listings and local shopping information from Internet-based or other media to the exclusion of the Company’s digital media offerings, print publications broadcasts.</w:t>
      </w:r>
    </w:p>
    <w:p>
      <w:pPr>
        <w:spacing w:after="0" w:line="156" w:lineRule="exact"/>
        <w:rPr>
          <w:sz w:val="20"/>
          <w:szCs w:val="20"/>
          <w:color w:val="auto"/>
        </w:rPr>
      </w:pPr>
    </w:p>
    <w:p>
      <w:pPr>
        <w:ind w:left="209" w:hanging="209"/>
        <w:spacing w:after="0"/>
        <w:tabs>
          <w:tab w:leader="none" w:pos="20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Changing Perceptions About the Effectiveness of Publishing and Television Broadcasting in Delivering Advertising</w:t>
      </w:r>
    </w:p>
    <w:p>
      <w:pPr>
        <w:spacing w:after="0" w:line="9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Historically, newspaper publishing and television broadcasting have been viewed as cost-effective methods of delivering various forms of advertising. can be no guarantee that this historical perception will guide future decisions by advertisers. To the extent that advertisers shift advertising expenditure other media outlets, the profitability of the Company’s publishing and television broadcasting businesses will suffer.</w:t>
      </w:r>
    </w:p>
    <w:p>
      <w:pPr>
        <w:spacing w:after="0" w:line="155" w:lineRule="exact"/>
        <w:rPr>
          <w:sz w:val="20"/>
          <w:szCs w:val="20"/>
          <w:color w:val="auto"/>
        </w:rPr>
      </w:pPr>
    </w:p>
    <w:p>
      <w:pPr>
        <w:ind w:left="209" w:hanging="209"/>
        <w:spacing w:after="0"/>
        <w:tabs>
          <w:tab w:leader="none" w:pos="209"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Increased Competition Resulting From Technological Innovations in News, Information and Video Programming Distribution Systems</w:t>
      </w:r>
    </w:p>
    <w:p>
      <w:pPr>
        <w:spacing w:after="0" w:line="109"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development of DBS systems has significantly increased the competition faced by the Company’s cable television systems. In addition, the contin growth and technological expansion of Internet-based services has increased competitive pressure on the Company’s media businesses. The develop and deployment of new technologies have the potential to negatively and dramatically affect the Company’s businesses in ways that cannot now be re predicted and that may have a material adverse effect on the Company’s operating results.</w:t>
      </w:r>
    </w:p>
    <w:p>
      <w:pPr>
        <w:spacing w:after="0" w:line="155" w:lineRule="exact"/>
        <w:rPr>
          <w:sz w:val="20"/>
          <w:szCs w:val="20"/>
          <w:color w:val="auto"/>
        </w:rPr>
      </w:pPr>
    </w:p>
    <w:p>
      <w:pPr>
        <w:ind w:left="209" w:hanging="209"/>
        <w:spacing w:after="0"/>
        <w:tabs>
          <w:tab w:leader="none" w:pos="209"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Changes in the Nature and Extent of Government Regulations in the Case of Television Broadcasting, Cable Television and VoIP Service</w:t>
      </w:r>
    </w:p>
    <w:p>
      <w:pPr>
        <w:spacing w:after="0" w:line="109"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The Company’s television broadcasting and cable television businesses operate in highly regulated environments. The Company’s VoIP services busi also is subject to a growing degree of regulation. Complying with applicable regulations has significantly increased, and may continue to increase, the and has reduced the revenues of these businesses. Changes in regulations have the potential to further negatively impact those businesses, not only increasing compliance costs and reducing revenues through restrictions on certain types of advertising, limitations on pricing flexibility or other means, also by possibly creating more favorable regulatory environments for the providers of</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41" w:name="page42"/>
    <w:bookmarkEnd w:id="41"/>
    <w:p>
      <w:pPr>
        <w:ind w:left="9" w:right="100"/>
        <w:spacing w:after="0" w:line="235" w:lineRule="auto"/>
        <w:rPr>
          <w:sz w:val="20"/>
          <w:szCs w:val="20"/>
          <w:color w:val="auto"/>
        </w:rPr>
      </w:pPr>
      <w:r>
        <w:rPr>
          <w:rFonts w:ascii="Arial" w:cs="Arial" w:eastAsia="Arial" w:hAnsi="Arial"/>
          <w:sz w:val="17"/>
          <w:szCs w:val="17"/>
          <w:color w:val="auto"/>
        </w:rPr>
        <w:t>competing services. More generally, all of the Company’s businesses could have their profitability or their competitive positions adversely affected by significant changes in applicable regulations.</w:t>
      </w:r>
    </w:p>
    <w:p>
      <w:pPr>
        <w:spacing w:after="0" w:line="156" w:lineRule="exact"/>
        <w:rPr>
          <w:sz w:val="20"/>
          <w:szCs w:val="20"/>
          <w:color w:val="auto"/>
        </w:rPr>
      </w:pPr>
    </w:p>
    <w:p>
      <w:pPr>
        <w:ind w:left="209" w:hanging="209"/>
        <w:spacing w:after="0"/>
        <w:tabs>
          <w:tab w:leader="none" w:pos="209"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Potential Liability for Intellectual Property Infringement Could Adversely Affect the Company’s Businesses</w:t>
      </w:r>
    </w:p>
    <w:p>
      <w:pPr>
        <w:spacing w:after="0" w:line="98" w:lineRule="exact"/>
        <w:rPr>
          <w:sz w:val="20"/>
          <w:szCs w:val="20"/>
          <w:color w:val="auto"/>
        </w:rPr>
      </w:pPr>
    </w:p>
    <w:p>
      <w:pPr>
        <w:ind w:left="9"/>
        <w:spacing w:after="0" w:line="229" w:lineRule="auto"/>
        <w:rPr>
          <w:sz w:val="20"/>
          <w:szCs w:val="20"/>
          <w:color w:val="auto"/>
        </w:rPr>
      </w:pPr>
      <w:r>
        <w:rPr>
          <w:rFonts w:ascii="Arial" w:cs="Arial" w:eastAsia="Arial" w:hAnsi="Arial"/>
          <w:sz w:val="17"/>
          <w:szCs w:val="17"/>
          <w:color w:val="auto"/>
        </w:rPr>
        <w:t>The Company periodically receives claims from third parties alleging that the Company’s businesses infringe the intellectual property rights of others. I likely that the Company will continue to be subject to similar claims, particularly as they relate to its media and cable businesses. For example, provide services similar to those offered by Cable ONE have been the target of patent infringement claims from time to time, relating to such matters as cable system architecture, electronic program guides, cable modem technology and VoIP services. Other parts of the Company’s business could also be su to such claims. Addressing intellectual product claims is a time-consuming and expensive endeavor, regardless of the merits of the claims. In order to resolve such a claim, the Company could determine the need to change its method of doing business, enter into a licensing agreement or incur substa monetary liability. It is also possible that one of the Company’s businesses could be enjoined from using the intellectual property at issue, causing it to significantly alter its operations. Although the Company cannot predict the impact at this time, if any such claims are successful, the outcome would lik affect the businesses utilizing the intellectual property at issue and could have a material adverse effect on those businesses’ operating results or prospects.</w:t>
      </w:r>
    </w:p>
    <w:p>
      <w:pPr>
        <w:spacing w:after="0" w:line="162" w:lineRule="exact"/>
        <w:rPr>
          <w:sz w:val="20"/>
          <w:szCs w:val="20"/>
          <w:color w:val="auto"/>
        </w:rPr>
      </w:pPr>
    </w:p>
    <w:p>
      <w:pPr>
        <w:ind w:left="209" w:hanging="209"/>
        <w:spacing w:after="0"/>
        <w:tabs>
          <w:tab w:leader="none" w:pos="209"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Failure to Comply With Privacy Laws or Regulations Could Have an Adverse Effect on the Company’s Business</w:t>
      </w:r>
    </w:p>
    <w:p>
      <w:pPr>
        <w:spacing w:after="0" w:line="9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Various federal, state and international laws and regulations govern the collection, use, retention, sharing and security of consumer data. This area of law is evolving and interpretations of applicable laws and regulations differ. Legislative activity in the privacy area may result in new laws that are rele the Company’s operations, for example, use of consumer data for marketing or advertising. Claims of failure to comply with the Company’s privacy po or applicable laws or regulations could form the basis of governmental or private party actions against the Company. Such claims and actions may ca damage to the Company’s reputation and could have an adverse effect on the Company’s business.</w:t>
      </w:r>
    </w:p>
    <w:p>
      <w:pPr>
        <w:spacing w:after="0" w:line="156" w:lineRule="exact"/>
        <w:rPr>
          <w:sz w:val="20"/>
          <w:szCs w:val="20"/>
          <w:color w:val="auto"/>
        </w:rPr>
      </w:pPr>
    </w:p>
    <w:p>
      <w:pPr>
        <w:ind w:left="209" w:hanging="209"/>
        <w:spacing w:after="0"/>
        <w:tabs>
          <w:tab w:leader="none" w:pos="209"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Changes in the Cost or Availability of Raw Materials, Particularly Newsprint</w:t>
      </w:r>
    </w:p>
    <w:p>
      <w:pPr>
        <w:spacing w:after="0" w:line="9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Company’s newspaper publishing businesses collectively spend significant amounts each year on newsprint. Increases in the cost of newsprint or significant disruptions in the supply of newsprint could have a material adverse effect on the operating results of the Company’s newspaper publishing businesses.</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1B. Unresolved Staff Comments.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Not applicable.</w:t>
      </w:r>
    </w:p>
    <w:p>
      <w:pPr>
        <w:spacing w:after="0" w:line="194"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2. Properties.</w:t>
      </w:r>
    </w:p>
    <w:p>
      <w:pPr>
        <w:spacing w:after="0" w:line="197" w:lineRule="exact"/>
        <w:rPr>
          <w:sz w:val="20"/>
          <w:szCs w:val="20"/>
          <w:color w:val="auto"/>
        </w:rPr>
      </w:pPr>
    </w:p>
    <w:p>
      <w:pPr>
        <w:jc w:val="both"/>
        <w:ind w:left="9"/>
        <w:spacing w:after="0" w:line="243" w:lineRule="auto"/>
        <w:rPr>
          <w:sz w:val="20"/>
          <w:szCs w:val="20"/>
          <w:color w:val="auto"/>
        </w:rPr>
      </w:pPr>
      <w:r>
        <w:rPr>
          <w:rFonts w:ascii="Arial" w:cs="Arial" w:eastAsia="Arial" w:hAnsi="Arial"/>
          <w:sz w:val="16"/>
          <w:szCs w:val="16"/>
          <w:color w:val="auto"/>
        </w:rPr>
        <w:t>Directly or through its subsidiaries, Kaplan owns a total of nine properties: a 30,000-square-foot six-story building located at 131 West 56th Street in N York City, which serves as an education center primarily for international students; a redeveloped 47,410-square-foot four-story brick building in Lincol which is used by Kaplan University; a 4,000-square-foot office condominium in Chapel Hill, NC, which it utilizes for its KTP business; a 15,000-square-three - story building in Berkeley, CA, used for its KTP and English-language businesses; a 131,000-square-foot five-story brick building in Manchester used by Hesser College; a 25,000-square-foot building in Hammond, IN, used by Kaplan Career College (formerly Sawyer College); a 45,000-square-three-story brick building in Houston, TX, used by the Texas School of Business; a 34,000-square-foot building in London, U.K., which is used by Holb College; and an 18,000-square-foot building in Dayton, OH, which is currently vacant and being marketed for sale. Kaplan, Inc. and Kaplan University maintain corporate offices, together with a data center, call center and employee-training facilities, in two 97,000-square-foot leased buildings located adjacent lots in Fort Lauderdale, FL. Both of those leases will expire in 2017. In December 2009, KHE entered into an agreement to lease 76,515 squ feet of corporate office space to house its corporate headquarters in Chicago, IL. This lease will expire in 2022. In December 2008, Kaplan University entered into an agreement to lease a two-story, 124,500-square-foot building in Orlando, FL, to house an additional support center. In June 2009, Kap Inc. and KHE began sharing corporate office space in a 78,000-square-foot office building in Alpharetta, GA, under a lease that expires in 2019. In Oc 2009, Kaplan University entered into an agreement to lease 88,845 square feet of corporate office space in Plantation, FL. This lease expires in 2021. December 2010, Kaplan, Inc. and its New York-based KTP business relocated from 888 7th Avenue and 1440 Broadway, respectively, to consolidated space at 395 Hudson Street, occupying two floors and approximately 159,540 square feet of space. Kaplan, Inc. is marketing the vacated space at 88 7th Avenue for sublease as the current lease will expire in 2017. Overseas, Dublin Business School’s facilities in Dublin, Ireland, are located in six buil aggregating approximately 83,000 square</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6" w:right="139" w:bottom="1440" w:gutter="0" w:footer="0" w:header="0"/>
        </w:sectPr>
      </w:pPr>
    </w:p>
    <w:bookmarkStart w:id="42" w:name="page43"/>
    <w:bookmarkEnd w:id="42"/>
    <w:p>
      <w:pPr>
        <w:spacing w:after="0" w:line="245" w:lineRule="auto"/>
        <w:rPr>
          <w:sz w:val="20"/>
          <w:szCs w:val="20"/>
          <w:color w:val="auto"/>
        </w:rPr>
      </w:pPr>
      <w:r>
        <w:rPr>
          <w:rFonts w:ascii="Arial" w:cs="Arial" w:eastAsia="Arial" w:hAnsi="Arial"/>
          <w:sz w:val="16"/>
          <w:szCs w:val="16"/>
          <w:color w:val="auto"/>
        </w:rPr>
        <w:t>feet of space that have been rented under leases expiring between 2016 and 2029. Kaplan Publishing has an office and distribution warehouse in Wokingham, Berkshire, U.K., of 26,767 square feet, under a lease expiring in 2016. Kaplan Financial’s largest leaseholds are office and instructional s in London, U.K., of 33,000 square feet (which will expire in 2033) 22,520 square feet (which will expire in 2015) and 35,000 square feet (comprising si separate leases, which will expire in 2015); office and instructional space in Birmingham, U.K., of 23,500 square feet (comprising two separate leases, will expire in 2017); office and instructional space in Manchester, U.K., of 26,909 square feet (comprising five separate leases, which will expire in 202 and office and instructional space in Wales, U.K., of 34,000 square feet (on an open-ended lease with termination on 12 months’ notice). In addition, K has entered into two separate leases in Glasgow, Scotland, for 58,017 square feet and 22,357 square feet, respectively, of dormitory space that is in t process of being built. These leases will expire in 2033. Kidum has 19 locations throughout Israel, all of which are occupied under leases expiring betw 2011 and 2015. All other Kaplan facilities in the U.S. and overseas (including administrative offices and instructional locations) occupy leased premise</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headquarters offices of Cable ONE are located in a three-story office building in Phoenix, AZ, that was purchased by Cable ONE in 1998. Cable O purchased an adjoining two-story office building in 2005; that building is currently unused. The majority of the offices and head-end facilities of the divi individual cable systems are located in buildings owned by Cable ONE. Most of the tower sites used by the division are leased. In addition, the divisio houses call-center operations in 60,000 square feet of rented space in Phoenix under a lease that will expire in 2013.</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WP Company owns the principal offices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in downtown Washington, DC, including both a seven-story building in use since 1950 and a conn nine-story office building, on contiguous property, completed in 1972 in which the Company’s principal executive offices are located. WP Company als owns and occupies a small office building on L Street that is connected to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’s office building. Additionally, WP Company owns land on the corne 15th and L Streets, NW, in Washington, DC, adjacent to the </w:t>
      </w:r>
      <w:r>
        <w:rPr>
          <w:rFonts w:ascii="Arial" w:cs="Arial" w:eastAsia="Arial" w:hAnsi="Arial"/>
          <w:sz w:val="17"/>
          <w:szCs w:val="17"/>
          <w:i w:val="1"/>
          <w:iCs w:val="1"/>
          <w:color w:val="auto"/>
        </w:rPr>
        <w:t>Post</w:t>
      </w:r>
      <w:r>
        <w:rPr>
          <w:rFonts w:ascii="Arial" w:cs="Arial" w:eastAsia="Arial" w:hAnsi="Arial"/>
          <w:sz w:val="17"/>
          <w:szCs w:val="17"/>
          <w:color w:val="auto"/>
        </w:rPr>
        <w:t>’s office building. This land is leased on a long-term basis to the owner of a multistory building that was constructed on the site in 1982.</w:t>
      </w:r>
    </w:p>
    <w:p>
      <w:pPr>
        <w:spacing w:after="0" w:line="17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WP Company owns a printing plant in Fairfax County, VA, which was built in 1980 and expanded in 1998. That facility is located on 19 acres of land o by WP Company.</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Daily Herald Company owns its plant and office building in Everett, WA; it also owns two warehouses and a small rental building adjacent to its pl well as a small office building in Lynnwood, WA.</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PNM owns a two-story combination office building and printing plant on a seven-acre plot in Laurel, MD. PNM also owns a one-story brick building in St. Mary’s County, MD, used by editorial and sales staff and office space in Montgomery and Charles counties, MD. In addition, PNM leases editorial a sales office space in Frederick and Calvert counties, MD, and Fairfax County, VA.</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headquarters offices of the Company’s broadcasting operations are located in Detroit, MI, in the same facilities that house the offices and studios WDIV. That facility and those that house the operations of each of the Company’s other television stations are all owned by subsidiaries of the Compa are the related tower sites (except in Houston, Orlando, Jacksonville and Miami, where the tower sites are 50% owned).</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Robinson Terminal Warehouse Corporation (Robinson) owns two wharves and several warehouses in Alexandria, VA. These facilities are adjacent to t business district and occupy approximately seven acres of land. Robinson also owns two partially developed tracts of land in Fairfax County, VA, aggregating about 20 acres. These tracts are near the </w:t>
      </w:r>
      <w:r>
        <w:rPr>
          <w:rFonts w:ascii="Arial" w:cs="Arial" w:eastAsia="Arial" w:hAnsi="Arial"/>
          <w:sz w:val="17"/>
          <w:szCs w:val="17"/>
          <w:i w:val="1"/>
          <w:iCs w:val="1"/>
          <w:color w:val="auto"/>
        </w:rPr>
        <w:t>Post</w:t>
      </w:r>
      <w:r>
        <w:rPr>
          <w:rFonts w:ascii="Arial" w:cs="Arial" w:eastAsia="Arial" w:hAnsi="Arial"/>
          <w:sz w:val="17"/>
          <w:szCs w:val="17"/>
          <w:color w:val="auto"/>
        </w:rPr>
        <w:t>’s Virginia printing plant and include several warehouses. Robinson also owns 23 acres of undeveloped land on the Potomac River in Charles County, MD.</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WP Company has assumed the lease of approximately 85,000 square feet of office space in Arlington, VA, that will expire in 2015. The space has bee subleased. WP Company also leases office space in New York City, Chicago, Los Angeles and San Francisco. The Slate Group leases space in Washington, DC.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Greater Washington Publishing’s offices are located in leased space in Vienna, VA; El Tiempo Latino’s offices are located in leased space in Arlington,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Avenue100 leases space in an office building in Woburn, MA. This lease expires in 2015.</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6" w:right="1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Item 3. Legal Proceedings.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 purported class action complaint was filed against the Company, Donald E. Graham and Hal S. Jones on October 28, 2010, in the U.S. District Cour the District of Columbia, by the Plumbers Local #200 Pension Fund. The complaint alleged that the Company and certain of its officers made materiall and misleading statements, or failed to disclose material facts relating to KHE, in violation of the U.S. Federal securities laws. The complaint sought damages, attorneys’ fees, costs and equitable/injunctive relief. The Company moved to dismiss the complaint, and on December 23, 2011, the court g the Company’s motion and dismissed the case with prejudice. On January 25, 2012, the Plaintiff filed a motion seeking leave to amend or alter that fin judgment; the Company has opposed the motion.</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On February 6, 2008, a purported class action lawsuit was filed in the U.S. District Court for the Central District of California by purchasers of BAR/BR review courses from July 2006 onward alleging antitrust claims against Kaplan and West Publishing Corporation, BAR/BRI’s former owner. On April 10 2008, the court granted defendants’ motion to dismiss. On May 7, 2008, the plaintiffs filed an appeal to the U.S. Court of Appeals for the Ninth Circuit. October 18, 2010, the parties entered into a stipulation and settlement agreement. The District Court granted preliminary approval of this proposed settlement on March 21, 2011, but denied final approval thereof on July 1, 2011. On November 7, 2011, the Ninth Circuit reversed the District Court’s of dismissal, but stayed the mandate and referred the matter to the Ninth Circuit mediator for renewed settlement discussions.</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On or about January 17, 2008, an Assistant U.S. Attorney in the Civil Division of the U.S. Attorney’s Office for the Eastern District of Pennsylvania cont KHE’s CHI-Broomall campus and made inquiries about the Surgical Technology program, including the program’s eligibility for Title IV U.S. Federal fin aid, the program’s student loan defaults, licensing and accreditation. Kaplan responded to the information requests and fully cooperated with the inquir DOE also conducted a Program Review at the CHI-Broomall campus, and Kaplan likewise cooperated with the Program Review. On July 22, 2011, th Attorney’s Office for the Eastern District of Pennsylvania announced that it had entered into a comprehensive settlement agreement with Kaplan that resolved the U.S. Attorney’s inquiry, provided for the conclusion of the DOE’s program review and also settled a previously sealed U.S. Federal False Claims Act (False Claims Act) complaint (31 U.S.C. § 3729, et seq.) that had been filed by a former employee of the CHI-Broomall campus. The total amount of all required payments by CHI-Broomall under the agreements was $1.6 million. Pursuant to the comprehensive settlement agreement, the Attorney inquiry has been closed, the DOE will issue a final program review determination and the False Claims Act complaint (</w:t>
      </w:r>
      <w:r>
        <w:rPr>
          <w:rFonts w:ascii="Arial" w:cs="Arial" w:eastAsia="Arial" w:hAnsi="Arial"/>
          <w:sz w:val="17"/>
          <w:szCs w:val="17"/>
          <w:i w:val="1"/>
          <w:iCs w:val="1"/>
          <w:color w:val="auto"/>
        </w:rPr>
        <w:t>United States of Ameri</w:t>
      </w:r>
      <w:r>
        <w:rPr>
          <w:rFonts w:ascii="Arial" w:cs="Arial" w:eastAsia="Arial" w:hAnsi="Arial"/>
          <w:sz w:val="17"/>
          <w:szCs w:val="17"/>
          <w:color w:val="auto"/>
        </w:rPr>
        <w:t xml:space="preserve"> rel. </w:t>
      </w:r>
      <w:r>
        <w:rPr>
          <w:rFonts w:ascii="Arial" w:cs="Arial" w:eastAsia="Arial" w:hAnsi="Arial"/>
          <w:sz w:val="17"/>
          <w:szCs w:val="17"/>
          <w:i w:val="1"/>
          <w:iCs w:val="1"/>
          <w:color w:val="auto"/>
        </w:rPr>
        <w:t>David Goodstein v. Kaplan, Inc.</w:t>
      </w:r>
      <w:r>
        <w:rPr>
          <w:rFonts w:ascii="Arial" w:cs="Arial" w:eastAsia="Arial" w:hAnsi="Arial"/>
          <w:sz w:val="17"/>
          <w:szCs w:val="17"/>
          <w:color w:val="auto"/>
        </w:rPr>
        <w:t>, et al. (unsealed July 22, 2011)) was unsealed and will be dismissed with prejudice. At this time, Kaplan cannot pr the contents of the pending final program review determination or the ultimate impact the proceedings may have on the CHI-Broomall campus or the K business generally.</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Several Kaplan subsidiaries were or are subject to four other unsealed cases filed by former employees that include, among other allegations, claims the U.S. Federal False Claims Act relating to eligibility for Title IV funding. The U.S. Government declined to intervene in all cases, and, as previously reported, court decisions in 2011 either dismissed the cases in their entirety or narrowed the scope of their allegations. The four cases are captioned: </w:t>
      </w:r>
      <w:r>
        <w:rPr>
          <w:rFonts w:ascii="Arial" w:cs="Arial" w:eastAsia="Arial" w:hAnsi="Arial"/>
          <w:sz w:val="17"/>
          <w:szCs w:val="17"/>
          <w:i w:val="1"/>
          <w:iCs w:val="1"/>
          <w:color w:val="auto"/>
        </w:rPr>
        <w:t xml:space="preserve">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Carlos Urquilla-Diaz et al. </w:t>
      </w:r>
      <w:r>
        <w:rPr>
          <w:rFonts w:ascii="Arial" w:cs="Arial" w:eastAsia="Arial" w:hAnsi="Arial"/>
          <w:sz w:val="17"/>
          <w:szCs w:val="17"/>
          <w:color w:val="auto"/>
        </w:rPr>
        <w:t>v.</w:t>
      </w:r>
      <w:r>
        <w:rPr>
          <w:rFonts w:ascii="Arial" w:cs="Arial" w:eastAsia="Arial" w:hAnsi="Arial"/>
          <w:sz w:val="17"/>
          <w:szCs w:val="17"/>
          <w:i w:val="1"/>
          <w:iCs w:val="1"/>
          <w:color w:val="auto"/>
        </w:rPr>
        <w:t xml:space="preserve"> Kaplan University </w:t>
      </w:r>
      <w:r>
        <w:rPr>
          <w:rFonts w:ascii="Arial" w:cs="Arial" w:eastAsia="Arial" w:hAnsi="Arial"/>
          <w:sz w:val="17"/>
          <w:szCs w:val="17"/>
          <w:color w:val="auto"/>
        </w:rPr>
        <w:t>et al. (unsealed March 25,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Jorge Torre Kaplan Higher Education Corp. </w:t>
      </w:r>
      <w:r>
        <w:rPr>
          <w:rFonts w:ascii="Arial" w:cs="Arial" w:eastAsia="Arial" w:hAnsi="Arial"/>
          <w:sz w:val="17"/>
          <w:szCs w:val="17"/>
          <w:color w:val="auto"/>
        </w:rPr>
        <w:t>(unsealed April 7,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Victoria Gatsiopoulos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ICM School of Business &amp; Me Careers </w:t>
      </w:r>
      <w:r>
        <w:rPr>
          <w:rFonts w:ascii="Arial" w:cs="Arial" w:eastAsia="Arial" w:hAnsi="Arial"/>
          <w:sz w:val="17"/>
          <w:szCs w:val="17"/>
          <w:color w:val="auto"/>
        </w:rPr>
        <w:t>et al</w:t>
      </w:r>
      <w:r>
        <w:rPr>
          <w:rFonts w:ascii="Arial" w:cs="Arial" w:eastAsia="Arial" w:hAnsi="Arial"/>
          <w:sz w:val="17"/>
          <w:szCs w:val="17"/>
          <w:i w:val="1"/>
          <w:iCs w:val="1"/>
          <w:color w:val="auto"/>
        </w:rPr>
        <w:t xml:space="preserve">. </w:t>
      </w:r>
      <w:r>
        <w:rPr>
          <w:rFonts w:ascii="Arial" w:cs="Arial" w:eastAsia="Arial" w:hAnsi="Arial"/>
          <w:sz w:val="17"/>
          <w:szCs w:val="17"/>
          <w:color w:val="auto"/>
        </w:rPr>
        <w:t>(unsealed September 2, 2008); and</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Charles Jajdelski </w:t>
      </w:r>
      <w:r>
        <w:rPr>
          <w:rFonts w:ascii="Arial" w:cs="Arial" w:eastAsia="Arial" w:hAnsi="Arial"/>
          <w:sz w:val="17"/>
          <w:szCs w:val="17"/>
          <w:color w:val="auto"/>
        </w:rPr>
        <w:t>v.</w:t>
      </w:r>
      <w:r>
        <w:rPr>
          <w:rFonts w:ascii="Arial" w:cs="Arial" w:eastAsia="Arial" w:hAnsi="Arial"/>
          <w:sz w:val="17"/>
          <w:szCs w:val="17"/>
          <w:i w:val="1"/>
          <w:iCs w:val="1"/>
          <w:color w:val="auto"/>
        </w:rPr>
        <w:t xml:space="preserve"> Kaplan Higher Education Corp. </w:t>
      </w:r>
      <w:r>
        <w:rPr>
          <w:rFonts w:ascii="Arial" w:cs="Arial" w:eastAsia="Arial" w:hAnsi="Arial"/>
          <w:sz w:val="17"/>
          <w:szCs w:val="17"/>
          <w:color w:val="auto"/>
        </w:rPr>
        <w:t>et al. (unseale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6, 2009).</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August 17, 2011, the U.S. District Court for the Southern District of Florida issued a series of rulings in the Diaz case, which included three separat complaints: Diaz, Wilcox and Gillespie. The court dismissed the Wilcox complaint in its entirety; dismissed all False Claims Act allegations in the Diaz leaving only an individual employment claim; and dismissed in part the Gillespie case, thereby limiting the scope and time frame of its False Claims Ac allegations regarding compliance with the U.S. Federal Rehabilitation Act. The case (now consisting of the individual employment claim in Diaz and th remaining False Claims Act allegations in Gillespie) is expected to proceed to the discovery and dispositive motion phases.</w:t>
      </w:r>
    </w:p>
    <w:p>
      <w:pPr>
        <w:spacing w:after="0" w:line="1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August 23, 2011, the U.S. District Court for the Southern District of Florida dismissed the Torres case in its entirety and entered a final judgment in of Kaplan. That case has been appealed in the U.S. Court of Appeals for the 11th Judicial Circuit.</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August 9, 2011, the U.S. District Court for the Southern District of Florida granted in part Kaplan’s motion to dismiss the Gatsiopoulos case, which the allegations in that case to alleged violations of U.S. Federal incentive compensation regulations and so-called “70 percent rules” and an individual employment claim, and limited the time frame applicable to these claims. Thereafter, the court recommended that the case be transferred back to its o jurisdiction,</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44" w:name="page45"/>
    <w:bookmarkEnd w:id="44"/>
    <w:p>
      <w:pPr>
        <w:ind w:right="220"/>
        <w:spacing w:after="0" w:line="235" w:lineRule="auto"/>
        <w:rPr>
          <w:sz w:val="20"/>
          <w:szCs w:val="20"/>
          <w:color w:val="auto"/>
        </w:rPr>
      </w:pPr>
      <w:r>
        <w:rPr>
          <w:rFonts w:ascii="Arial" w:cs="Arial" w:eastAsia="Arial" w:hAnsi="Arial"/>
          <w:sz w:val="17"/>
          <w:szCs w:val="17"/>
          <w:color w:val="auto"/>
        </w:rPr>
        <w:t>the U.S. District Court for the Western District of Pennsylvania, and the case was assigned to a judge in that venue in December 2011. The case is expected to proceed to the discovery and dispositive motion phases in that venue.</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July 7, 2011, the U.S. District Court for the District of Nevada dismissed the Jajdelski case in its entirety and entered a final judgment in favor of Ka That case is currently on appeal in the U.S. Circuit Court of Appeals for the Ninth Judicial Circuit.</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August 5, 2010, Kaplan Higher Education Corporation, along with at least 28 other proprietary education organizations, received a letter of inquiry the HELP Committee. As part of a general congressional review of the distribution of U.S. Federal financial aid for students, the letter requested inform and correspondence relating to the online and on-campus schools operated by KHE. The requested information was provided to the HELP Committee this time, Kaplan cannot predict the ultimate impact the investigation may have on its business.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October 21, 2010, Kaplan Higher Education Corporation received a subpoena from the office of the Florida Attorney General. The subpoena soug information pertaining to the online and on-campus schools operated by KHE in and outside of Florida. KHE has cooperated with the Florida Attorney General and provided the information requested in the subpoena. KHE also may receive further requests for information from the Florida Attorney Gen The Company cannot predict the outcome of this inquiry.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December 21, 2010, the U.S. Equal Employment Opportunities Commission filed suit against Kaplan Higher Education Corporation in the U.S. Dis Court for the Northern District of Ohio, alleging racial bias by Kaplan in requesting credit scores of job applicants seeking financial positions. The Com believes that the complaint lacks merit. In March 2011, the court granted in part the Company’s motion to dismiss the complaint. Since that time, the c proceeding with the discovery phase.</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February 7, 2011, Kaplan Higher Education Corporation received a Civil Investigative Demand from the Office of the Attorney General of the State Illinois. The demand primarily sought information pertaining to Kaplan University online students who are residents of Illinois. KHE has cooperated wit Illinois Attorney General and provided the requested information. KHE also may receive further requests for information from the Illinois Attorney Gene The Company cannot predict the outcome of this inquiry.</w:t>
      </w:r>
    </w:p>
    <w:p>
      <w:pPr>
        <w:spacing w:after="0" w:line="17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 with the Massachusetts Attorney General and provided the requested information. KHE also may receive further requests for information from the Massachusetts Attorney General. The Company cannot predict the outcome of this inquiry.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July 20, 2011, Kaplan Higher Education Corporation received a subpoena from the Office of the Attorney General of the State of Delaware. The de primarily sought information pertaining to Kaplan University’s online and KHE Campuses’ students who are residents of Delaware. KHE has cooperate the Delaware Attorney General and provided the information requested in the subpoena. KHE also may receive further requests for information from t Delaware Attorney General. The Company cannot predict the outcome of this inquiry.</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Company and its subsidiaries are also subject to complaints and administrative proceedings and are defendants in various other civil lawsuits tha arisen in the ordinary course of their businesses, including contract disputes; actions alleging negligence, libel, invasion of privacy, trademark, copyrig patent infringement; False Claims Act violations; violations of applicable wage and hour laws; and statutory or common law claims involving current an former students and employees. While it is not possible to predict the outcomes of these lawsuits, in the opinion of management, their ultimate disposi should not have a material adverse effect on the Company’s business or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45" w:name="page46"/>
    <w:bookmarkEnd w:id="45"/>
    <w:p>
      <w:pPr>
        <w:ind w:left="5429"/>
        <w:spacing w:after="0"/>
        <w:rPr>
          <w:sz w:val="20"/>
          <w:szCs w:val="20"/>
          <w:color w:val="auto"/>
        </w:rPr>
      </w:pPr>
      <w:r>
        <w:rPr>
          <w:rFonts w:ascii="Arial" w:cs="Arial" w:eastAsia="Arial" w:hAnsi="Arial"/>
          <w:sz w:val="17"/>
          <w:szCs w:val="17"/>
          <w:b w:val="1"/>
          <w:bCs w:val="1"/>
          <w:color w:val="auto"/>
        </w:rPr>
        <w:t>PART II</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179"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Market Information and Holders</w:t>
      </w:r>
    </w:p>
    <w:p>
      <w:pPr>
        <w:spacing w:after="0" w:line="195"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The Company’s Class B Common Stock is traded on the New York Stock Exchange under the symbol “WPO.” The Company’s Class A Common Stoc not publicly traded.</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high and low sales prices of the Company’s Class B Common Stock during the last two years were:</w:t>
      </w:r>
    </w:p>
    <w:p>
      <w:pPr>
        <w:spacing w:after="0" w:line="113"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320" w:type="dxa"/>
            <w:vAlign w:val="bottom"/>
            <w:vMerge w:val="restart"/>
          </w:tcPr>
          <w:p>
            <w:pPr>
              <w:ind w:left="3140"/>
              <w:spacing w:after="0"/>
              <w:rPr>
                <w:sz w:val="20"/>
                <w:szCs w:val="20"/>
                <w:color w:val="auto"/>
              </w:rPr>
            </w:pPr>
            <w:r>
              <w:rPr>
                <w:rFonts w:ascii="Arial" w:cs="Arial" w:eastAsia="Arial" w:hAnsi="Arial"/>
                <w:sz w:val="12"/>
                <w:szCs w:val="12"/>
                <w:b w:val="1"/>
                <w:bCs w:val="1"/>
                <w:color w:val="auto"/>
              </w:rPr>
              <w:t>Quarter</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2011</w:t>
            </w: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color w:val="auto"/>
              </w:rPr>
              <w:t>2010</w:t>
            </w:r>
          </w:p>
        </w:tc>
        <w:tc>
          <w:tcPr>
            <w:tcW w:w="0" w:type="dxa"/>
            <w:vAlign w:val="bottom"/>
          </w:tcPr>
          <w:p>
            <w:pPr>
              <w:spacing w:after="0"/>
              <w:rPr>
                <w:sz w:val="1"/>
                <w:szCs w:val="1"/>
                <w:color w:val="auto"/>
              </w:rPr>
            </w:pPr>
          </w:p>
        </w:tc>
      </w:tr>
      <w:tr>
        <w:trPr>
          <w:trHeight w:val="129"/>
        </w:trPr>
        <w:tc>
          <w:tcPr>
            <w:tcW w:w="73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tcPr>
          <w:p>
            <w:pPr>
              <w:jc w:val="right"/>
              <w:ind w:right="610"/>
              <w:spacing w:after="0" w:line="129" w:lineRule="exact"/>
              <w:rPr>
                <w:sz w:val="20"/>
                <w:szCs w:val="20"/>
                <w:color w:val="auto"/>
              </w:rPr>
            </w:pPr>
            <w:r>
              <w:rPr>
                <w:rFonts w:ascii="Arial" w:cs="Arial" w:eastAsia="Arial" w:hAnsi="Arial"/>
                <w:sz w:val="12"/>
                <w:szCs w:val="12"/>
                <w:b w:val="1"/>
                <w:bCs w:val="1"/>
                <w:color w:val="auto"/>
              </w:rPr>
              <w:t>High</w:t>
            </w:r>
          </w:p>
        </w:tc>
        <w:tc>
          <w:tcPr>
            <w:tcW w:w="960" w:type="dxa"/>
            <w:vAlign w:val="bottom"/>
            <w:tcBorders>
              <w:bottom w:val="single" w:sz="8" w:color="auto"/>
            </w:tcBorders>
          </w:tcPr>
          <w:p>
            <w:pPr>
              <w:jc w:val="right"/>
              <w:ind w:right="428"/>
              <w:spacing w:after="0" w:line="129" w:lineRule="exact"/>
              <w:rPr>
                <w:sz w:val="20"/>
                <w:szCs w:val="20"/>
                <w:color w:val="auto"/>
              </w:rPr>
            </w:pPr>
            <w:r>
              <w:rPr>
                <w:rFonts w:ascii="Arial" w:cs="Arial" w:eastAsia="Arial" w:hAnsi="Arial"/>
                <w:sz w:val="12"/>
                <w:szCs w:val="12"/>
                <w:b w:val="1"/>
                <w:bCs w:val="1"/>
                <w:color w:val="auto"/>
              </w:rPr>
              <w:t>Low</w:t>
            </w:r>
          </w:p>
        </w:tc>
        <w:tc>
          <w:tcPr>
            <w:tcW w:w="86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2"/>
                <w:szCs w:val="12"/>
                <w:color w:val="auto"/>
              </w:rPr>
              <w:t>High</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320" w:type="dxa"/>
            <w:vAlign w:val="bottom"/>
          </w:tcPr>
          <w:p>
            <w:pPr>
              <w:spacing w:after="0" w:line="150" w:lineRule="exact"/>
              <w:rPr>
                <w:sz w:val="20"/>
                <w:szCs w:val="20"/>
                <w:color w:val="auto"/>
              </w:rPr>
            </w:pPr>
            <w:r>
              <w:rPr>
                <w:rFonts w:ascii="Arial" w:cs="Arial" w:eastAsia="Arial" w:hAnsi="Arial"/>
                <w:sz w:val="15"/>
                <w:szCs w:val="15"/>
                <w:color w:val="auto"/>
              </w:rPr>
              <w:t>January–March</w:t>
            </w:r>
          </w:p>
        </w:tc>
        <w:tc>
          <w:tcPr>
            <w:tcW w:w="1180" w:type="dxa"/>
            <w:vAlign w:val="bottom"/>
          </w:tcPr>
          <w:p>
            <w:pPr>
              <w:jc w:val="right"/>
              <w:ind w:right="450"/>
              <w:spacing w:after="0" w:line="150" w:lineRule="exact"/>
              <w:rPr>
                <w:sz w:val="20"/>
                <w:szCs w:val="20"/>
                <w:color w:val="auto"/>
              </w:rPr>
            </w:pPr>
            <w:r>
              <w:rPr>
                <w:rFonts w:ascii="Arial" w:cs="Arial" w:eastAsia="Arial" w:hAnsi="Arial"/>
                <w:sz w:val="15"/>
                <w:szCs w:val="15"/>
                <w:b w:val="1"/>
                <w:bCs w:val="1"/>
                <w:color w:val="auto"/>
              </w:rPr>
              <w:t>$  456</w:t>
            </w:r>
          </w:p>
        </w:tc>
        <w:tc>
          <w:tcPr>
            <w:tcW w:w="960" w:type="dxa"/>
            <w:vAlign w:val="bottom"/>
          </w:tcPr>
          <w:p>
            <w:pPr>
              <w:jc w:val="right"/>
              <w:ind w:right="248"/>
              <w:spacing w:after="0" w:line="150" w:lineRule="exact"/>
              <w:rPr>
                <w:sz w:val="20"/>
                <w:szCs w:val="20"/>
                <w:color w:val="auto"/>
              </w:rPr>
            </w:pPr>
            <w:r>
              <w:rPr>
                <w:rFonts w:ascii="Arial" w:cs="Arial" w:eastAsia="Arial" w:hAnsi="Arial"/>
                <w:sz w:val="15"/>
                <w:szCs w:val="15"/>
                <w:b w:val="1"/>
                <w:bCs w:val="1"/>
                <w:color w:val="auto"/>
              </w:rPr>
              <w:t>$  402</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  459</w:t>
            </w:r>
          </w:p>
        </w:tc>
        <w:tc>
          <w:tcPr>
            <w:tcW w:w="6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April–June</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454</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404</w:t>
            </w:r>
          </w:p>
        </w:tc>
        <w:tc>
          <w:tcPr>
            <w:tcW w:w="860" w:type="dxa"/>
            <w:vAlign w:val="bottom"/>
          </w:tcPr>
          <w:p>
            <w:pPr>
              <w:jc w:val="right"/>
              <w:spacing w:after="0"/>
              <w:rPr>
                <w:sz w:val="20"/>
                <w:szCs w:val="20"/>
                <w:color w:val="auto"/>
              </w:rPr>
            </w:pPr>
            <w:r>
              <w:rPr>
                <w:rFonts w:ascii="Arial" w:cs="Arial" w:eastAsia="Arial" w:hAnsi="Arial"/>
                <w:sz w:val="15"/>
                <w:szCs w:val="15"/>
                <w:color w:val="auto"/>
              </w:rPr>
              <w:t>547</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July–September</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430</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310</w:t>
            </w:r>
          </w:p>
        </w:tc>
        <w:tc>
          <w:tcPr>
            <w:tcW w:w="860" w:type="dxa"/>
            <w:vAlign w:val="bottom"/>
          </w:tcPr>
          <w:p>
            <w:pPr>
              <w:jc w:val="right"/>
              <w:spacing w:after="0"/>
              <w:rPr>
                <w:sz w:val="20"/>
                <w:szCs w:val="20"/>
                <w:color w:val="auto"/>
              </w:rPr>
            </w:pPr>
            <w:r>
              <w:rPr>
                <w:rFonts w:ascii="Arial" w:cs="Arial" w:eastAsia="Arial" w:hAnsi="Arial"/>
                <w:sz w:val="15"/>
                <w:szCs w:val="15"/>
                <w:color w:val="auto"/>
              </w:rPr>
              <w:t>448</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5"/>
                <w:szCs w:val="15"/>
                <w:color w:val="auto"/>
              </w:rPr>
              <w:t>October–December</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394</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309</w:t>
            </w:r>
          </w:p>
        </w:tc>
        <w:tc>
          <w:tcPr>
            <w:tcW w:w="860" w:type="dxa"/>
            <w:vAlign w:val="bottom"/>
          </w:tcPr>
          <w:p>
            <w:pPr>
              <w:jc w:val="right"/>
              <w:spacing w:after="0"/>
              <w:rPr>
                <w:sz w:val="20"/>
                <w:szCs w:val="20"/>
                <w:color w:val="auto"/>
              </w:rPr>
            </w:pPr>
            <w:r>
              <w:rPr>
                <w:rFonts w:ascii="Arial" w:cs="Arial" w:eastAsia="Arial" w:hAnsi="Arial"/>
                <w:sz w:val="15"/>
                <w:szCs w:val="15"/>
                <w:color w:val="auto"/>
              </w:rPr>
              <w:t>446</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 w:right="80"/>
        <w:spacing w:after="0" w:line="235" w:lineRule="auto"/>
        <w:rPr>
          <w:sz w:val="20"/>
          <w:szCs w:val="20"/>
          <w:color w:val="auto"/>
        </w:rPr>
      </w:pPr>
      <w:r>
        <w:rPr>
          <w:rFonts w:ascii="Arial" w:cs="Arial" w:eastAsia="Arial" w:hAnsi="Arial"/>
          <w:sz w:val="17"/>
          <w:szCs w:val="17"/>
          <w:color w:val="auto"/>
        </w:rPr>
        <w:t>At January 31, 2012, there were 28 holders of record of the Company’s Class A Common Stock and 690 holders of record of the Company’s Class B Common Stock.</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Dividend Information</w:t>
      </w:r>
    </w:p>
    <w:p>
      <w:pPr>
        <w:spacing w:after="0" w:line="195"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Both classes of the Company’s Common Stock participate equally as to dividends. Quarterly dividends were paid at the rate of $2.35 and $2.25 per sh during 2011 and 2010, respectively.</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Securities Authorized for Issuance Under Equity Compensation Plans</w:t>
      </w:r>
    </w:p>
    <w:p>
      <w:pPr>
        <w:spacing w:after="0" w:line="195"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following table and the footnote thereto set forth certain information as of December 31, 2011, concerning compensation plans of the Company u which equity securities of the Company are authorized to be issued.</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0" w:type="dxa"/>
            <w:vAlign w:val="bottom"/>
          </w:tcPr>
          <w:p>
            <w:pPr>
              <w:jc w:val="center"/>
              <w:ind w:left="414"/>
              <w:spacing w:after="0"/>
              <w:rPr>
                <w:sz w:val="20"/>
                <w:szCs w:val="20"/>
                <w:color w:val="auto"/>
              </w:rPr>
            </w:pPr>
            <w:r>
              <w:rPr>
                <w:rFonts w:ascii="Arial" w:cs="Arial" w:eastAsia="Arial" w:hAnsi="Arial"/>
                <w:sz w:val="12"/>
                <w:szCs w:val="12"/>
                <w:b w:val="1"/>
                <w:bCs w:val="1"/>
                <w:color w:val="auto"/>
              </w:rPr>
              <w:t>Number of Securities</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Number of Securities</w:t>
            </w: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Remaining Available fo</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to Be Issued Upon</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Weighted Average</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Future Issuance Under</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Exercise of</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Exercise Price of</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Equity Compensation Pla</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Outstanding Options,</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Outstanding Options,</w:t>
            </w:r>
          </w:p>
        </w:tc>
        <w:tc>
          <w:tcPr>
            <w:tcW w:w="1800" w:type="dxa"/>
            <w:vAlign w:val="bottom"/>
          </w:tcPr>
          <w:p>
            <w:pPr>
              <w:jc w:val="center"/>
              <w:ind w:left="434"/>
              <w:spacing w:after="0" w:line="137" w:lineRule="exact"/>
              <w:rPr>
                <w:sz w:val="20"/>
                <w:szCs w:val="20"/>
                <w:color w:val="auto"/>
              </w:rPr>
            </w:pPr>
            <w:r>
              <w:rPr>
                <w:rFonts w:ascii="Arial" w:cs="Arial" w:eastAsia="Arial" w:hAnsi="Arial"/>
                <w:sz w:val="12"/>
                <w:szCs w:val="12"/>
                <w:b w:val="1"/>
                <w:bCs w:val="1"/>
                <w:color w:val="auto"/>
              </w:rPr>
              <w:t>(Excluding Securities</w:t>
            </w:r>
          </w:p>
        </w:tc>
        <w:tc>
          <w:tcPr>
            <w:tcW w:w="0" w:type="dxa"/>
            <w:vAlign w:val="bottom"/>
          </w:tcPr>
          <w:p>
            <w:pPr>
              <w:spacing w:after="0"/>
              <w:rPr>
                <w:sz w:val="1"/>
                <w:szCs w:val="1"/>
                <w:color w:val="auto"/>
              </w:rPr>
            </w:pPr>
          </w:p>
        </w:tc>
      </w:tr>
      <w:tr>
        <w:trPr>
          <w:trHeight w:val="151"/>
        </w:trPr>
        <w:tc>
          <w:tcPr>
            <w:tcW w:w="5160" w:type="dxa"/>
            <w:vAlign w:val="bottom"/>
            <w:vMerge w:val="restart"/>
          </w:tcPr>
          <w:p>
            <w:pPr>
              <w:ind w:left="2160"/>
              <w:spacing w:after="0"/>
              <w:rPr>
                <w:sz w:val="20"/>
                <w:szCs w:val="20"/>
                <w:color w:val="auto"/>
              </w:rPr>
            </w:pPr>
            <w:r>
              <w:rPr>
                <w:rFonts w:ascii="Arial" w:cs="Arial" w:eastAsia="Arial" w:hAnsi="Arial"/>
                <w:sz w:val="12"/>
                <w:szCs w:val="12"/>
                <w:b w:val="1"/>
                <w:bCs w:val="1"/>
                <w:color w:val="auto"/>
              </w:rPr>
              <w:t>Plan Category</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Warrants and Rights</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Warrants and Rights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Reflected in Column (a)</w:t>
            </w:r>
          </w:p>
        </w:tc>
        <w:tc>
          <w:tcPr>
            <w:tcW w:w="0" w:type="dxa"/>
            <w:vAlign w:val="bottom"/>
          </w:tcPr>
          <w:p>
            <w:pPr>
              <w:spacing w:after="0"/>
              <w:rPr>
                <w:sz w:val="1"/>
                <w:szCs w:val="1"/>
                <w:color w:val="auto"/>
              </w:rPr>
            </w:pPr>
          </w:p>
        </w:tc>
      </w:tr>
      <w:tr>
        <w:trPr>
          <w:trHeight w:val="129"/>
        </w:trPr>
        <w:tc>
          <w:tcPr>
            <w:tcW w:w="5160" w:type="dxa"/>
            <w:vAlign w:val="bottom"/>
            <w:tcBorders>
              <w:bottom w:val="single" w:sz="8" w:color="auto"/>
            </w:tcBorders>
            <w:vMerge w:val="continue"/>
          </w:tcPr>
          <w:p>
            <w:pPr>
              <w:spacing w:after="0"/>
              <w:rPr>
                <w:sz w:val="11"/>
                <w:szCs w:val="11"/>
                <w:color w:val="auto"/>
              </w:rPr>
            </w:pPr>
          </w:p>
        </w:tc>
        <w:tc>
          <w:tcPr>
            <w:tcW w:w="2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(a)</w:t>
            </w:r>
          </w:p>
        </w:tc>
        <w:tc>
          <w:tcPr>
            <w:tcW w:w="8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769"/>
              <w:spacing w:after="0" w:line="129" w:lineRule="exact"/>
              <w:rPr>
                <w:sz w:val="20"/>
                <w:szCs w:val="20"/>
                <w:color w:val="auto"/>
              </w:rPr>
            </w:pPr>
            <w:r>
              <w:rPr>
                <w:rFonts w:ascii="Arial" w:cs="Arial" w:eastAsia="Arial" w:hAnsi="Arial"/>
                <w:sz w:val="12"/>
                <w:szCs w:val="12"/>
                <w:b w:val="1"/>
                <w:bCs w:val="1"/>
                <w:color w:val="auto"/>
              </w:rPr>
              <w:t>(b)</w:t>
            </w:r>
          </w:p>
        </w:tc>
        <w:tc>
          <w:tcPr>
            <w:tcW w:w="1800" w:type="dxa"/>
            <w:vAlign w:val="bottom"/>
            <w:tcBorders>
              <w:bottom w:val="single" w:sz="8" w:color="auto"/>
            </w:tcBorders>
          </w:tcPr>
          <w:p>
            <w:pPr>
              <w:jc w:val="center"/>
              <w:ind w:left="414"/>
              <w:spacing w:after="0" w:line="129" w:lineRule="exact"/>
              <w:rPr>
                <w:sz w:val="20"/>
                <w:szCs w:val="20"/>
                <w:color w:val="auto"/>
              </w:rPr>
            </w:pPr>
            <w:r>
              <w:rPr>
                <w:rFonts w:ascii="Arial" w:cs="Arial" w:eastAsia="Arial" w:hAnsi="Arial"/>
                <w:sz w:val="12"/>
                <w:szCs w:val="12"/>
                <w:b w:val="1"/>
                <w:bCs w:val="1"/>
                <w:color w:val="auto"/>
              </w:rPr>
              <w:t>(c)</w:t>
            </w:r>
          </w:p>
        </w:tc>
        <w:tc>
          <w:tcPr>
            <w:tcW w:w="0" w:type="dxa"/>
            <w:vAlign w:val="bottom"/>
          </w:tcPr>
          <w:p>
            <w:pPr>
              <w:spacing w:after="0"/>
              <w:rPr>
                <w:sz w:val="1"/>
                <w:szCs w:val="1"/>
                <w:color w:val="auto"/>
              </w:rPr>
            </w:pPr>
          </w:p>
        </w:tc>
      </w:tr>
      <w:tr>
        <w:trPr>
          <w:trHeight w:val="168"/>
        </w:trPr>
        <w:tc>
          <w:tcPr>
            <w:tcW w:w="5160" w:type="dxa"/>
            <w:vAlign w:val="bottom"/>
          </w:tcPr>
          <w:p>
            <w:pPr>
              <w:spacing w:after="0" w:line="168" w:lineRule="exact"/>
              <w:rPr>
                <w:sz w:val="20"/>
                <w:szCs w:val="20"/>
                <w:color w:val="auto"/>
              </w:rPr>
            </w:pPr>
            <w:r>
              <w:rPr>
                <w:rFonts w:ascii="Arial" w:cs="Arial" w:eastAsia="Arial" w:hAnsi="Arial"/>
                <w:sz w:val="15"/>
                <w:szCs w:val="15"/>
                <w:color w:val="auto"/>
              </w:rPr>
              <w:t>Equity compensation plans approved by security holders</w:t>
            </w:r>
          </w:p>
        </w:tc>
        <w:tc>
          <w:tcPr>
            <w:tcW w:w="2020" w:type="dxa"/>
            <w:vAlign w:val="bottom"/>
          </w:tcPr>
          <w:p>
            <w:pPr>
              <w:jc w:val="right"/>
              <w:ind w:right="494"/>
              <w:spacing w:after="0" w:line="168" w:lineRule="exact"/>
              <w:rPr>
                <w:sz w:val="20"/>
                <w:szCs w:val="20"/>
                <w:color w:val="auto"/>
              </w:rPr>
            </w:pPr>
            <w:r>
              <w:rPr>
                <w:rFonts w:ascii="Arial" w:cs="Arial" w:eastAsia="Arial" w:hAnsi="Arial"/>
                <w:sz w:val="15"/>
                <w:szCs w:val="15"/>
                <w:color w:val="auto"/>
              </w:rPr>
              <w:t>129,044</w:t>
            </w:r>
          </w:p>
        </w:tc>
        <w:tc>
          <w:tcPr>
            <w:tcW w:w="8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409"/>
              <w:spacing w:after="0" w:line="168" w:lineRule="exact"/>
              <w:rPr>
                <w:sz w:val="20"/>
                <w:szCs w:val="20"/>
                <w:color w:val="auto"/>
              </w:rPr>
            </w:pPr>
            <w:r>
              <w:rPr>
                <w:rFonts w:ascii="Arial" w:cs="Arial" w:eastAsia="Arial" w:hAnsi="Arial"/>
                <w:sz w:val="15"/>
                <w:szCs w:val="15"/>
                <w:color w:val="auto"/>
              </w:rPr>
              <w:t>494.95</w:t>
            </w:r>
          </w:p>
        </w:tc>
        <w:tc>
          <w:tcPr>
            <w:tcW w:w="1800" w:type="dxa"/>
            <w:vAlign w:val="bottom"/>
          </w:tcPr>
          <w:p>
            <w:pPr>
              <w:jc w:val="right"/>
              <w:ind w:right="174"/>
              <w:spacing w:after="0" w:line="168" w:lineRule="exact"/>
              <w:rPr>
                <w:sz w:val="20"/>
                <w:szCs w:val="20"/>
                <w:color w:val="auto"/>
              </w:rPr>
            </w:pPr>
            <w:r>
              <w:rPr>
                <w:rFonts w:ascii="Arial" w:cs="Arial" w:eastAsia="Arial" w:hAnsi="Arial"/>
                <w:sz w:val="15"/>
                <w:szCs w:val="15"/>
                <w:color w:val="auto"/>
              </w:rPr>
              <w:t>233,481</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20"/>
                <w:szCs w:val="20"/>
                <w:color w:val="auto"/>
              </w:rPr>
            </w:pPr>
            <w:r>
              <w:rPr>
                <w:rFonts w:ascii="Arial" w:cs="Arial" w:eastAsia="Arial" w:hAnsi="Arial"/>
                <w:sz w:val="15"/>
                <w:szCs w:val="15"/>
                <w:color w:val="auto"/>
              </w:rPr>
              <w:t>Equity compensation plans not approved by security holders</w:t>
            </w:r>
          </w:p>
        </w:tc>
        <w:tc>
          <w:tcPr>
            <w:tcW w:w="202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020" w:type="dxa"/>
            <w:vAlign w:val="bottom"/>
            <w:tcBorders>
              <w:bottom w:val="single" w:sz="8" w:color="auto"/>
            </w:tcBorders>
          </w:tcPr>
          <w:p>
            <w:pPr>
              <w:jc w:val="right"/>
              <w:ind w:right="494"/>
              <w:spacing w:after="0" w:line="167" w:lineRule="exact"/>
              <w:rPr>
                <w:sz w:val="20"/>
                <w:szCs w:val="20"/>
                <w:color w:val="auto"/>
              </w:rPr>
            </w:pPr>
            <w:r>
              <w:rPr>
                <w:rFonts w:ascii="Arial" w:cs="Arial" w:eastAsia="Arial" w:hAnsi="Arial"/>
                <w:sz w:val="15"/>
                <w:szCs w:val="15"/>
                <w:color w:val="auto"/>
              </w:rPr>
              <w:t>129,044</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09"/>
              <w:spacing w:after="0" w:line="167" w:lineRule="exact"/>
              <w:rPr>
                <w:sz w:val="20"/>
                <w:szCs w:val="20"/>
                <w:color w:val="auto"/>
              </w:rPr>
            </w:pPr>
            <w:r>
              <w:rPr>
                <w:rFonts w:ascii="Arial" w:cs="Arial" w:eastAsia="Arial" w:hAnsi="Arial"/>
                <w:sz w:val="15"/>
                <w:szCs w:val="15"/>
                <w:color w:val="auto"/>
              </w:rPr>
              <w:t>494.95</w:t>
            </w:r>
          </w:p>
        </w:tc>
        <w:tc>
          <w:tcPr>
            <w:tcW w:w="1800" w:type="dxa"/>
            <w:vAlign w:val="bottom"/>
            <w:tcBorders>
              <w:bottom w:val="single" w:sz="8" w:color="auto"/>
            </w:tcBorders>
          </w:tcPr>
          <w:p>
            <w:pPr>
              <w:jc w:val="right"/>
              <w:ind w:right="174"/>
              <w:spacing w:after="0" w:line="167" w:lineRule="exact"/>
              <w:rPr>
                <w:sz w:val="20"/>
                <w:szCs w:val="20"/>
                <w:color w:val="auto"/>
              </w:rPr>
            </w:pPr>
            <w:r>
              <w:rPr>
                <w:rFonts w:ascii="Arial" w:cs="Arial" w:eastAsia="Arial" w:hAnsi="Arial"/>
                <w:sz w:val="15"/>
                <w:szCs w:val="15"/>
                <w:color w:val="auto"/>
              </w:rPr>
              <w:t>233,481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9"/>
        <w:spacing w:after="0"/>
        <w:rPr>
          <w:sz w:val="20"/>
          <w:szCs w:val="20"/>
          <w:color w:val="auto"/>
        </w:rPr>
      </w:pPr>
      <w:r>
        <w:rPr>
          <w:rFonts w:ascii="Arial" w:cs="Arial" w:eastAsia="Arial" w:hAnsi="Arial"/>
          <w:sz w:val="5"/>
          <w:szCs w:val="5"/>
          <w:color w:val="auto"/>
        </w:rPr>
        <w:t>_____________________________________</w:t>
      </w:r>
    </w:p>
    <w:p>
      <w:pPr>
        <w:jc w:val="both"/>
        <w:ind w:left="9"/>
        <w:spacing w:after="0" w:line="241" w:lineRule="auto"/>
        <w:rPr>
          <w:sz w:val="20"/>
          <w:szCs w:val="20"/>
          <w:color w:val="auto"/>
        </w:rPr>
      </w:pPr>
      <w:r>
        <w:rPr>
          <w:rFonts w:ascii="Arial" w:cs="Arial" w:eastAsia="Arial" w:hAnsi="Arial"/>
          <w:sz w:val="12"/>
          <w:szCs w:val="12"/>
          <w:color w:val="auto"/>
        </w:rPr>
        <w:t>This table does not include information relating to restricted stock grants awarded under The Washington Post Company Incentive Compensation Plan, which plan has been approved by the stockhold the Company. At December 31, 2011, there were 22,125 shares of restricted stock outstanding under the 2009–2012 Award Cycle and 31,090 shares of restricted stock outstanding under the 2011–20 Award Cycle that had been awarded to employees of the Company and its subsidiaries under that Plan. In addition, the Company has from time to time awarded special discretionary grants of restricte to employees of the Company and its subsidiaries. At December 31, 2011, there were a total of 24,104 shares of restricted stock outstanding under special discretionary grants approved by the Compe Committee of the Board of Directors. At December 31, 2011, a total of 239,486 shares of restricted stock were available for future awards.</w:t>
      </w:r>
    </w:p>
    <w:p>
      <w:pPr>
        <w:spacing w:after="0" w:line="108"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Purchases of Equity Securities by the Issuer and Affiliated Purchasers</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7"/>
          <w:szCs w:val="17"/>
          <w:color w:val="auto"/>
        </w:rPr>
        <w:t>During the quarter ended December 31, 2011, the Company purchased shares of its Class B Common Stock as set forth in the following table:</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rPr>
              <w:t>Total Number</w:t>
            </w:r>
          </w:p>
        </w:tc>
        <w:tc>
          <w:tcPr>
            <w:tcW w:w="480" w:type="dxa"/>
            <w:vAlign w:val="bottom"/>
          </w:tcPr>
          <w:p>
            <w:pPr>
              <w:spacing w:after="0"/>
              <w:rPr>
                <w:sz w:val="12"/>
                <w:szCs w:val="12"/>
                <w:color w:val="auto"/>
              </w:rPr>
            </w:pPr>
          </w:p>
        </w:tc>
        <w:tc>
          <w:tcPr>
            <w:tcW w:w="1000" w:type="dxa"/>
            <w:vAlign w:val="bottom"/>
          </w:tcPr>
          <w:p>
            <w:pPr>
              <w:jc w:val="right"/>
              <w:ind w:right="371"/>
              <w:spacing w:after="0"/>
              <w:rPr>
                <w:sz w:val="20"/>
                <w:szCs w:val="20"/>
                <w:color w:val="auto"/>
              </w:rPr>
            </w:pPr>
            <w:r>
              <w:rPr>
                <w:rFonts w:ascii="Arial" w:cs="Arial" w:eastAsia="Arial" w:hAnsi="Arial"/>
                <w:sz w:val="12"/>
                <w:szCs w:val="12"/>
                <w:b w:val="1"/>
                <w:bCs w:val="1"/>
                <w:color w:val="auto"/>
              </w:rPr>
              <w:t>Average</w:t>
            </w:r>
          </w:p>
        </w:tc>
        <w:tc>
          <w:tcPr>
            <w:tcW w:w="2160" w:type="dxa"/>
            <w:vAlign w:val="bottom"/>
          </w:tcPr>
          <w:p>
            <w:pPr>
              <w:jc w:val="center"/>
              <w:ind w:left="31"/>
              <w:spacing w:after="0"/>
              <w:rPr>
                <w:sz w:val="20"/>
                <w:szCs w:val="20"/>
                <w:color w:val="auto"/>
              </w:rPr>
            </w:pPr>
            <w:r>
              <w:rPr>
                <w:rFonts w:ascii="Arial" w:cs="Arial" w:eastAsia="Arial" w:hAnsi="Arial"/>
                <w:sz w:val="12"/>
                <w:szCs w:val="12"/>
                <w:b w:val="1"/>
                <w:bCs w:val="1"/>
                <w:color w:val="auto"/>
              </w:rPr>
              <w:t>Total Number of Shares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Maximum Number of Shares T</w:t>
            </w:r>
          </w:p>
        </w:tc>
      </w:tr>
      <w:tr>
        <w:trPr>
          <w:trHeight w:val="137"/>
        </w:trPr>
        <w:tc>
          <w:tcPr>
            <w:tcW w:w="3320" w:type="dxa"/>
            <w:vAlign w:val="bottom"/>
          </w:tcPr>
          <w:p>
            <w:pPr>
              <w:spacing w:after="0"/>
              <w:rPr>
                <w:sz w:val="11"/>
                <w:szCs w:val="11"/>
                <w:color w:val="auto"/>
              </w:rPr>
            </w:pPr>
          </w:p>
        </w:tc>
        <w:tc>
          <w:tcPr>
            <w:tcW w:w="16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of Shares</w:t>
            </w:r>
          </w:p>
        </w:tc>
        <w:tc>
          <w:tcPr>
            <w:tcW w:w="480" w:type="dxa"/>
            <w:vAlign w:val="bottom"/>
          </w:tcPr>
          <w:p>
            <w:pPr>
              <w:spacing w:after="0"/>
              <w:rPr>
                <w:sz w:val="11"/>
                <w:szCs w:val="11"/>
                <w:color w:val="auto"/>
              </w:rPr>
            </w:pPr>
          </w:p>
        </w:tc>
        <w:tc>
          <w:tcPr>
            <w:tcW w:w="1000" w:type="dxa"/>
            <w:vAlign w:val="bottom"/>
          </w:tcPr>
          <w:p>
            <w:pPr>
              <w:jc w:val="right"/>
              <w:ind w:right="311"/>
              <w:spacing w:after="0" w:line="137" w:lineRule="exact"/>
              <w:rPr>
                <w:sz w:val="20"/>
                <w:szCs w:val="20"/>
                <w:color w:val="auto"/>
              </w:rPr>
            </w:pPr>
            <w:r>
              <w:rPr>
                <w:rFonts w:ascii="Arial" w:cs="Arial" w:eastAsia="Arial" w:hAnsi="Arial"/>
                <w:sz w:val="12"/>
                <w:szCs w:val="12"/>
                <w:b w:val="1"/>
                <w:bCs w:val="1"/>
                <w:color w:val="auto"/>
              </w:rPr>
              <w:t>Price Paid</w:t>
            </w:r>
          </w:p>
        </w:tc>
        <w:tc>
          <w:tcPr>
            <w:tcW w:w="2160" w:type="dxa"/>
            <w:vAlign w:val="bottom"/>
          </w:tcPr>
          <w:p>
            <w:pPr>
              <w:jc w:val="center"/>
              <w:ind w:left="51"/>
              <w:spacing w:after="0" w:line="137" w:lineRule="exact"/>
              <w:rPr>
                <w:sz w:val="20"/>
                <w:szCs w:val="20"/>
                <w:color w:val="auto"/>
              </w:rPr>
            </w:pPr>
            <w:r>
              <w:rPr>
                <w:rFonts w:ascii="Arial" w:cs="Arial" w:eastAsia="Arial" w:hAnsi="Arial"/>
                <w:sz w:val="12"/>
                <w:szCs w:val="12"/>
                <w:b w:val="1"/>
                <w:bCs w:val="1"/>
                <w:color w:val="auto"/>
              </w:rPr>
              <w:t>Purchased as Part of</w:t>
            </w:r>
          </w:p>
        </w:tc>
        <w:tc>
          <w:tcPr>
            <w:tcW w:w="2360" w:type="dxa"/>
            <w:vAlign w:val="bottom"/>
          </w:tcPr>
          <w:p>
            <w:pPr>
              <w:jc w:val="right"/>
              <w:ind w:right="92"/>
              <w:spacing w:after="0" w:line="137" w:lineRule="exact"/>
              <w:rPr>
                <w:sz w:val="20"/>
                <w:szCs w:val="20"/>
                <w:color w:val="auto"/>
              </w:rPr>
            </w:pPr>
            <w:r>
              <w:rPr>
                <w:rFonts w:ascii="Arial" w:cs="Arial" w:eastAsia="Arial" w:hAnsi="Arial"/>
                <w:sz w:val="12"/>
                <w:szCs w:val="12"/>
                <w:b w:val="1"/>
                <w:bCs w:val="1"/>
                <w:color w:val="auto"/>
              </w:rPr>
              <w:t>May Yet Be Purchased</w:t>
            </w:r>
          </w:p>
        </w:tc>
      </w:tr>
      <w:tr>
        <w:trPr>
          <w:trHeight w:val="151"/>
        </w:trPr>
        <w:tc>
          <w:tcPr>
            <w:tcW w:w="3320" w:type="dxa"/>
            <w:vAlign w:val="bottom"/>
            <w:tcBorders>
              <w:bottom w:val="single" w:sz="8" w:color="auto"/>
            </w:tcBorders>
          </w:tcPr>
          <w:p>
            <w:pPr>
              <w:ind w:left="1460"/>
              <w:spacing w:after="0"/>
              <w:rPr>
                <w:sz w:val="20"/>
                <w:szCs w:val="20"/>
                <w:color w:val="auto"/>
              </w:rPr>
            </w:pPr>
            <w:r>
              <w:rPr>
                <w:rFonts w:ascii="Arial" w:cs="Arial" w:eastAsia="Arial" w:hAnsi="Arial"/>
                <w:sz w:val="12"/>
                <w:szCs w:val="12"/>
                <w:b w:val="1"/>
                <w:bCs w:val="1"/>
                <w:color w:val="auto"/>
              </w:rPr>
              <w:t>Period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per Share</w:t>
            </w:r>
          </w:p>
        </w:tc>
        <w:tc>
          <w:tcPr>
            <w:tcW w:w="2160" w:type="dxa"/>
            <w:vAlign w:val="bottom"/>
            <w:tcBorders>
              <w:bottom w:val="single" w:sz="8" w:color="auto"/>
            </w:tcBorders>
          </w:tcPr>
          <w:p>
            <w:pPr>
              <w:jc w:val="center"/>
              <w:ind w:left="31"/>
              <w:spacing w:after="0"/>
              <w:rPr>
                <w:sz w:val="20"/>
                <w:szCs w:val="20"/>
                <w:color w:val="auto"/>
              </w:rPr>
            </w:pPr>
            <w:r>
              <w:rPr>
                <w:rFonts w:ascii="Arial" w:cs="Arial" w:eastAsia="Arial" w:hAnsi="Arial"/>
                <w:sz w:val="12"/>
                <w:szCs w:val="12"/>
                <w:b w:val="1"/>
                <w:bCs w:val="1"/>
                <w:color w:val="auto"/>
              </w:rPr>
              <w:t>Publicly Announced Plan*</w:t>
            </w:r>
          </w:p>
        </w:tc>
        <w:tc>
          <w:tcPr>
            <w:tcW w:w="236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Under the Plan*</w:t>
            </w:r>
          </w:p>
        </w:tc>
      </w:tr>
      <w:tr>
        <w:trPr>
          <w:trHeight w:val="168"/>
        </w:trPr>
        <w:tc>
          <w:tcPr>
            <w:tcW w:w="3320" w:type="dxa"/>
            <w:vAlign w:val="bottom"/>
          </w:tcPr>
          <w:p>
            <w:pPr>
              <w:spacing w:after="0" w:line="168" w:lineRule="exact"/>
              <w:rPr>
                <w:sz w:val="20"/>
                <w:szCs w:val="20"/>
                <w:color w:val="auto"/>
              </w:rPr>
            </w:pPr>
            <w:r>
              <w:rPr>
                <w:rFonts w:ascii="Arial" w:cs="Arial" w:eastAsia="Arial" w:hAnsi="Arial"/>
                <w:sz w:val="15"/>
                <w:szCs w:val="15"/>
                <w:color w:val="auto"/>
              </w:rPr>
              <w:t>Oct. 3-Nov. 6, 2011</w:t>
            </w:r>
          </w:p>
        </w:tc>
        <w:tc>
          <w:tcPr>
            <w:tcW w:w="1620" w:type="dxa"/>
            <w:vAlign w:val="bottom"/>
          </w:tcPr>
          <w:p>
            <w:pPr>
              <w:jc w:val="right"/>
              <w:ind w:right="311"/>
              <w:spacing w:after="0" w:line="168" w:lineRule="exact"/>
              <w:rPr>
                <w:sz w:val="20"/>
                <w:szCs w:val="20"/>
                <w:color w:val="auto"/>
              </w:rPr>
            </w:pPr>
            <w:r>
              <w:rPr>
                <w:rFonts w:ascii="Arial" w:cs="Arial" w:eastAsia="Arial" w:hAnsi="Arial"/>
                <w:sz w:val="15"/>
                <w:szCs w:val="15"/>
                <w:color w:val="auto"/>
              </w:rPr>
              <w:t>74,324</w:t>
            </w:r>
          </w:p>
        </w:tc>
        <w:tc>
          <w:tcPr>
            <w:tcW w:w="4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311"/>
              <w:spacing w:after="0" w:line="168" w:lineRule="exact"/>
              <w:rPr>
                <w:sz w:val="20"/>
                <w:szCs w:val="20"/>
                <w:color w:val="auto"/>
              </w:rPr>
            </w:pPr>
            <w:r>
              <w:rPr>
                <w:rFonts w:ascii="Arial" w:cs="Arial" w:eastAsia="Arial" w:hAnsi="Arial"/>
                <w:sz w:val="15"/>
                <w:szCs w:val="15"/>
                <w:color w:val="auto"/>
              </w:rPr>
              <w:t>330.10</w:t>
            </w:r>
          </w:p>
        </w:tc>
        <w:tc>
          <w:tcPr>
            <w:tcW w:w="2160" w:type="dxa"/>
            <w:vAlign w:val="bottom"/>
          </w:tcPr>
          <w:p>
            <w:pPr>
              <w:jc w:val="right"/>
              <w:ind w:right="651"/>
              <w:spacing w:after="0" w:line="168" w:lineRule="exact"/>
              <w:rPr>
                <w:sz w:val="20"/>
                <w:szCs w:val="20"/>
                <w:color w:val="auto"/>
              </w:rPr>
            </w:pPr>
            <w:r>
              <w:rPr>
                <w:rFonts w:ascii="Arial" w:cs="Arial" w:eastAsia="Arial" w:hAnsi="Arial"/>
                <w:sz w:val="15"/>
                <w:szCs w:val="15"/>
                <w:color w:val="auto"/>
              </w:rPr>
              <w:t>74,324</w:t>
            </w:r>
          </w:p>
        </w:tc>
        <w:tc>
          <w:tcPr>
            <w:tcW w:w="2360" w:type="dxa"/>
            <w:vAlign w:val="bottom"/>
          </w:tcPr>
          <w:p>
            <w:pPr>
              <w:jc w:val="right"/>
              <w:ind w:right="392"/>
              <w:spacing w:after="0" w:line="168" w:lineRule="exact"/>
              <w:rPr>
                <w:sz w:val="20"/>
                <w:szCs w:val="20"/>
                <w:color w:val="auto"/>
              </w:rPr>
            </w:pPr>
            <w:r>
              <w:rPr>
                <w:rFonts w:ascii="Arial" w:cs="Arial" w:eastAsia="Arial" w:hAnsi="Arial"/>
                <w:sz w:val="15"/>
                <w:szCs w:val="15"/>
                <w:color w:val="auto"/>
              </w:rPr>
              <w:t>621,773</w:t>
            </w:r>
          </w:p>
        </w:tc>
      </w:tr>
      <w:tr>
        <w:trPr>
          <w:trHeight w:val="174"/>
        </w:trPr>
        <w:tc>
          <w:tcPr>
            <w:tcW w:w="3320" w:type="dxa"/>
            <w:vAlign w:val="bottom"/>
          </w:tcPr>
          <w:p>
            <w:pPr>
              <w:spacing w:after="0"/>
              <w:rPr>
                <w:sz w:val="20"/>
                <w:szCs w:val="20"/>
                <w:color w:val="auto"/>
              </w:rPr>
            </w:pPr>
            <w:r>
              <w:rPr>
                <w:rFonts w:ascii="Arial" w:cs="Arial" w:eastAsia="Arial" w:hAnsi="Arial"/>
                <w:sz w:val="15"/>
                <w:szCs w:val="15"/>
                <w:color w:val="auto"/>
              </w:rPr>
              <w:t>Nov. 7-Dec. 4, 2011</w:t>
            </w:r>
          </w:p>
        </w:tc>
        <w:tc>
          <w:tcPr>
            <w:tcW w:w="1620" w:type="dxa"/>
            <w:vAlign w:val="bottom"/>
          </w:tcPr>
          <w:p>
            <w:pPr>
              <w:jc w:val="right"/>
              <w:ind w:right="311"/>
              <w:spacing w:after="0"/>
              <w:rPr>
                <w:sz w:val="20"/>
                <w:szCs w:val="20"/>
                <w:color w:val="auto"/>
              </w:rPr>
            </w:pPr>
            <w:r>
              <w:rPr>
                <w:rFonts w:ascii="Arial" w:cs="Arial" w:eastAsia="Arial" w:hAnsi="Arial"/>
                <w:sz w:val="15"/>
                <w:szCs w:val="15"/>
                <w:color w:val="auto"/>
              </w:rPr>
              <w:t>88,543</w:t>
            </w:r>
          </w:p>
        </w:tc>
        <w:tc>
          <w:tcPr>
            <w:tcW w:w="480" w:type="dxa"/>
            <w:vAlign w:val="bottom"/>
          </w:tcPr>
          <w:p>
            <w:pPr>
              <w:spacing w:after="0"/>
              <w:rPr>
                <w:sz w:val="15"/>
                <w:szCs w:val="15"/>
                <w:color w:val="auto"/>
              </w:rPr>
            </w:pPr>
          </w:p>
        </w:tc>
        <w:tc>
          <w:tcPr>
            <w:tcW w:w="1000" w:type="dxa"/>
            <w:vAlign w:val="bottom"/>
          </w:tcPr>
          <w:p>
            <w:pPr>
              <w:jc w:val="right"/>
              <w:ind w:right="311"/>
              <w:spacing w:after="0"/>
              <w:rPr>
                <w:sz w:val="20"/>
                <w:szCs w:val="20"/>
                <w:color w:val="auto"/>
              </w:rPr>
            </w:pPr>
            <w:r>
              <w:rPr>
                <w:rFonts w:ascii="Arial" w:cs="Arial" w:eastAsia="Arial" w:hAnsi="Arial"/>
                <w:sz w:val="15"/>
                <w:szCs w:val="15"/>
                <w:color w:val="auto"/>
              </w:rPr>
              <w:t>342.43</w:t>
            </w:r>
          </w:p>
        </w:tc>
        <w:tc>
          <w:tcPr>
            <w:tcW w:w="2160" w:type="dxa"/>
            <w:vAlign w:val="bottom"/>
          </w:tcPr>
          <w:p>
            <w:pPr>
              <w:jc w:val="right"/>
              <w:ind w:right="651"/>
              <w:spacing w:after="0"/>
              <w:rPr>
                <w:sz w:val="20"/>
                <w:szCs w:val="20"/>
                <w:color w:val="auto"/>
              </w:rPr>
            </w:pPr>
            <w:r>
              <w:rPr>
                <w:rFonts w:ascii="Arial" w:cs="Arial" w:eastAsia="Arial" w:hAnsi="Arial"/>
                <w:sz w:val="15"/>
                <w:szCs w:val="15"/>
                <w:color w:val="auto"/>
              </w:rPr>
              <w:t>88,543</w:t>
            </w:r>
          </w:p>
        </w:tc>
        <w:tc>
          <w:tcPr>
            <w:tcW w:w="2360" w:type="dxa"/>
            <w:vAlign w:val="bottom"/>
          </w:tcPr>
          <w:p>
            <w:pPr>
              <w:jc w:val="right"/>
              <w:ind w:right="392"/>
              <w:spacing w:after="0"/>
              <w:rPr>
                <w:sz w:val="20"/>
                <w:szCs w:val="20"/>
                <w:color w:val="auto"/>
              </w:rPr>
            </w:pPr>
            <w:r>
              <w:rPr>
                <w:rFonts w:ascii="Arial" w:cs="Arial" w:eastAsia="Arial" w:hAnsi="Arial"/>
                <w:sz w:val="15"/>
                <w:szCs w:val="15"/>
                <w:color w:val="auto"/>
              </w:rPr>
              <w:t>533,230</w:t>
            </w:r>
          </w:p>
        </w:tc>
      </w:tr>
      <w:tr>
        <w:trPr>
          <w:trHeight w:val="172"/>
        </w:trPr>
        <w:tc>
          <w:tcPr>
            <w:tcW w:w="3320" w:type="dxa"/>
            <w:vAlign w:val="bottom"/>
          </w:tcPr>
          <w:p>
            <w:pPr>
              <w:spacing w:after="0"/>
              <w:rPr>
                <w:sz w:val="20"/>
                <w:szCs w:val="20"/>
                <w:color w:val="auto"/>
              </w:rPr>
            </w:pPr>
            <w:r>
              <w:rPr>
                <w:rFonts w:ascii="Arial" w:cs="Arial" w:eastAsia="Arial" w:hAnsi="Arial"/>
                <w:sz w:val="15"/>
                <w:szCs w:val="15"/>
                <w:color w:val="auto"/>
              </w:rPr>
              <w:t>Dec. 5-Dec. 31, 2011</w:t>
            </w:r>
          </w:p>
        </w:tc>
        <w:tc>
          <w:tcPr>
            <w:tcW w:w="162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color w:val="auto"/>
              </w:rPr>
              <w:t>39,756</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color w:val="auto"/>
              </w:rPr>
              <w:t>345.50</w:t>
            </w:r>
          </w:p>
        </w:tc>
        <w:tc>
          <w:tcPr>
            <w:tcW w:w="2160" w:type="dxa"/>
            <w:vAlign w:val="bottom"/>
            <w:tcBorders>
              <w:bottom w:val="single" w:sz="8" w:color="auto"/>
            </w:tcBorders>
          </w:tcPr>
          <w:p>
            <w:pPr>
              <w:jc w:val="right"/>
              <w:ind w:right="651"/>
              <w:spacing w:after="0"/>
              <w:rPr>
                <w:sz w:val="20"/>
                <w:szCs w:val="20"/>
                <w:color w:val="auto"/>
              </w:rPr>
            </w:pPr>
            <w:r>
              <w:rPr>
                <w:rFonts w:ascii="Arial" w:cs="Arial" w:eastAsia="Arial" w:hAnsi="Arial"/>
                <w:sz w:val="15"/>
                <w:szCs w:val="15"/>
                <w:color w:val="auto"/>
              </w:rPr>
              <w:t>39,756</w:t>
            </w:r>
          </w:p>
        </w:tc>
        <w:tc>
          <w:tcPr>
            <w:tcW w:w="2360" w:type="dxa"/>
            <w:vAlign w:val="bottom"/>
          </w:tcPr>
          <w:p>
            <w:pPr>
              <w:jc w:val="right"/>
              <w:ind w:right="392"/>
              <w:spacing w:after="0"/>
              <w:rPr>
                <w:sz w:val="20"/>
                <w:szCs w:val="20"/>
                <w:color w:val="auto"/>
              </w:rPr>
            </w:pPr>
            <w:r>
              <w:rPr>
                <w:rFonts w:ascii="Arial" w:cs="Arial" w:eastAsia="Arial" w:hAnsi="Arial"/>
                <w:sz w:val="15"/>
                <w:szCs w:val="15"/>
                <w:color w:val="auto"/>
              </w:rPr>
              <w:t>493,474</w:t>
            </w:r>
          </w:p>
        </w:tc>
      </w:tr>
      <w:tr>
        <w:trPr>
          <w:trHeight w:val="166"/>
        </w:trPr>
        <w:tc>
          <w:tcPr>
            <w:tcW w:w="332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620" w:type="dxa"/>
            <w:vAlign w:val="bottom"/>
            <w:tcBorders>
              <w:bottom w:val="single" w:sz="8" w:color="auto"/>
            </w:tcBorders>
          </w:tcPr>
          <w:p>
            <w:pPr>
              <w:jc w:val="right"/>
              <w:ind w:right="311"/>
              <w:spacing w:after="0" w:line="167" w:lineRule="exact"/>
              <w:rPr>
                <w:sz w:val="20"/>
                <w:szCs w:val="20"/>
                <w:color w:val="auto"/>
              </w:rPr>
            </w:pPr>
            <w:r>
              <w:rPr>
                <w:rFonts w:ascii="Arial" w:cs="Arial" w:eastAsia="Arial" w:hAnsi="Arial"/>
                <w:sz w:val="15"/>
                <w:szCs w:val="15"/>
                <w:color w:val="auto"/>
              </w:rPr>
              <w:t>202,623</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11"/>
              <w:spacing w:after="0" w:line="167" w:lineRule="exact"/>
              <w:rPr>
                <w:sz w:val="20"/>
                <w:szCs w:val="20"/>
                <w:color w:val="auto"/>
              </w:rPr>
            </w:pPr>
            <w:r>
              <w:rPr>
                <w:rFonts w:ascii="Arial" w:cs="Arial" w:eastAsia="Arial" w:hAnsi="Arial"/>
                <w:sz w:val="15"/>
                <w:szCs w:val="15"/>
                <w:color w:val="auto"/>
              </w:rPr>
              <w:t>338.51</w:t>
            </w:r>
          </w:p>
        </w:tc>
        <w:tc>
          <w:tcPr>
            <w:tcW w:w="2160" w:type="dxa"/>
            <w:vAlign w:val="bottom"/>
            <w:tcBorders>
              <w:bottom w:val="single" w:sz="8" w:color="auto"/>
            </w:tcBorders>
          </w:tcPr>
          <w:p>
            <w:pPr>
              <w:jc w:val="right"/>
              <w:ind w:right="651"/>
              <w:spacing w:after="0" w:line="167" w:lineRule="exact"/>
              <w:rPr>
                <w:sz w:val="20"/>
                <w:szCs w:val="20"/>
                <w:color w:val="auto"/>
              </w:rPr>
            </w:pPr>
            <w:r>
              <w:rPr>
                <w:rFonts w:ascii="Arial" w:cs="Arial" w:eastAsia="Arial" w:hAnsi="Arial"/>
                <w:sz w:val="15"/>
                <w:szCs w:val="15"/>
                <w:color w:val="auto"/>
              </w:rPr>
              <w:t>202,623</w:t>
            </w:r>
          </w:p>
        </w:tc>
        <w:tc>
          <w:tcPr>
            <w:tcW w:w="2360" w:type="dxa"/>
            <w:vAlign w:val="bottom"/>
          </w:tcPr>
          <w:p>
            <w:pPr>
              <w:spacing w:after="0"/>
              <w:rPr>
                <w:sz w:val="14"/>
                <w:szCs w:val="14"/>
                <w:color w:val="auto"/>
              </w:rPr>
            </w:pPr>
          </w:p>
        </w:tc>
      </w:tr>
      <w:tr>
        <w:trPr>
          <w:trHeight w:val="20"/>
        </w:trPr>
        <w:tc>
          <w:tcPr>
            <w:tcW w:w="3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4" w:lineRule="exact"/>
        <w:rPr>
          <w:sz w:val="20"/>
          <w:szCs w:val="20"/>
          <w:color w:val="auto"/>
        </w:rPr>
      </w:pPr>
    </w:p>
    <w:p>
      <w:pPr>
        <w:ind w:left="9"/>
        <w:spacing w:after="0"/>
        <w:rPr>
          <w:sz w:val="20"/>
          <w:szCs w:val="20"/>
          <w:color w:val="auto"/>
        </w:rPr>
      </w:pPr>
      <w:r>
        <w:rPr>
          <w:rFonts w:ascii="Arial" w:cs="Arial" w:eastAsia="Arial" w:hAnsi="Arial"/>
          <w:sz w:val="5"/>
          <w:szCs w:val="5"/>
          <w:color w:val="auto"/>
        </w:rPr>
        <w:t>__________________________________________</w:t>
      </w:r>
    </w:p>
    <w:p>
      <w:pPr>
        <w:ind w:left="9" w:right="40" w:hanging="9"/>
        <w:spacing w:after="0" w:line="255" w:lineRule="auto"/>
        <w:tabs>
          <w:tab w:leader="none" w:pos="92" w:val="left"/>
        </w:tabs>
        <w:numPr>
          <w:ilvl w:val="0"/>
          <w:numId w:val="38"/>
        </w:numPr>
        <w:rPr>
          <w:rFonts w:ascii="Arial" w:cs="Arial" w:eastAsia="Arial" w:hAnsi="Arial"/>
          <w:sz w:val="12"/>
          <w:szCs w:val="12"/>
          <w:color w:val="auto"/>
        </w:rPr>
      </w:pPr>
      <w:r>
        <w:rPr>
          <w:rFonts w:ascii="Arial" w:cs="Arial" w:eastAsia="Arial" w:hAnsi="Arial"/>
          <w:sz w:val="12"/>
          <w:szCs w:val="12"/>
          <w:color w:val="auto"/>
        </w:rPr>
        <w:t>On September 8, 2011, the Company’s Board of Directors authorized the Company to purchase, on the open market or otherwise, up to 750,000 shares of its Class B Common Stock. There is no ex date for that authorization. All purchases made during the quarter ended December 31, 2011 were open market transactions.</w:t>
      </w:r>
    </w:p>
    <w:p>
      <w:pPr>
        <w:spacing w:after="0" w:line="16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auto"/>
        </w:rPr>
        <w:t>Performance Graph</w:t>
      </w:r>
    </w:p>
    <w:p>
      <w:pPr>
        <w:spacing w:after="0" w:line="195"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following graph is a comparison of the yearly percentage change in the Company’s cumulative total shareholder return with the cumulative total re of the Standard &amp; Poor’s 500 Stock Index, the Standard &amp; Poor’s 1500 Publishing Index and a custom peer group index comprised of education comp The Standard &amp; Poor’s 500 Stock Index is comprised of 500 U.S. companies in the industrial, transportation, utilities and financial industries and is we by market capitalization. The Standard &amp; Poor’s 1500 Publishing Index is comprised of Gannett Co., Inc., The McGraw-Hill Companies, The Meredith Corporation, The New York Times Company, The E.W. Scripps Company, Scholastic Corporation, Valassis Communications, Inc., John Wiley &amp; Sons, and The Washington Post Company and also is weighted by market capitalization. The custom peer group of education companies includes American Public Education, Apollo Group Inc., Bridgepoint Education Inc., Capella Education Co., Career Education Corp., Corinthian Colleges, Inc., DeVry Inc. Education Management Corp., ITT Educational Services Inc. and Strayer Education Inc.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$100 on December 31, 2006, in the Company’s Clas Common Stock, the Standard &amp; Poor’s 500 Stock Index, the Standard &amp; Poor’s 1500 Publishing Index and the custom</w:t>
      </w:r>
    </w:p>
    <w:p>
      <w:pPr>
        <w:spacing w:after="0" w:line="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peer group index of education companies. For purposes of this graph, it has been assumed that dividends were reinvested on the date paid in the cas the Company and on a quarterly basis in the case of the Standard &amp; Poor’s 500 Index, the Standard &amp; Poor’s 1500 Publishing Index and the custom p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111760</wp:posOffset>
            </wp:positionV>
            <wp:extent cx="4081780" cy="2458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081780" cy="245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2360" w:type="dxa"/>
            <w:vAlign w:val="bottom"/>
            <w:tcBorders>
              <w:bottom w:val="single" w:sz="8" w:color="auto"/>
            </w:tcBorders>
          </w:tcPr>
          <w:p>
            <w:pPr>
              <w:ind w:left="1560"/>
              <w:spacing w:after="0"/>
              <w:rPr>
                <w:sz w:val="20"/>
                <w:szCs w:val="20"/>
                <w:color w:val="auto"/>
              </w:rPr>
            </w:pPr>
            <w:r>
              <w:rPr>
                <w:rFonts w:ascii="Arial" w:cs="Arial" w:eastAsia="Arial" w:hAnsi="Arial"/>
                <w:sz w:val="12"/>
                <w:szCs w:val="12"/>
                <w:color w:val="auto"/>
              </w:rPr>
              <w:t>2006</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2007</w:t>
            </w: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2008</w:t>
            </w: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2009</w:t>
            </w:r>
          </w:p>
        </w:tc>
        <w:tc>
          <w:tcPr>
            <w:tcW w:w="1480" w:type="dxa"/>
            <w:vAlign w:val="bottom"/>
            <w:tcBorders>
              <w:bottom w:val="single" w:sz="8" w:color="auto"/>
            </w:tcBorders>
          </w:tcPr>
          <w:p>
            <w:pPr>
              <w:jc w:val="right"/>
              <w:ind w:right="788"/>
              <w:spacing w:after="0"/>
              <w:rPr>
                <w:sz w:val="20"/>
                <w:szCs w:val="20"/>
                <w:color w:val="auto"/>
              </w:rPr>
            </w:pPr>
            <w:r>
              <w:rPr>
                <w:rFonts w:ascii="Arial" w:cs="Arial" w:eastAsia="Arial" w:hAnsi="Arial"/>
                <w:sz w:val="12"/>
                <w:szCs w:val="12"/>
                <w:color w:val="auto"/>
              </w:rPr>
              <w:t>2010</w:t>
            </w:r>
          </w:p>
        </w:tc>
      </w:tr>
      <w:tr>
        <w:trPr>
          <w:trHeight w:val="168"/>
        </w:trPr>
        <w:tc>
          <w:tcPr>
            <w:tcW w:w="3660" w:type="dxa"/>
            <w:vAlign w:val="bottom"/>
          </w:tcPr>
          <w:p>
            <w:pPr>
              <w:spacing w:after="0" w:line="168" w:lineRule="exact"/>
              <w:rPr>
                <w:sz w:val="20"/>
                <w:szCs w:val="20"/>
                <w:color w:val="auto"/>
              </w:rPr>
            </w:pPr>
            <w:r>
              <w:rPr>
                <w:rFonts w:ascii="Arial" w:cs="Arial" w:eastAsia="Arial" w:hAnsi="Arial"/>
                <w:sz w:val="15"/>
                <w:szCs w:val="15"/>
                <w:color w:val="auto"/>
              </w:rPr>
              <w:t>The Washington Post Company</w:t>
            </w:r>
          </w:p>
        </w:tc>
        <w:tc>
          <w:tcPr>
            <w:tcW w:w="2360" w:type="dxa"/>
            <w:vAlign w:val="bottom"/>
          </w:tcPr>
          <w:p>
            <w:pPr>
              <w:ind w:left="1560"/>
              <w:spacing w:after="0" w:line="168" w:lineRule="exact"/>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line="168" w:lineRule="exact"/>
              <w:rPr>
                <w:sz w:val="20"/>
                <w:szCs w:val="20"/>
                <w:color w:val="auto"/>
              </w:rPr>
            </w:pPr>
            <w:r>
              <w:rPr>
                <w:rFonts w:ascii="Arial" w:cs="Arial" w:eastAsia="Arial" w:hAnsi="Arial"/>
                <w:sz w:val="15"/>
                <w:szCs w:val="15"/>
                <w:color w:val="auto"/>
              </w:rPr>
              <w:t>107.26</w:t>
            </w:r>
          </w:p>
        </w:tc>
        <w:tc>
          <w:tcPr>
            <w:tcW w:w="1140" w:type="dxa"/>
            <w:vAlign w:val="bottom"/>
          </w:tcPr>
          <w:p>
            <w:pPr>
              <w:jc w:val="right"/>
              <w:ind w:right="248"/>
              <w:spacing w:after="0" w:line="168" w:lineRule="exact"/>
              <w:rPr>
                <w:sz w:val="20"/>
                <w:szCs w:val="20"/>
                <w:color w:val="auto"/>
              </w:rPr>
            </w:pPr>
            <w:r>
              <w:rPr>
                <w:rFonts w:ascii="Arial" w:cs="Arial" w:eastAsia="Arial" w:hAnsi="Arial"/>
                <w:sz w:val="15"/>
                <w:szCs w:val="15"/>
                <w:color w:val="auto"/>
              </w:rPr>
              <w:t>53.67</w:t>
            </w:r>
          </w:p>
        </w:tc>
        <w:tc>
          <w:tcPr>
            <w:tcW w:w="1140" w:type="dxa"/>
            <w:vAlign w:val="bottom"/>
          </w:tcPr>
          <w:p>
            <w:pPr>
              <w:jc w:val="right"/>
              <w:ind w:right="268"/>
              <w:spacing w:after="0" w:line="168" w:lineRule="exact"/>
              <w:rPr>
                <w:sz w:val="20"/>
                <w:szCs w:val="20"/>
                <w:color w:val="auto"/>
              </w:rPr>
            </w:pPr>
            <w:r>
              <w:rPr>
                <w:rFonts w:ascii="Arial" w:cs="Arial" w:eastAsia="Arial" w:hAnsi="Arial"/>
                <w:sz w:val="15"/>
                <w:szCs w:val="15"/>
                <w:color w:val="auto"/>
              </w:rPr>
              <w:t>61.70</w:t>
            </w:r>
          </w:p>
        </w:tc>
        <w:tc>
          <w:tcPr>
            <w:tcW w:w="1480" w:type="dxa"/>
            <w:vAlign w:val="bottom"/>
          </w:tcPr>
          <w:p>
            <w:pPr>
              <w:jc w:val="right"/>
              <w:ind w:right="628"/>
              <w:spacing w:after="0" w:line="168" w:lineRule="exact"/>
              <w:rPr>
                <w:sz w:val="20"/>
                <w:szCs w:val="20"/>
                <w:color w:val="auto"/>
              </w:rPr>
            </w:pPr>
            <w:r>
              <w:rPr>
                <w:rFonts w:ascii="Arial" w:cs="Arial" w:eastAsia="Arial" w:hAnsi="Arial"/>
                <w:sz w:val="15"/>
                <w:szCs w:val="15"/>
                <w:color w:val="auto"/>
              </w:rPr>
              <w:t>62.96</w:t>
            </w:r>
          </w:p>
        </w:tc>
      </w:tr>
      <w:tr>
        <w:trPr>
          <w:trHeight w:val="174"/>
        </w:trPr>
        <w:tc>
          <w:tcPr>
            <w:tcW w:w="3660" w:type="dxa"/>
            <w:vAlign w:val="bottom"/>
          </w:tcPr>
          <w:p>
            <w:pPr>
              <w:spacing w:after="0"/>
              <w:rPr>
                <w:sz w:val="20"/>
                <w:szCs w:val="20"/>
                <w:color w:val="auto"/>
              </w:rPr>
            </w:pPr>
            <w:r>
              <w:rPr>
                <w:rFonts w:ascii="Arial" w:cs="Arial" w:eastAsia="Arial" w:hAnsi="Arial"/>
                <w:sz w:val="15"/>
                <w:szCs w:val="15"/>
                <w:color w:val="auto"/>
              </w:rPr>
              <w:t>S&amp;P 500 Index</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105.49</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66.46</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84.05</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96.71</w:t>
            </w:r>
          </w:p>
        </w:tc>
      </w:tr>
      <w:tr>
        <w:trPr>
          <w:trHeight w:val="174"/>
        </w:trPr>
        <w:tc>
          <w:tcPr>
            <w:tcW w:w="3660" w:type="dxa"/>
            <w:vAlign w:val="bottom"/>
          </w:tcPr>
          <w:p>
            <w:pPr>
              <w:spacing w:after="0"/>
              <w:rPr>
                <w:sz w:val="20"/>
                <w:szCs w:val="20"/>
                <w:color w:val="auto"/>
              </w:rPr>
            </w:pPr>
            <w:r>
              <w:rPr>
                <w:rFonts w:ascii="Arial" w:cs="Arial" w:eastAsia="Arial" w:hAnsi="Arial"/>
                <w:sz w:val="15"/>
                <w:szCs w:val="15"/>
                <w:color w:val="auto"/>
              </w:rPr>
              <w:t>S&amp;P 1500 Publishing Index</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79.01</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34.71</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52.47</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56.42</w:t>
            </w:r>
          </w:p>
        </w:tc>
      </w:tr>
      <w:tr>
        <w:trPr>
          <w:trHeight w:val="179"/>
        </w:trPr>
        <w:tc>
          <w:tcPr>
            <w:tcW w:w="3660" w:type="dxa"/>
            <w:vAlign w:val="bottom"/>
          </w:tcPr>
          <w:p>
            <w:pPr>
              <w:spacing w:after="0"/>
              <w:rPr>
                <w:sz w:val="20"/>
                <w:szCs w:val="20"/>
                <w:color w:val="auto"/>
              </w:rPr>
            </w:pPr>
            <w:r>
              <w:rPr>
                <w:rFonts w:ascii="Arial" w:cs="Arial" w:eastAsia="Arial" w:hAnsi="Arial"/>
                <w:sz w:val="15"/>
                <w:szCs w:val="15"/>
                <w:color w:val="auto"/>
              </w:rPr>
              <w:t>Education Peer Group</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156.36</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166.63</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156.96</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117.55</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See the information for the years 2007 through 2011 contained in the table titled “Five-Year Summary of Selected Historical Financial Data,” which is included in this Annual Report on Form 10-K and listed in the index to financial information on page 51 hereof (with only the information for such years deemed filed as part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See the information contained under the heading “Management’s Discussion and Analysis of Results of Operations and Financial Condition,” which is included in this Annual Report on Form 10-K and listed in the index to financial information on page 51 hereof.</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4" w:right="1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 to equity price risk; to its borrowing and cash-management activities, which are subject to interest rate risk; and to its non-U.S. business operations, w are subject to foreign exchange rate risk.</w:t>
      </w:r>
    </w:p>
    <w:p>
      <w:pPr>
        <w:spacing w:after="0" w:line="157" w:lineRule="exact"/>
        <w:rPr>
          <w:sz w:val="20"/>
          <w:szCs w:val="20"/>
          <w:color w:val="auto"/>
        </w:rPr>
      </w:pPr>
    </w:p>
    <w:p>
      <w:pPr>
        <w:jc w:val="both"/>
        <w:ind w:right="40"/>
        <w:spacing w:after="0"/>
        <w:rPr>
          <w:sz w:val="20"/>
          <w:szCs w:val="20"/>
          <w:color w:val="auto"/>
        </w:rPr>
      </w:pPr>
      <w:r>
        <w:rPr>
          <w:rFonts w:ascii="Arial" w:cs="Arial" w:eastAsia="Arial" w:hAnsi="Arial"/>
          <w:sz w:val="17"/>
          <w:szCs w:val="17"/>
          <w:i w:val="1"/>
          <w:iCs w:val="1"/>
          <w:color w:val="auto"/>
        </w:rPr>
        <w:t xml:space="preserve">Equity Price Risk. </w:t>
      </w:r>
      <w:r>
        <w:rPr>
          <w:rFonts w:ascii="Arial" w:cs="Arial" w:eastAsia="Arial" w:hAnsi="Arial"/>
          <w:sz w:val="17"/>
          <w:szCs w:val="17"/>
          <w:color w:val="auto"/>
        </w:rPr>
        <w:t>The Company has common stock investments in two publicly traded companies (as discussed in Note 4 to the Company’s Consoli</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that are subject to market price volatility. The fair value of these common stock investments totaled $303.2 million at December 2011.</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Company’s long-term debt consists of $400 million principal amount of 7.25% unsecured notes due February 1, 2019 (the “No</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31, 2011, the aggregate fair value of the Notes, based upon quoted market prices, was $ 460.5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 rate applicable to the Notes was 100 basis points higher than the Notes’ stated interest rate of 7.25%, the fair value of the Notes at December 31, 201 would have been approximately $378.8 million. Conversely, if the market interest rate applicable to the Notes was 100 basis points lower than the Not stated interest rate, the fair value of the Notes at such date would have been approximately $422.6 million.</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Foreign Exchange Rate Risk. </w:t>
      </w:r>
      <w:r>
        <w:rPr>
          <w:rFonts w:ascii="Arial" w:cs="Arial" w:eastAsia="Arial" w:hAnsi="Arial"/>
          <w:sz w:val="16"/>
          <w:szCs w:val="16"/>
          <w:color w:val="auto"/>
        </w:rPr>
        <w:t>The Company is exposed to foreign exchange rate risk at its Kaplan international operations and its Corporate entity, an</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exposure relates to the exchange rate between the U.S. dollar and both the British pound and the Australian dollar. This exposure includes Bri pound and Australian dollar denominated intercompany loans on U.S. based Kaplan entities with a functional currency in U.S. dollars, and the AUD 50 million borrowing. Net unrealized foreign currency losses on intercompany loans and the AUD 50 million borrowing of $3.3 million were recorded in 20 2010 and 2009, the Company reported unrealized foreign currency gains of $6.7 million and $16.9 million, respectively.</w:t>
      </w:r>
    </w:p>
    <w:p>
      <w:pPr>
        <w:spacing w:after="0" w:line="16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the values of the British pound and the Australian dollar relative to the U.S. dollar had been 10% lower than the values that prevailed during 2011, th Company’s pre-tax income for fiscal 2011 would have been approximately $17 million lower. Conversely, if such values had been 10% higher, the Company’s reported pre-tax income for fiscal 2011 would have been approximately $17 million higher.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See the Company’s Consolidated Financial Statements at December 31, 2011, and for the periods then ended, together with the report of PricewaterhouseCoopers LLP thereon and the information contained in Note 19 to said Consolidated Financial Statements titled “Summary of Quarter Operating Results and Comprehensive Income (Unaudited),” which are included in this Annual Report on Form 10-K and listed in the index to financia information on page 51 hereof.</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Evaluation of Disclosure Controls and Procedures</w:t>
      </w:r>
    </w:p>
    <w:p>
      <w:pPr>
        <w:spacing w:after="0" w:line="19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 executive officer) and the Company’s Senior Vice President–Finance (the Company’s principal financial officer), of the effectiveness of the Company’s disclosure controls and procedures (as defined in Exchange Act Rules 13a-15(e) and 15d-15(e)), as of December 31, 2011. Based on that evaluation, Company’s Chief</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2" w:right="139" w:bottom="1440" w:gutter="0" w:footer="0" w:header="0"/>
        </w:sectPr>
      </w:pPr>
    </w:p>
    <w:bookmarkStart w:id="48" w:name="page49"/>
    <w:bookmarkEnd w:id="48"/>
    <w:p>
      <w:pPr>
        <w:spacing w:after="0" w:line="231" w:lineRule="auto"/>
        <w:rPr>
          <w:sz w:val="20"/>
          <w:szCs w:val="20"/>
          <w:color w:val="auto"/>
        </w:rPr>
      </w:pPr>
      <w:r>
        <w:rPr>
          <w:rFonts w:ascii="Arial" w:cs="Arial" w:eastAsia="Arial" w:hAnsi="Arial"/>
          <w:sz w:val="17"/>
          <w:szCs w:val="17"/>
          <w:color w:val="auto"/>
        </w:rPr>
        <w:t>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 Act is recorded, processed, summarized and reported within the time periods specified in the Securities and Exchange Commission’s rules and forms accumulated and communicated to management, including the Chief Executive Officer and Senior Vice President–Finance, in a manner that allows tim decisions regarding required disclosure.</w:t>
      </w:r>
    </w:p>
    <w:p>
      <w:pPr>
        <w:spacing w:after="0" w:line="158" w:lineRule="exact"/>
        <w:rPr>
          <w:sz w:val="20"/>
          <w:szCs w:val="20"/>
          <w:color w:val="auto"/>
        </w:rPr>
      </w:pPr>
    </w:p>
    <w:p>
      <w:pPr>
        <w:ind w:right="5220"/>
        <w:spacing w:after="0" w:line="464" w:lineRule="auto"/>
        <w:rPr>
          <w:sz w:val="20"/>
          <w:szCs w:val="20"/>
          <w:color w:val="auto"/>
        </w:rPr>
      </w:pPr>
      <w:r>
        <w:rPr>
          <w:rFonts w:ascii="Arial" w:cs="Arial" w:eastAsia="Arial" w:hAnsi="Arial"/>
          <w:sz w:val="17"/>
          <w:szCs w:val="17"/>
          <w:i w:val="1"/>
          <w:iCs w:val="1"/>
          <w:color w:val="auto"/>
        </w:rPr>
        <w:t xml:space="preserve">Management’s Report on Internal Control Over Financial Reporting </w:t>
      </w:r>
      <w:r>
        <w:rPr>
          <w:rFonts w:ascii="Arial" w:cs="Arial" w:eastAsia="Arial" w:hAnsi="Arial"/>
          <w:sz w:val="17"/>
          <w:szCs w:val="17"/>
          <w:color w:val="auto"/>
        </w:rPr>
        <w:t xml:space="preserve">Management’s report set forth on page 71 is incorporated herein by reference. </w:t>
      </w:r>
      <w:r>
        <w:rPr>
          <w:rFonts w:ascii="Arial" w:cs="Arial" w:eastAsia="Arial" w:hAnsi="Arial"/>
          <w:sz w:val="17"/>
          <w:szCs w:val="17"/>
          <w:i w:val="1"/>
          <w:iCs w:val="1"/>
          <w:color w:val="auto"/>
        </w:rPr>
        <w:t>Changes in Internal Control Over Financial Reporting</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December 31, 2011, that has materially affected, or is reasonably likely to materially affect,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PART III</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9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 by Class A Shareholders,” “Nominees for Election by Class B Shareholders,” “Audit Committee” and “Section 16(a) Beneficial Ownership Reporting Compliance” in the definitive Proxy Statement for the Company’s 2012 Annual Meeting of Stockholders is incorporated herein by reference thereto.</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 apply to the Company’s principal executive officer, principal financial officer, principal accounting officer or controller and to any persons performing si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addition to the certifications of the Company’s Chief Executive Officer and Chief Financial Officer filed as exhibits to this Annual Report on Form 10-June 13, 2011, the Company’s Chief Executive Officer submitted to the New York Stock Exchange the annual certification regarding compliance with t NYSE’s corporate governance listing standards required by Section 303A.12(a) of the NYSE Listed Company Manual.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97"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The information contained under the headings “Director Compensation,” “Compensation Committee Interlocks and Insider Participation,” “Executive Compensation” and “Compensation Committee Report” in the definitive Proxy Statement for the Company’s 2012 Annual Meeting of Stockholders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information contained under the heading “Stock Holdings of Certain Beneficial Owners and Management” in the definitive Proxy Statement for the Company’s 2012 Annual Meeting of Stockholders is incorporated herein by reference thereto.</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information contained under the headings “Transactions with Related Persons, Promoters and Certain Control Persons” and “Controlled Compan the definitive Proxy Statement for the Company’s 2012 Annual Meeting of Stockholders is incorporated herein by reference thereto.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9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information contained under the heading “Audit Committee Report” in the definitive Proxy Statement for the Company’s 2012 Annual Meeting of Stockholders is incorporated herein by reference thereto.</w:t>
      </w:r>
    </w:p>
    <w:p>
      <w:pPr>
        <w:spacing w:after="0" w:line="156"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PART IV</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47" w:lineRule="exact"/>
        <w:rPr>
          <w:sz w:val="20"/>
          <w:szCs w:val="20"/>
          <w:color w:val="auto"/>
        </w:rPr>
      </w:pPr>
    </w:p>
    <w:p>
      <w:pPr>
        <w:ind w:left="760" w:hanging="364"/>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As listed in the index to financial information on page 51 hereof.</w:t>
      </w:r>
    </w:p>
    <w:p>
      <w:pPr>
        <w:spacing w:after="0" w:line="176" w:lineRule="exact"/>
        <w:rPr>
          <w:rFonts w:ascii="Arial" w:cs="Arial" w:eastAsia="Arial" w:hAnsi="Arial"/>
          <w:sz w:val="17"/>
          <w:szCs w:val="17"/>
          <w:color w:val="auto"/>
        </w:rPr>
      </w:pPr>
    </w:p>
    <w:p>
      <w:pPr>
        <w:ind w:left="760" w:hanging="365"/>
        <w:spacing w:after="0"/>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Exhibits. </w:t>
      </w:r>
      <w:r>
        <w:rPr>
          <w:rFonts w:ascii="Arial" w:cs="Arial" w:eastAsia="Arial" w:hAnsi="Arial"/>
          <w:sz w:val="17"/>
          <w:szCs w:val="17"/>
          <w:color w:val="auto"/>
        </w:rPr>
        <w:t>As listed in the index to exhibits on page 114 hereof.</w:t>
      </w:r>
    </w:p>
    <w:p>
      <w:pPr>
        <w:spacing w:after="0" w:line="207"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00"/>
          </w:cols>
          <w:pgMar w:left="820" w:top="565" w:right="17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center"/>
        <w:ind w:left="1160"/>
        <w:spacing w:after="0"/>
        <w:rPr>
          <w:sz w:val="20"/>
          <w:szCs w:val="20"/>
          <w:color w:val="auto"/>
        </w:rPr>
      </w:pPr>
      <w:r>
        <w:rPr>
          <w:rFonts w:ascii="Arial" w:cs="Arial" w:eastAsia="Arial" w:hAnsi="Arial"/>
          <w:sz w:val="17"/>
          <w:szCs w:val="17"/>
          <w:b w:val="1"/>
          <w:bCs w:val="1"/>
          <w:color w:val="auto"/>
        </w:rPr>
        <w:t>SIGNATURES</w:t>
      </w:r>
    </w:p>
    <w:p>
      <w:pPr>
        <w:spacing w:after="0" w:line="19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behalf by the undersigned, thereunto duly authorized, on February 29, 2012.</w:t>
      </w:r>
    </w:p>
    <w:p>
      <w:pPr>
        <w:spacing w:after="0" w:line="200" w:lineRule="exact"/>
        <w:rPr>
          <w:sz w:val="20"/>
          <w:szCs w:val="20"/>
          <w:color w:val="auto"/>
        </w:rPr>
      </w:pPr>
    </w:p>
    <w:p>
      <w:pPr>
        <w:spacing w:after="0" w:line="236" w:lineRule="exact"/>
        <w:rPr>
          <w:sz w:val="20"/>
          <w:szCs w:val="20"/>
          <w:color w:val="auto"/>
        </w:rPr>
      </w:pPr>
    </w:p>
    <w:p>
      <w:pPr>
        <w:jc w:val="center"/>
        <w:ind w:left="1860"/>
        <w:spacing w:after="0"/>
        <w:rPr>
          <w:sz w:val="20"/>
          <w:szCs w:val="20"/>
          <w:color w:val="auto"/>
        </w:rPr>
      </w:pPr>
      <w:r>
        <w:rPr>
          <w:rFonts w:ascii="Arial" w:cs="Arial" w:eastAsia="Arial" w:hAnsi="Arial"/>
          <w:sz w:val="17"/>
          <w:szCs w:val="17"/>
          <w:color w:val="auto"/>
        </w:rPr>
        <w:t>THE WASHINGTON POST COMPANY</w:t>
      </w:r>
    </w:p>
    <w:p>
      <w:pPr>
        <w:spacing w:after="0" w:line="65" w:lineRule="exact"/>
        <w:rPr>
          <w:sz w:val="20"/>
          <w:szCs w:val="20"/>
          <w:color w:val="auto"/>
        </w:rPr>
      </w:pPr>
    </w:p>
    <w:p>
      <w:pPr>
        <w:jc w:val="center"/>
        <w:ind w:left="1860"/>
        <w:spacing w:after="0"/>
        <w:rPr>
          <w:sz w:val="20"/>
          <w:szCs w:val="20"/>
          <w:color w:val="auto"/>
        </w:rPr>
      </w:pPr>
      <w:r>
        <w:rPr>
          <w:rFonts w:ascii="Arial" w:cs="Arial" w:eastAsia="Arial" w:hAnsi="Arial"/>
          <w:sz w:val="17"/>
          <w:szCs w:val="17"/>
          <w:color w:val="auto"/>
        </w:rPr>
        <w:t>(Registrant)</w:t>
      </w:r>
    </w:p>
    <w:p>
      <w:pPr>
        <w:spacing w:after="0" w:line="214" w:lineRule="exact"/>
        <w:rPr>
          <w:sz w:val="20"/>
          <w:szCs w:val="20"/>
          <w:color w:val="auto"/>
        </w:rPr>
      </w:pPr>
    </w:p>
    <w:p>
      <w:pPr>
        <w:ind w:left="440"/>
        <w:spacing w:after="0"/>
        <w:tabs>
          <w:tab w:leader="none" w:pos="5660" w:val="left"/>
          <w:tab w:leader="none" w:pos="5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-5080</wp:posOffset>
            </wp:positionV>
            <wp:extent cx="5999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99480" cy="7620"/>
                    </a:xfrm>
                    <a:prstGeom prst="rect">
                      <a:avLst/>
                    </a:prstGeom>
                    <a:noFill/>
                  </pic:spPr>
                </pic:pic>
              </a:graphicData>
            </a:graphic>
          </wp:anchor>
        </w:drawing>
      </w:r>
    </w:p>
    <w:p>
      <w:pPr>
        <w:spacing w:after="0" w:line="82" w:lineRule="exact"/>
        <w:rPr>
          <w:sz w:val="20"/>
          <w:szCs w:val="20"/>
          <w:color w:val="auto"/>
        </w:rPr>
      </w:pPr>
    </w:p>
    <w:p>
      <w:pPr>
        <w:jc w:val="center"/>
        <w:ind w:left="1860"/>
        <w:spacing w:after="0"/>
        <w:rPr>
          <w:sz w:val="20"/>
          <w:szCs w:val="20"/>
          <w:color w:val="auto"/>
        </w:rPr>
      </w:pPr>
      <w:r>
        <w:rPr>
          <w:rFonts w:ascii="Arial" w:cs="Arial" w:eastAsia="Arial" w:hAnsi="Arial"/>
          <w:sz w:val="17"/>
          <w:szCs w:val="17"/>
          <w:color w:val="auto"/>
        </w:rPr>
        <w:t>Hal S. Jones</w:t>
      </w:r>
    </w:p>
    <w:p>
      <w:pPr>
        <w:spacing w:after="0" w:line="28" w:lineRule="exact"/>
        <w:rPr>
          <w:sz w:val="20"/>
          <w:szCs w:val="20"/>
          <w:color w:val="auto"/>
        </w:rPr>
      </w:pPr>
    </w:p>
    <w:p>
      <w:pPr>
        <w:jc w:val="center"/>
        <w:ind w:left="1860"/>
        <w:spacing w:after="0"/>
        <w:rPr>
          <w:sz w:val="20"/>
          <w:szCs w:val="20"/>
          <w:color w:val="auto"/>
        </w:rPr>
      </w:pPr>
      <w:r>
        <w:rPr>
          <w:rFonts w:ascii="Arial" w:cs="Arial" w:eastAsia="Arial" w:hAnsi="Arial"/>
          <w:sz w:val="17"/>
          <w:szCs w:val="17"/>
          <w:color w:val="auto"/>
        </w:rPr>
        <w:t>Senior Vice President–Finance</w:t>
      </w:r>
    </w:p>
    <w:p>
      <w:pPr>
        <w:spacing w:after="0" w:line="40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 and in the capacities indicated on February 29, 2012:</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3320" w:type="dxa"/>
            <w:vAlign w:val="bottom"/>
            <w:gridSpan w:val="2"/>
          </w:tcPr>
          <w:p>
            <w:pPr>
              <w:jc w:val="center"/>
              <w:ind w:right="1077"/>
              <w:spacing w:after="0"/>
              <w:rPr>
                <w:sz w:val="20"/>
                <w:szCs w:val="20"/>
                <w:color w:val="auto"/>
              </w:rPr>
            </w:pPr>
            <w:r>
              <w:rPr>
                <w:rFonts w:ascii="Arial" w:cs="Arial" w:eastAsia="Arial" w:hAnsi="Arial"/>
                <w:sz w:val="17"/>
                <w:szCs w:val="17"/>
                <w:color w:val="auto"/>
                <w:w w:val="96"/>
              </w:rPr>
              <w:t>Donald E. Graham</w:t>
            </w:r>
          </w:p>
        </w:tc>
        <w:tc>
          <w:tcPr>
            <w:tcW w:w="6760" w:type="dxa"/>
            <w:vAlign w:val="bottom"/>
          </w:tcPr>
          <w:p>
            <w:pPr>
              <w:jc w:val="center"/>
              <w:ind w:right="2137"/>
              <w:spacing w:after="0"/>
              <w:rPr>
                <w:sz w:val="20"/>
                <w:szCs w:val="20"/>
                <w:color w:val="auto"/>
              </w:rPr>
            </w:pPr>
            <w:r>
              <w:rPr>
                <w:rFonts w:ascii="Arial" w:cs="Arial" w:eastAsia="Arial" w:hAnsi="Arial"/>
                <w:sz w:val="17"/>
                <w:szCs w:val="17"/>
                <w:color w:val="auto"/>
                <w:w w:val="97"/>
              </w:rPr>
              <w:t>Chairman of the Board, Chief Executive</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760" w:type="dxa"/>
            <w:vAlign w:val="bottom"/>
          </w:tcPr>
          <w:p>
            <w:pPr>
              <w:jc w:val="center"/>
              <w:ind w:right="2117"/>
              <w:spacing w:after="0" w:line="186" w:lineRule="exact"/>
              <w:rPr>
                <w:sz w:val="20"/>
                <w:szCs w:val="20"/>
                <w:color w:val="auto"/>
              </w:rPr>
            </w:pPr>
            <w:r>
              <w:rPr>
                <w:rFonts w:ascii="Arial" w:cs="Arial" w:eastAsia="Arial" w:hAnsi="Arial"/>
                <w:sz w:val="17"/>
                <w:szCs w:val="17"/>
                <w:color w:val="auto"/>
                <w:w w:val="96"/>
              </w:rPr>
              <w:t>Officer (Principal Executive Officer) and</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5"/>
              </w:rPr>
              <w:t>Hal S. Jones</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Senior Vice President--Finance (Principal</w:t>
            </w:r>
          </w:p>
        </w:tc>
      </w:tr>
      <w:tr>
        <w:trPr>
          <w:trHeight w:val="198"/>
        </w:trPr>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760" w:type="dxa"/>
            <w:vAlign w:val="bottom"/>
          </w:tcPr>
          <w:p>
            <w:pPr>
              <w:jc w:val="center"/>
              <w:ind w:right="2117"/>
              <w:spacing w:after="0"/>
              <w:rPr>
                <w:sz w:val="20"/>
                <w:szCs w:val="20"/>
                <w:color w:val="auto"/>
              </w:rPr>
            </w:pPr>
            <w:r>
              <w:rPr>
                <w:rFonts w:ascii="Arial" w:cs="Arial" w:eastAsia="Arial" w:hAnsi="Arial"/>
                <w:sz w:val="17"/>
                <w:szCs w:val="17"/>
                <w:color w:val="auto"/>
                <w:w w:val="96"/>
              </w:rPr>
              <w:t>Financial Officer)</w:t>
            </w:r>
          </w:p>
        </w:tc>
      </w:tr>
      <w:tr>
        <w:trPr>
          <w:trHeight w:val="187"/>
        </w:trPr>
        <w:tc>
          <w:tcPr>
            <w:tcW w:w="420" w:type="dxa"/>
            <w:vAlign w:val="bottom"/>
          </w:tcPr>
          <w:p>
            <w:pPr>
              <w:spacing w:after="0"/>
              <w:rPr>
                <w:sz w:val="16"/>
                <w:szCs w:val="16"/>
                <w:color w:val="auto"/>
              </w:rPr>
            </w:pPr>
          </w:p>
        </w:tc>
        <w:tc>
          <w:tcPr>
            <w:tcW w:w="3320" w:type="dxa"/>
            <w:vAlign w:val="bottom"/>
            <w:gridSpan w:val="2"/>
          </w:tcPr>
          <w:p>
            <w:pPr>
              <w:jc w:val="center"/>
              <w:ind w:right="1077"/>
              <w:spacing w:after="0" w:line="187" w:lineRule="exact"/>
              <w:rPr>
                <w:sz w:val="20"/>
                <w:szCs w:val="20"/>
                <w:color w:val="auto"/>
              </w:rPr>
            </w:pPr>
            <w:r>
              <w:rPr>
                <w:rFonts w:ascii="Arial" w:cs="Arial" w:eastAsia="Arial" w:hAnsi="Arial"/>
                <w:sz w:val="17"/>
                <w:szCs w:val="17"/>
                <w:color w:val="auto"/>
                <w:w w:val="96"/>
              </w:rPr>
              <w:t>Wallace R. Cooney</w:t>
            </w:r>
          </w:p>
        </w:tc>
        <w:tc>
          <w:tcPr>
            <w:tcW w:w="6760" w:type="dxa"/>
            <w:vAlign w:val="bottom"/>
          </w:tcPr>
          <w:p>
            <w:pPr>
              <w:jc w:val="center"/>
              <w:ind w:right="2117"/>
              <w:spacing w:after="0" w:line="187" w:lineRule="exact"/>
              <w:rPr>
                <w:sz w:val="20"/>
                <w:szCs w:val="20"/>
                <w:color w:val="auto"/>
              </w:rPr>
            </w:pPr>
            <w:r>
              <w:rPr>
                <w:rFonts w:ascii="Arial" w:cs="Arial" w:eastAsia="Arial" w:hAnsi="Arial"/>
                <w:sz w:val="17"/>
                <w:szCs w:val="17"/>
                <w:color w:val="auto"/>
                <w:w w:val="97"/>
              </w:rPr>
              <w:t>Principal Accounting Officer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5"/>
              </w:rPr>
              <w:t>Lee C. Bollinger</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3320" w:type="dxa"/>
            <w:vAlign w:val="bottom"/>
            <w:gridSpan w:val="2"/>
          </w:tcPr>
          <w:p>
            <w:pPr>
              <w:jc w:val="center"/>
              <w:ind w:right="1077"/>
              <w:spacing w:after="0" w:line="186" w:lineRule="exact"/>
              <w:rPr>
                <w:sz w:val="20"/>
                <w:szCs w:val="20"/>
                <w:color w:val="auto"/>
              </w:rPr>
            </w:pPr>
            <w:r>
              <w:rPr>
                <w:rFonts w:ascii="Arial" w:cs="Arial" w:eastAsia="Arial" w:hAnsi="Arial"/>
                <w:sz w:val="17"/>
                <w:szCs w:val="17"/>
                <w:color w:val="auto"/>
                <w:w w:val="96"/>
              </w:rPr>
              <w:t>Christopher C. Davis</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5"/>
              </w:rPr>
              <w:t>Barry Diller</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5"/>
              </w:rPr>
              <w:t>John L. Dotson Jr.</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3320" w:type="dxa"/>
            <w:vAlign w:val="bottom"/>
            <w:gridSpan w:val="2"/>
          </w:tcPr>
          <w:p>
            <w:pPr>
              <w:jc w:val="center"/>
              <w:ind w:right="1077"/>
              <w:spacing w:after="0" w:line="186" w:lineRule="exact"/>
              <w:rPr>
                <w:sz w:val="20"/>
                <w:szCs w:val="20"/>
                <w:color w:val="auto"/>
              </w:rPr>
            </w:pPr>
            <w:r>
              <w:rPr>
                <w:rFonts w:ascii="Arial" w:cs="Arial" w:eastAsia="Arial" w:hAnsi="Arial"/>
                <w:sz w:val="17"/>
                <w:szCs w:val="17"/>
                <w:color w:val="auto"/>
                <w:w w:val="98"/>
              </w:rPr>
              <w:t>Thomas S. Gayner</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7"/>
              </w:rPr>
              <w:t>Anne M. Mulcahy</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20" w:type="dxa"/>
            <w:vAlign w:val="bottom"/>
          </w:tcPr>
          <w:p>
            <w:pPr>
              <w:jc w:val="center"/>
              <w:ind w:right="1477"/>
              <w:spacing w:after="0" w:line="186" w:lineRule="exact"/>
              <w:rPr>
                <w:sz w:val="20"/>
                <w:szCs w:val="20"/>
                <w:color w:val="auto"/>
              </w:rPr>
            </w:pPr>
            <w:r>
              <w:rPr>
                <w:rFonts w:ascii="Arial" w:cs="Arial" w:eastAsia="Arial" w:hAnsi="Arial"/>
                <w:sz w:val="17"/>
                <w:szCs w:val="17"/>
                <w:color w:val="auto"/>
                <w:w w:val="98"/>
              </w:rPr>
              <w:t>Ronald L. Olson</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3320" w:type="dxa"/>
            <w:vAlign w:val="bottom"/>
            <w:gridSpan w:val="2"/>
          </w:tcPr>
          <w:p>
            <w:pPr>
              <w:jc w:val="center"/>
              <w:ind w:right="1077"/>
              <w:spacing w:after="0" w:line="186" w:lineRule="exact"/>
              <w:rPr>
                <w:sz w:val="20"/>
                <w:szCs w:val="20"/>
                <w:color w:val="auto"/>
              </w:rPr>
            </w:pPr>
            <w:r>
              <w:rPr>
                <w:rFonts w:ascii="Arial" w:cs="Arial" w:eastAsia="Arial" w:hAnsi="Arial"/>
                <w:sz w:val="17"/>
                <w:szCs w:val="17"/>
                <w:color w:val="auto"/>
                <w:w w:val="96"/>
              </w:rPr>
              <w:t>Larry D. Thompson</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420" w:type="dxa"/>
            <w:vAlign w:val="bottom"/>
          </w:tcPr>
          <w:p>
            <w:pPr>
              <w:spacing w:after="0"/>
              <w:rPr>
                <w:sz w:val="16"/>
                <w:szCs w:val="16"/>
                <w:color w:val="auto"/>
              </w:rPr>
            </w:pPr>
          </w:p>
        </w:tc>
        <w:tc>
          <w:tcPr>
            <w:tcW w:w="3320" w:type="dxa"/>
            <w:vAlign w:val="bottom"/>
            <w:gridSpan w:val="2"/>
          </w:tcPr>
          <w:p>
            <w:pPr>
              <w:jc w:val="center"/>
              <w:ind w:right="1077"/>
              <w:spacing w:after="0" w:line="186" w:lineRule="exact"/>
              <w:rPr>
                <w:sz w:val="20"/>
                <w:szCs w:val="20"/>
                <w:color w:val="auto"/>
              </w:rPr>
            </w:pPr>
            <w:r>
              <w:rPr>
                <w:rFonts w:ascii="Arial" w:cs="Arial" w:eastAsia="Arial" w:hAnsi="Arial"/>
                <w:sz w:val="17"/>
                <w:szCs w:val="17"/>
                <w:color w:val="auto"/>
                <w:w w:val="96"/>
              </w:rPr>
              <w:t>G. Richard Wagoner, Jr.</w:t>
            </w:r>
          </w:p>
        </w:tc>
        <w:tc>
          <w:tcPr>
            <w:tcW w:w="6760" w:type="dxa"/>
            <w:vAlign w:val="bottom"/>
          </w:tcPr>
          <w:p>
            <w:pPr>
              <w:jc w:val="center"/>
              <w:ind w:right="2137"/>
              <w:spacing w:after="0" w:line="186" w:lineRule="exact"/>
              <w:rPr>
                <w:sz w:val="20"/>
                <w:szCs w:val="20"/>
                <w:color w:val="auto"/>
              </w:rPr>
            </w:pPr>
            <w:r>
              <w:rPr>
                <w:rFonts w:ascii="Arial" w:cs="Arial" w:eastAsia="Arial" w:hAnsi="Arial"/>
                <w:sz w:val="17"/>
                <w:szCs w:val="17"/>
                <w:color w:val="auto"/>
                <w:w w:val="97"/>
              </w:rPr>
              <w:t>Director</w:t>
            </w:r>
          </w:p>
        </w:tc>
      </w:tr>
      <w:tr>
        <w:trPr>
          <w:trHeight w:val="198"/>
        </w:trPr>
        <w:tc>
          <w:tcPr>
            <w:tcW w:w="420" w:type="dxa"/>
            <w:vAlign w:val="bottom"/>
          </w:tcPr>
          <w:p>
            <w:pPr>
              <w:spacing w:after="0"/>
              <w:rPr>
                <w:sz w:val="17"/>
                <w:szCs w:val="17"/>
                <w:color w:val="auto"/>
              </w:rPr>
            </w:pPr>
          </w:p>
        </w:tc>
        <w:tc>
          <w:tcPr>
            <w:tcW w:w="3320" w:type="dxa"/>
            <w:vAlign w:val="bottom"/>
            <w:gridSpan w:val="2"/>
          </w:tcPr>
          <w:p>
            <w:pPr>
              <w:jc w:val="center"/>
              <w:ind w:right="1097"/>
              <w:spacing w:after="0"/>
              <w:rPr>
                <w:sz w:val="20"/>
                <w:szCs w:val="20"/>
                <w:color w:val="auto"/>
              </w:rPr>
            </w:pPr>
            <w:r>
              <w:rPr>
                <w:rFonts w:ascii="Arial" w:cs="Arial" w:eastAsia="Arial" w:hAnsi="Arial"/>
                <w:sz w:val="17"/>
                <w:szCs w:val="17"/>
                <w:color w:val="auto"/>
                <w:w w:val="96"/>
              </w:rPr>
              <w:t>Katharine Weymouth</w:t>
            </w:r>
          </w:p>
        </w:tc>
        <w:tc>
          <w:tcPr>
            <w:tcW w:w="6760" w:type="dxa"/>
            <w:vAlign w:val="bottom"/>
          </w:tcPr>
          <w:p>
            <w:pPr>
              <w:jc w:val="center"/>
              <w:ind w:right="2137"/>
              <w:spacing w:after="0"/>
              <w:rPr>
                <w:sz w:val="20"/>
                <w:szCs w:val="20"/>
                <w:color w:val="auto"/>
              </w:rPr>
            </w:pPr>
            <w:r>
              <w:rPr>
                <w:rFonts w:ascii="Arial" w:cs="Arial" w:eastAsia="Arial" w:hAnsi="Arial"/>
                <w:sz w:val="17"/>
                <w:szCs w:val="17"/>
                <w:color w:val="auto"/>
                <w:w w:val="97"/>
              </w:rPr>
              <w:t>Director</w:t>
            </w:r>
          </w:p>
        </w:tc>
      </w:tr>
      <w:tr>
        <w:trPr>
          <w:trHeight w:val="808"/>
        </w:trPr>
        <w:tc>
          <w:tcPr>
            <w:tcW w:w="420" w:type="dxa"/>
            <w:vAlign w:val="bottom"/>
          </w:tcPr>
          <w:p>
            <w:pPr>
              <w:spacing w:after="0"/>
              <w:rPr>
                <w:sz w:val="20"/>
                <w:szCs w:val="20"/>
                <w:color w:val="auto"/>
              </w:rPr>
            </w:pPr>
            <w:r>
              <w:rPr>
                <w:rFonts w:ascii="Arial" w:cs="Arial" w:eastAsia="Arial" w:hAnsi="Arial"/>
                <w:sz w:val="17"/>
                <w:szCs w:val="17"/>
                <w:color w:val="auto"/>
              </w:rPr>
              <w:t>By</w:t>
            </w:r>
          </w:p>
        </w:tc>
        <w:tc>
          <w:tcPr>
            <w:tcW w:w="400" w:type="dxa"/>
            <w:vAlign w:val="bottom"/>
          </w:tcPr>
          <w:p>
            <w:pPr>
              <w:spacing w:after="0"/>
              <w:rPr>
                <w:sz w:val="24"/>
                <w:szCs w:val="24"/>
                <w:color w:val="auto"/>
              </w:rPr>
            </w:pPr>
          </w:p>
        </w:tc>
        <w:tc>
          <w:tcPr>
            <w:tcW w:w="292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/s/  Hal S. Jones</w:t>
            </w:r>
          </w:p>
        </w:tc>
        <w:tc>
          <w:tcPr>
            <w:tcW w:w="6760" w:type="dxa"/>
            <w:vAlign w:val="bottom"/>
            <w:tcBorders>
              <w:bottom w:val="single" w:sz="8" w:color="auto"/>
            </w:tcBorders>
          </w:tcPr>
          <w:p>
            <w:pPr>
              <w:spacing w:after="0"/>
              <w:rPr>
                <w:sz w:val="24"/>
                <w:szCs w:val="24"/>
                <w:color w:val="auto"/>
              </w:rPr>
            </w:pPr>
          </w:p>
        </w:tc>
      </w:tr>
      <w:tr>
        <w:trPr>
          <w:trHeight w:val="289"/>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760" w:type="dxa"/>
            <w:vAlign w:val="bottom"/>
          </w:tcPr>
          <w:p>
            <w:pPr>
              <w:jc w:val="center"/>
              <w:ind w:right="3137"/>
              <w:spacing w:after="0"/>
              <w:rPr>
                <w:sz w:val="20"/>
                <w:szCs w:val="20"/>
                <w:color w:val="auto"/>
              </w:rPr>
            </w:pPr>
            <w:r>
              <w:rPr>
                <w:rFonts w:ascii="Arial" w:cs="Arial" w:eastAsia="Arial" w:hAnsi="Arial"/>
                <w:sz w:val="17"/>
                <w:szCs w:val="17"/>
                <w:color w:val="auto"/>
                <w:w w:val="97"/>
              </w:rPr>
              <w:t>Hal S. Jones</w:t>
            </w:r>
          </w:p>
        </w:tc>
      </w:tr>
      <w:tr>
        <w:trPr>
          <w:trHeight w:val="223"/>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760" w:type="dxa"/>
            <w:vAlign w:val="bottom"/>
          </w:tcPr>
          <w:p>
            <w:pPr>
              <w:jc w:val="center"/>
              <w:ind w:right="3157"/>
              <w:spacing w:after="0"/>
              <w:rPr>
                <w:sz w:val="20"/>
                <w:szCs w:val="20"/>
                <w:color w:val="auto"/>
              </w:rPr>
            </w:pPr>
            <w:r>
              <w:rPr>
                <w:rFonts w:ascii="Arial" w:cs="Arial" w:eastAsia="Arial" w:hAnsi="Arial"/>
                <w:sz w:val="17"/>
                <w:szCs w:val="17"/>
                <w:color w:val="auto"/>
                <w:w w:val="95"/>
              </w:rPr>
              <w:t>Attorney-in-Fact</w:t>
            </w:r>
          </w:p>
        </w:tc>
      </w:tr>
    </w:tbl>
    <w:p>
      <w:pPr>
        <w:spacing w:after="0" w:line="398"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An original power of attorney authorizing Donald E. Graham, Hal S. Jones and Veronica Dillon, and each of them, to sign all reports required to be file the Registrant pursuant to the Securities Exchange Act of 1934 on behalf of the above-named directors and officers has been filed with the Securities Exchange Commission.</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20" w:right="139" w:bottom="1440" w:gutter="0" w:footer="0" w:header="0"/>
        </w:sectPr>
      </w:pPr>
    </w:p>
    <w:bookmarkStart w:id="52" w:name="page53"/>
    <w:bookmarkEnd w:id="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ind w:left="4260"/>
        <w:spacing w:after="0"/>
        <w:rPr>
          <w:sz w:val="20"/>
          <w:szCs w:val="20"/>
          <w:color w:val="auto"/>
        </w:rPr>
      </w:pPr>
      <w:r>
        <w:rPr>
          <w:rFonts w:ascii="Arial" w:cs="Arial" w:eastAsia="Arial" w:hAnsi="Arial"/>
          <w:sz w:val="17"/>
          <w:szCs w:val="17"/>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156210</wp:posOffset>
            </wp:positionV>
            <wp:extent cx="271843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31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THE WASHINGTON POST COMPANY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Results of Operations and Financial Condition (Unaudited)</w:t>
      </w:r>
    </w:p>
    <w:p>
      <w:pPr>
        <w:ind w:left="10760"/>
        <w:spacing w:after="0"/>
        <w:rPr>
          <w:sz w:val="20"/>
          <w:szCs w:val="20"/>
          <w:color w:val="auto"/>
        </w:rPr>
      </w:pPr>
      <w:r>
        <w:rPr>
          <w:rFonts w:ascii="Arial" w:cs="Arial" w:eastAsia="Arial" w:hAnsi="Arial"/>
          <w:sz w:val="17"/>
          <w:szCs w:val="17"/>
          <w:color w:val="auto"/>
        </w:rPr>
        <w:t>52</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Management’s Report on Internal Control Over Financial Reporting</w:t>
      </w:r>
    </w:p>
    <w:p>
      <w:pPr>
        <w:ind w:left="10760"/>
        <w:spacing w:after="0"/>
        <w:rPr>
          <w:sz w:val="20"/>
          <w:szCs w:val="20"/>
          <w:color w:val="auto"/>
        </w:rPr>
      </w:pPr>
      <w:r>
        <w:rPr>
          <w:rFonts w:ascii="Arial" w:cs="Arial" w:eastAsia="Arial" w:hAnsi="Arial"/>
          <w:sz w:val="17"/>
          <w:szCs w:val="17"/>
          <w:color w:val="auto"/>
        </w:rPr>
        <w:t>71</w:t>
      </w:r>
    </w:p>
    <w:p>
      <w:pPr>
        <w:ind w:left="200"/>
        <w:spacing w:after="0" w:line="186" w:lineRule="auto"/>
        <w:rPr>
          <w:sz w:val="20"/>
          <w:szCs w:val="20"/>
          <w:color w:val="auto"/>
        </w:rPr>
      </w:pPr>
      <w:r>
        <w:rPr>
          <w:rFonts w:ascii="Arial" w:cs="Arial" w:eastAsia="Arial" w:hAnsi="Arial"/>
          <w:sz w:val="17"/>
          <w:szCs w:val="17"/>
          <w:color w:val="auto"/>
        </w:rPr>
        <w:t>Report of Independent Registered Public Accounting Firm</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72</w:t>
      </w:r>
    </w:p>
    <w:p>
      <w:pPr>
        <w:ind w:left="200"/>
        <w:spacing w:after="0" w:line="232" w:lineRule="auto"/>
        <w:rPr>
          <w:sz w:val="20"/>
          <w:szCs w:val="20"/>
          <w:color w:val="auto"/>
        </w:rPr>
      </w:pPr>
      <w:r>
        <w:rPr>
          <w:rFonts w:ascii="Arial" w:cs="Arial" w:eastAsia="Arial" w:hAnsi="Arial"/>
          <w:sz w:val="17"/>
          <w:szCs w:val="17"/>
          <w:color w:val="auto"/>
        </w:rPr>
        <w:t>Consolidated Statements of Operations and Consolidated Statements of Comprehensive Income for the Three Fiscal Years Ended December</w:t>
      </w:r>
    </w:p>
    <w:p>
      <w:pPr>
        <w:ind w:left="400"/>
        <w:spacing w:after="0" w:line="183" w:lineRule="auto"/>
        <w:rPr>
          <w:sz w:val="20"/>
          <w:szCs w:val="20"/>
          <w:color w:val="auto"/>
        </w:rPr>
      </w:pPr>
      <w:r>
        <w:rPr>
          <w:rFonts w:ascii="Arial" w:cs="Arial" w:eastAsia="Arial" w:hAnsi="Arial"/>
          <w:sz w:val="17"/>
          <w:szCs w:val="17"/>
          <w:color w:val="auto"/>
        </w:rPr>
        <w:t>31, 2011</w:t>
      </w:r>
    </w:p>
    <w:p>
      <w:pPr>
        <w:ind w:left="10760"/>
        <w:spacing w:after="0"/>
        <w:rPr>
          <w:sz w:val="20"/>
          <w:szCs w:val="20"/>
          <w:color w:val="auto"/>
        </w:rPr>
      </w:pPr>
      <w:r>
        <w:rPr>
          <w:rFonts w:ascii="Arial" w:cs="Arial" w:eastAsia="Arial" w:hAnsi="Arial"/>
          <w:sz w:val="17"/>
          <w:szCs w:val="17"/>
          <w:color w:val="auto"/>
        </w:rPr>
        <w:t>73</w:t>
      </w:r>
    </w:p>
    <w:p>
      <w:pPr>
        <w:ind w:left="200"/>
        <w:spacing w:after="0" w:line="186" w:lineRule="auto"/>
        <w:rPr>
          <w:sz w:val="20"/>
          <w:szCs w:val="20"/>
          <w:color w:val="auto"/>
        </w:rPr>
      </w:pPr>
      <w:r>
        <w:rPr>
          <w:rFonts w:ascii="Arial" w:cs="Arial" w:eastAsia="Arial" w:hAnsi="Arial"/>
          <w:sz w:val="17"/>
          <w:szCs w:val="17"/>
          <w:color w:val="auto"/>
        </w:rPr>
        <w:t>Consolidated Balance Sheets at December 31, 2011 and January 2, 2011</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74</w:t>
      </w:r>
    </w:p>
    <w:p>
      <w:pPr>
        <w:ind w:left="200"/>
        <w:spacing w:after="0" w:line="186" w:lineRule="auto"/>
        <w:rPr>
          <w:sz w:val="20"/>
          <w:szCs w:val="20"/>
          <w:color w:val="auto"/>
        </w:rPr>
      </w:pPr>
      <w:r>
        <w:rPr>
          <w:rFonts w:ascii="Arial" w:cs="Arial" w:eastAsia="Arial" w:hAnsi="Arial"/>
          <w:sz w:val="17"/>
          <w:szCs w:val="17"/>
          <w:color w:val="auto"/>
        </w:rPr>
        <w:t>Consolidated Statements of Cash Flows for the Three Fiscal Years Ended December 31, 2011</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75</w:t>
      </w:r>
    </w:p>
    <w:p>
      <w:pPr>
        <w:ind w:left="200"/>
        <w:spacing w:after="0" w:line="232" w:lineRule="auto"/>
        <w:rPr>
          <w:sz w:val="20"/>
          <w:szCs w:val="20"/>
          <w:color w:val="auto"/>
        </w:rPr>
      </w:pPr>
      <w:r>
        <w:rPr>
          <w:rFonts w:ascii="Arial" w:cs="Arial" w:eastAsia="Arial" w:hAnsi="Arial"/>
          <w:sz w:val="17"/>
          <w:szCs w:val="17"/>
          <w:color w:val="auto"/>
        </w:rPr>
        <w:t>Consolidated Statements of Changes in Common Stockholders’ Equity for the Three Fiscal Years Ended December 31,</w:t>
      </w:r>
    </w:p>
    <w:p>
      <w:pPr>
        <w:ind w:left="400"/>
        <w:spacing w:after="0" w:line="183" w:lineRule="auto"/>
        <w:rPr>
          <w:sz w:val="20"/>
          <w:szCs w:val="20"/>
          <w:color w:val="auto"/>
        </w:rPr>
      </w:pPr>
      <w:r>
        <w:rPr>
          <w:rFonts w:ascii="Arial" w:cs="Arial" w:eastAsia="Arial" w:hAnsi="Arial"/>
          <w:sz w:val="17"/>
          <w:szCs w:val="17"/>
          <w:color w:val="auto"/>
        </w:rPr>
        <w:t>2011</w:t>
      </w:r>
    </w:p>
    <w:p>
      <w:pPr>
        <w:ind w:left="10760"/>
        <w:spacing w:after="0"/>
        <w:rPr>
          <w:sz w:val="20"/>
          <w:szCs w:val="20"/>
          <w:color w:val="auto"/>
        </w:rPr>
      </w:pPr>
      <w:r>
        <w:rPr>
          <w:rFonts w:ascii="Arial" w:cs="Arial" w:eastAsia="Arial" w:hAnsi="Arial"/>
          <w:sz w:val="17"/>
          <w:szCs w:val="17"/>
          <w:color w:val="auto"/>
        </w:rPr>
        <w:t>76</w:t>
      </w:r>
    </w:p>
    <w:p>
      <w:pPr>
        <w:ind w:left="200"/>
        <w:spacing w:after="0" w:line="186" w:lineRule="auto"/>
        <w:rPr>
          <w:sz w:val="20"/>
          <w:szCs w:val="20"/>
          <w:color w:val="auto"/>
        </w:rPr>
      </w:pPr>
      <w:r>
        <w:rPr>
          <w:rFonts w:ascii="Arial" w:cs="Arial" w:eastAsia="Arial" w:hAnsi="Arial"/>
          <w:sz w:val="17"/>
          <w:szCs w:val="17"/>
          <w:color w:val="auto"/>
        </w:rPr>
        <w:t>Notes to Consolidated Financial Statements</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77</w:t>
      </w:r>
    </w:p>
    <w:p>
      <w:pPr>
        <w:spacing w:after="0" w:line="186" w:lineRule="auto"/>
        <w:rPr>
          <w:sz w:val="20"/>
          <w:szCs w:val="20"/>
          <w:color w:val="auto"/>
        </w:rPr>
      </w:pPr>
      <w:r>
        <w:rPr>
          <w:rFonts w:ascii="Arial" w:cs="Arial" w:eastAsia="Arial" w:hAnsi="Arial"/>
          <w:sz w:val="17"/>
          <w:szCs w:val="17"/>
          <w:color w:val="auto"/>
        </w:rPr>
        <w:t>Five-Year Summary of Selected Historical Financial Data (Unaudited)</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144145</wp:posOffset>
            </wp:positionV>
            <wp:extent cx="27184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All schedules have been omitted either because they are not applicable or because the required information is included in the Consolidated Financial Statements or the notes thereto referred to above.</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78740</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60"/>
          </w:cols>
          <w:pgMar w:left="800" w:top="120" w:right="1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right="980" w:firstLine="1462"/>
        <w:spacing w:after="0" w:line="465" w:lineRule="auto"/>
        <w:rPr>
          <w:sz w:val="20"/>
          <w:szCs w:val="20"/>
          <w:color w:val="auto"/>
        </w:rPr>
      </w:pPr>
      <w:r>
        <w:rPr>
          <w:rFonts w:ascii="Arial" w:cs="Arial" w:eastAsia="Arial" w:hAnsi="Arial"/>
          <w:sz w:val="17"/>
          <w:szCs w:val="17"/>
          <w:b w:val="1"/>
          <w:bCs w:val="1"/>
          <w:color w:val="auto"/>
        </w:rPr>
        <w:t xml:space="preserve">MANAGEMENT’S DISCUSSION AND ANALYSIS OF RESULTS OF OPERATIONS AND FINANCIAL CONDITION </w:t>
      </w:r>
      <w:r>
        <w:rPr>
          <w:rFonts w:ascii="Arial" w:cs="Arial" w:eastAsia="Arial" w:hAnsi="Arial"/>
          <w:sz w:val="17"/>
          <w:szCs w:val="17"/>
          <w:color w:val="auto"/>
        </w:rPr>
        <w:t xml:space="preserve">This analysis should be read in conjunction with the Consolidated Financial Statements and the notes thereto. </w:t>
      </w:r>
      <w:r>
        <w:rPr>
          <w:rFonts w:ascii="Arial" w:cs="Arial" w:eastAsia="Arial" w:hAnsi="Arial"/>
          <w:sz w:val="17"/>
          <w:szCs w:val="17"/>
          <w:b w:val="1"/>
          <w:bCs w:val="1"/>
          <w:color w:val="auto"/>
        </w:rPr>
        <w:t>OVERVIEW</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Washington Post Company is a diversified education and media company, with education as the largest business. Through its subsidiary Kaplan, the Company provides education services for individuals, schools and businesses. The Company also operates principally in three areas of the media industry: cable television, newspaper publishing and television broadcasting. The Company’s business units are diverse and subject to different trends risks.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Company’s education division is the largest operating division of the Company, accounting for about 58% of the Company’s consolidated revenue 2011. The Company has devoted significant resources and attention to this division for many years, given the attractiveness of investment opportuniti growth prospects during this time. With recent revenue declines and other business challenges, Kaplan has formulated and implemented restructuring at many of its businesses, resulting in significant costs in order to establish lower cost levels in future periods. Kaplan is organized into the following fo operating segments: Kaplan Higher Education (KHE), Kaplan Test Preparation (KTP), Kaplan International and Kaplan Ventures.</w:t>
      </w:r>
    </w:p>
    <w:p>
      <w:pPr>
        <w:spacing w:after="0" w:line="17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KHE is the largest segment of Kaplan, representing 57% of total Kaplan revenues in 2011. KHE’s revenue and operating income were down very substantially in 2011, largely due to enrollment declines arising from generally lower demand, along with marketing and admissions changes to increa student selectivity and help KHE comply with recent regulations. KHE implemented a new program, the Kaplan Commitment, starting in the fourth qua 2010 that provides first-time students with a risk-free trial period.</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Kaplan International reported revenue growth for 2011 due to several acquisitions, favorable exchange rates and enrollment growth in the pathways a English-language programs. Kaplan International results declined in 2011 due to overall losses from newly acquired businesses, increased expenses declines at its U.K. professional training schools due to new pending student visa restrictions. Operating results for KTP were adversely impacted by restructuring activity in connection with the migration of students to less expensive online and hybrid test preparation offerings. Also, price reductions f many programs related to increased competition resulted in reduced revenues. Kaplan Ventures reported losses of $10.1 million in 2011; the Compan exploring other alternatives, including possible sales, with respect to the remaining Kaplan Ventures businesses.</w:t>
      </w:r>
    </w:p>
    <w:p>
      <w:pPr>
        <w:spacing w:after="0" w:line="172"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made five acquisitions in 2011, four acquisitions in 2010 and two acquisitions in 2009. None of these was individually significant; however, two 2011 acquisitions were in Australia, where the Company sees attractive growth opportunities in higher education.</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cable television division continues to grow in certain service categories and make substantial capital investments. The cable television division ha experienced increased competition, particularly from satellite television service providers and, to a lesser extent, other telephony providers. Cable tele subscribers and high-speed data subscribers grew by 18% and 6%, respectively, to approximately 180,000 and 451,100 subscribers, respectively, at t end of 2011. The cable television division’s basic video subscriber base was down in 2011 (decrease of 27,000 subscribers to approximately 621,400 end of 2011). The cable television division continues to focus on subscriber retention and growth in overall Primary Service Units (PSUs) and has not rates since June 2009. The cable television division has expanded promotional discount offerings to new subscribers and existing subscribers adding services, as well as subscribers who take more than one offered service (video service, high-speed data service and telephony service).</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Company’s newspaper publishing and television broadcasting divisions derive revenue from advertising and, at the publishing units, circulation an subscriptions. The results of these divisions tend to fluctuate with the overall advertising cycle, among other business factors.</w:t>
      </w:r>
    </w:p>
    <w:p>
      <w:pPr>
        <w:spacing w:after="0" w:line="176"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Like many other large metropolitan newspapers, The Washington Post (the Post) has experienced a significant continued downward trend in print advertising revenue over the past several years, including an 11% decline in 2011. This follows a 6% print advertising decline at the Post in 2010 and decline in 2009. Circulation volume also continued a downward trend, although revenues were even compared to 2010 due to home-delivery</w:t>
      </w:r>
    </w:p>
    <w:p>
      <w:pPr>
        <w:spacing w:after="0" w:line="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price increases. The Company’s online publishing activities, primarily at washingtonpost.com and The Slate Group, reported an 8% revenue decline in following a 14% increase in 2010. The Post has implemented many cost-saving initiatives in the past few years, which resulted in significantly improve operating results for the newspaper publishing division in 2010, however,</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56" w:name="page57"/>
    <w:bookmarkEnd w:id="56"/>
    <w:p>
      <w:pPr>
        <w:ind w:left="9"/>
        <w:spacing w:after="0"/>
        <w:rPr>
          <w:sz w:val="20"/>
          <w:szCs w:val="20"/>
          <w:color w:val="auto"/>
        </w:rPr>
      </w:pPr>
      <w:r>
        <w:rPr>
          <w:rFonts w:ascii="Arial" w:cs="Arial" w:eastAsia="Arial" w:hAnsi="Arial"/>
          <w:sz w:val="17"/>
          <w:szCs w:val="17"/>
          <w:color w:val="auto"/>
        </w:rPr>
        <w:t>newspaper publishing division operating results declined in 2011 due to revenue reductions, offset by a small decrease in costs.</w:t>
      </w:r>
    </w:p>
    <w:p>
      <w:pPr>
        <w:spacing w:after="0" w:line="177"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The Company’s television broadcasting division reported a decline in revenues and in operating income in 2011 due primarily to significant political an Olympics-related advertising included in 2010.</w:t>
      </w:r>
    </w:p>
    <w:p>
      <w:pPr>
        <w:spacing w:after="0" w:line="176" w:lineRule="exact"/>
        <w:rPr>
          <w:sz w:val="20"/>
          <w:szCs w:val="20"/>
          <w:color w:val="auto"/>
        </w:rPr>
      </w:pPr>
    </w:p>
    <w:p>
      <w:pPr>
        <w:ind w:left="9" w:right="120"/>
        <w:spacing w:after="0" w:line="235" w:lineRule="auto"/>
        <w:rPr>
          <w:sz w:val="20"/>
          <w:szCs w:val="20"/>
          <w:color w:val="auto"/>
        </w:rPr>
      </w:pPr>
      <w:r>
        <w:rPr>
          <w:rFonts w:ascii="Arial" w:cs="Arial" w:eastAsia="Arial" w:hAnsi="Arial"/>
          <w:sz w:val="17"/>
          <w:szCs w:val="17"/>
          <w:color w:val="auto"/>
        </w:rPr>
        <w:t>The Company generates a significant amount of cash from its businesses that is used to support its operations, to pay down debt and to fund capital expenditures, share repurchases, dividends, acquisitions and other investments.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RESULTS OF OPERATIONS — 2011 COMPARED TO 2010</w:t>
      </w:r>
    </w:p>
    <w:p>
      <w:pPr>
        <w:spacing w:after="0" w:line="197"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Net income attributable to common shares was $116.2 million ($14.70 per share) for the fiscal year ended December 31, 2011, down from net income attributable to common shares of $277.2 million ($31.04 per share) for the fiscal year ended January 2, 2011. Net income includes $4.2 million ($0.53 share) and $42.1 million ($4.71 per share) in losses from discontinued operations for fiscal year 2011 and 2010, respectively. Income from continuing operations attributable to common shares was $120.4 million ($15.23 per share) for fiscal year 2011, compared to $319.3 million ($35.75 per share) fo fiscal year 2010. As a result of the Company’s share repurchases, there were 11% fewer diluted average shares outstanding in 2011.</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2011:</w:t>
      </w:r>
    </w:p>
    <w:p>
      <w:pPr>
        <w:spacing w:after="0" w:line="40" w:lineRule="exact"/>
        <w:rPr>
          <w:sz w:val="20"/>
          <w:szCs w:val="20"/>
          <w:color w:val="auto"/>
        </w:rPr>
      </w:pPr>
    </w:p>
    <w:p>
      <w:pPr>
        <w:ind w:left="269" w:hanging="269"/>
        <w:spacing w:after="0"/>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$29.2 million in severance and restructuring charges at Kaplan (after-tax impact of $18.1 million, or $2.30 per share);</w:t>
      </w:r>
    </w:p>
    <w:p>
      <w:pPr>
        <w:spacing w:after="0" w:line="40" w:lineRule="exact"/>
        <w:rPr>
          <w:rFonts w:ascii="Arial" w:cs="Arial" w:eastAsia="Arial" w:hAnsi="Arial"/>
          <w:sz w:val="17"/>
          <w:szCs w:val="17"/>
          <w:color w:val="auto"/>
        </w:rPr>
      </w:pPr>
    </w:p>
    <w:p>
      <w:pPr>
        <w:ind w:left="289" w:right="20" w:hanging="289"/>
        <w:spacing w:after="0" w:line="235" w:lineRule="auto"/>
        <w:tabs>
          <w:tab w:leader="none" w:pos="2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$2.4 million charge recorded at the newspaper publishing division in connection with the withdrawal from a multiemployer pension plan (after-tax impact of $1.5 million, or $0.19 per share);</w:t>
      </w:r>
    </w:p>
    <w:p>
      <w:pPr>
        <w:spacing w:after="0" w:line="39" w:lineRule="exact"/>
        <w:rPr>
          <w:rFonts w:ascii="Arial" w:cs="Arial" w:eastAsia="Arial" w:hAnsi="Arial"/>
          <w:sz w:val="17"/>
          <w:szCs w:val="17"/>
          <w:color w:val="auto"/>
        </w:rPr>
      </w:pPr>
    </w:p>
    <w:p>
      <w:pPr>
        <w:ind w:left="289" w:right="20" w:hanging="289"/>
        <w:spacing w:after="0" w:line="235" w:lineRule="auto"/>
        <w:tabs>
          <w:tab w:leader="none" w:pos="252"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$11.9 million goodwill impairment charge at the Company’s online lead generation business, included in other businesses (after-tax impact of $ million, or $1.51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$3.3 million in non-operating unrealized foreign currency losses (after-tax impact of $2.1 million, or $0.26 per share).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2010:</w:t>
      </w:r>
    </w:p>
    <w:p>
      <w:pPr>
        <w:spacing w:after="0" w:line="40" w:lineRule="exact"/>
        <w:rPr>
          <w:sz w:val="20"/>
          <w:szCs w:val="20"/>
          <w:color w:val="auto"/>
        </w:rPr>
      </w:pPr>
    </w:p>
    <w:p>
      <w:pPr>
        <w:ind w:left="289" w:right="60" w:hanging="289"/>
        <w:spacing w:after="0" w:line="235" w:lineRule="auto"/>
        <w:tabs>
          <w:tab w:leader="none" w:pos="2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$20.4 million charge recorded at the Post in connection with the withdrawal from a multiemployer pension plan (after-tax impact of $12.7 million, $1.38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$39.0 million in severance and restructuring charges (after-tax impact of $24.2 million, or $2.83 per share);</w:t>
      </w:r>
    </w:p>
    <w:p>
      <w:pPr>
        <w:spacing w:after="0" w:line="40" w:lineRule="exact"/>
        <w:rPr>
          <w:rFonts w:ascii="Arial" w:cs="Arial" w:eastAsia="Arial" w:hAnsi="Arial"/>
          <w:sz w:val="17"/>
          <w:szCs w:val="17"/>
          <w:color w:val="auto"/>
        </w:rPr>
      </w:pPr>
    </w:p>
    <w:p>
      <w:pPr>
        <w:ind w:left="289" w:hanging="289"/>
        <w:spacing w:after="0" w:line="235" w:lineRule="auto"/>
        <w:tabs>
          <w:tab w:leader="none" w:pos="2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$27.5 million goodwill and other intangible assets impairment charge at the Company’s online lead generation business, included in other busine (after-tax impact of $26.3 million, or $2.96 per share); and</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$6.7 million in non-operating unrealized foreign currency gains (after-tax impact of $4.2 million, or $0.47 per share).</w:t>
      </w:r>
    </w:p>
    <w:p>
      <w:pPr>
        <w:spacing w:after="0" w:line="177"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Revenue for 2011 was $4,214.8 million, down 10% from $4,684.0 million in 2010. Revenues were down at the education, newspaper publishing and television broadcasting divisions, while revenues were up slightly at the cable television division. In 2011, education revenue decreased 14%, advertis revenue decreased 9%, circulation and subscriber revenue was flat and other revenue increased 6%. Revenue declines at Kaplan accounted for the decrease in education revenue. The decrease in advertising revenue is due to declines at the television broadcasting and newspaper publishing divisi Both subscriber revenue at the cable television division and circulation revenue at the Post were even with last year.</w:t>
      </w:r>
    </w:p>
    <w:p>
      <w:pPr>
        <w:spacing w:after="0" w:line="176"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Operating costs and expenses for the year decreased 5% to $3,918.9 million in 2011, from $4,121.4 million in 2010. The decline is due to lower expen the education, television broadcasting and newspaper publishing divisions, offset by increased costs at the cable television division.</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Operating income for 2011 decreased to $296.0 million, from $562.7 million in 2010. Operating results declined at all of the Company’s divisions.</w:t>
      </w:r>
    </w:p>
    <w:p>
      <w:pPr>
        <w:spacing w:after="0" w:line="177" w:lineRule="exact"/>
        <w:rPr>
          <w:sz w:val="20"/>
          <w:szCs w:val="20"/>
          <w:color w:val="auto"/>
        </w:rPr>
      </w:pPr>
    </w:p>
    <w:p>
      <w:pPr>
        <w:ind w:left="562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DIVISION RESULTS</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Education Division. </w:t>
      </w:r>
      <w:r>
        <w:rPr>
          <w:rFonts w:ascii="Arial" w:cs="Arial" w:eastAsia="Arial" w:hAnsi="Arial"/>
          <w:sz w:val="17"/>
          <w:szCs w:val="17"/>
          <w:color w:val="auto"/>
        </w:rPr>
        <w:t>Education division revenue in 2011 totaled $2,465.0 million, a 14% decline from revenue of $2,862.3 million in 2010.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from acquired businesses, education division revenue declined 16% in 2011. Kaplan reported operating income of $89.4 million for 2011, dow from $346.7 million in 2010.</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light of recent revenue declines and other business challenges, Kaplan has formulated and implemented restructuring plans at its various businesse have resulted in significant costs in 2010 and 2011, with the objective of establishing lower cost levels in future periods. Across all businesses, severa and restructuring costs totaled $29.2 million in 2011 and $27.5 million in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2011 compared to 2010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2011</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1,399,582</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line="156" w:lineRule="exact"/>
              <w:rPr>
                <w:sz w:val="20"/>
                <w:szCs w:val="20"/>
                <w:color w:val="auto"/>
              </w:rPr>
            </w:pPr>
            <w:r>
              <w:rPr>
                <w:rFonts w:ascii="Arial" w:cs="Arial" w:eastAsia="Arial" w:hAnsi="Arial"/>
                <w:sz w:val="15"/>
                <w:szCs w:val="15"/>
                <w:color w:val="auto"/>
              </w:rPr>
              <w:t>Higher education</w:t>
            </w:r>
          </w:p>
        </w:tc>
        <w:tc>
          <w:tcPr>
            <w:tcW w:w="2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1,905,038</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303,093</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314,879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690,225</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585,924</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ventures</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74,946</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59,296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4,585</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5,537</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(7,383)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(8,395)</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2,465,048</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2,862,279</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148,915</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line="156" w:lineRule="exact"/>
              <w:rPr>
                <w:sz w:val="20"/>
                <w:szCs w:val="20"/>
                <w:color w:val="auto"/>
              </w:rPr>
            </w:pPr>
            <w:r>
              <w:rPr>
                <w:rFonts w:ascii="Arial" w:cs="Arial" w:eastAsia="Arial" w:hAnsi="Arial"/>
                <w:sz w:val="15"/>
                <w:szCs w:val="15"/>
                <w:color w:val="auto"/>
              </w:rPr>
              <w:t>Higher education</w:t>
            </w:r>
          </w:p>
        </w:tc>
        <w:tc>
          <w:tcPr>
            <w:tcW w:w="2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406,880</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(28,498)</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(32,583)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46,498</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56,152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ventures</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(10,093)</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(17,490)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(45,101)</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(44,586)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(21,167)</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(21,406)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(1,120)</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(234)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89,434</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346,733</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sold Kaplan Compliance Solutions (KCS) in October 2011, Kaplan Virtual Education (KVE) in July 2011 and Education Connection in April 201 Consequently, the education division’s operating results exclude these businesses.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KHE includes Kaplan’s domestic postsecondary education businesses, made up of fixed-facility colleges and online postsecondary and career progra KHE also includes the Kaplan University School of Professional and Continuing Education. In 2011, KHE revenue declined 27% due to declines in ave enrollments. Operating income decreased 63% in 2011 due to lower revenue, increased regulatory compliance costs and $13.2 million in severance a restructuring costs in 2011. Offsetting the decline were lower advertising costs, other expense reductions associated with lower enrollments, incentive compensation credits recorded in 2011 related to amounts previously accrued and $9.3 million in 2010 severance costs.</w:t>
      </w:r>
    </w:p>
    <w:p>
      <w:pPr>
        <w:spacing w:after="0" w:line="17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KHE has implemented a number of marketing and admissions changes to increase student selectivity and help KHE comply with recent regulations. K also implemented the Kaplan Commitment program, which provides first-time students with a risk-free trial period. Under the program, KHE also monit academic progress and conducts academic assessments to help determine whether students are likely to be successful in their chosen course of stud Students who withdraw or are subject to academic dismissal during the risk-free trial period do not incur any significant financial obligation. These cha along with generally lower demand, have resulted in a 37% decline in new enrollments for 2011 as a whole, in comparison to 2010. Management esti that without the Kaplan Commitment, the decline for 2011 would have been approximately 20%. Management also estimates that revenue for 2011 w have been approximately $63 million higher if the Kaplan Commitment had not been implemented. KHE does not recognize tuition revenue for studen during the risk-free period.</w:t>
      </w:r>
    </w:p>
    <w:p>
      <w:pPr>
        <w:spacing w:after="0" w:line="17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For those first-time students enrolled to date under the Kaplan Commitment, the attrition rate during the risk-free period has been approximately 27%, which about 59% is due to Kaplan’s dismissal of students from the program because of the students’ lack of academic progress during the period and remainder due to students who have elected not to continue their studies. Given that the Kaplan Commitment program has only been in place for a sh period of time, management is unable to estimate with confidence to what degree the program will cause student retention patterns to differ from histo levels. However, based on limited preliminary data, it appears that most of the historical early term attrition has been accelerated into the commitment period, having the desired effect of providing these students with a</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15" w:right="139" w:bottom="1440" w:gutter="0" w:footer="0" w:header="0"/>
        </w:sectPr>
      </w:pPr>
    </w:p>
    <w:bookmarkStart w:id="58" w:name="page59"/>
    <w:bookmarkEnd w:id="58"/>
    <w:p>
      <w:pPr>
        <w:jc w:val="both"/>
        <w:ind w:right="20"/>
        <w:spacing w:after="0" w:line="235" w:lineRule="auto"/>
        <w:rPr>
          <w:sz w:val="20"/>
          <w:szCs w:val="20"/>
          <w:color w:val="auto"/>
        </w:rPr>
      </w:pPr>
      <w:r>
        <w:rPr>
          <w:rFonts w:ascii="Arial" w:cs="Arial" w:eastAsia="Arial" w:hAnsi="Arial"/>
          <w:sz w:val="17"/>
          <w:szCs w:val="17"/>
          <w:color w:val="auto"/>
        </w:rPr>
        <w:t>risk-free trial period and ultimately improving student outcome results for the institution. Management believes the Kaplan Commitment program is uni and reflects Kaplan’s commitment to student success.</w:t>
      </w:r>
    </w:p>
    <w:p>
      <w:pPr>
        <w:spacing w:after="0" w:line="1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Student enrollments at December 31, 2011, excluding the School of Professional and Continuing Education, were down 23% compared to December 2010,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2"/>
                <w:szCs w:val="12"/>
                <w:b w:val="1"/>
                <w:bCs w:val="1"/>
                <w:color w:val="auto"/>
              </w:rPr>
              <w:t>As of December 31,</w:t>
            </w:r>
          </w:p>
        </w:tc>
        <w:tc>
          <w:tcPr>
            <w:tcW w:w="540" w:type="dxa"/>
            <w:vAlign w:val="bottom"/>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1"/>
              <w:spacing w:after="0" w:line="129" w:lineRule="exact"/>
              <w:rPr>
                <w:sz w:val="20"/>
                <w:szCs w:val="20"/>
                <w:color w:val="auto"/>
              </w:rPr>
            </w:pPr>
            <w:r>
              <w:rPr>
                <w:rFonts w:ascii="Arial" w:cs="Arial" w:eastAsia="Arial" w:hAnsi="Arial"/>
                <w:sz w:val="12"/>
                <w:szCs w:val="12"/>
                <w:b w:val="1"/>
                <w:bCs w:val="1"/>
                <w:color w:val="auto"/>
              </w:rPr>
              <w:t>2011</w:t>
            </w:r>
          </w:p>
        </w:tc>
        <w:tc>
          <w:tcPr>
            <w:tcW w:w="7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2"/>
                <w:szCs w:val="12"/>
                <w:color w:val="auto"/>
              </w:rPr>
              <w:t>2010</w:t>
            </w:r>
          </w:p>
        </w:tc>
        <w:tc>
          <w:tcPr>
            <w:tcW w:w="5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color w:val="auto"/>
              </w:rPr>
              <w:t>% C</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960" w:type="dxa"/>
            <w:vAlign w:val="bottom"/>
          </w:tcPr>
          <w:p>
            <w:pPr>
              <w:jc w:val="right"/>
              <w:ind w:right="131"/>
              <w:spacing w:after="0" w:line="150" w:lineRule="exact"/>
              <w:rPr>
                <w:sz w:val="20"/>
                <w:szCs w:val="20"/>
                <w:color w:val="auto"/>
              </w:rPr>
            </w:pPr>
            <w:r>
              <w:rPr>
                <w:rFonts w:ascii="Arial" w:cs="Arial" w:eastAsia="Arial" w:hAnsi="Arial"/>
                <w:sz w:val="15"/>
                <w:szCs w:val="15"/>
                <w:b w:val="1"/>
                <w:bCs w:val="1"/>
                <w:color w:val="auto"/>
              </w:rPr>
              <w:t>50,190</w:t>
            </w:r>
          </w:p>
        </w:tc>
        <w:tc>
          <w:tcPr>
            <w:tcW w:w="760" w:type="dxa"/>
            <w:vAlign w:val="bottom"/>
          </w:tcPr>
          <w:p>
            <w:pPr>
              <w:jc w:val="right"/>
              <w:spacing w:after="0" w:line="150" w:lineRule="exact"/>
              <w:rPr>
                <w:sz w:val="20"/>
                <w:szCs w:val="20"/>
                <w:color w:val="auto"/>
              </w:rPr>
            </w:pPr>
            <w:r>
              <w:rPr>
                <w:rFonts w:ascii="Arial" w:cs="Arial" w:eastAsia="Arial" w:hAnsi="Arial"/>
                <w:sz w:val="15"/>
                <w:szCs w:val="15"/>
                <w:color w:val="auto"/>
              </w:rPr>
              <w:t>65,643</w:t>
            </w:r>
          </w:p>
        </w:tc>
        <w:tc>
          <w:tcPr>
            <w:tcW w:w="540" w:type="dxa"/>
            <w:vAlign w:val="bottom"/>
          </w:tcPr>
          <w:p>
            <w:pPr>
              <w:spacing w:after="0"/>
              <w:rPr>
                <w:sz w:val="13"/>
                <w:szCs w:val="13"/>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KHE Campuses</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24,360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31,058</w:t>
            </w:r>
          </w:p>
        </w:tc>
        <w:tc>
          <w:tcPr>
            <w:tcW w:w="540" w:type="dxa"/>
            <w:vAlign w:val="bottom"/>
          </w:tcPr>
          <w:p>
            <w:pPr>
              <w:spacing w:after="0"/>
              <w:rPr>
                <w:sz w:val="16"/>
                <w:szCs w:val="16"/>
                <w:color w:val="auto"/>
              </w:rPr>
            </w:pPr>
          </w:p>
        </w:tc>
      </w:tr>
      <w:tr>
        <w:trPr>
          <w:trHeight w:val="166"/>
        </w:trPr>
        <w:tc>
          <w:tcPr>
            <w:tcW w:w="8680" w:type="dxa"/>
            <w:vAlign w:val="bottom"/>
          </w:tcPr>
          <w:p>
            <w:pPr>
              <w:spacing w:after="0"/>
              <w:rPr>
                <w:sz w:val="14"/>
                <w:szCs w:val="14"/>
                <w:color w:val="auto"/>
              </w:rPr>
            </w:pPr>
          </w:p>
        </w:tc>
        <w:tc>
          <w:tcPr>
            <w:tcW w:w="96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b w:val="1"/>
                <w:bCs w:val="1"/>
                <w:color w:val="auto"/>
              </w:rPr>
              <w:t>74,550</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96,701</w:t>
            </w:r>
          </w:p>
        </w:tc>
        <w:tc>
          <w:tcPr>
            <w:tcW w:w="54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476" w:lineRule="auto"/>
        <w:rPr>
          <w:sz w:val="20"/>
          <w:szCs w:val="20"/>
          <w:color w:val="auto"/>
        </w:rPr>
      </w:pPr>
      <w:r>
        <w:rPr>
          <w:rFonts w:ascii="Arial" w:cs="Arial" w:eastAsia="Arial" w:hAnsi="Arial"/>
          <w:sz w:val="16"/>
          <w:szCs w:val="16"/>
          <w:color w:val="auto"/>
        </w:rPr>
        <w:t>Kaplan University enrollments included 5,799 and 7,426 campus-based students as of December 31, 2011, and December 31, 2010, respectively. Kaplan University and KHE Campuses enrollments at December 31, 2011, and December 31, 2010, by degree and certificate programs, are as follow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48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w:t>
            </w:r>
          </w:p>
        </w:tc>
      </w:tr>
      <w:tr>
        <w:trPr>
          <w:trHeight w:val="129"/>
        </w:trPr>
        <w:tc>
          <w:tcPr>
            <w:tcW w:w="9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2011</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50"/>
        </w:trPr>
        <w:tc>
          <w:tcPr>
            <w:tcW w:w="948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1060" w:type="dxa"/>
            <w:vAlign w:val="bottom"/>
          </w:tcPr>
          <w:p>
            <w:pPr>
              <w:jc w:val="right"/>
              <w:ind w:right="149"/>
              <w:spacing w:after="0" w:line="150" w:lineRule="exact"/>
              <w:rPr>
                <w:sz w:val="20"/>
                <w:szCs w:val="20"/>
                <w:color w:val="auto"/>
              </w:rPr>
            </w:pPr>
            <w:r>
              <w:rPr>
                <w:rFonts w:ascii="Arial" w:cs="Arial" w:eastAsia="Arial" w:hAnsi="Arial"/>
                <w:sz w:val="15"/>
                <w:szCs w:val="15"/>
                <w:b w:val="1"/>
                <w:bCs w:val="1"/>
                <w:color w:val="auto"/>
              </w:rPr>
              <w:t>23.6 %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Associate’s</w:t>
            </w:r>
          </w:p>
        </w:tc>
        <w:tc>
          <w:tcPr>
            <w:tcW w:w="1060" w:type="dxa"/>
            <w:vAlign w:val="bottom"/>
          </w:tcPr>
          <w:p>
            <w:pPr>
              <w:jc w:val="right"/>
              <w:ind w:right="149"/>
              <w:spacing w:after="0"/>
              <w:rPr>
                <w:sz w:val="20"/>
                <w:szCs w:val="20"/>
                <w:color w:val="auto"/>
              </w:rPr>
            </w:pPr>
            <w:r>
              <w:rPr>
                <w:rFonts w:ascii="Arial" w:cs="Arial" w:eastAsia="Arial" w:hAnsi="Arial"/>
                <w:sz w:val="15"/>
                <w:szCs w:val="15"/>
                <w:b w:val="1"/>
                <w:bCs w:val="1"/>
                <w:color w:val="auto"/>
              </w:rPr>
              <w:t>30.3 %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Bachelor’s</w:t>
            </w:r>
          </w:p>
        </w:tc>
        <w:tc>
          <w:tcPr>
            <w:tcW w:w="1060" w:type="dxa"/>
            <w:vAlign w:val="bottom"/>
          </w:tcPr>
          <w:p>
            <w:pPr>
              <w:jc w:val="right"/>
              <w:ind w:right="149"/>
              <w:spacing w:after="0"/>
              <w:rPr>
                <w:sz w:val="20"/>
                <w:szCs w:val="20"/>
                <w:color w:val="auto"/>
              </w:rPr>
            </w:pPr>
            <w:r>
              <w:rPr>
                <w:rFonts w:ascii="Arial" w:cs="Arial" w:eastAsia="Arial" w:hAnsi="Arial"/>
                <w:sz w:val="15"/>
                <w:szCs w:val="15"/>
                <w:b w:val="1"/>
                <w:bCs w:val="1"/>
                <w:color w:val="auto"/>
              </w:rPr>
              <w:t>34.6 %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9480" w:type="dxa"/>
            <w:vAlign w:val="bottom"/>
          </w:tcPr>
          <w:p>
            <w:pPr>
              <w:spacing w:after="0"/>
              <w:rPr>
                <w:sz w:val="20"/>
                <w:szCs w:val="20"/>
                <w:color w:val="auto"/>
              </w:rPr>
            </w:pPr>
            <w:r>
              <w:rPr>
                <w:rFonts w:ascii="Arial" w:cs="Arial" w:eastAsia="Arial" w:hAnsi="Arial"/>
                <w:sz w:val="15"/>
                <w:szCs w:val="15"/>
                <w:color w:val="auto"/>
              </w:rPr>
              <w:t>Master’s</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b w:val="1"/>
                <w:bCs w:val="1"/>
                <w:color w:val="auto"/>
              </w:rPr>
              <w:t>11.5 %</w:t>
            </w:r>
          </w:p>
        </w:tc>
        <w:tc>
          <w:tcPr>
            <w:tcW w:w="400" w:type="dxa"/>
            <w:vAlign w:val="bottom"/>
            <w:tcBorders>
              <w:bottom w:val="single" w:sz="8" w:color="auto"/>
            </w:tcBorders>
          </w:tcPr>
          <w:p>
            <w:pPr>
              <w:spacing w:after="0"/>
              <w:rPr>
                <w:sz w:val="16"/>
                <w:szCs w:val="16"/>
                <w:color w:val="auto"/>
              </w:rPr>
            </w:pPr>
          </w:p>
        </w:tc>
      </w:tr>
      <w:tr>
        <w:trPr>
          <w:trHeight w:val="166"/>
        </w:trPr>
        <w:tc>
          <w:tcPr>
            <w:tcW w:w="9480" w:type="dxa"/>
            <w:vAlign w:val="bottom"/>
          </w:tcPr>
          <w:p>
            <w:pPr>
              <w:spacing w:after="0"/>
              <w:rPr>
                <w:sz w:val="14"/>
                <w:szCs w:val="14"/>
                <w:color w:val="auto"/>
              </w:rPr>
            </w:pPr>
          </w:p>
        </w:tc>
        <w:tc>
          <w:tcPr>
            <w:tcW w:w="1060" w:type="dxa"/>
            <w:vAlign w:val="bottom"/>
            <w:tcBorders>
              <w:bottom w:val="single" w:sz="8" w:color="auto"/>
            </w:tcBorders>
          </w:tcPr>
          <w:p>
            <w:pPr>
              <w:jc w:val="right"/>
              <w:ind w:right="149"/>
              <w:spacing w:after="0" w:line="167" w:lineRule="exact"/>
              <w:rPr>
                <w:sz w:val="20"/>
                <w:szCs w:val="20"/>
                <w:color w:val="auto"/>
              </w:rPr>
            </w:pPr>
            <w:r>
              <w:rPr>
                <w:rFonts w:ascii="Arial" w:cs="Arial" w:eastAsia="Arial" w:hAnsi="Arial"/>
                <w:sz w:val="15"/>
                <w:szCs w:val="15"/>
                <w:b w:val="1"/>
                <w:bCs w:val="1"/>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KTP includes Kaplan’s standardized test preparation and tutoring offerings and other businesses. In the first quarter of 2010, the Company discontinu certain offerings of the K12 business; $7.8 million in severance and other closure costs were recorded in the first half of 2010 in connection with this pl the fourth quarter of 2010, KTP began implementing a plan to reorganize its business consistent with the migration of students to Kaplan’s online and test preparation offerings, reducing the number of leased test preparation centers; $10.4 million in costs were incurred, mostly comprised of charges r to early lease termination and property, plant and equipment write-downs. In 2011, implementation of the plan was completed and $12.5 million in add restructuring and severance costs were incurred.</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KTP revenue declined 4% in 2011. Higher enrollment, particularly in the health and bar review programs, was offset by reduced prices for many progr related to increased competition and a shift in demand to lower priced online test preparation offerings. KTP operating results improved in 2011 due to $5.7 million decline in restructuring costs and lower operating expenses, offset by revenue reductions.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 higher education in Australia. In June 2011, Kaplan acquired Structuralia, a provider of e-learning for the engineering and infrastructure sector in Spai Kaplan International revenue increased 18% in 2011. Excluding revenue from acquired businesses, Kaplan International revenue increased 10% in 20 due to favorable exchange rates and enrollment growth in the pathways and English-language programs. Kaplan International operating income declin 2011 due to overall losses from newly acquired businesses, as well as up-front spending for admission and occupancy at its Asian and United Kingdo businesses to support expanding operations. In addition, Kaplan International operating income decreased due to enrollment declines at its UK profes training schools arising from new pending student visa restrictions.</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Ventures is made up of several businesses in various stages of development that are managed separately from the other education businesse Revenue at Kaplan Ventures increased 26% in 2011. Kaplan Ventures reported an operating loss of $10.1 million in 2011 compared to an operating lo $17.5 million in 2010. Kaplan Ventures sold one small business in February 2012 and is exploring other alternatives with respect to the remaining Kap Ventures businesses, including possible sales.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Corporate represents unallocated expenses of Kaplan, Inc.’s corporate office and other minor shared activities. Corporate results decreased slightly in</w:t>
      </w:r>
    </w:p>
    <w:p>
      <w:pPr>
        <w:spacing w:after="0" w:line="37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59" w:name="page60"/>
    <w:bookmarkEnd w:id="59"/>
    <w:p>
      <w:pPr>
        <w:jc w:val="both"/>
        <w:spacing w:after="0" w:line="242" w:lineRule="auto"/>
        <w:rPr>
          <w:sz w:val="20"/>
          <w:szCs w:val="20"/>
          <w:color w:val="auto"/>
        </w:rPr>
      </w:pPr>
      <w:r>
        <w:rPr>
          <w:rFonts w:ascii="Arial" w:cs="Arial" w:eastAsia="Arial" w:hAnsi="Arial"/>
          <w:sz w:val="17"/>
          <w:szCs w:val="17"/>
          <w:b w:val="1"/>
          <w:bCs w:val="1"/>
          <w:color w:val="auto"/>
        </w:rPr>
        <w:t xml:space="preserve">Cable Television Division. </w:t>
      </w:r>
      <w:r>
        <w:rPr>
          <w:rFonts w:ascii="Arial" w:cs="Arial" w:eastAsia="Arial" w:hAnsi="Arial"/>
          <w:sz w:val="17"/>
          <w:szCs w:val="17"/>
          <w:color w:val="auto"/>
        </w:rPr>
        <w:t>Cable television division revenue for 2011 increased slightly to $760.2 million, from $759.9 million in 2010. The revenue r</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continued growth of the division’s Internet and telephone service revenues, offset by an increase in promotional discounts and a decline in basi video subscribers.</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Cable television division operating income in 2011 decreased to $156.8 million, from $163.9 million in 2010. The cable television division’s operating in for 2011 declined primarily due to increased programming, technical and sales costs. Operating margin at the cable television division was 21% in 201 22% in 2010.</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At December 31, 2011, Primary Service Units (PSUs) were up 2% from the prior year due to growth in high-speed data and telephony subscribers, off a decrease in basic video subscribers. A summary of PSUs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60" w:type="dxa"/>
            <w:vAlign w:val="bottom"/>
          </w:tcPr>
          <w:p>
            <w:pPr>
              <w:spacing w:after="0"/>
              <w:rPr>
                <w:sz w:val="13"/>
                <w:szCs w:val="13"/>
                <w:color w:val="auto"/>
              </w:rPr>
            </w:pPr>
          </w:p>
        </w:tc>
        <w:tc>
          <w:tcPr>
            <w:tcW w:w="1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As of December 31,</w:t>
            </w:r>
          </w:p>
        </w:tc>
      </w:tr>
      <w:tr>
        <w:trPr>
          <w:trHeight w:val="129"/>
        </w:trPr>
        <w:tc>
          <w:tcPr>
            <w:tcW w:w="9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50"/>
              <w:spacing w:after="0" w:line="129" w:lineRule="exact"/>
              <w:rPr>
                <w:sz w:val="20"/>
                <w:szCs w:val="20"/>
                <w:color w:val="auto"/>
              </w:rPr>
            </w:pPr>
            <w:r>
              <w:rPr>
                <w:rFonts w:ascii="Arial" w:cs="Arial" w:eastAsia="Arial" w:hAnsi="Arial"/>
                <w:sz w:val="12"/>
                <w:szCs w:val="12"/>
                <w:b w:val="1"/>
                <w:bCs w:val="1"/>
                <w:color w:val="auto"/>
              </w:rPr>
              <w:t>2011</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916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260" w:type="dxa"/>
            <w:vAlign w:val="bottom"/>
          </w:tcPr>
          <w:p>
            <w:pPr>
              <w:jc w:val="right"/>
              <w:ind w:right="210"/>
              <w:spacing w:after="0" w:line="150" w:lineRule="exact"/>
              <w:rPr>
                <w:sz w:val="20"/>
                <w:szCs w:val="20"/>
                <w:color w:val="auto"/>
              </w:rPr>
            </w:pPr>
            <w:r>
              <w:rPr>
                <w:rFonts w:ascii="Arial" w:cs="Arial" w:eastAsia="Arial" w:hAnsi="Arial"/>
                <w:sz w:val="15"/>
                <w:szCs w:val="15"/>
                <w:b w:val="1"/>
                <w:bCs w:val="1"/>
                <w:color w:val="auto"/>
              </w:rPr>
              <w:t>621,423</w:t>
            </w: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9160" w:type="dxa"/>
            <w:vAlign w:val="bottom"/>
          </w:tcPr>
          <w:p>
            <w:pPr>
              <w:spacing w:after="0"/>
              <w:rPr>
                <w:sz w:val="20"/>
                <w:szCs w:val="20"/>
                <w:color w:val="auto"/>
              </w:rPr>
            </w:pPr>
            <w:r>
              <w:rPr>
                <w:rFonts w:ascii="Arial" w:cs="Arial" w:eastAsia="Arial" w:hAnsi="Arial"/>
                <w:sz w:val="15"/>
                <w:szCs w:val="15"/>
                <w:color w:val="auto"/>
              </w:rPr>
              <w:t>High-speed data</w:t>
            </w:r>
          </w:p>
        </w:tc>
        <w:tc>
          <w:tcPr>
            <w:tcW w:w="1260" w:type="dxa"/>
            <w:vAlign w:val="bottom"/>
          </w:tcPr>
          <w:p>
            <w:pPr>
              <w:jc w:val="right"/>
              <w:ind w:right="210"/>
              <w:spacing w:after="0"/>
              <w:rPr>
                <w:sz w:val="20"/>
                <w:szCs w:val="20"/>
                <w:color w:val="auto"/>
              </w:rPr>
            </w:pPr>
            <w:r>
              <w:rPr>
                <w:rFonts w:ascii="Arial" w:cs="Arial" w:eastAsia="Arial" w:hAnsi="Arial"/>
                <w:sz w:val="15"/>
                <w:szCs w:val="15"/>
                <w:b w:val="1"/>
                <w:bCs w:val="1"/>
                <w:color w:val="auto"/>
              </w:rPr>
              <w:t>451,082</w:t>
            </w: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9160" w:type="dxa"/>
            <w:vAlign w:val="bottom"/>
          </w:tcPr>
          <w:p>
            <w:pPr>
              <w:spacing w:after="0"/>
              <w:rPr>
                <w:sz w:val="20"/>
                <w:szCs w:val="20"/>
                <w:color w:val="auto"/>
              </w:rPr>
            </w:pPr>
            <w:r>
              <w:rPr>
                <w:rFonts w:ascii="Arial" w:cs="Arial" w:eastAsia="Arial" w:hAnsi="Arial"/>
                <w:sz w:val="15"/>
                <w:szCs w:val="15"/>
                <w:color w:val="auto"/>
              </w:rPr>
              <w:t>Telephony</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5"/>
                <w:szCs w:val="15"/>
                <w:b w:val="1"/>
                <w:bCs w:val="1"/>
                <w:color w:val="auto"/>
              </w:rPr>
              <w:t>179,989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260" w:type="dxa"/>
            <w:vAlign w:val="bottom"/>
            <w:tcBorders>
              <w:bottom w:val="single" w:sz="8" w:color="auto"/>
            </w:tcBorders>
          </w:tcPr>
          <w:p>
            <w:pPr>
              <w:jc w:val="right"/>
              <w:ind w:right="210"/>
              <w:spacing w:after="0" w:line="167" w:lineRule="exact"/>
              <w:rPr>
                <w:sz w:val="20"/>
                <w:szCs w:val="20"/>
                <w:color w:val="auto"/>
              </w:rPr>
            </w:pPr>
            <w:r>
              <w:rPr>
                <w:rFonts w:ascii="Arial" w:cs="Arial" w:eastAsia="Arial" w:hAnsi="Arial"/>
                <w:sz w:val="15"/>
                <w:szCs w:val="15"/>
                <w:b w:val="1"/>
                <w:bCs w:val="1"/>
                <w:color w:val="auto"/>
              </w:rPr>
              <w:t>1,252,494</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9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PSUs include about 6,300 subscribers who receive free basic cable service, primarily local governments, schools and other organizations as required various franchise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Below are details of the cable television division’s capital expenditures for 2011 and 2010 in the NCTA Standard Reporting Categories: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50"/>
        </w:trPr>
        <w:tc>
          <w:tcPr>
            <w:tcW w:w="904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28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127"/>
              <w:spacing w:after="0" w:line="150" w:lineRule="exact"/>
              <w:rPr>
                <w:sz w:val="20"/>
                <w:szCs w:val="20"/>
                <w:color w:val="auto"/>
              </w:rPr>
            </w:pPr>
            <w:r>
              <w:rPr>
                <w:rFonts w:ascii="Arial" w:cs="Arial" w:eastAsia="Arial" w:hAnsi="Arial"/>
                <w:sz w:val="15"/>
                <w:szCs w:val="15"/>
                <w:b w:val="1"/>
                <w:bCs w:val="1"/>
                <w:color w:val="auto"/>
              </w:rPr>
              <w:t>53,087</w:t>
            </w:r>
          </w:p>
        </w:tc>
        <w:tc>
          <w:tcPr>
            <w:tcW w:w="44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Commercial</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3,487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34,748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Line extensions</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6,318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Upgrade/rebuild</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12,951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0"/>
        </w:trPr>
        <w:tc>
          <w:tcPr>
            <w:tcW w:w="9040" w:type="dxa"/>
            <w:vAlign w:val="bottom"/>
          </w:tcPr>
          <w:p>
            <w:pPr>
              <w:spacing w:after="0"/>
              <w:rPr>
                <w:sz w:val="20"/>
                <w:szCs w:val="20"/>
                <w:color w:val="auto"/>
              </w:rPr>
            </w:pPr>
            <w:r>
              <w:rPr>
                <w:rFonts w:ascii="Arial" w:cs="Arial" w:eastAsia="Arial" w:hAnsi="Arial"/>
                <w:sz w:val="15"/>
                <w:szCs w:val="15"/>
                <w:color w:val="auto"/>
              </w:rPr>
              <w:t>Support capital</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32,582</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6"/>
        </w:trPr>
        <w:tc>
          <w:tcPr>
            <w:tcW w:w="90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143,173</w:t>
            </w:r>
          </w:p>
        </w:tc>
        <w:tc>
          <w:tcPr>
            <w:tcW w:w="4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Newspaper Publishing Division. </w:t>
      </w:r>
      <w:r>
        <w:rPr>
          <w:rFonts w:ascii="Arial" w:cs="Arial" w:eastAsia="Arial" w:hAnsi="Arial"/>
          <w:sz w:val="17"/>
          <w:szCs w:val="17"/>
          <w:color w:val="auto"/>
        </w:rPr>
        <w:t>Newspaper publishing division revenue in 2011 declined 5% to $ 648.0 million, from $680.4 million in 2010. Print</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revenue at the Post in 2011 declined 11% to $264.5 million, from $297.9 million in 2010. The decline is largely due to reductions in classifi zoned and general advertising. Revenue generated by the Company’s newspaper online publishing activities, primarily washingtonpost.com and Slate decreased 8% to $105.8 million, from $114.8 million in 2010. Display online advertising revenue declined 11% in 2011, and online classified advertisin revenue decreased 2% in 2011. The revenue declines from print advertising and newspaper online publishing activities were partially offset by increas revenue from new lines of business in 2011.</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Daily circulation at the Post declined 6.3%, and Sunday circulation declined 4.0% in 2011. For 2011, average daily circulation at the Post totaled 516,2 (unaudited) and average Sunday circulation totaled 732,300 (unaudited).</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newspaper publishing division reported an operating loss of $ 18.2 million in 2011, compared to an operating loss of $9.8 million in 2010. As previ disclosed, The Herald recorded a $2.4 million charge in the fourth quarter of 2011 in connection with its withdrawal from the CWA-ITU Negotiated Pen Plan (CWA-ITU Plan); in 2010, the Post recorded a $ 20.4 million charge in connection with its withdrawal from the CWA-ITU Plan. Excluding these ch and a $3.1 million loss recorded on an office lease in the first quarter of 2010, operating results declined in 2011 due to the revenue reductions discus above, offset by a small decrease in overall costs. Newsprint expense was down 7% in 2011 due to a decline in newsprint consumption.</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 xml:space="preserve">Television Broadcasting Division. </w:t>
      </w:r>
      <w:r>
        <w:rPr>
          <w:rFonts w:ascii="Arial" w:cs="Arial" w:eastAsia="Arial" w:hAnsi="Arial"/>
          <w:sz w:val="17"/>
          <w:szCs w:val="17"/>
          <w:color w:val="auto"/>
        </w:rPr>
        <w:t>Revenue for the television broadcasting division declined 7% to $ 319.2 million in 2011, from $342.2 million in 20</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broadcasting division operating income for 2011 declined 4% to $117.1 million, from $121.3 million in 2010.</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decline in revenue is due primarily to the absence of $4.7 million in incremental winter Olympics-related advertising in the first quarter of 2010 and $32.8 million decrease in political advertising revenue for 2011. For 2011, operating results declined as a result of revenue reductions discussed abov offset by expense reductions from various cost control initiatives. Operating margin at the television broadcasting division was 37% in 2011 and 35% i 2010.</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6" w:right="139" w:bottom="1440" w:gutter="0" w:footer="0" w:header="0"/>
        </w:sectPr>
      </w:pPr>
    </w:p>
    <w:bookmarkStart w:id="60" w:name="page61"/>
    <w:bookmarkEnd w:id="60"/>
    <w:p>
      <w:pPr>
        <w:ind w:right="80"/>
        <w:spacing w:after="0" w:line="235" w:lineRule="auto"/>
        <w:rPr>
          <w:sz w:val="20"/>
          <w:szCs w:val="20"/>
          <w:color w:val="auto"/>
        </w:rPr>
      </w:pPr>
      <w:r>
        <w:rPr>
          <w:rFonts w:ascii="Arial" w:cs="Arial" w:eastAsia="Arial" w:hAnsi="Arial"/>
          <w:sz w:val="17"/>
          <w:szCs w:val="17"/>
          <w:color w:val="auto"/>
        </w:rPr>
        <w:t>KSAT in San Antonio ranked number one in the November 2011 ratings period, Monday through Friday, sign-on to sign-off; WPLG in Miami, WJXT in Jacksonville and WKMG in Orlando ranked second; and WDIV in Detroit and KPRC in Houston ranked third.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Other businesses includes the operating results of Avenue100 Media Solutions, the Company’s digital marketing business that s</w:t>
      </w:r>
      <w:r>
        <w:rPr>
          <w:rFonts w:ascii="Arial" w:cs="Arial" w:eastAsia="Arial" w:hAnsi="Arial"/>
          <w:sz w:val="17"/>
          <w:szCs w:val="17"/>
          <w:b w:val="1"/>
          <w:bCs w:val="1"/>
          <w:color w:val="auto"/>
        </w:rPr>
        <w:t xml:space="preserve"> </w:t>
      </w:r>
      <w:r>
        <w:rPr>
          <w:rFonts w:ascii="Arial" w:cs="Arial" w:eastAsia="Arial" w:hAnsi="Arial"/>
          <w:sz w:val="17"/>
          <w:szCs w:val="17"/>
          <w:color w:val="auto"/>
        </w:rPr>
        <w:t>leads for academic institutions and recruiting organizations, and other small businesses. In 2011, revenues declined substantially due to volume declin a result of changes implemented at Avenue100 Media Solutions to improve lead quality. Goodwill and other intangible assets impairment charges of $ million and $27.5 million were recorded at Avenue100 Media Solutions in 2011 and 2010, respectively. Excluding these charges, operating losses incr in 2011 due to the revenue declines discussed above and increased costs at other small businesses.</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 xml:space="preserve">Corporate Office. </w:t>
      </w:r>
      <w:r>
        <w:rPr>
          <w:rFonts w:ascii="Arial" w:cs="Arial" w:eastAsia="Arial" w:hAnsi="Arial"/>
          <w:sz w:val="17"/>
          <w:szCs w:val="17"/>
          <w:color w:val="auto"/>
        </w:rPr>
        <w:t>Corporate office includes the expenses of the Company’s corporate office as well as the pension credit previously reported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magazine publishing division (refer to Discontinued Operations discussion below). In the fourth quarter of 2010, certain Kaplan operations moved to th former Newsweek headquarters facility. In connection with this move, $11.5 million in lease termination and other charges were recorded by the corpo office in the fourth quarter of 2010.</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Equity in Losses of Affiliates. </w:t>
      </w:r>
      <w:r>
        <w:rPr>
          <w:rFonts w:ascii="Arial" w:cs="Arial" w:eastAsia="Arial" w:hAnsi="Arial"/>
          <w:sz w:val="17"/>
          <w:szCs w:val="17"/>
          <w:color w:val="auto"/>
        </w:rPr>
        <w:t>The Company holds a 49% interest in Bowater Mersey Paper Company, a 16.5% interest in Classified Ventures, LLC</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in several other affiliates. The Company’s equity in earnings of affiliates for 2011 was $5.9 million, compared with losses of $4.1 million in 20 The results for 2011 reflect improved earnings at the Company’s Classified Ventures affiliate and other affiliates, offset by a $9.2 million impairment ch recorded in 2011 on the Company’s interest in Bowater Mersey Paper Company.</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Other Non-Operating (Expense) Income. </w:t>
      </w:r>
      <w:r>
        <w:rPr>
          <w:rFonts w:ascii="Arial" w:cs="Arial" w:eastAsia="Arial" w:hAnsi="Arial"/>
          <w:sz w:val="17"/>
          <w:szCs w:val="17"/>
          <w:color w:val="auto"/>
        </w:rPr>
        <w:t>The Company recorded other non-operating expense, net, of $55.2 million in 2011, compared to other no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net, of $7.5 million in 2010.</w:t>
      </w:r>
    </w:p>
    <w:p>
      <w:pPr>
        <w:spacing w:after="0" w:line="163"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The 2011 non-operating expense, net, included a $ 53.8 million write-down of a marketable equity security (Corinthian Colleges, Inc.), $3.3 million in unrealized foreign currency losses and other items. The 2010 non-operating income, net, included $6.7 million in unrealized foreign currency gains.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for the years ended December 31, 2011 and January 2, 2011, is as follows:</w:t>
      </w:r>
    </w:p>
    <w:p>
      <w:pPr>
        <w:sectPr>
          <w:pgSz w:w="11900" w:h="16838" w:orient="portrait"/>
          <w:cols w:equalWidth="0" w:num="1">
            <w:col w:w="10940"/>
          </w:cols>
          <w:pgMar w:left="820" w:top="585" w:right="1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9532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Impairment write-down of a marketable equity security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(losses) gains,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Gain on sale of a cost method investment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Impairment write-down on a cost method investment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Other, net</w:t>
      </w:r>
    </w:p>
    <w:p>
      <w:pPr>
        <w:spacing w:after="0" w:line="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360"/>
        <w:spacing w:after="0"/>
        <w:tabs>
          <w:tab w:leader="none" w:pos="1700" w:val="left"/>
        </w:tabs>
        <w:rPr>
          <w:sz w:val="20"/>
          <w:szCs w:val="20"/>
          <w:color w:val="auto"/>
        </w:rPr>
      </w:pPr>
      <w:r>
        <w:rPr>
          <w:rFonts w:ascii="Arial" w:cs="Arial" w:eastAsia="Arial" w:hAnsi="Arial"/>
          <w:sz w:val="12"/>
          <w:szCs w:val="12"/>
          <w:b w:val="1"/>
          <w:bCs w:val="1"/>
          <w:color w:val="auto"/>
        </w:rPr>
        <w:t>2011</w:t>
      </w:r>
      <w:r>
        <w:rPr>
          <w:sz w:val="20"/>
          <w:szCs w:val="20"/>
          <w:color w:val="auto"/>
        </w:rPr>
        <w:tab/>
      </w:r>
      <w:r>
        <w:rPr>
          <w:rFonts w:ascii="Arial" w:cs="Arial" w:eastAsia="Arial" w:hAnsi="Arial"/>
          <w:sz w:val="12"/>
          <w:szCs w:val="12"/>
          <w:color w:val="auto"/>
        </w:rPr>
        <w:t>201</w:t>
      </w:r>
    </w:p>
    <w:p>
      <w:pPr>
        <w:spacing w:after="0" w:line="24" w:lineRule="exact"/>
        <w:rPr>
          <w:sz w:val="20"/>
          <w:szCs w:val="20"/>
          <w:color w:val="auto"/>
        </w:rPr>
      </w:pPr>
    </w:p>
    <w:p>
      <w:pPr>
        <w:spacing w:after="0"/>
        <w:tabs>
          <w:tab w:leader="none" w:pos="420" w:val="left"/>
          <w:tab w:leader="none" w:pos="1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(53,793)</w:t>
      </w:r>
      <w:r>
        <w:rPr>
          <w:sz w:val="20"/>
          <w:szCs w:val="20"/>
          <w:color w:val="auto"/>
        </w:rPr>
        <w:tab/>
      </w:r>
      <w:r>
        <w:rPr>
          <w:rFonts w:ascii="Arial" w:cs="Arial" w:eastAsia="Arial" w:hAnsi="Arial"/>
          <w:sz w:val="14"/>
          <w:szCs w:val="14"/>
          <w:color w:val="auto"/>
        </w:rPr>
        <w:t>$</w:t>
      </w:r>
    </w:p>
    <w:p>
      <w:pPr>
        <w:spacing w:after="0" w:line="4" w:lineRule="exact"/>
        <w:rPr>
          <w:sz w:val="20"/>
          <w:szCs w:val="20"/>
          <w:color w:val="auto"/>
        </w:rPr>
      </w:pPr>
    </w:p>
    <w:p>
      <w:pPr>
        <w:jc w:val="right"/>
        <w:ind w:right="920"/>
        <w:spacing w:after="0"/>
        <w:rPr>
          <w:sz w:val="20"/>
          <w:szCs w:val="20"/>
          <w:color w:val="auto"/>
        </w:rPr>
      </w:pPr>
      <w:r>
        <w:rPr>
          <w:rFonts w:ascii="Arial" w:cs="Arial" w:eastAsia="Arial" w:hAnsi="Arial"/>
          <w:sz w:val="15"/>
          <w:szCs w:val="15"/>
          <w:b w:val="1"/>
          <w:bCs w:val="1"/>
          <w:color w:val="auto"/>
        </w:rPr>
        <w:t>(3,263)</w:t>
      </w:r>
    </w:p>
    <w:p>
      <w:pPr>
        <w:spacing w:after="0" w:line="1" w:lineRule="exact"/>
        <w:rPr>
          <w:sz w:val="20"/>
          <w:szCs w:val="20"/>
          <w:color w:val="auto"/>
        </w:rPr>
      </w:pPr>
    </w:p>
    <w:p>
      <w:pPr>
        <w:jc w:val="right"/>
        <w:ind w:right="920"/>
        <w:spacing w:after="0"/>
        <w:rPr>
          <w:sz w:val="20"/>
          <w:szCs w:val="20"/>
          <w:color w:val="auto"/>
        </w:rPr>
      </w:pPr>
      <w:r>
        <w:rPr>
          <w:rFonts w:ascii="Arial" w:cs="Arial" w:eastAsia="Arial" w:hAnsi="Arial"/>
          <w:sz w:val="15"/>
          <w:szCs w:val="15"/>
          <w:b w:val="1"/>
          <w:bCs w:val="1"/>
          <w:color w:val="auto"/>
        </w:rPr>
        <w:t>4,031</w:t>
      </w:r>
    </w:p>
    <w:p>
      <w:pPr>
        <w:spacing w:after="0" w:line="1" w:lineRule="exact"/>
        <w:rPr>
          <w:sz w:val="20"/>
          <w:szCs w:val="20"/>
          <w:color w:val="auto"/>
        </w:rPr>
      </w:pPr>
    </w:p>
    <w:p>
      <w:pPr>
        <w:jc w:val="right"/>
        <w:ind w:right="920"/>
        <w:spacing w:after="0"/>
        <w:rPr>
          <w:sz w:val="20"/>
          <w:szCs w:val="20"/>
          <w:color w:val="auto"/>
        </w:rPr>
      </w:pPr>
      <w:r>
        <w:rPr>
          <w:rFonts w:ascii="Arial" w:cs="Arial" w:eastAsia="Arial" w:hAnsi="Arial"/>
          <w:sz w:val="15"/>
          <w:szCs w:val="15"/>
          <w:b w:val="1"/>
          <w:bCs w:val="1"/>
          <w:color w:val="auto"/>
        </w:rPr>
        <w:t>(3,612)</w:t>
      </w:r>
    </w:p>
    <w:p>
      <w:pPr>
        <w:spacing w:after="0" w:line="1" w:lineRule="exact"/>
        <w:rPr>
          <w:sz w:val="20"/>
          <w:szCs w:val="20"/>
          <w:color w:val="auto"/>
        </w:rPr>
      </w:pPr>
    </w:p>
    <w:p>
      <w:pPr>
        <w:jc w:val="right"/>
        <w:ind w:right="920"/>
        <w:spacing w:after="0"/>
        <w:rPr>
          <w:sz w:val="20"/>
          <w:szCs w:val="20"/>
          <w:color w:val="auto"/>
        </w:rPr>
      </w:pPr>
      <w:r>
        <w:rPr>
          <w:rFonts w:ascii="Arial" w:cs="Arial" w:eastAsia="Arial" w:hAnsi="Arial"/>
          <w:sz w:val="15"/>
          <w:szCs w:val="15"/>
          <w:b w:val="1"/>
          <w:bCs w:val="1"/>
          <w:color w:val="auto"/>
        </w:rPr>
        <w:t>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2084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8405" cy="7620"/>
                    </a:xfrm>
                    <a:prstGeom prst="rect">
                      <a:avLst/>
                    </a:prstGeom>
                    <a:noFill/>
                  </pic:spPr>
                </pic:pic>
              </a:graphicData>
            </a:graphic>
          </wp:anchor>
        </w:drawing>
      </w:r>
    </w:p>
    <w:p>
      <w:pPr>
        <w:spacing w:after="0"/>
        <w:tabs>
          <w:tab w:leader="none" w:pos="420" w:val="left"/>
          <w:tab w:leader="none" w:pos="13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(55,200)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120840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840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20320</wp:posOffset>
            </wp:positionV>
            <wp:extent cx="12084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8405" cy="762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8320" w:space="720"/>
            <w:col w:w="1900"/>
          </w:cols>
          <w:pgMar w:left="820" w:top="585" w:right="139" w:bottom="1440" w:gutter="0" w:footer="0" w:header="0"/>
          <w:type w:val="continuous"/>
        </w:sectPr>
      </w:pPr>
    </w:p>
    <w:p>
      <w:pPr>
        <w:spacing w:after="0" w:line="242" w:lineRule="auto"/>
        <w:rPr>
          <w:sz w:val="20"/>
          <w:szCs w:val="20"/>
          <w:color w:val="auto"/>
        </w:rPr>
      </w:pPr>
      <w:r>
        <w:rPr>
          <w:rFonts w:ascii="Arial" w:cs="Arial" w:eastAsia="Arial" w:hAnsi="Arial"/>
          <w:sz w:val="17"/>
          <w:szCs w:val="17"/>
          <w:b w:val="1"/>
          <w:bCs w:val="1"/>
          <w:color w:val="auto"/>
        </w:rPr>
        <w:t xml:space="preserve">Net Interest Expense. </w:t>
      </w:r>
      <w:r>
        <w:rPr>
          <w:rFonts w:ascii="Arial" w:cs="Arial" w:eastAsia="Arial" w:hAnsi="Arial"/>
          <w:sz w:val="17"/>
          <w:szCs w:val="17"/>
          <w:color w:val="auto"/>
        </w:rPr>
        <w:t>The Company incurred net interest expense of $29.1 million in 2011, compared to $27.9 million in 2010. At December 31, 201</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had $565.2 million in borrowings outstanding at an average interest rate of 5.7%; at January 2, 2011, the Company had $399.7 million in borrowings outstanding at an average interest rate of 7.2%.</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for income from continuing operations in 2011 was 44.2%. This effective tax rate was adversely impacted by $1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valuation allowances provided against deferred income tax benefits where realization is doubtful, and $4.5 million from nondeductible goodw connection with an impairment charge recorded in 2011. The effective tax rate benefited from lower rates at jurisdictions outside the United States.</w:t>
      </w:r>
    </w:p>
    <w:p>
      <w:pPr>
        <w:spacing w:after="0" w:line="15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effective tax rate for income from continuing operations in 2010 was 40.5%. This effective tax rate was adversely impacted by $16.8 million in valu allowances provided against deferred income tax benefits where realization is doubtful, and $9.1 million from nondeductible goodwill in connection wit impairment charge recorded in 2010; these items were offset by permanent U.S. Federal tax benefit items and tax benefits from lower rates at jurisdict outside the United States.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type w:val="continuous"/>
        </w:sectPr>
      </w:pPr>
    </w:p>
    <w:bookmarkStart w:id="61" w:name="page62"/>
    <w:bookmarkEnd w:id="61"/>
    <w:p>
      <w:pPr>
        <w:jc w:val="both"/>
        <w:ind w:left="9"/>
        <w:spacing w:after="0" w:line="24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On September 30, 2010, the Company completed the sale of Newsweek. In addition, Kaplan sold KCS in October 2011,</w:t>
      </w:r>
      <w:r>
        <w:rPr>
          <w:rFonts w:ascii="Arial" w:cs="Arial" w:eastAsia="Arial" w:hAnsi="Arial"/>
          <w:sz w:val="17"/>
          <w:szCs w:val="17"/>
          <w:b w:val="1"/>
          <w:bCs w:val="1"/>
          <w:color w:val="auto"/>
        </w:rPr>
        <w:t xml:space="preserve"> </w:t>
      </w:r>
      <w:r>
        <w:rPr>
          <w:rFonts w:ascii="Arial" w:cs="Arial" w:eastAsia="Arial" w:hAnsi="Arial"/>
          <w:sz w:val="17"/>
          <w:szCs w:val="17"/>
          <w:color w:val="auto"/>
        </w:rPr>
        <w:t>July 2011 and Education Connection in April 2010. Consequently, the Company’s income from continuing operations excludes these businesses, whic have been reclassified to discontinued operations, net of tax.</w:t>
      </w:r>
    </w:p>
    <w:p>
      <w:pPr>
        <w:spacing w:after="0" w:line="15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RESULTS OF OPERATIONS — 2010 COMPARED TO 2009</w:t>
      </w:r>
    </w:p>
    <w:p>
      <w:pPr>
        <w:spacing w:after="0" w:line="197"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Net income attributable to common shares was $277.2 million ($31.04 per share) for the fiscal year ended January 2, 2011, up from net income attribu to common shares of $91.8 million ($9.78 per share) for the fiscal year ended January 3, 2010. Net income includes $42.1 million ($4.71 per share) an $65.0 million ($6.92 per share) in losses from discontinued operations for fiscal year 2010 and 2009, respectively. Income from continuing operations attributable to common shares was $319.3 million ($35.75 per share) for fiscal year 2010, compared to $156.9 million ($16.70 per share) for fiscal yea 2009. As a result of the Company’s share repurchases, there were fewer diluted average shares outstanding in 2010.</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2010:</w:t>
      </w:r>
    </w:p>
    <w:p>
      <w:pPr>
        <w:spacing w:after="0" w:line="40" w:lineRule="exact"/>
        <w:rPr>
          <w:sz w:val="20"/>
          <w:szCs w:val="20"/>
          <w:color w:val="auto"/>
        </w:rPr>
      </w:pPr>
    </w:p>
    <w:p>
      <w:pPr>
        <w:ind w:left="289" w:right="60" w:hanging="289"/>
        <w:spacing w:after="0" w:line="235" w:lineRule="auto"/>
        <w:tabs>
          <w:tab w:leader="none" w:pos="2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$20.4 million charge recorded at the Post in connection with the withdrawal from a multiemployer pension plan (after-tax impact of $12.7 million, $1.38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$39.0 million in severance and restructuring charges (after-tax impact of $24.2 million, or $2.83 per share);</w:t>
      </w:r>
    </w:p>
    <w:p>
      <w:pPr>
        <w:spacing w:after="0" w:line="40" w:lineRule="exact"/>
        <w:rPr>
          <w:rFonts w:ascii="Arial" w:cs="Arial" w:eastAsia="Arial" w:hAnsi="Arial"/>
          <w:sz w:val="17"/>
          <w:szCs w:val="17"/>
          <w:color w:val="auto"/>
        </w:rPr>
      </w:pPr>
    </w:p>
    <w:p>
      <w:pPr>
        <w:ind w:left="289" w:hanging="289"/>
        <w:spacing w:after="0" w:line="235" w:lineRule="auto"/>
        <w:tabs>
          <w:tab w:leader="none" w:pos="2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$27.5 million goodwill and other intangible assets impairment charge at the Company’s online lead generation business, included in other busine (after-tax impact of $26.3 million, or $2.96 per share); and</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$6.7 million in non-operating unrealized foreign currency gains (after-tax impact of $4.2 million, or $0.47 per share).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2009:</w:t>
      </w:r>
    </w:p>
    <w:p>
      <w:pPr>
        <w:spacing w:after="0" w:line="40" w:lineRule="exact"/>
        <w:rPr>
          <w:sz w:val="20"/>
          <w:szCs w:val="20"/>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$57.9 million in early retirement program expense at the newspaper publishing division (after-tax impact of $35.9 million, or $3.82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$33.2 million in restructuring charges at Kaplan (after-tax impact of $20.6 million, or $2.19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$33.8 million in accelerated depreciation at the Post (after-tax impact of $21.0 million, or $2.23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$8.5 million goodwill impairment charge related to Kaplan Ventures (after-tax impact of $8.5 million, or $0.90 per share);</w:t>
      </w:r>
    </w:p>
    <w:p>
      <w:pPr>
        <w:spacing w:after="0" w:line="40" w:lineRule="exact"/>
        <w:rPr>
          <w:rFonts w:ascii="Arial" w:cs="Arial" w:eastAsia="Arial" w:hAnsi="Arial"/>
          <w:sz w:val="17"/>
          <w:szCs w:val="17"/>
          <w:color w:val="auto"/>
        </w:rPr>
      </w:pPr>
    </w:p>
    <w:p>
      <w:pPr>
        <w:ind w:left="289" w:hanging="289"/>
        <w:spacing w:after="0" w:line="235" w:lineRule="auto"/>
        <w:tabs>
          <w:tab w:leader="none" w:pos="2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$29.0 million decline in equity in earnings (losses) of affiliates associated with impairment charges at two of the Company’s affiliates (after-tax im of $18.8 million, or $2.00 per share); and</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$16.9 million in non-operating unrealized foreign currency gains (after-tax impact of $10.3 million, or $1.10 per share).</w:t>
      </w:r>
    </w:p>
    <w:p>
      <w:pPr>
        <w:spacing w:after="0" w:line="177" w:lineRule="exact"/>
        <w:rPr>
          <w:sz w:val="20"/>
          <w:szCs w:val="20"/>
          <w:color w:val="auto"/>
        </w:rPr>
      </w:pPr>
    </w:p>
    <w:p>
      <w:pPr>
        <w:ind w:left="9"/>
        <w:spacing w:after="0" w:line="246" w:lineRule="auto"/>
        <w:rPr>
          <w:sz w:val="20"/>
          <w:szCs w:val="20"/>
          <w:color w:val="auto"/>
        </w:rPr>
      </w:pPr>
      <w:r>
        <w:rPr>
          <w:rFonts w:ascii="Arial" w:cs="Arial" w:eastAsia="Arial" w:hAnsi="Arial"/>
          <w:sz w:val="16"/>
          <w:szCs w:val="16"/>
          <w:color w:val="auto"/>
        </w:rPr>
        <w:t>Revenue for 2010 was $ 4,684.0 million, up 8% compared to revenue of $4,326.0 million in 2009. The increase is due to strong revenue growth at the education and television broadcasting divisions, and increased revenue at the cable television division. In 2010, education revenue increased 11%, advertising revenue increased 7%, circulation and subscriber revenue increased 1% and other revenue increased 4%. Revenue growth at Kaplan accounted for the increase in education revenue. The increase in advertising revenue is due to increased revenues at the television broadcasting divis and increases in newspaper publishing online revenue, offset by declines in print advertising at The Washington Post. The increase in circulation and subscriber revenue is due to a 1% increase in subscriber revenue at the cable television division and a 4% increase in circulation revenue at the Post.</w:t>
      </w:r>
    </w:p>
    <w:p>
      <w:pPr>
        <w:spacing w:after="0" w:line="172"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Operating costs and expenses for the year increased 2% to $ 4,121.4 million in 2010, from $4,035.6 million in 2009. The increase is due to higher expe at the education, cable television and television broadcasting divisions, offset by reduced costs at the newspaper publishing division.</w:t>
      </w:r>
    </w:p>
    <w:p>
      <w:pPr>
        <w:spacing w:after="0" w:line="176"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Operating income for 2010 increased to $562.7 million, from $290.4 million in 2009, due to improved results at the education, newspaper publishing a television broadcasting divisions.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DIVISION RESULTS</w:t>
      </w:r>
    </w:p>
    <w:p>
      <w:pPr>
        <w:spacing w:after="0" w:line="177" w:lineRule="exact"/>
        <w:rPr>
          <w:sz w:val="20"/>
          <w:szCs w:val="20"/>
          <w:color w:val="auto"/>
        </w:rPr>
      </w:pPr>
    </w:p>
    <w:p>
      <w:pPr>
        <w:ind w:left="9" w:right="20"/>
        <w:spacing w:after="0" w:line="255" w:lineRule="auto"/>
        <w:rPr>
          <w:sz w:val="20"/>
          <w:szCs w:val="20"/>
          <w:color w:val="auto"/>
        </w:rPr>
      </w:pPr>
      <w:r>
        <w:rPr>
          <w:rFonts w:ascii="Arial" w:cs="Arial" w:eastAsia="Arial" w:hAnsi="Arial"/>
          <w:sz w:val="17"/>
          <w:szCs w:val="17"/>
          <w:b w:val="1"/>
          <w:bCs w:val="1"/>
          <w:color w:val="auto"/>
        </w:rPr>
        <w:t xml:space="preserve">Education Division. </w:t>
      </w:r>
      <w:r>
        <w:rPr>
          <w:rFonts w:ascii="Arial" w:cs="Arial" w:eastAsia="Arial" w:hAnsi="Arial"/>
          <w:sz w:val="17"/>
          <w:szCs w:val="17"/>
          <w:color w:val="auto"/>
        </w:rPr>
        <w:t>Education division revenue in 2010 increased to $ 2,862.3 million, an 11% increase from $2,576.2 million in 2009. Kaplan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of $346.7 million for 2010, compared to $227.3 million in 2009.</w:t>
      </w:r>
    </w:p>
    <w:p>
      <w:pPr>
        <w:spacing w:after="0" w:line="16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15" w:right="1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A summary of Kaplan’s operating results for 2010 compared to 2009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color w:val="auto"/>
              </w:rPr>
              <w:t>2010</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2009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Higher education</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1,905,038</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1,653,276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 excluding Score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314,879</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328,231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Score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8,557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585,924</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537,238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59,296</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57,210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5,537</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2,436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(8,395)</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(10,786)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2,862,279</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2,576,162</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Higher education</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406,880</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284,357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 excluding Score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(32,583)</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18,758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Score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(36,787)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56,152</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53,772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ventures</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(17,490)</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(9,286)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(44,586)</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(62,652)</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(21,406)</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(21,191)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(234)</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310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346,733</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227,281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sold KCS in October 2011, KVE in July 2011 and Education Connection in April 2010. Consequently, the education division’s operating results exclude these businesses.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Kaplan University School of Professional and Continuing Education. KHE revenue and operating income grew in 2010 due to enrollment growth, improved student retention and increased margins during most of 2010. KHE also benefited from improved results at the Kaplan University School of Professional and Continuing Education, primarily due to expense reductions; total restructuring-related expenses of $8.3 million w recorded in 2009. The increased operating results were offset by a $9.3 million charge for severance costs associated with a workforce reduction, incr regulatory compliance costs and the implementation of the Kaplan Commitment program (discussed below).</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During the fourth quarter of 2010, KHE phased in a new program, the Kaplan Commitment. Under this program, new students enroll in classes for sev weeks and assess whether their educational experience meets their needs and expectations before incurring any significant financial obligation. Kapla conducts academic assessments to help determine whether students are likely to be successful in their chosen course of study. Students who choose withdraw from the program during this time frame (“risk-free period”) and students who do not pass the academic evaluation do not have to pay for the coursework. In general, the risk-free period is approximately four weeks for diploma programs and five weeks for associate’s and bachelor’s degrees. on historical student withdrawal and performance patterns and assuming students who withdrew during early academic terms would have instead ava themselves of the Kaplan Commitment, management estimates that KHE revenues would have been approximately $140.0 million less in 2010 had th Kaplan Commitment commenced on January 1, 2010. For those first-time students enrolled to date under the Kaplan Commitment program, the attriti during the entire risk-free period has been approximately 28%, a majority of which is due to Kaplan’s dismissal of students from the program because students’ lack of academic progress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Student enrollments at December 31, 2010, excluding the Kaplan University School of Professional and Continuing Education, were down 8% compar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2009,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2"/>
                <w:szCs w:val="12"/>
                <w:b w:val="1"/>
                <w:bCs w:val="1"/>
                <w:color w:val="auto"/>
              </w:rPr>
              <w:t>As of December 31,</w:t>
            </w:r>
          </w:p>
        </w:tc>
        <w:tc>
          <w:tcPr>
            <w:tcW w:w="540" w:type="dxa"/>
            <w:vAlign w:val="bottom"/>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1"/>
              <w:spacing w:after="0" w:line="129" w:lineRule="exact"/>
              <w:rPr>
                <w:sz w:val="20"/>
                <w:szCs w:val="20"/>
                <w:color w:val="auto"/>
              </w:rPr>
            </w:pPr>
            <w:r>
              <w:rPr>
                <w:rFonts w:ascii="Arial" w:cs="Arial" w:eastAsia="Arial" w:hAnsi="Arial"/>
                <w:sz w:val="12"/>
                <w:szCs w:val="12"/>
                <w:color w:val="auto"/>
              </w:rPr>
              <w:t>2010</w:t>
            </w:r>
          </w:p>
        </w:tc>
        <w:tc>
          <w:tcPr>
            <w:tcW w:w="7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2"/>
                <w:szCs w:val="12"/>
                <w:color w:val="auto"/>
              </w:rPr>
              <w:t>2009</w:t>
            </w:r>
          </w:p>
        </w:tc>
        <w:tc>
          <w:tcPr>
            <w:tcW w:w="5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color w:val="auto"/>
              </w:rPr>
              <w:t>% C</w:t>
            </w: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color w:val="auto"/>
              </w:rPr>
              <w:t>Kaplan University</w:t>
            </w:r>
          </w:p>
        </w:tc>
        <w:tc>
          <w:tcPr>
            <w:tcW w:w="960" w:type="dxa"/>
            <w:vAlign w:val="bottom"/>
          </w:tcPr>
          <w:p>
            <w:pPr>
              <w:jc w:val="right"/>
              <w:ind w:right="131"/>
              <w:spacing w:after="0" w:line="168" w:lineRule="exact"/>
              <w:rPr>
                <w:sz w:val="20"/>
                <w:szCs w:val="20"/>
                <w:color w:val="auto"/>
              </w:rPr>
            </w:pPr>
            <w:r>
              <w:rPr>
                <w:rFonts w:ascii="Arial" w:cs="Arial" w:eastAsia="Arial" w:hAnsi="Arial"/>
                <w:sz w:val="15"/>
                <w:szCs w:val="15"/>
                <w:color w:val="auto"/>
              </w:rPr>
              <w:t>65,643</w:t>
            </w:r>
          </w:p>
        </w:tc>
        <w:tc>
          <w:tcPr>
            <w:tcW w:w="760" w:type="dxa"/>
            <w:vAlign w:val="bottom"/>
          </w:tcPr>
          <w:p>
            <w:pPr>
              <w:jc w:val="right"/>
              <w:spacing w:after="0" w:line="168" w:lineRule="exact"/>
              <w:rPr>
                <w:sz w:val="20"/>
                <w:szCs w:val="20"/>
                <w:color w:val="auto"/>
              </w:rPr>
            </w:pPr>
            <w:r>
              <w:rPr>
                <w:rFonts w:ascii="Arial" w:cs="Arial" w:eastAsia="Arial" w:hAnsi="Arial"/>
                <w:sz w:val="15"/>
                <w:szCs w:val="15"/>
                <w:color w:val="auto"/>
              </w:rPr>
              <w:t>67,794</w:t>
            </w:r>
          </w:p>
        </w:tc>
        <w:tc>
          <w:tcPr>
            <w:tcW w:w="540" w:type="dxa"/>
            <w:vAlign w:val="bottom"/>
          </w:tcPr>
          <w:p>
            <w:pPr>
              <w:spacing w:after="0"/>
              <w:rPr>
                <w:sz w:val="14"/>
                <w:szCs w:val="14"/>
                <w:color w:val="auto"/>
              </w:rPr>
            </w:pPr>
          </w:p>
        </w:tc>
      </w:tr>
      <w:tr>
        <w:trPr>
          <w:trHeight w:val="172"/>
        </w:trPr>
        <w:tc>
          <w:tcPr>
            <w:tcW w:w="8680" w:type="dxa"/>
            <w:vAlign w:val="bottom"/>
          </w:tcPr>
          <w:p>
            <w:pPr>
              <w:spacing w:after="0"/>
              <w:rPr>
                <w:sz w:val="20"/>
                <w:szCs w:val="20"/>
                <w:color w:val="auto"/>
              </w:rPr>
            </w:pPr>
            <w:r>
              <w:rPr>
                <w:rFonts w:ascii="Arial" w:cs="Arial" w:eastAsia="Arial" w:hAnsi="Arial"/>
                <w:sz w:val="15"/>
                <w:szCs w:val="15"/>
                <w:color w:val="auto"/>
              </w:rPr>
              <w:t>KHE Campuses</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color w:val="auto"/>
              </w:rPr>
              <w:t>31,058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37,093</w:t>
            </w:r>
          </w:p>
        </w:tc>
        <w:tc>
          <w:tcPr>
            <w:tcW w:w="540" w:type="dxa"/>
            <w:vAlign w:val="bottom"/>
          </w:tcPr>
          <w:p>
            <w:pPr>
              <w:spacing w:after="0"/>
              <w:rPr>
                <w:sz w:val="14"/>
                <w:szCs w:val="14"/>
                <w:color w:val="auto"/>
              </w:rPr>
            </w:pPr>
          </w:p>
        </w:tc>
      </w:tr>
      <w:tr>
        <w:trPr>
          <w:trHeight w:val="166"/>
        </w:trPr>
        <w:tc>
          <w:tcPr>
            <w:tcW w:w="8680" w:type="dxa"/>
            <w:vAlign w:val="bottom"/>
          </w:tcPr>
          <w:p>
            <w:pPr>
              <w:spacing w:after="0"/>
              <w:rPr>
                <w:sz w:val="14"/>
                <w:szCs w:val="14"/>
                <w:color w:val="auto"/>
              </w:rPr>
            </w:pPr>
          </w:p>
        </w:tc>
        <w:tc>
          <w:tcPr>
            <w:tcW w:w="96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color w:val="auto"/>
              </w:rPr>
              <w:t>96,701</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104,887</w:t>
            </w:r>
          </w:p>
        </w:tc>
        <w:tc>
          <w:tcPr>
            <w:tcW w:w="54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response to newly enacted and proposed regulations, KHE has proactively implemented a number of marketing and admission changes, the effect which raises student selectivity. New student enrollments at KHE declined 47% in the fourth quarter of 2010 compared to the same period of 2009, mo due to these marketing and admission changes,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63" w:name="page64"/>
    <w:bookmarkEnd w:id="63"/>
    <w:p>
      <w:pPr>
        <w:jc w:val="both"/>
        <w:ind w:right="20"/>
        <w:spacing w:after="0" w:line="235" w:lineRule="auto"/>
        <w:rPr>
          <w:sz w:val="20"/>
          <w:szCs w:val="20"/>
          <w:color w:val="auto"/>
        </w:rPr>
      </w:pPr>
      <w:r>
        <w:rPr>
          <w:rFonts w:ascii="Arial" w:cs="Arial" w:eastAsia="Arial" w:hAnsi="Arial"/>
          <w:sz w:val="17"/>
          <w:szCs w:val="17"/>
          <w:color w:val="auto"/>
        </w:rPr>
        <w:t>along with overall weaker demand. New student enrollments were also adversely impacted by the number of students who did not continue beyond th free period.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Kaplan University and KHE Campuses enrollments at December 31, 2010, and December 31, 2009, by degree and certificate programs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48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w:t>
            </w:r>
          </w:p>
        </w:tc>
      </w:tr>
      <w:tr>
        <w:trPr>
          <w:trHeight w:val="129"/>
        </w:trPr>
        <w:tc>
          <w:tcPr>
            <w:tcW w:w="9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9"/>
              <w:spacing w:after="0" w:line="129" w:lineRule="exact"/>
              <w:rPr>
                <w:sz w:val="20"/>
                <w:szCs w:val="20"/>
                <w:color w:val="auto"/>
              </w:rPr>
            </w:pPr>
            <w:r>
              <w:rPr>
                <w:rFonts w:ascii="Arial" w:cs="Arial" w:eastAsia="Arial" w:hAnsi="Arial"/>
                <w:sz w:val="12"/>
                <w:szCs w:val="12"/>
                <w:color w:val="auto"/>
              </w:rPr>
              <w:t>2010</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68"/>
        </w:trPr>
        <w:tc>
          <w:tcPr>
            <w:tcW w:w="9480" w:type="dxa"/>
            <w:vAlign w:val="bottom"/>
          </w:tcPr>
          <w:p>
            <w:pPr>
              <w:spacing w:after="0" w:line="168" w:lineRule="exact"/>
              <w:rPr>
                <w:sz w:val="20"/>
                <w:szCs w:val="20"/>
                <w:color w:val="auto"/>
              </w:rPr>
            </w:pPr>
            <w:r>
              <w:rPr>
                <w:rFonts w:ascii="Arial" w:cs="Arial" w:eastAsia="Arial" w:hAnsi="Arial"/>
                <w:sz w:val="15"/>
                <w:szCs w:val="15"/>
                <w:color w:val="auto"/>
              </w:rPr>
              <w:t>Certificate</w:t>
            </w:r>
          </w:p>
        </w:tc>
        <w:tc>
          <w:tcPr>
            <w:tcW w:w="1060" w:type="dxa"/>
            <w:vAlign w:val="bottom"/>
          </w:tcPr>
          <w:p>
            <w:pPr>
              <w:jc w:val="right"/>
              <w:ind w:right="149"/>
              <w:spacing w:after="0" w:line="168" w:lineRule="exact"/>
              <w:rPr>
                <w:sz w:val="20"/>
                <w:szCs w:val="20"/>
                <w:color w:val="auto"/>
              </w:rPr>
            </w:pPr>
            <w:r>
              <w:rPr>
                <w:rFonts w:ascii="Arial" w:cs="Arial" w:eastAsia="Arial" w:hAnsi="Arial"/>
                <w:sz w:val="15"/>
                <w:szCs w:val="15"/>
                <w:color w:val="auto"/>
              </w:rPr>
              <w:t>23.6 %</w:t>
            </w:r>
          </w:p>
        </w:tc>
        <w:tc>
          <w:tcPr>
            <w:tcW w:w="400" w:type="dxa"/>
            <w:vAlign w:val="bottom"/>
          </w:tcPr>
          <w:p>
            <w:pPr>
              <w:jc w:val="right"/>
              <w:spacing w:after="0" w:line="168" w:lineRule="exact"/>
              <w:rPr>
                <w:sz w:val="20"/>
                <w:szCs w:val="20"/>
                <w:color w:val="auto"/>
              </w:rPr>
            </w:pPr>
            <w:r>
              <w:rPr>
                <w:rFonts w:ascii="Arial" w:cs="Arial" w:eastAsia="Arial" w:hAnsi="Arial"/>
                <w:sz w:val="15"/>
                <w:szCs w:val="15"/>
                <w:color w:val="auto"/>
              </w:rPr>
              <w:t>2</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Associate’s</w:t>
            </w:r>
          </w:p>
        </w:tc>
        <w:tc>
          <w:tcPr>
            <w:tcW w:w="1060" w:type="dxa"/>
            <w:vAlign w:val="bottom"/>
          </w:tcPr>
          <w:p>
            <w:pPr>
              <w:jc w:val="right"/>
              <w:ind w:right="149"/>
              <w:spacing w:after="0"/>
              <w:rPr>
                <w:sz w:val="20"/>
                <w:szCs w:val="20"/>
                <w:color w:val="auto"/>
              </w:rPr>
            </w:pPr>
            <w:r>
              <w:rPr>
                <w:rFonts w:ascii="Arial" w:cs="Arial" w:eastAsia="Arial" w:hAnsi="Arial"/>
                <w:sz w:val="15"/>
                <w:szCs w:val="15"/>
                <w:color w:val="auto"/>
              </w:rPr>
              <w:t>33.8 %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Bachelor’s</w:t>
            </w:r>
          </w:p>
        </w:tc>
        <w:tc>
          <w:tcPr>
            <w:tcW w:w="1060" w:type="dxa"/>
            <w:vAlign w:val="bottom"/>
          </w:tcPr>
          <w:p>
            <w:pPr>
              <w:jc w:val="right"/>
              <w:ind w:right="149"/>
              <w:spacing w:after="0"/>
              <w:rPr>
                <w:sz w:val="20"/>
                <w:szCs w:val="20"/>
                <w:color w:val="auto"/>
              </w:rPr>
            </w:pPr>
            <w:r>
              <w:rPr>
                <w:rFonts w:ascii="Arial" w:cs="Arial" w:eastAsia="Arial" w:hAnsi="Arial"/>
                <w:sz w:val="15"/>
                <w:szCs w:val="15"/>
                <w:color w:val="auto"/>
              </w:rPr>
              <w:t>35.1 %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9480" w:type="dxa"/>
            <w:vAlign w:val="bottom"/>
          </w:tcPr>
          <w:p>
            <w:pPr>
              <w:spacing w:after="0"/>
              <w:rPr>
                <w:sz w:val="20"/>
                <w:szCs w:val="20"/>
                <w:color w:val="auto"/>
              </w:rPr>
            </w:pPr>
            <w:r>
              <w:rPr>
                <w:rFonts w:ascii="Arial" w:cs="Arial" w:eastAsia="Arial" w:hAnsi="Arial"/>
                <w:sz w:val="15"/>
                <w:szCs w:val="15"/>
                <w:color w:val="auto"/>
              </w:rPr>
              <w:t>Master’s</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7.5 %</w:t>
            </w:r>
          </w:p>
        </w:tc>
        <w:tc>
          <w:tcPr>
            <w:tcW w:w="400" w:type="dxa"/>
            <w:vAlign w:val="bottom"/>
            <w:tcBorders>
              <w:bottom w:val="single" w:sz="8" w:color="auto"/>
            </w:tcBorders>
          </w:tcPr>
          <w:p>
            <w:pPr>
              <w:spacing w:after="0"/>
              <w:rPr>
                <w:sz w:val="14"/>
                <w:szCs w:val="14"/>
                <w:color w:val="auto"/>
              </w:rPr>
            </w:pPr>
          </w:p>
        </w:tc>
      </w:tr>
      <w:tr>
        <w:trPr>
          <w:trHeight w:val="166"/>
        </w:trPr>
        <w:tc>
          <w:tcPr>
            <w:tcW w:w="9480" w:type="dxa"/>
            <w:vAlign w:val="bottom"/>
          </w:tcPr>
          <w:p>
            <w:pPr>
              <w:spacing w:after="0"/>
              <w:rPr>
                <w:sz w:val="14"/>
                <w:szCs w:val="14"/>
                <w:color w:val="auto"/>
              </w:rPr>
            </w:pPr>
          </w:p>
        </w:tc>
        <w:tc>
          <w:tcPr>
            <w:tcW w:w="1060" w:type="dxa"/>
            <w:vAlign w:val="bottom"/>
            <w:tcBorders>
              <w:bottom w:val="single" w:sz="8" w:color="auto"/>
            </w:tcBorders>
          </w:tcPr>
          <w:p>
            <w:pPr>
              <w:jc w:val="right"/>
              <w:ind w:right="149"/>
              <w:spacing w:after="0" w:line="167" w:lineRule="exact"/>
              <w:rPr>
                <w:sz w:val="20"/>
                <w:szCs w:val="20"/>
                <w:color w:val="auto"/>
              </w:rPr>
            </w:pPr>
            <w:r>
              <w:rPr>
                <w:rFonts w:ascii="Arial" w:cs="Arial" w:eastAsia="Arial" w:hAnsi="Arial"/>
                <w:sz w:val="15"/>
                <w:szCs w:val="15"/>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KTP includes Kaplan’s standardized test preparation and tutoring offerings and other businesses. In the first quarter of 2010, the Company discontinu certain offerings of the K12 business; $7.8 million in severance, asset write-offs and other closure costs were recorded in connection with this plan. In fourth quarter of 2009, a $4.6 million charge was recorded for product development and other write-downs at the K12 business. In the fourth quarter o 2010, KTP announced a plan to reorganize its business consistent with the migration of students to Kaplan’s online and hybrid test preparation offerin conjunction with this plan, in the fourth quarter of 2010, KTP began to reduce the number of leased test preparation centers and incurred $10.4 million costs, mostly comprised of charges related to early lease termination and property, plant and equipment write-downs. The plan is expected to be large completed by the end of 2011.</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KTP revenue declined 4% in 2010; excluding acquisitions, KTP revenue declined 9%, due mostly to the termination of certain K12 offerings. Revenue traditional test preparation programs in 2010 was essentially flat. Strong enrollment increases, particularly in the pre-college and nursing programs, we offset by reduced prices for many programs related to increased competition and increased demand for lower priced online test preparation offerings.</w:t>
      </w:r>
    </w:p>
    <w:p>
      <w:pPr>
        <w:spacing w:after="0" w:line="16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KTP operating results were down in 2010 due to the termination of certain K12 offerings and $7.8 million in related closure costs in 2010, reduced pric the traditional test preparation programs and higher spending to expand online offerings and innovate various programs, as well as $10.4 million in 20 restructuring-related charges. KTP operating results in 2009 were also adversely affected by a $4.6 million charge at the K12 business for product development and other write-downs.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March 2009, the Company approved a plan to close its Score tutoring centers. The Company recorded charges of $24.9 million in asset write-down lease terminations, severance and accelerated depreciation of fixed assets in the first half of 2009.</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Kaplan International includes professional training and postsecondary education businesses outside the United States, as well as English-language programs. Kaplan International revenue increased 9% in 2010 and operating income rose 4% due to enrollment growth in the pathways and other hig education programs in the U.K. and Singapore. The rise in revenue is also due to increased English-language program revenue and favorable exchan rates in Australia and Singapore.</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Ventures is made up of a number of businesses in various stages of development that are managed separately from the other education busin Revenue at Kaplan Ventures increased 4% in 2010. Kaplan Ventures reported operating losses of $17.5 million in 2010, compared to operating losses $9.3 million in 2009. The decline in results for 2010 is due to increased investment in certain developing business units. A goodwill impairment charge $8.5 million was recorded at Kaplan in the third quarter of 2009 related to one of Kaplan Ventures’ businesses, as the book value of this business exce its estimated fair value.</w:t>
      </w:r>
    </w:p>
    <w:p>
      <w:pPr>
        <w:spacing w:after="0" w:line="1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Corporate represents unallocated expenses of Kaplan, Inc.’s corporate office and other minor shared activities. Corporate expenses declined in 2010, largely to the reversal of incentive compensation accruals.</w:t>
      </w:r>
    </w:p>
    <w:p>
      <w:pPr>
        <w:spacing w:after="0" w:line="15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 xml:space="preserve">Cable Television Division. </w:t>
      </w:r>
      <w:r>
        <w:rPr>
          <w:rFonts w:ascii="Arial" w:cs="Arial" w:eastAsia="Arial" w:hAnsi="Arial"/>
          <w:sz w:val="17"/>
          <w:szCs w:val="17"/>
          <w:color w:val="auto"/>
        </w:rPr>
        <w:t>Cable television division revenue of $759.9 million for 2010 represents a 1% increase from $750.4 million in 2009 due to</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continued growth of the division’s cable modem and telephone revenues.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Cable television division operating income in 2010 decreased to $163.9 million, from $169.1 million in 2009. The cable television division’s operating r in 2009 included a $7.7 million gain arising from changes to the cable television</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6" w:right="139" w:bottom="1440" w:gutter="0" w:footer="0" w:header="0"/>
        </w:sectPr>
      </w:pPr>
    </w:p>
    <w:bookmarkStart w:id="64" w:name="page65"/>
    <w:bookmarkEnd w:id="64"/>
    <w:p>
      <w:pPr>
        <w:spacing w:after="0" w:line="260" w:lineRule="auto"/>
        <w:rPr>
          <w:sz w:val="20"/>
          <w:szCs w:val="20"/>
          <w:color w:val="auto"/>
        </w:rPr>
      </w:pPr>
      <w:r>
        <w:rPr>
          <w:rFonts w:ascii="Arial" w:cs="Arial" w:eastAsia="Arial" w:hAnsi="Arial"/>
          <w:sz w:val="16"/>
          <w:szCs w:val="16"/>
          <w:color w:val="auto"/>
        </w:rPr>
        <w:t>division retiree health care benefits program. Excluding this gain, the cable television division’s operating income in 2010 increased due to the division revenue growth, offset by increased technical and sales costs. Operating margin at the cable television division was 22% in 2010 and 23% in 2009.</w:t>
      </w:r>
    </w:p>
    <w:p>
      <w:pPr>
        <w:spacing w:after="0" w:line="16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At December 31, 2010, Primary Service Units (PSUs) were up 5% from the prior year due to growth in high-speed data and telephony subscribers, off a decrease in basic video subscribers. A summary of PSUs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60" w:type="dxa"/>
            <w:vAlign w:val="bottom"/>
          </w:tcPr>
          <w:p>
            <w:pPr>
              <w:spacing w:after="0"/>
              <w:rPr>
                <w:sz w:val="13"/>
                <w:szCs w:val="13"/>
                <w:color w:val="auto"/>
              </w:rPr>
            </w:pPr>
          </w:p>
        </w:tc>
        <w:tc>
          <w:tcPr>
            <w:tcW w:w="1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As of December 31,</w:t>
            </w:r>
          </w:p>
        </w:tc>
      </w:tr>
      <w:tr>
        <w:trPr>
          <w:trHeight w:val="129"/>
        </w:trPr>
        <w:tc>
          <w:tcPr>
            <w:tcW w:w="9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50"/>
              <w:spacing w:after="0" w:line="129" w:lineRule="exact"/>
              <w:rPr>
                <w:sz w:val="20"/>
                <w:szCs w:val="20"/>
                <w:color w:val="auto"/>
              </w:rPr>
            </w:pPr>
            <w:r>
              <w:rPr>
                <w:rFonts w:ascii="Arial" w:cs="Arial" w:eastAsia="Arial" w:hAnsi="Arial"/>
                <w:sz w:val="12"/>
                <w:szCs w:val="12"/>
                <w:color w:val="auto"/>
              </w:rPr>
              <w:t>2010</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200</w:t>
            </w:r>
          </w:p>
        </w:tc>
      </w:tr>
      <w:tr>
        <w:trPr>
          <w:trHeight w:val="168"/>
        </w:trPr>
        <w:tc>
          <w:tcPr>
            <w:tcW w:w="9160" w:type="dxa"/>
            <w:vAlign w:val="bottom"/>
          </w:tcPr>
          <w:p>
            <w:pPr>
              <w:spacing w:after="0" w:line="168" w:lineRule="exact"/>
              <w:rPr>
                <w:sz w:val="20"/>
                <w:szCs w:val="20"/>
                <w:color w:val="auto"/>
              </w:rPr>
            </w:pPr>
            <w:r>
              <w:rPr>
                <w:rFonts w:ascii="Arial" w:cs="Arial" w:eastAsia="Arial" w:hAnsi="Arial"/>
                <w:sz w:val="15"/>
                <w:szCs w:val="15"/>
                <w:color w:val="auto"/>
              </w:rPr>
              <w:t>Basic video</w:t>
            </w:r>
          </w:p>
        </w:tc>
        <w:tc>
          <w:tcPr>
            <w:tcW w:w="1260" w:type="dxa"/>
            <w:vAlign w:val="bottom"/>
          </w:tcPr>
          <w:p>
            <w:pPr>
              <w:jc w:val="right"/>
              <w:ind w:right="210"/>
              <w:spacing w:after="0" w:line="168" w:lineRule="exact"/>
              <w:rPr>
                <w:sz w:val="20"/>
                <w:szCs w:val="20"/>
                <w:color w:val="auto"/>
              </w:rPr>
            </w:pPr>
            <w:r>
              <w:rPr>
                <w:rFonts w:ascii="Arial" w:cs="Arial" w:eastAsia="Arial" w:hAnsi="Arial"/>
                <w:sz w:val="15"/>
                <w:szCs w:val="15"/>
                <w:color w:val="auto"/>
              </w:rPr>
              <w:t>648,413</w:t>
            </w:r>
          </w:p>
        </w:tc>
        <w:tc>
          <w:tcPr>
            <w:tcW w:w="520" w:type="dxa"/>
            <w:vAlign w:val="bottom"/>
          </w:tcPr>
          <w:p>
            <w:pPr>
              <w:jc w:val="right"/>
              <w:spacing w:after="0" w:line="168" w:lineRule="exact"/>
              <w:rPr>
                <w:sz w:val="20"/>
                <w:szCs w:val="20"/>
                <w:color w:val="auto"/>
              </w:rPr>
            </w:pPr>
            <w:r>
              <w:rPr>
                <w:rFonts w:ascii="Arial" w:cs="Arial" w:eastAsia="Arial" w:hAnsi="Arial"/>
                <w:sz w:val="15"/>
                <w:szCs w:val="15"/>
                <w:color w:val="auto"/>
              </w:rPr>
              <w:t>6</w:t>
            </w:r>
          </w:p>
        </w:tc>
      </w:tr>
      <w:tr>
        <w:trPr>
          <w:trHeight w:val="174"/>
        </w:trPr>
        <w:tc>
          <w:tcPr>
            <w:tcW w:w="9160" w:type="dxa"/>
            <w:vAlign w:val="bottom"/>
          </w:tcPr>
          <w:p>
            <w:pPr>
              <w:spacing w:after="0"/>
              <w:rPr>
                <w:sz w:val="20"/>
                <w:szCs w:val="20"/>
                <w:color w:val="auto"/>
              </w:rPr>
            </w:pPr>
            <w:r>
              <w:rPr>
                <w:rFonts w:ascii="Arial" w:cs="Arial" w:eastAsia="Arial" w:hAnsi="Arial"/>
                <w:sz w:val="15"/>
                <w:szCs w:val="15"/>
                <w:color w:val="auto"/>
              </w:rPr>
              <w:t>High-speed data</w:t>
            </w:r>
          </w:p>
        </w:tc>
        <w:tc>
          <w:tcPr>
            <w:tcW w:w="1260" w:type="dxa"/>
            <w:vAlign w:val="bottom"/>
          </w:tcPr>
          <w:p>
            <w:pPr>
              <w:jc w:val="right"/>
              <w:ind w:right="210"/>
              <w:spacing w:after="0"/>
              <w:rPr>
                <w:sz w:val="20"/>
                <w:szCs w:val="20"/>
                <w:color w:val="auto"/>
              </w:rPr>
            </w:pPr>
            <w:r>
              <w:rPr>
                <w:rFonts w:ascii="Arial" w:cs="Arial" w:eastAsia="Arial" w:hAnsi="Arial"/>
                <w:sz w:val="15"/>
                <w:szCs w:val="15"/>
                <w:color w:val="auto"/>
              </w:rPr>
              <w:t>425,402</w:t>
            </w:r>
          </w:p>
        </w:tc>
        <w:tc>
          <w:tcPr>
            <w:tcW w:w="5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9160" w:type="dxa"/>
            <w:vAlign w:val="bottom"/>
          </w:tcPr>
          <w:p>
            <w:pPr>
              <w:spacing w:after="0"/>
              <w:rPr>
                <w:sz w:val="20"/>
                <w:szCs w:val="20"/>
                <w:color w:val="auto"/>
              </w:rPr>
            </w:pPr>
            <w:r>
              <w:rPr>
                <w:rFonts w:ascii="Arial" w:cs="Arial" w:eastAsia="Arial" w:hAnsi="Arial"/>
                <w:sz w:val="15"/>
                <w:szCs w:val="15"/>
                <w:color w:val="auto"/>
              </w:rPr>
              <w:t>Telephony</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5"/>
                <w:szCs w:val="15"/>
                <w:color w:val="auto"/>
              </w:rPr>
              <w:t>153,044</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260" w:type="dxa"/>
            <w:vAlign w:val="bottom"/>
            <w:tcBorders>
              <w:bottom w:val="single" w:sz="8" w:color="auto"/>
            </w:tcBorders>
          </w:tcPr>
          <w:p>
            <w:pPr>
              <w:jc w:val="right"/>
              <w:ind w:right="210"/>
              <w:spacing w:after="0" w:line="167" w:lineRule="exact"/>
              <w:rPr>
                <w:sz w:val="20"/>
                <w:szCs w:val="20"/>
                <w:color w:val="auto"/>
              </w:rPr>
            </w:pPr>
            <w:r>
              <w:rPr>
                <w:rFonts w:ascii="Arial" w:cs="Arial" w:eastAsia="Arial" w:hAnsi="Arial"/>
                <w:sz w:val="15"/>
                <w:szCs w:val="15"/>
                <w:color w:val="auto"/>
              </w:rPr>
              <w:t>1,226,859</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w:t>
            </w:r>
          </w:p>
        </w:tc>
      </w:tr>
      <w:tr>
        <w:trPr>
          <w:trHeight w:val="20"/>
        </w:trPr>
        <w:tc>
          <w:tcPr>
            <w:tcW w:w="9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PSUs include about 6,300 subscribers who receive free basic cable service, primarily local governments, schools and other organizations as required various franchise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Below are details of the cable television division’s capital expenditures for 2010 and 2009 in the NCTA Standard Reporting Categories: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color w:val="auto"/>
              </w:rPr>
              <w:t>2010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68"/>
        </w:trPr>
        <w:tc>
          <w:tcPr>
            <w:tcW w:w="9040" w:type="dxa"/>
            <w:vAlign w:val="bottom"/>
          </w:tcPr>
          <w:p>
            <w:pPr>
              <w:spacing w:after="0" w:line="168" w:lineRule="exact"/>
              <w:rPr>
                <w:sz w:val="20"/>
                <w:szCs w:val="20"/>
                <w:color w:val="auto"/>
              </w:rPr>
            </w:pPr>
            <w:r>
              <w:rPr>
                <w:rFonts w:ascii="Arial" w:cs="Arial" w:eastAsia="Arial" w:hAnsi="Arial"/>
                <w:sz w:val="15"/>
                <w:szCs w:val="15"/>
                <w:color w:val="auto"/>
              </w:rPr>
              <w:t>Customer Premise Equipment</w:t>
            </w:r>
          </w:p>
        </w:tc>
        <w:tc>
          <w:tcPr>
            <w:tcW w:w="280" w:type="dxa"/>
            <w:vAlign w:val="bottom"/>
          </w:tcPr>
          <w:p>
            <w:pPr>
              <w:jc w:val="right"/>
              <w:ind w:right="106"/>
              <w:spacing w:after="0" w:line="168" w:lineRule="exact"/>
              <w:rPr>
                <w:sz w:val="20"/>
                <w:szCs w:val="20"/>
                <w:color w:val="auto"/>
              </w:rPr>
            </w:pPr>
            <w:r>
              <w:rPr>
                <w:rFonts w:ascii="Arial" w:cs="Arial" w:eastAsia="Arial" w:hAnsi="Arial"/>
                <w:sz w:val="15"/>
                <w:szCs w:val="15"/>
                <w:color w:val="auto"/>
                <w:w w:val="95"/>
              </w:rPr>
              <w:t>$</w:t>
            </w:r>
          </w:p>
        </w:tc>
        <w:tc>
          <w:tcPr>
            <w:tcW w:w="90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22,413</w:t>
            </w:r>
          </w:p>
        </w:tc>
        <w:tc>
          <w:tcPr>
            <w:tcW w:w="720" w:type="dxa"/>
            <w:vAlign w:val="bottom"/>
          </w:tcPr>
          <w:p>
            <w:pPr>
              <w:jc w:val="right"/>
              <w:ind w:right="390"/>
              <w:spacing w:after="0" w:line="168" w:lineRule="exact"/>
              <w:rPr>
                <w:sz w:val="20"/>
                <w:szCs w:val="20"/>
                <w:color w:val="auto"/>
              </w:rPr>
            </w:pPr>
            <w:r>
              <w:rPr>
                <w:rFonts w:ascii="Arial" w:cs="Arial" w:eastAsia="Arial" w:hAnsi="Arial"/>
                <w:sz w:val="15"/>
                <w:szCs w:val="15"/>
                <w:color w:val="auto"/>
              </w:rPr>
              <w:t>$</w:t>
            </w: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Commercial</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1,338</w:t>
            </w:r>
          </w:p>
        </w:tc>
        <w:tc>
          <w:tcPr>
            <w:tcW w:w="72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50,458</w:t>
            </w:r>
          </w:p>
        </w:tc>
        <w:tc>
          <w:tcPr>
            <w:tcW w:w="72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Line Extensions</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7,118</w:t>
            </w:r>
          </w:p>
        </w:tc>
        <w:tc>
          <w:tcPr>
            <w:tcW w:w="72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Upgrade/Rebuild</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7,192</w:t>
            </w:r>
          </w:p>
        </w:tc>
        <w:tc>
          <w:tcPr>
            <w:tcW w:w="720" w:type="dxa"/>
            <w:vAlign w:val="bottom"/>
          </w:tcPr>
          <w:p>
            <w:pPr>
              <w:spacing w:after="0"/>
              <w:rPr>
                <w:sz w:val="15"/>
                <w:szCs w:val="15"/>
                <w:color w:val="auto"/>
              </w:rPr>
            </w:pPr>
          </w:p>
        </w:tc>
      </w:tr>
      <w:tr>
        <w:trPr>
          <w:trHeight w:val="172"/>
        </w:trPr>
        <w:tc>
          <w:tcPr>
            <w:tcW w:w="9040" w:type="dxa"/>
            <w:vAlign w:val="bottom"/>
          </w:tcPr>
          <w:p>
            <w:pPr>
              <w:spacing w:after="0"/>
              <w:rPr>
                <w:sz w:val="20"/>
                <w:szCs w:val="20"/>
                <w:color w:val="auto"/>
              </w:rPr>
            </w:pPr>
            <w:r>
              <w:rPr>
                <w:rFonts w:ascii="Arial" w:cs="Arial" w:eastAsia="Arial" w:hAnsi="Arial"/>
                <w:sz w:val="15"/>
                <w:szCs w:val="15"/>
                <w:color w:val="auto"/>
              </w:rPr>
              <w:t>Support Capital</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21,059</w:t>
            </w:r>
          </w:p>
        </w:tc>
        <w:tc>
          <w:tcPr>
            <w:tcW w:w="720" w:type="dxa"/>
            <w:vAlign w:val="bottom"/>
            <w:tcBorders>
              <w:bottom w:val="single" w:sz="8" w:color="auto"/>
            </w:tcBorders>
          </w:tcPr>
          <w:p>
            <w:pPr>
              <w:spacing w:after="0"/>
              <w:rPr>
                <w:sz w:val="14"/>
                <w:szCs w:val="14"/>
                <w:color w:val="auto"/>
              </w:rPr>
            </w:pPr>
          </w:p>
        </w:tc>
      </w:tr>
      <w:tr>
        <w:trPr>
          <w:trHeight w:val="166"/>
        </w:trPr>
        <w:tc>
          <w:tcPr>
            <w:tcW w:w="90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109,578</w:t>
            </w:r>
          </w:p>
        </w:tc>
        <w:tc>
          <w:tcPr>
            <w:tcW w:w="720" w:type="dxa"/>
            <w:vAlign w:val="bottom"/>
            <w:tcBorders>
              <w:bottom w:val="single" w:sz="8" w:color="auto"/>
            </w:tcBorders>
          </w:tcPr>
          <w:p>
            <w:pPr>
              <w:jc w:val="right"/>
              <w:ind w:right="390"/>
              <w:spacing w:after="0" w:line="167" w:lineRule="exact"/>
              <w:rPr>
                <w:sz w:val="20"/>
                <w:szCs w:val="20"/>
                <w:color w:val="auto"/>
              </w:rPr>
            </w:pPr>
            <w:r>
              <w:rPr>
                <w:rFonts w:ascii="Arial" w:cs="Arial" w:eastAsia="Arial" w:hAnsi="Arial"/>
                <w:sz w:val="15"/>
                <w:szCs w:val="15"/>
                <w:color w:val="auto"/>
              </w:rPr>
              <w:t>$</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line="233" w:lineRule="auto"/>
        <w:rPr>
          <w:sz w:val="20"/>
          <w:szCs w:val="20"/>
          <w:color w:val="auto"/>
        </w:rPr>
      </w:pPr>
      <w:r>
        <w:rPr>
          <w:rFonts w:ascii="Arial" w:cs="Arial" w:eastAsia="Arial" w:hAnsi="Arial"/>
          <w:sz w:val="17"/>
          <w:szCs w:val="17"/>
          <w:b w:val="1"/>
          <w:bCs w:val="1"/>
          <w:color w:val="auto"/>
        </w:rPr>
        <w:t xml:space="preserve">Newspaper Publishing Division. </w:t>
      </w:r>
      <w:r>
        <w:rPr>
          <w:rFonts w:ascii="Arial" w:cs="Arial" w:eastAsia="Arial" w:hAnsi="Arial"/>
          <w:sz w:val="17"/>
          <w:szCs w:val="17"/>
          <w:color w:val="auto"/>
        </w:rPr>
        <w:t>For most of the newspaper publishing division's print publications, operating results in 2010 included 52 weeks,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53 weeks in 2009. Newspaper publishing division revenue in 2010 increased slightly to $680.4 million, from $679.3 million in 2009. Print advertising revenue at the Post in 2010 declined 6% to $297.9 million, from $ 317.0 million in 2009. The print revenue declines in 2010 are due to redu in general, classified and retail advertising, along with one less week in 2010 versus 2009. Revenue generated by the Company's newspaper online publishing activities, primarily washingtonpost.com and Slate, increased 14% to $114.8 million, from $100.4 million in 2009. Display online advertising revenue grew 18% in 2010, and online classified advertising revenue on washingtonpost.com increased slightly in 2010. Daily circulation at the Post declined 7.5%, and Sunday circulation declined 8.2% in 2010. For 2010, average daily circulation at the Post totaled 550,900 (unaudited), and averag Sunday circulation totaled 763,100 (unaudited).</w:t>
      </w:r>
    </w:p>
    <w:p>
      <w:pPr>
        <w:spacing w:after="0" w:line="1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As previously disclosed, the Post contributes to multiemployer plans on behalf of three union-represented employee groups. The Post has negotiated collective bargaining the contractual right to withdraw from two of these plans; the right to withdraw from the CWA-ITU Negotiated Pension Plan (CWA Plan) was the subject of contract negotiations that reached an impasse. In July 2010, the Post notified the union and the CWA- ITU Plan of its unilater withdrawal from the Plan, effective November 30, 2010. In connection with this action, the Post recorded a $20.4 million charge based on an estimate withdrawal liability.</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As previously reported, the Post recorded early retirement program expense of $56.8 million in the second quarter of 2009, and Robinson Terminal Warehouse Corporation recorded early retirement program expense of $1.1 million in the third quarter of 2009. The costs of these early retirement pro are funded mostly from the assets of the Company's pension plans. Also as previously reported, the Post closed a printing plant in July 2009 and consolidated its printing operations. The Post also completed the consolidation of certain other operations in Washington, DC, in the first quarter of 20 connection with these activities, accelerated depreciation of $33.8 million was recorded in 2009, along with $3.9 million in shutdown costs and lease lo An additional $3.1 million loss on an office lease was recorded by the Company in the first quarter of 2010.</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newspaper publishing division reported an operating loss of $9.8 million in 2010, compared to an operating loss of $163.5 million in 2009. Excludi multiemployer pension plan charge, early retirement program expense and accelerated depreciation, operating results improved in 2010 due to expen reductions in payroll, newsprint, depreciation, bad debt and agency fees, and expense reductions at washingtonpost.com. Newsprint expense decreas 16% in 2010 due to a decline in newsprint consumption, offset by an increase in newsprint prices.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65" w:name="page66"/>
    <w:bookmarkEnd w:id="65"/>
    <w:p>
      <w:pPr>
        <w:ind w:right="80"/>
        <w:spacing w:after="0" w:line="255" w:lineRule="auto"/>
        <w:rPr>
          <w:sz w:val="20"/>
          <w:szCs w:val="20"/>
          <w:color w:val="auto"/>
        </w:rPr>
      </w:pPr>
      <w:r>
        <w:rPr>
          <w:rFonts w:ascii="Arial" w:cs="Arial" w:eastAsia="Arial" w:hAnsi="Arial"/>
          <w:sz w:val="17"/>
          <w:szCs w:val="17"/>
          <w:b w:val="1"/>
          <w:bCs w:val="1"/>
          <w:color w:val="auto"/>
        </w:rPr>
        <w:t xml:space="preserve">Television Broadcasting Division. </w:t>
      </w:r>
      <w:r>
        <w:rPr>
          <w:rFonts w:ascii="Arial" w:cs="Arial" w:eastAsia="Arial" w:hAnsi="Arial"/>
          <w:sz w:val="17"/>
          <w:szCs w:val="17"/>
          <w:color w:val="auto"/>
        </w:rPr>
        <w:t>Revenue for the television broadcasting division increased 25% to $342.2 million in 2010, from $272.7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broadcasting division operating income for 2010 increased 72% to $121.3 million, from $70.5 million in 2009.</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increase in revenue and operating income is due to improved advertising demand in all markets and most product categories, particularly automo The increased revenue and operating income also includes $4.7 million in incremental winter Olympics-related advertising at the Company’s NBC affil in the first quarter of 2010, and a $32.2 million increase in political advertising revenue for 2010. Operating margin at the television broadcasting divisi was 35% in 2010 and 26% in 2009.</w:t>
      </w:r>
    </w:p>
    <w:p>
      <w:pPr>
        <w:spacing w:after="0" w:line="175"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Competitive market position remained strong for the Company’s television stations. KSAT in San Antonio, WPLG in Miami and WJXT in Jacksonville r number one in the November 2010 ratings period, Monday through Friday, sign-on to sign-off; WDIV in Detroit and WKMG in Orlando ranked second; KPRC in Houston ranked third.</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Other businesses includes the operating results of Avenue100 Media Solutions, the Company’s digital marketing business that s</w:t>
      </w:r>
      <w:r>
        <w:rPr>
          <w:rFonts w:ascii="Arial" w:cs="Arial" w:eastAsia="Arial" w:hAnsi="Arial"/>
          <w:sz w:val="17"/>
          <w:szCs w:val="17"/>
          <w:b w:val="1"/>
          <w:bCs w:val="1"/>
          <w:color w:val="auto"/>
        </w:rPr>
        <w:t xml:space="preserve"> </w:t>
      </w:r>
      <w:r>
        <w:rPr>
          <w:rFonts w:ascii="Arial" w:cs="Arial" w:eastAsia="Arial" w:hAnsi="Arial"/>
          <w:sz w:val="17"/>
          <w:szCs w:val="17"/>
          <w:color w:val="auto"/>
        </w:rPr>
        <w:t>leads for academic institutions and recruiting organizations, and other small businesses. In the third quarter of 2010, a goodwill and other intangible as impairment charge of $27.5 million was recorded at Avenue100 Media Solutions.</w:t>
      </w:r>
    </w:p>
    <w:p>
      <w:pPr>
        <w:spacing w:after="0" w:line="153"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color w:val="auto"/>
        </w:rPr>
        <w:t xml:space="preserve">Corporate Office. </w:t>
      </w:r>
      <w:r>
        <w:rPr>
          <w:rFonts w:ascii="Arial" w:cs="Arial" w:eastAsia="Arial" w:hAnsi="Arial"/>
          <w:sz w:val="16"/>
          <w:szCs w:val="16"/>
          <w:color w:val="auto"/>
        </w:rPr>
        <w:t>Corporate office includes the expenses of the Company’s corporate office and the pension credit previously reported in the magaz</w:t>
      </w:r>
      <w:r>
        <w:rPr>
          <w:rFonts w:ascii="Arial" w:cs="Arial" w:eastAsia="Arial" w:hAnsi="Arial"/>
          <w:sz w:val="16"/>
          <w:szCs w:val="16"/>
          <w:b w:val="1"/>
          <w:bCs w:val="1"/>
          <w:color w:val="auto"/>
        </w:rPr>
        <w:t xml:space="preserve"> </w:t>
      </w:r>
      <w:r>
        <w:rPr>
          <w:rFonts w:ascii="Arial" w:cs="Arial" w:eastAsia="Arial" w:hAnsi="Arial"/>
          <w:sz w:val="16"/>
          <w:szCs w:val="16"/>
          <w:color w:val="auto"/>
        </w:rPr>
        <w:t>publishing division (refer to Discontinued Operations discussion below). In the fourth quarter of 2010, certain Kaplan operations moved to the former Newsweek headquarters facility. In connection with this move, $11.5 million in lease termination and other charges were recorded by the corporate off</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Equity in Losses of Affiliates. </w:t>
      </w:r>
      <w:r>
        <w:rPr>
          <w:rFonts w:ascii="Arial" w:cs="Arial" w:eastAsia="Arial" w:hAnsi="Arial"/>
          <w:sz w:val="17"/>
          <w:szCs w:val="17"/>
          <w:color w:val="auto"/>
        </w:rPr>
        <w:t>The Company holds a 49% interest in Bowater Mersey Paper Company, a 16.5% interest in Classified Ventures, LLC</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 in several other affiliates. The Company’s equity in losses of affiliates for 2010 was $4.1 million, compared to $29.4 million in losses for 2009. Results for 2009 included $29.0 million in write-downs at two of the Company’s affiliate investments; most of the loss related to an impairment charge recorded on the Company’s interest in Bowater Mersey Paper Company as a result of the challenging economic environment for newsprint producers 2009.</w:t>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 xml:space="preserve">Other Non-Operating Income (Expense). </w:t>
      </w:r>
      <w:r>
        <w:rPr>
          <w:rFonts w:ascii="Arial" w:cs="Arial" w:eastAsia="Arial" w:hAnsi="Arial"/>
          <w:sz w:val="16"/>
          <w:szCs w:val="16"/>
          <w:color w:val="auto"/>
        </w:rPr>
        <w:t>The Company recorded other non-operating income, net, of $ 7.5 million in 2010, compared to other non-operating income, net, of $13.2 million in 2009. The 2010 non-operating income, net, included $6.7 million in unrealized foreign currency gains and oth items. The 2009 non-operating income, net, included $16.9 million in unrealized foreign currency gains, offset by $3.8 million in impairment write-down cost method investments and other items. As noted above, a large part of the Company's non-operating income (expense) is from unrealized foreign currency gains or losses arising from the translation of British pound and Australian dollar denominated intercompany loans into U.S. dollars.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(expense) for the years ended January 2, 2011 and January 3, 2010,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color w:val="auto"/>
              </w:rPr>
              <w:t>2010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color w:val="auto"/>
              </w:rPr>
              <w:t>Foreign currency gains, net</w:t>
            </w:r>
          </w:p>
        </w:tc>
        <w:tc>
          <w:tcPr>
            <w:tcW w:w="240" w:type="dxa"/>
            <w:vAlign w:val="bottom"/>
          </w:tcPr>
          <w:p>
            <w:pPr>
              <w:jc w:val="right"/>
              <w:ind w:right="66"/>
              <w:spacing w:after="0" w:line="168" w:lineRule="exact"/>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8"/>
              <w:spacing w:after="0" w:line="168" w:lineRule="exact"/>
              <w:rPr>
                <w:sz w:val="20"/>
                <w:szCs w:val="20"/>
                <w:color w:val="auto"/>
              </w:rPr>
            </w:pPr>
            <w:r>
              <w:rPr>
                <w:rFonts w:ascii="Arial" w:cs="Arial" w:eastAsia="Arial" w:hAnsi="Arial"/>
                <w:sz w:val="15"/>
                <w:szCs w:val="15"/>
                <w:color w:val="auto"/>
              </w:rPr>
              <w:t>6,705</w:t>
            </w:r>
          </w:p>
        </w:tc>
        <w:tc>
          <w:tcPr>
            <w:tcW w:w="620" w:type="dxa"/>
            <w:vAlign w:val="bottom"/>
          </w:tcPr>
          <w:p>
            <w:pPr>
              <w:jc w:val="right"/>
              <w:ind w:right="269"/>
              <w:spacing w:after="0" w:line="168" w:lineRule="exact"/>
              <w:rPr>
                <w:sz w:val="20"/>
                <w:szCs w:val="20"/>
                <w:color w:val="auto"/>
              </w:rPr>
            </w:pPr>
            <w:r>
              <w:rPr>
                <w:rFonts w:ascii="Arial" w:cs="Arial" w:eastAsia="Arial" w:hAnsi="Arial"/>
                <w:sz w:val="15"/>
                <w:szCs w:val="15"/>
                <w:color w:val="auto"/>
              </w:rPr>
              <w:t>$</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Impairment write-downs on cost method investments</w:t>
            </w:r>
          </w:p>
        </w:tc>
        <w:tc>
          <w:tcPr>
            <w:tcW w:w="240" w:type="dxa"/>
            <w:vAlign w:val="bottom"/>
          </w:tcPr>
          <w:p>
            <w:pPr>
              <w:spacing w:after="0"/>
              <w:rPr>
                <w:sz w:val="15"/>
                <w:szCs w:val="15"/>
                <w:color w:val="auto"/>
              </w:rPr>
            </w:pPr>
          </w:p>
        </w:tc>
        <w:tc>
          <w:tcPr>
            <w:tcW w:w="94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9140" w:type="dxa"/>
            <w:vAlign w:val="bottom"/>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rPr>
              <w:t>810</w:t>
            </w:r>
          </w:p>
        </w:tc>
        <w:tc>
          <w:tcPr>
            <w:tcW w:w="620" w:type="dxa"/>
            <w:vAlign w:val="bottom"/>
            <w:tcBorders>
              <w:bottom w:val="single" w:sz="8" w:color="auto"/>
            </w:tcBorders>
          </w:tcPr>
          <w:p>
            <w:pPr>
              <w:spacing w:after="0"/>
              <w:rPr>
                <w:sz w:val="14"/>
                <w:szCs w:val="14"/>
                <w:color w:val="auto"/>
              </w:rPr>
            </w:pPr>
          </w:p>
        </w:tc>
      </w:tr>
      <w:tr>
        <w:trPr>
          <w:trHeight w:val="166"/>
        </w:trPr>
        <w:tc>
          <w:tcPr>
            <w:tcW w:w="91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108"/>
              <w:spacing w:after="0" w:line="167" w:lineRule="exact"/>
              <w:rPr>
                <w:sz w:val="20"/>
                <w:szCs w:val="20"/>
                <w:color w:val="auto"/>
              </w:rPr>
            </w:pPr>
            <w:r>
              <w:rPr>
                <w:rFonts w:ascii="Arial" w:cs="Arial" w:eastAsia="Arial" w:hAnsi="Arial"/>
                <w:sz w:val="15"/>
                <w:szCs w:val="15"/>
                <w:color w:val="auto"/>
              </w:rPr>
              <w:t>7,515</w:t>
            </w:r>
          </w:p>
        </w:tc>
        <w:tc>
          <w:tcPr>
            <w:tcW w:w="62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color w:val="auto"/>
              </w:rPr>
              <w:t>$</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b w:val="1"/>
          <w:bCs w:val="1"/>
          <w:color w:val="auto"/>
        </w:rPr>
        <w:t xml:space="preserve">Net Interest Expense. </w:t>
      </w:r>
      <w:r>
        <w:rPr>
          <w:rFonts w:ascii="Arial" w:cs="Arial" w:eastAsia="Arial" w:hAnsi="Arial"/>
          <w:sz w:val="17"/>
          <w:szCs w:val="17"/>
          <w:color w:val="auto"/>
        </w:rPr>
        <w:t>The Company incurred net interest expense of $27.9 million in 2010, compared to $29.0 million in 2009. At January 2, 2011, 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had $399.7 million in borrowings outstanding at an average interest rate of 7.2%; at January 3, 2010, the Company had $399.3 million in borrowings outstanding at an average interest rate of 7.2%.</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effective tax rate for income from continuing operations in 2010 was 40.5%. This effective tax rate was adversely impacted by $1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valuation allowances provided against deferred income tax benefits where realization is doubtful, and $9.1 million from nondeductible goodw connection with an impairment charge recorded in the third quarter of 2010; these items were offset by permanent U.S. Federal tax benefit items and t benefits from lower rates at jurisdictions outside the United States.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effective tax rate for income from continuing operations in 2009 was 36.3%. This effective rate in 2009 was adversely impacted by $7.4 million in valuation allowances provided against deferred income tax benefits where realization is doubtful, and $3.3 million from nondeductible goodwill in conn with impairment charges recorded in 2009; these</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15" w:right="1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items were offset by favorable adjustments recorded for a reduction in state income taxes and for prior-year permanent U.S. Federal tax deductions.</w:t>
      </w:r>
    </w:p>
    <w:p>
      <w:pPr>
        <w:spacing w:after="0" w:line="168"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In connection with the 2011 sales of KCS and KVE and the 2010 sales of Newsweek and Education Connection,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income from continuing operations for 2010 and 2009 excludes these businesses, which have been reclassified to discontinued operation of tax.</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Under the terms of the Newsweek sale agreement in 2010, The Washington Post Company retained the pension assets and liabilities, certain employ obligations arising prior to the sale and other items. A loss of $11.5 million from the Newsweek sale is included in discontinued operations. Newsweek employees were participants in The Washington Post Company Retirement Plan, and Newsweek was historically allocated a net pension credit. Since net pension credit will be included in income from continuing operations in the future, it has been excluded from the reclassification of Newsweek resu discontinued operations. The pension cost arising from early retirement programs at Newsweek, however, is included in discontinued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CAPITAL RESOURCES AND LIQUIDITY</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Acquisitions and Dispositions. </w:t>
      </w:r>
      <w:r>
        <w:rPr>
          <w:rFonts w:ascii="Arial" w:cs="Arial" w:eastAsia="Arial" w:hAnsi="Arial"/>
          <w:sz w:val="17"/>
          <w:szCs w:val="17"/>
          <w:color w:val="auto"/>
        </w:rPr>
        <w:t>The Company completed business acquisitions totaling approximately $136.5 million, $14.1 million and $26.1 millio</w:t>
      </w:r>
      <w:r>
        <w:rPr>
          <w:rFonts w:ascii="Arial" w:cs="Arial" w:eastAsia="Arial" w:hAnsi="Arial"/>
          <w:sz w:val="17"/>
          <w:szCs w:val="17"/>
          <w:b w:val="1"/>
          <w:bCs w:val="1"/>
          <w:color w:val="auto"/>
        </w:rPr>
        <w:t xml:space="preserve"> </w:t>
      </w:r>
      <w:r>
        <w:rPr>
          <w:rFonts w:ascii="Arial" w:cs="Arial" w:eastAsia="Arial" w:hAnsi="Arial"/>
          <w:sz w:val="17"/>
          <w:szCs w:val="17"/>
          <w:color w:val="auto"/>
        </w:rPr>
        <w:t>2011, 2010 and 2009, respectively. The assets and liabilities of the companies acquired have been recorded at their estimated fair values at the date o acquisition.</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During 2011, the Company completed five business acquisitions totaling approximately $ 136.5 million, including assumed debt of $ 5.5 million and oth assumed liabilities. Kaplan acquired three businesses in its Kaplan International division, one business in its KHE division, and one business in its Kap Ventures division. These included the May 2011 acquisitions of Franklyn Scholar and Carrick Education Group, leading national providers of vocationa training and higher education in Australia, and the June 2011 acquisition of Structuralia, a provider of e-learning for the engineering and infrastructure in Spain. The purchase price allocations mostly comprised goodwill, other intangible assets, and property, plant and equipment.</w:t>
      </w:r>
    </w:p>
    <w:p>
      <w:pPr>
        <w:spacing w:after="0" w:line="170"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Kaplan completed the sales of KVE in July 2011 and KCS in October 2011, which were part of Kaplan Ventures and KHE, respectively. In April 2010, Kaplan completed the sale of Education Connection, which was part of Kaplan Ventures. Consequently, the Company’s income from continuing opera excludes results from these businesses, which have been reclassified to discontinued operations.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2010, the Company acquired six businesses for $14.1 million. Kaplan acquired two small businesses in its KTP division, one small business in Ventures division and one small business in its International division. The Company made two small acquisitions in its cable television and other busin divisions. The purchase price allocations for these acquisitions mostly comprised goodwill and other intangible assets.</w:t>
      </w:r>
    </w:p>
    <w:p>
      <w:pPr>
        <w:spacing w:after="0" w:line="17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September 2010, the Company completed the sale of Newsweek. In December 2009, the Company completed the sale of Newsweek’s Budget Tra Consequently, the Company’s income from continuing operations excludes magazine publishing division results, which have been reclassified to discontinued operations.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During 2009, the Company acquired three businesses for $ 26.1 million. Kaplan acquired one business in each of its International and KTP divisions, a newspaper publishing division acquired a small publication. The purchase price allocations for these acquisitions mostly comprised goodwill and other intangible assets. Also in 2009, the Company recorded $3.2 million of additional purchase consideration in connection with the achievement of certain operating results by a company acquired in 2007 and allocated the additional purchase consideration to goodwill.</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During 2011, the Company’s capital expenditures totaled $216.4 million. The Company’s capital expenditures for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in continuing operations for 2011, 2010 and 2009 are disclosed in Note 18 to the Consolidated Financial Statements. The Company estimate its capital expenditures will be in the range of $220 million to $245 million in 2012.</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Investments in Marketable Equity Securities. </w:t>
      </w:r>
      <w:r>
        <w:rPr>
          <w:rFonts w:ascii="Arial" w:cs="Arial" w:eastAsia="Arial" w:hAnsi="Arial"/>
          <w:sz w:val="17"/>
          <w:szCs w:val="17"/>
          <w:color w:val="auto"/>
        </w:rPr>
        <w:t>At December 31, 2011, the fair value of the Company’s investments in marketable equity securities w</w:t>
      </w:r>
      <w:r>
        <w:rPr>
          <w:rFonts w:ascii="Arial" w:cs="Arial" w:eastAsia="Arial" w:hAnsi="Arial"/>
          <w:sz w:val="17"/>
          <w:szCs w:val="17"/>
          <w:b w:val="1"/>
          <w:bCs w:val="1"/>
          <w:color w:val="auto"/>
        </w:rPr>
        <w:t xml:space="preserve"> </w:t>
      </w:r>
      <w:r>
        <w:rPr>
          <w:rFonts w:ascii="Arial" w:cs="Arial" w:eastAsia="Arial" w:hAnsi="Arial"/>
          <w:sz w:val="17"/>
          <w:szCs w:val="17"/>
          <w:color w:val="auto"/>
        </w:rPr>
        <w:t>$303.2 million, which includes $ 286.4 million in Berkshire Hathaway Inc. Class A and B common stock and $16.8 million in the common stock of Corin Colleges, Inc., a publicly traded education company.</w:t>
      </w:r>
    </w:p>
    <w:p>
      <w:pPr>
        <w:spacing w:after="0" w:line="35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6" w:right="139" w:bottom="1440" w:gutter="0" w:footer="0" w:header="0"/>
        </w:sectPr>
      </w:pPr>
    </w:p>
    <w:bookmarkStart w:id="67" w:name="page68"/>
    <w:bookmarkEnd w:id="67"/>
    <w:p>
      <w:pPr>
        <w:jc w:val="both"/>
        <w:ind w:right="20"/>
        <w:spacing w:after="0" w:line="235" w:lineRule="auto"/>
        <w:rPr>
          <w:sz w:val="20"/>
          <w:szCs w:val="20"/>
          <w:color w:val="auto"/>
        </w:rPr>
      </w:pPr>
      <w:r>
        <w:rPr>
          <w:rFonts w:ascii="Arial" w:cs="Arial" w:eastAsia="Arial" w:hAnsi="Arial"/>
          <w:sz w:val="17"/>
          <w:szCs w:val="17"/>
          <w:color w:val="auto"/>
        </w:rPr>
        <w:t>At December 31, 2011, and January 2, 2011, the gross unrealized gain related to the Company’s Berkshire stock investment totaled $129.1 million an $143.4 million, respectively. During 2009, the Company invested $10.8 million in the Class B common stock of Berkshire.</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At the end of the first quarter of 2011, the Company’s investment in Corinthian Colleges, Inc. had been in an unrealized loss position for over six mont The Company evaluated this investment for other-than-temporary impairment based on various factors, including the duration and severity of the unre loss, the reason for the decline in value and the potential recovery period, and the Company’s ability and intent to hold the investment. In the first quar 2011, the Company concluded the loss was other-than-temporary and recorded a $30.7 million write-down on the investment. The investment continu decline, and in the third quarter of 2011, the Company recorded an additional $23.1 million write-down on the investment. The Company’s investment Corinthian Colleges, Inc. accounted for $16.8 million of the total fair value of the Company’s investments in marketable equity securities at December 2011.</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 xml:space="preserve">Common Stock Repurchases and Dividend Rate. </w:t>
      </w:r>
      <w:r>
        <w:rPr>
          <w:rFonts w:ascii="Arial" w:cs="Arial" w:eastAsia="Arial" w:hAnsi="Arial"/>
          <w:sz w:val="16"/>
          <w:szCs w:val="16"/>
          <w:color w:val="auto"/>
        </w:rPr>
        <w:t>During 2011, 2010 and 2009, the Company purchased a total of 644,948, 1,057,940 and 145,04</w:t>
      </w:r>
      <w:r>
        <w:rPr>
          <w:rFonts w:ascii="Arial" w:cs="Arial" w:eastAsia="Arial" w:hAnsi="Arial"/>
          <w:sz w:val="16"/>
          <w:szCs w:val="16"/>
          <w:b w:val="1"/>
          <w:bCs w:val="1"/>
          <w:color w:val="auto"/>
        </w:rPr>
        <w:t xml:space="preserve"> </w:t>
      </w:r>
      <w:r>
        <w:rPr>
          <w:rFonts w:ascii="Arial" w:cs="Arial" w:eastAsia="Arial" w:hAnsi="Arial"/>
          <w:sz w:val="16"/>
          <w:szCs w:val="16"/>
          <w:color w:val="auto"/>
        </w:rPr>
        <w:t>shares, respectively, of its Class B common stock at a cost of approximately $248.1 million, $404.8 million and $ 61.0 million, respectively. In Septemb 2011, the Company’s Board of Directors authorized the Company to acquire up to 750,000 shares of its Class B common stock. The Company did not announce a ceiling price or a time limit for the purchases. The authorization included 43,573 shares that remained under the previous authorization. A December 31, 2011, the Company had remaining authorization from the Board of Directors to purchase up to 493,474 shares of Class B common stoc The annual dividend rate for 2012 was increased to $9.80 per share, from $9.40 per share in 2011 and $9.00 per share in 2010.</w:t>
      </w:r>
    </w:p>
    <w:p>
      <w:pPr>
        <w:spacing w:after="0" w:line="149"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auto"/>
        </w:rPr>
        <w:t xml:space="preserve">Liquidity. </w:t>
      </w:r>
      <w:r>
        <w:rPr>
          <w:rFonts w:ascii="Arial" w:cs="Arial" w:eastAsia="Arial" w:hAnsi="Arial"/>
          <w:sz w:val="17"/>
          <w:szCs w:val="17"/>
          <w:color w:val="auto"/>
        </w:rPr>
        <w:t>During 2011, the Company’s borrowings, net of repayments, increased by $165.6 million and the Company’s cash and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decreased by $56.6 million.</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2011, the Company has $381.1 million in cash and cash equivalents, compared to $437.7 million at January 2, 2011. As of Decemb 2011, and January 2, 2011, the Company had money market investments of $180.1 million and $308.9 million, respectively, that are classified as cash equivalents and restricted cash in the Company’s Consolidated Financial Statements. At December 31, 2011, the Company has approximately $18.0 in cash and cash equivalents in countries outside the U.S. which is not immediately available for use in operations or for distribution.</w:t>
      </w:r>
    </w:p>
    <w:p>
      <w:pPr>
        <w:spacing w:after="0" w:line="17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June 17, 2011, the Company terminated its U.S. $500 million five-year revolving credit agreement, dated as of August 8, 2006, among the Compa lenders party thereto and Citibank, N.A. (the 2006 Credit Agreement), in connection with the entrance into a new revolving credit facility. No borrowing outstanding under the 2006 Credit Agreement at the time of termination. On June 17, 2011, the Company entered into a credit agreement (the Credit Agreement) providing for a new U.S. $450 million, AUD 50 million four-year revolving credit facility (the Facility), with each of the lenders party thereto, JPMorgan Chase Bank, N.A., as Administrative Agent (JP Morgan), and J.P. Morgan Australia Limited, as Australian Sub-Agent. This agreement supp the issuance of the Company’s commercial paper, but the Company may also draw on the facility for general corporate purposes. The Credit Agreeme provides for an option to increase the total U.S. dollar commitments up to an aggregate amount of U.S. $700 million. The Facility will expire on June 1 2015, unless the Company and the banks agree to extend the term.</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 Based on the terms of the interest rate swap agreements and the underlying borrowing, these interest rate swap agreemen were determined to be effective, and thus qualify as a cash flow hedge. As such, any changes in the fair value of these interest rate swaps are recorde other comprehensive income on the accompanying condensed consolidated balance sheets until earnings are affected by the variability of cash flows.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2011, and January 2, 2011, the Company had borrowings outstanding of $ 565.2 million and $399.7 million, respectively. The Compa borrowings at December 31, 2011 are mostly from $400.0 million of 7.25% unsecured notes due February 1, 2019, $109.7 million in commercial pape borrowings and AUD 50 million under the Company’s revolving credit facility due March 7, 2015; the interest on $400.0 million of 7.25% unsecured no payable semiannually on February 1 and August 1. There were no commercial paper borrowings outstanding at January 2, 2011.</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68" w:name="page69"/>
    <w:bookmarkEnd w:id="68"/>
    <w:p>
      <w:pPr>
        <w:jc w:val="both"/>
        <w:ind w:left="9"/>
        <w:spacing w:after="0" w:line="245" w:lineRule="auto"/>
        <w:rPr>
          <w:sz w:val="20"/>
          <w:szCs w:val="20"/>
          <w:color w:val="auto"/>
        </w:rPr>
      </w:pPr>
      <w:r>
        <w:rPr>
          <w:rFonts w:ascii="Arial" w:cs="Arial" w:eastAsia="Arial" w:hAnsi="Arial"/>
          <w:sz w:val="16"/>
          <w:szCs w:val="16"/>
          <w:color w:val="auto"/>
        </w:rPr>
        <w:t>In May 2011, Standard &amp; Poor’s placed the Company’s long-term corporate credit and senior unsecured ratings and short-term commercial paper rati CreditWatch with negative implications. In August 2011, Standard &amp; Poor’s lowered the Company’s long-term rating to “A-” from “A,” lowered the com paper rating to “A-2” from “A-1” and kept the ratings outlook at negative. In November 2011, Standard &amp; Poor’s lowered the Company’s long-term corp debt rating from “A-” to “BBB+” and changed the outlook from Negative to Stable. Standard &amp; Poor’s kept the short-term rating unchanged at “A-2.” In September 2011, Moody’s placed the Company’s long-term debt rating and commercial paper rating on review for possible downgrade. In November Moody’s downgraded the Company’s senior unsecured rating from “A2” to “A3” and the commercial paper rating from “Prime-1” to “Prime-2.” The outlo was changed from Rating Under Review to Negative. The Company’s current credit ratings are as follows:</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80" w:type="dxa"/>
            <w:vAlign w:val="bottom"/>
          </w:tcPr>
          <w:p>
            <w:pPr>
              <w:ind w:left="420"/>
              <w:spacing w:after="0"/>
              <w:rPr>
                <w:sz w:val="20"/>
                <w:szCs w:val="20"/>
                <w:color w:val="auto"/>
              </w:rPr>
            </w:pPr>
            <w:r>
              <w:rPr>
                <w:rFonts w:ascii="Arial" w:cs="Arial" w:eastAsia="Arial" w:hAnsi="Arial"/>
                <w:sz w:val="12"/>
                <w:szCs w:val="12"/>
                <w:b w:val="1"/>
                <w:bCs w:val="1"/>
                <w:color w:val="auto"/>
              </w:rPr>
              <w:t>Stand</w:t>
            </w:r>
          </w:p>
        </w:tc>
      </w:tr>
      <w:tr>
        <w:trPr>
          <w:trHeight w:val="151"/>
        </w:trPr>
        <w:tc>
          <w:tcPr>
            <w:tcW w:w="492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Moody’s</w:t>
            </w: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w w:val="92"/>
              </w:rPr>
              <w:t>&amp; Poo</w:t>
            </w:r>
          </w:p>
        </w:tc>
      </w:tr>
      <w:tr>
        <w:trPr>
          <w:trHeight w:val="168"/>
        </w:trPr>
        <w:tc>
          <w:tcPr>
            <w:tcW w:w="492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240" w:type="dxa"/>
            <w:vAlign w:val="bottom"/>
          </w:tcPr>
          <w:p>
            <w:pPr>
              <w:jc w:val="right"/>
              <w:ind w:right="350"/>
              <w:spacing w:after="0" w:line="168" w:lineRule="exact"/>
              <w:rPr>
                <w:sz w:val="20"/>
                <w:szCs w:val="20"/>
                <w:color w:val="auto"/>
              </w:rPr>
            </w:pPr>
            <w:r>
              <w:rPr>
                <w:rFonts w:ascii="Arial" w:cs="Arial" w:eastAsia="Arial" w:hAnsi="Arial"/>
                <w:sz w:val="15"/>
                <w:szCs w:val="15"/>
                <w:color w:val="auto"/>
              </w:rPr>
              <w:t>A3</w:t>
            </w:r>
          </w:p>
        </w:tc>
        <w:tc>
          <w:tcPr>
            <w:tcW w:w="780" w:type="dxa"/>
            <w:vAlign w:val="bottom"/>
          </w:tcPr>
          <w:p>
            <w:pPr>
              <w:ind w:left="660"/>
              <w:spacing w:after="0" w:line="168" w:lineRule="exact"/>
              <w:rPr>
                <w:sz w:val="20"/>
                <w:szCs w:val="20"/>
                <w:color w:val="auto"/>
              </w:rPr>
            </w:pPr>
            <w:r>
              <w:rPr>
                <w:rFonts w:ascii="Arial" w:cs="Arial" w:eastAsia="Arial" w:hAnsi="Arial"/>
                <w:sz w:val="15"/>
                <w:szCs w:val="15"/>
                <w:color w:val="auto"/>
                <w:w w:val="99"/>
              </w:rPr>
              <w:t>B</w:t>
            </w:r>
          </w:p>
        </w:tc>
      </w:tr>
      <w:tr>
        <w:trPr>
          <w:trHeight w:val="179"/>
        </w:trPr>
        <w:tc>
          <w:tcPr>
            <w:tcW w:w="4920" w:type="dxa"/>
            <w:vAlign w:val="bottom"/>
          </w:tcPr>
          <w:p>
            <w:pPr>
              <w:spacing w:after="0"/>
              <w:rPr>
                <w:sz w:val="20"/>
                <w:szCs w:val="20"/>
                <w:color w:val="auto"/>
              </w:rPr>
            </w:pPr>
            <w:r>
              <w:rPr>
                <w:rFonts w:ascii="Arial" w:cs="Arial" w:eastAsia="Arial" w:hAnsi="Arial"/>
                <w:sz w:val="15"/>
                <w:szCs w:val="15"/>
                <w:color w:val="auto"/>
              </w:rPr>
              <w:t>Short-term</w:t>
            </w:r>
          </w:p>
        </w:tc>
        <w:tc>
          <w:tcPr>
            <w:tcW w:w="5240" w:type="dxa"/>
            <w:vAlign w:val="bottom"/>
          </w:tcPr>
          <w:p>
            <w:pPr>
              <w:jc w:val="right"/>
              <w:ind w:right="350"/>
              <w:spacing w:after="0"/>
              <w:rPr>
                <w:sz w:val="20"/>
                <w:szCs w:val="20"/>
                <w:color w:val="auto"/>
              </w:rPr>
            </w:pPr>
            <w:r>
              <w:rPr>
                <w:rFonts w:ascii="Arial" w:cs="Arial" w:eastAsia="Arial" w:hAnsi="Arial"/>
                <w:sz w:val="15"/>
                <w:szCs w:val="15"/>
                <w:color w:val="auto"/>
              </w:rPr>
              <w:t>Prime-2</w:t>
            </w:r>
          </w:p>
        </w:tc>
        <w:tc>
          <w:tcPr>
            <w:tcW w:w="780" w:type="dxa"/>
            <w:vAlign w:val="bottom"/>
          </w:tcPr>
          <w:p>
            <w:pPr>
              <w:spacing w:after="0"/>
              <w:rPr>
                <w:sz w:val="15"/>
                <w:szCs w:val="15"/>
                <w:color w:val="auto"/>
              </w:rPr>
            </w:pPr>
          </w:p>
        </w:tc>
      </w:tr>
    </w:tbl>
    <w:p>
      <w:pPr>
        <w:spacing w:after="0" w:line="179"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During 2011 and 2010, the Company had average borrowings outstanding of approximately $426.7 million and $ 399.5 million, respectively, at average annual interest rates of approximately 7.0% and 7.2%, respectively. The Company incurred net interest expense of $29.1 million and $27.9 million, respectively, during 2011 and 2010.</w:t>
      </w:r>
    </w:p>
    <w:p>
      <w:pPr>
        <w:spacing w:after="0" w:line="213"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At December 31, 2011 and January 2, 2011, the Company had working capital of $250.1 million and $ 353.6 million, respectively. The Company maint working capital levels consistent with its underlying business requirements and consistently generates cash from operations in excess of required inter principal payments.</w:t>
      </w:r>
    </w:p>
    <w:p>
      <w:pPr>
        <w:spacing w:after="0" w:line="175"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Company’s net cash provided by operating activities, as reported in the Company’s Consolidated Statements of Cash Flows, was $393.3 million i 2011, compared to $693.7 million in 2010.</w:t>
      </w:r>
    </w:p>
    <w:p>
      <w:pPr>
        <w:spacing w:after="0" w:line="176"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to a lesser ext commercial paper. In management’s opinion, the Company will have ample liquidity to meet its various cash needs in 2012.</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following reflects a summary of the Company’s contractual obligations as of December 31, 2011:</w:t>
      </w:r>
    </w:p>
    <w:p>
      <w:pPr>
        <w:spacing w:after="0" w:line="262"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2014</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2015</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2016</w:t>
            </w:r>
          </w:p>
        </w:tc>
        <w:tc>
          <w:tcPr>
            <w:tcW w:w="124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2"/>
                <w:szCs w:val="12"/>
                <w:b w:val="1"/>
                <w:bCs w:val="1"/>
                <w:color w:val="auto"/>
              </w:rPr>
              <w:t>Thereafter</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w:t>
            </w:r>
          </w:p>
        </w:tc>
      </w:tr>
      <w:tr>
        <w:trPr>
          <w:trHeight w:val="210"/>
        </w:trPr>
        <w:tc>
          <w:tcPr>
            <w:tcW w:w="2760" w:type="dxa"/>
            <w:vAlign w:val="bottom"/>
          </w:tcPr>
          <w:p>
            <w:pPr>
              <w:spacing w:after="0"/>
              <w:rPr>
                <w:sz w:val="20"/>
                <w:szCs w:val="20"/>
                <w:color w:val="auto"/>
              </w:rPr>
            </w:pPr>
            <w:r>
              <w:rPr>
                <w:rFonts w:ascii="Arial" w:cs="Arial" w:eastAsia="Arial" w:hAnsi="Arial"/>
                <w:sz w:val="15"/>
                <w:szCs w:val="15"/>
                <w:color w:val="auto"/>
              </w:rPr>
              <w:t>Debt and interest</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144,733</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31,750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31,750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81,750</w:t>
            </w: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29,000</w:t>
            </w:r>
          </w:p>
        </w:tc>
        <w:tc>
          <w:tcPr>
            <w:tcW w:w="40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472,500</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04"/>
        </w:trPr>
        <w:tc>
          <w:tcPr>
            <w:tcW w:w="2760" w:type="dxa"/>
            <w:vAlign w:val="bottom"/>
          </w:tcPr>
          <w:p>
            <w:pPr>
              <w:spacing w:after="0"/>
              <w:rPr>
                <w:sz w:val="20"/>
                <w:szCs w:val="20"/>
                <w:color w:val="auto"/>
              </w:rPr>
            </w:pPr>
            <w:r>
              <w:rPr>
                <w:rFonts w:ascii="Arial" w:cs="Arial" w:eastAsia="Arial" w:hAnsi="Arial"/>
                <w:sz w:val="15"/>
                <w:szCs w:val="15"/>
                <w:color w:val="auto"/>
              </w:rPr>
              <w:t>Programming purchase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1"/>
        </w:trPr>
        <w:tc>
          <w:tcPr>
            <w:tcW w:w="2760" w:type="dxa"/>
            <w:vAlign w:val="bottom"/>
          </w:tcPr>
          <w:p>
            <w:pPr>
              <w:ind w:left="220"/>
              <w:spacing w:after="0" w:line="250" w:lineRule="exact"/>
              <w:rPr>
                <w:sz w:val="20"/>
                <w:szCs w:val="20"/>
                <w:color w:val="auto"/>
              </w:rPr>
            </w:pPr>
            <w:r>
              <w:rPr>
                <w:rFonts w:ascii="Arial" w:cs="Arial" w:eastAsia="Arial" w:hAnsi="Arial"/>
                <w:sz w:val="15"/>
                <w:szCs w:val="15"/>
                <w:color w:val="auto"/>
              </w:rPr>
              <w:t xml:space="preserve">commitments </w:t>
            </w:r>
            <w:r>
              <w:rPr>
                <w:rFonts w:ascii="Arial" w:cs="Arial" w:eastAsia="Arial" w:hAnsi="Arial"/>
                <w:sz w:val="24"/>
                <w:szCs w:val="24"/>
                <w:color w:val="auto"/>
                <w:vertAlign w:val="superscript"/>
              </w:rPr>
              <w:t>(1)</w:t>
            </w:r>
          </w:p>
        </w:tc>
        <w:tc>
          <w:tcPr>
            <w:tcW w:w="22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213,876</w:t>
            </w:r>
          </w:p>
        </w:tc>
        <w:tc>
          <w:tcPr>
            <w:tcW w:w="36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191,621</w:t>
            </w:r>
          </w:p>
        </w:tc>
        <w:tc>
          <w:tcPr>
            <w:tcW w:w="360" w:type="dxa"/>
            <w:vAlign w:val="bottom"/>
          </w:tcPr>
          <w:p>
            <w:pPr>
              <w:spacing w:after="0"/>
              <w:rPr>
                <w:sz w:val="21"/>
                <w:szCs w:val="21"/>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114,210</w:t>
            </w:r>
          </w:p>
        </w:tc>
        <w:tc>
          <w:tcPr>
            <w:tcW w:w="360" w:type="dxa"/>
            <w:vAlign w:val="bottom"/>
          </w:tcPr>
          <w:p>
            <w:pPr>
              <w:spacing w:after="0"/>
              <w:rPr>
                <w:sz w:val="21"/>
                <w:szCs w:val="21"/>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17,814</w:t>
            </w:r>
          </w:p>
        </w:tc>
        <w:tc>
          <w:tcPr>
            <w:tcW w:w="360" w:type="dxa"/>
            <w:vAlign w:val="bottom"/>
          </w:tcPr>
          <w:p>
            <w:pPr>
              <w:spacing w:after="0"/>
              <w:rPr>
                <w:sz w:val="21"/>
                <w:szCs w:val="21"/>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1,286</w:t>
            </w:r>
          </w:p>
        </w:tc>
        <w:tc>
          <w:tcPr>
            <w:tcW w:w="400" w:type="dxa"/>
            <w:vAlign w:val="bottom"/>
          </w:tcPr>
          <w:p>
            <w:pPr>
              <w:spacing w:after="0"/>
              <w:rPr>
                <w:sz w:val="21"/>
                <w:szCs w:val="21"/>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381</w:t>
            </w:r>
          </w:p>
        </w:tc>
        <w:tc>
          <w:tcPr>
            <w:tcW w:w="4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171"/>
        </w:trPr>
        <w:tc>
          <w:tcPr>
            <w:tcW w:w="2760" w:type="dxa"/>
            <w:vAlign w:val="bottom"/>
          </w:tcPr>
          <w:p>
            <w:pPr>
              <w:spacing w:after="0" w:line="172" w:lineRule="exact"/>
              <w:rPr>
                <w:sz w:val="20"/>
                <w:szCs w:val="20"/>
                <w:color w:val="auto"/>
              </w:rPr>
            </w:pPr>
            <w:r>
              <w:rPr>
                <w:rFonts w:ascii="Arial" w:cs="Arial" w:eastAsia="Arial" w:hAnsi="Arial"/>
                <w:sz w:val="15"/>
                <w:szCs w:val="15"/>
                <w:color w:val="auto"/>
              </w:rPr>
              <w:t>Operating leases</w:t>
            </w:r>
          </w:p>
        </w:tc>
        <w:tc>
          <w:tcPr>
            <w:tcW w:w="220" w:type="dxa"/>
            <w:vAlign w:val="bottom"/>
          </w:tcPr>
          <w:p>
            <w:pPr>
              <w:spacing w:after="0"/>
              <w:rPr>
                <w:sz w:val="14"/>
                <w:szCs w:val="14"/>
                <w:color w:val="auto"/>
              </w:rPr>
            </w:pPr>
          </w:p>
        </w:tc>
        <w:tc>
          <w:tcPr>
            <w:tcW w:w="1000" w:type="dxa"/>
            <w:vAlign w:val="bottom"/>
          </w:tcPr>
          <w:p>
            <w:pPr>
              <w:jc w:val="right"/>
              <w:ind w:right="147"/>
              <w:spacing w:after="0" w:line="172" w:lineRule="exact"/>
              <w:rPr>
                <w:sz w:val="20"/>
                <w:szCs w:val="20"/>
                <w:color w:val="auto"/>
              </w:rPr>
            </w:pPr>
            <w:r>
              <w:rPr>
                <w:rFonts w:ascii="Arial" w:cs="Arial" w:eastAsia="Arial" w:hAnsi="Arial"/>
                <w:sz w:val="15"/>
                <w:szCs w:val="15"/>
                <w:color w:val="auto"/>
              </w:rPr>
              <w:t>135,911</w:t>
            </w:r>
          </w:p>
        </w:tc>
        <w:tc>
          <w:tcPr>
            <w:tcW w:w="360" w:type="dxa"/>
            <w:vAlign w:val="bottom"/>
          </w:tcPr>
          <w:p>
            <w:pPr>
              <w:spacing w:after="0"/>
              <w:rPr>
                <w:sz w:val="14"/>
                <w:szCs w:val="14"/>
                <w:color w:val="auto"/>
              </w:rPr>
            </w:pPr>
          </w:p>
        </w:tc>
        <w:tc>
          <w:tcPr>
            <w:tcW w:w="920" w:type="dxa"/>
            <w:vAlign w:val="bottom"/>
          </w:tcPr>
          <w:p>
            <w:pPr>
              <w:jc w:val="right"/>
              <w:ind w:right="147"/>
              <w:spacing w:after="0" w:line="172" w:lineRule="exact"/>
              <w:rPr>
                <w:sz w:val="20"/>
                <w:szCs w:val="20"/>
                <w:color w:val="auto"/>
              </w:rPr>
            </w:pPr>
            <w:r>
              <w:rPr>
                <w:rFonts w:ascii="Arial" w:cs="Arial" w:eastAsia="Arial" w:hAnsi="Arial"/>
                <w:sz w:val="15"/>
                <w:szCs w:val="15"/>
                <w:color w:val="auto"/>
              </w:rPr>
              <w:t>116,435</w:t>
            </w:r>
          </w:p>
        </w:tc>
        <w:tc>
          <w:tcPr>
            <w:tcW w:w="360" w:type="dxa"/>
            <w:vAlign w:val="bottom"/>
          </w:tcPr>
          <w:p>
            <w:pPr>
              <w:spacing w:after="0"/>
              <w:rPr>
                <w:sz w:val="14"/>
                <w:szCs w:val="14"/>
                <w:color w:val="auto"/>
              </w:rPr>
            </w:pPr>
          </w:p>
        </w:tc>
        <w:tc>
          <w:tcPr>
            <w:tcW w:w="880" w:type="dxa"/>
            <w:vAlign w:val="bottom"/>
          </w:tcPr>
          <w:p>
            <w:pPr>
              <w:jc w:val="right"/>
              <w:ind w:right="127"/>
              <w:spacing w:after="0" w:line="172" w:lineRule="exact"/>
              <w:rPr>
                <w:sz w:val="20"/>
                <w:szCs w:val="20"/>
                <w:color w:val="auto"/>
              </w:rPr>
            </w:pPr>
            <w:r>
              <w:rPr>
                <w:rFonts w:ascii="Arial" w:cs="Arial" w:eastAsia="Arial" w:hAnsi="Arial"/>
                <w:sz w:val="15"/>
                <w:szCs w:val="15"/>
                <w:color w:val="auto"/>
              </w:rPr>
              <w:t>99,335</w:t>
            </w:r>
          </w:p>
        </w:tc>
        <w:tc>
          <w:tcPr>
            <w:tcW w:w="360" w:type="dxa"/>
            <w:vAlign w:val="bottom"/>
          </w:tcPr>
          <w:p>
            <w:pPr>
              <w:spacing w:after="0"/>
              <w:rPr>
                <w:sz w:val="14"/>
                <w:szCs w:val="14"/>
                <w:color w:val="auto"/>
              </w:rPr>
            </w:pPr>
          </w:p>
        </w:tc>
        <w:tc>
          <w:tcPr>
            <w:tcW w:w="880" w:type="dxa"/>
            <w:vAlign w:val="bottom"/>
          </w:tcPr>
          <w:p>
            <w:pPr>
              <w:jc w:val="right"/>
              <w:ind w:right="127"/>
              <w:spacing w:after="0" w:line="172" w:lineRule="exact"/>
              <w:rPr>
                <w:sz w:val="20"/>
                <w:szCs w:val="20"/>
                <w:color w:val="auto"/>
              </w:rPr>
            </w:pPr>
            <w:r>
              <w:rPr>
                <w:rFonts w:ascii="Arial" w:cs="Arial" w:eastAsia="Arial" w:hAnsi="Arial"/>
                <w:sz w:val="15"/>
                <w:szCs w:val="15"/>
                <w:color w:val="auto"/>
              </w:rPr>
              <w:t>78,955</w:t>
            </w:r>
          </w:p>
        </w:tc>
        <w:tc>
          <w:tcPr>
            <w:tcW w:w="360" w:type="dxa"/>
            <w:vAlign w:val="bottom"/>
          </w:tcPr>
          <w:p>
            <w:pPr>
              <w:spacing w:after="0"/>
              <w:rPr>
                <w:sz w:val="14"/>
                <w:szCs w:val="14"/>
                <w:color w:val="auto"/>
              </w:rPr>
            </w:pPr>
          </w:p>
        </w:tc>
        <w:tc>
          <w:tcPr>
            <w:tcW w:w="880" w:type="dxa"/>
            <w:vAlign w:val="bottom"/>
          </w:tcPr>
          <w:p>
            <w:pPr>
              <w:jc w:val="right"/>
              <w:ind w:right="127"/>
              <w:spacing w:after="0" w:line="172" w:lineRule="exact"/>
              <w:rPr>
                <w:sz w:val="20"/>
                <w:szCs w:val="20"/>
                <w:color w:val="auto"/>
              </w:rPr>
            </w:pPr>
            <w:r>
              <w:rPr>
                <w:rFonts w:ascii="Arial" w:cs="Arial" w:eastAsia="Arial" w:hAnsi="Arial"/>
                <w:sz w:val="15"/>
                <w:szCs w:val="15"/>
                <w:color w:val="auto"/>
              </w:rPr>
              <w:t>69,597</w:t>
            </w:r>
          </w:p>
        </w:tc>
        <w:tc>
          <w:tcPr>
            <w:tcW w:w="400" w:type="dxa"/>
            <w:vAlign w:val="bottom"/>
          </w:tcPr>
          <w:p>
            <w:pPr>
              <w:spacing w:after="0"/>
              <w:rPr>
                <w:sz w:val="14"/>
                <w:szCs w:val="14"/>
                <w:color w:val="auto"/>
              </w:rPr>
            </w:pPr>
          </w:p>
        </w:tc>
        <w:tc>
          <w:tcPr>
            <w:tcW w:w="840" w:type="dxa"/>
            <w:vAlign w:val="bottom"/>
          </w:tcPr>
          <w:p>
            <w:pPr>
              <w:jc w:val="right"/>
              <w:ind w:right="126"/>
              <w:spacing w:after="0" w:line="172" w:lineRule="exact"/>
              <w:rPr>
                <w:sz w:val="20"/>
                <w:szCs w:val="20"/>
                <w:color w:val="auto"/>
              </w:rPr>
            </w:pPr>
            <w:r>
              <w:rPr>
                <w:rFonts w:ascii="Arial" w:cs="Arial" w:eastAsia="Arial" w:hAnsi="Arial"/>
                <w:sz w:val="15"/>
                <w:szCs w:val="15"/>
                <w:color w:val="auto"/>
              </w:rPr>
              <w:t>243,736</w:t>
            </w:r>
          </w:p>
        </w:tc>
        <w:tc>
          <w:tcPr>
            <w:tcW w:w="400" w:type="dxa"/>
            <w:vAlign w:val="bottom"/>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5"/>
                <w:szCs w:val="15"/>
                <w:color w:val="auto"/>
              </w:rPr>
              <w:t>7</w:t>
            </w:r>
          </w:p>
        </w:tc>
      </w:tr>
      <w:tr>
        <w:trPr>
          <w:trHeight w:val="211"/>
        </w:trPr>
        <w:tc>
          <w:tcPr>
            <w:tcW w:w="2760" w:type="dxa"/>
            <w:vAlign w:val="bottom"/>
          </w:tcPr>
          <w:p>
            <w:pPr>
              <w:spacing w:after="0" w:line="211" w:lineRule="exact"/>
              <w:rPr>
                <w:sz w:val="20"/>
                <w:szCs w:val="20"/>
                <w:color w:val="auto"/>
              </w:rPr>
            </w:pPr>
            <w:r>
              <w:rPr>
                <w:rFonts w:ascii="Arial" w:cs="Arial" w:eastAsia="Arial" w:hAnsi="Arial"/>
                <w:sz w:val="15"/>
                <w:szCs w:val="15"/>
                <w:color w:val="auto"/>
              </w:rPr>
              <w:t xml:space="preserve">Other purchase obligations </w:t>
            </w:r>
            <w:r>
              <w:rPr>
                <w:rFonts w:ascii="Arial" w:cs="Arial" w:eastAsia="Arial" w:hAnsi="Arial"/>
                <w:sz w:val="24"/>
                <w:szCs w:val="24"/>
                <w:color w:val="auto"/>
                <w:vertAlign w:val="superscript"/>
              </w:rPr>
              <w:t>(2)</w:t>
            </w:r>
          </w:p>
        </w:tc>
        <w:tc>
          <w:tcPr>
            <w:tcW w:w="220" w:type="dxa"/>
            <w:vAlign w:val="bottom"/>
          </w:tcPr>
          <w:p>
            <w:pPr>
              <w:spacing w:after="0"/>
              <w:rPr>
                <w:sz w:val="18"/>
                <w:szCs w:val="18"/>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182,948</w:t>
            </w:r>
          </w:p>
        </w:tc>
        <w:tc>
          <w:tcPr>
            <w:tcW w:w="360" w:type="dxa"/>
            <w:vAlign w:val="bottom"/>
          </w:tcPr>
          <w:p>
            <w:pPr>
              <w:spacing w:after="0"/>
              <w:rPr>
                <w:sz w:val="18"/>
                <w:szCs w:val="18"/>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73,371</w:t>
            </w:r>
          </w:p>
        </w:tc>
        <w:tc>
          <w:tcPr>
            <w:tcW w:w="360" w:type="dxa"/>
            <w:vAlign w:val="bottom"/>
          </w:tcPr>
          <w:p>
            <w:pPr>
              <w:spacing w:after="0"/>
              <w:rPr>
                <w:sz w:val="18"/>
                <w:szCs w:val="18"/>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43,965</w:t>
            </w:r>
          </w:p>
        </w:tc>
        <w:tc>
          <w:tcPr>
            <w:tcW w:w="360" w:type="dxa"/>
            <w:vAlign w:val="bottom"/>
          </w:tcPr>
          <w:p>
            <w:pPr>
              <w:spacing w:after="0"/>
              <w:rPr>
                <w:sz w:val="18"/>
                <w:szCs w:val="18"/>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11,572</w:t>
            </w:r>
          </w:p>
        </w:tc>
        <w:tc>
          <w:tcPr>
            <w:tcW w:w="360" w:type="dxa"/>
            <w:vAlign w:val="bottom"/>
          </w:tcPr>
          <w:p>
            <w:pPr>
              <w:spacing w:after="0"/>
              <w:rPr>
                <w:sz w:val="18"/>
                <w:szCs w:val="18"/>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6,059</w:t>
            </w:r>
          </w:p>
        </w:tc>
        <w:tc>
          <w:tcPr>
            <w:tcW w:w="400" w:type="dxa"/>
            <w:vAlign w:val="bottom"/>
          </w:tcPr>
          <w:p>
            <w:pPr>
              <w:spacing w:after="0"/>
              <w:rPr>
                <w:sz w:val="18"/>
                <w:szCs w:val="18"/>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2,943</w:t>
            </w:r>
          </w:p>
        </w:tc>
        <w:tc>
          <w:tcPr>
            <w:tcW w:w="4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38"/>
        </w:trPr>
        <w:tc>
          <w:tcPr>
            <w:tcW w:w="2760" w:type="dxa"/>
            <w:vAlign w:val="bottom"/>
          </w:tcPr>
          <w:p>
            <w:pPr>
              <w:spacing w:after="0" w:line="239" w:lineRule="exact"/>
              <w:rPr>
                <w:sz w:val="20"/>
                <w:szCs w:val="20"/>
                <w:color w:val="auto"/>
              </w:rPr>
            </w:pPr>
            <w:r>
              <w:rPr>
                <w:rFonts w:ascii="Arial" w:cs="Arial" w:eastAsia="Arial" w:hAnsi="Arial"/>
                <w:sz w:val="15"/>
                <w:szCs w:val="15"/>
                <w:color w:val="auto"/>
              </w:rPr>
              <w:t xml:space="preserve">Long-term liabilities </w:t>
            </w:r>
            <w:r>
              <w:rPr>
                <w:rFonts w:ascii="Arial" w:cs="Arial" w:eastAsia="Arial" w:hAnsi="Arial"/>
                <w:sz w:val="24"/>
                <w:szCs w:val="24"/>
                <w:color w:val="auto"/>
                <w:vertAlign w:val="superscript"/>
              </w:rPr>
              <w:t>(3)</w:t>
            </w:r>
          </w:p>
        </w:tc>
        <w:tc>
          <w:tcPr>
            <w:tcW w:w="220" w:type="dxa"/>
            <w:vAlign w:val="bottom"/>
          </w:tcPr>
          <w:p>
            <w:pPr>
              <w:spacing w:after="0"/>
              <w:rPr>
                <w:sz w:val="20"/>
                <w:szCs w:val="20"/>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5,906</w:t>
            </w:r>
          </w:p>
        </w:tc>
        <w:tc>
          <w:tcPr>
            <w:tcW w:w="360" w:type="dxa"/>
            <w:vAlign w:val="bottom"/>
          </w:tcPr>
          <w:p>
            <w:pPr>
              <w:spacing w:after="0"/>
              <w:rPr>
                <w:sz w:val="20"/>
                <w:szCs w:val="20"/>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6,238</w:t>
            </w:r>
          </w:p>
        </w:tc>
        <w:tc>
          <w:tcPr>
            <w:tcW w:w="360" w:type="dxa"/>
            <w:vAlign w:val="bottom"/>
          </w:tcPr>
          <w:p>
            <w:pPr>
              <w:spacing w:after="0"/>
              <w:rPr>
                <w:sz w:val="20"/>
                <w:szCs w:val="20"/>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6,513</w:t>
            </w:r>
          </w:p>
        </w:tc>
        <w:tc>
          <w:tcPr>
            <w:tcW w:w="360" w:type="dxa"/>
            <w:vAlign w:val="bottom"/>
          </w:tcPr>
          <w:p>
            <w:pPr>
              <w:spacing w:after="0"/>
              <w:rPr>
                <w:sz w:val="20"/>
                <w:szCs w:val="20"/>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6,830</w:t>
            </w:r>
          </w:p>
        </w:tc>
        <w:tc>
          <w:tcPr>
            <w:tcW w:w="360" w:type="dxa"/>
            <w:vAlign w:val="bottom"/>
          </w:tcPr>
          <w:p>
            <w:pPr>
              <w:spacing w:after="0"/>
              <w:rPr>
                <w:sz w:val="20"/>
                <w:szCs w:val="20"/>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7,162</w:t>
            </w:r>
          </w:p>
        </w:tc>
        <w:tc>
          <w:tcPr>
            <w:tcW w:w="400" w:type="dxa"/>
            <w:vAlign w:val="bottom"/>
          </w:tcPr>
          <w:p>
            <w:pPr>
              <w:spacing w:after="0"/>
              <w:rPr>
                <w:sz w:val="20"/>
                <w:szCs w:val="20"/>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67,377</w:t>
            </w:r>
          </w:p>
        </w:tc>
        <w:tc>
          <w:tcPr>
            <w:tcW w:w="4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2"/>
        </w:trPr>
        <w:tc>
          <w:tcPr>
            <w:tcW w:w="2760" w:type="dxa"/>
            <w:vAlign w:val="bottom"/>
          </w:tcPr>
          <w:p>
            <w:pPr>
              <w:ind w:left="460"/>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683,374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419,415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295,773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196,921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113,104</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786,937</w:t>
            </w:r>
          </w:p>
        </w:tc>
        <w:tc>
          <w:tcPr>
            <w:tcW w:w="40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9"/>
        <w:spacing w:after="0"/>
        <w:rPr>
          <w:sz w:val="20"/>
          <w:szCs w:val="20"/>
          <w:color w:val="auto"/>
        </w:rPr>
      </w:pPr>
      <w:r>
        <w:rPr>
          <w:rFonts w:ascii="Arial" w:cs="Arial" w:eastAsia="Arial" w:hAnsi="Arial"/>
          <w:sz w:val="5"/>
          <w:szCs w:val="5"/>
          <w:color w:val="auto"/>
        </w:rPr>
        <w:t>______________________________________________________________________________</w:t>
      </w:r>
    </w:p>
    <w:p>
      <w:pPr>
        <w:spacing w:after="0" w:line="322" w:lineRule="exact"/>
        <w:rPr>
          <w:sz w:val="20"/>
          <w:szCs w:val="20"/>
          <w:color w:val="auto"/>
        </w:rPr>
      </w:pPr>
    </w:p>
    <w:p>
      <w:pPr>
        <w:ind w:left="309" w:hanging="309"/>
        <w:spacing w:after="0" w:line="180" w:lineRule="auto"/>
        <w:tabs>
          <w:tab w:leader="none" w:pos="364" w:val="left"/>
        </w:tabs>
        <w:numPr>
          <w:ilvl w:val="0"/>
          <w:numId w:val="44"/>
        </w:numPr>
        <w:rPr>
          <w:rFonts w:ascii="Arial" w:cs="Arial" w:eastAsia="Arial" w:hAnsi="Arial"/>
          <w:sz w:val="22"/>
          <w:szCs w:val="22"/>
          <w:color w:val="auto"/>
          <w:vertAlign w:val="superscript"/>
        </w:rPr>
      </w:pPr>
      <w:r>
        <w:rPr>
          <w:rFonts w:ascii="Arial" w:cs="Arial" w:eastAsia="Arial" w:hAnsi="Arial"/>
          <w:sz w:val="11"/>
          <w:szCs w:val="11"/>
          <w:color w:val="auto"/>
        </w:rPr>
        <w:t>Includes commitments for the Company’s television broadcasting and cable television businesses that are reflected in the Company’s Consolidated Financial Statements and commitments to pu programming to be produced in future years.</w:t>
      </w:r>
    </w:p>
    <w:p>
      <w:pPr>
        <w:spacing w:after="0" w:line="62" w:lineRule="exact"/>
        <w:rPr>
          <w:rFonts w:ascii="Arial" w:cs="Arial" w:eastAsia="Arial" w:hAnsi="Arial"/>
          <w:sz w:val="22"/>
          <w:szCs w:val="22"/>
          <w:color w:val="auto"/>
          <w:vertAlign w:val="superscript"/>
        </w:rPr>
      </w:pPr>
    </w:p>
    <w:p>
      <w:pPr>
        <w:jc w:val="both"/>
        <w:ind w:left="309" w:hanging="309"/>
        <w:spacing w:after="0" w:line="183" w:lineRule="auto"/>
        <w:tabs>
          <w:tab w:leader="none" w:pos="364" w:val="left"/>
        </w:tabs>
        <w:numPr>
          <w:ilvl w:val="0"/>
          <w:numId w:val="44"/>
        </w:numPr>
        <w:rPr>
          <w:rFonts w:ascii="Arial" w:cs="Arial" w:eastAsia="Arial" w:hAnsi="Arial"/>
          <w:sz w:val="24"/>
          <w:szCs w:val="24"/>
          <w:color w:val="auto"/>
          <w:vertAlign w:val="superscript"/>
        </w:rPr>
      </w:pPr>
      <w:r>
        <w:rPr>
          <w:rFonts w:ascii="Arial" w:cs="Arial" w:eastAsia="Arial" w:hAnsi="Arial"/>
          <w:sz w:val="12"/>
          <w:szCs w:val="12"/>
          <w:color w:val="auto"/>
        </w:rPr>
        <w:t>Includes purchase obligations related to newsprint contracts, printing contracts, employment agreements, circulation distribution agreements, capital projects and other legally binding commitme Other purchase orders made in the ordinary course of business are excluded from the table above. Any amounts for which the Company is liable under purchase orders are reflected in the Comp Consolidated Balance Sheets as accounts payable and accrued liabilities.</w:t>
      </w:r>
    </w:p>
    <w:p>
      <w:pPr>
        <w:spacing w:after="0" w:line="63" w:lineRule="exact"/>
        <w:rPr>
          <w:rFonts w:ascii="Arial" w:cs="Arial" w:eastAsia="Arial" w:hAnsi="Arial"/>
          <w:sz w:val="24"/>
          <w:szCs w:val="24"/>
          <w:color w:val="auto"/>
          <w:vertAlign w:val="superscript"/>
        </w:rPr>
      </w:pPr>
    </w:p>
    <w:p>
      <w:pPr>
        <w:ind w:left="289" w:hanging="289"/>
        <w:spacing w:after="0" w:line="180" w:lineRule="auto"/>
        <w:tabs>
          <w:tab w:leader="none" w:pos="350" w:val="left"/>
        </w:tabs>
        <w:numPr>
          <w:ilvl w:val="0"/>
          <w:numId w:val="44"/>
        </w:numPr>
        <w:rPr>
          <w:rFonts w:ascii="Arial" w:cs="Arial" w:eastAsia="Arial" w:hAnsi="Arial"/>
          <w:sz w:val="22"/>
          <w:szCs w:val="22"/>
          <w:color w:val="auto"/>
          <w:vertAlign w:val="superscript"/>
        </w:rPr>
      </w:pPr>
      <w:r>
        <w:rPr>
          <w:rFonts w:ascii="Arial" w:cs="Arial" w:eastAsia="Arial" w:hAnsi="Arial"/>
          <w:sz w:val="11"/>
          <w:szCs w:val="11"/>
          <w:color w:val="auto"/>
        </w:rPr>
        <w:t>Primarily made up of postretirement benefit obligations other than pensions. The Company has other long-term liabilities excluded from the table above, including obligations for deferred compen long-term incentive plans and long-term deferred revenue.</w:t>
      </w:r>
    </w:p>
    <w:p>
      <w:pPr>
        <w:spacing w:after="0" w:line="154" w:lineRule="exact"/>
        <w:rPr>
          <w:sz w:val="20"/>
          <w:szCs w:val="20"/>
          <w:color w:val="auto"/>
        </w:rPr>
      </w:pPr>
    </w:p>
    <w:p>
      <w:pPr>
        <w:jc w:val="both"/>
        <w:ind w:left="9"/>
        <w:spacing w:after="0" w:line="242"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The Company does not have any off-balance-sheet arrangements or financing activities with special-purpose entities (SPEs). Transactions wit</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parties, as discussed in Note 4 to the Company’s Consolidated Financial Statements, are in the ordinary course of business and are conducte an arm’s-length basis.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97"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judg that affect the amounts reported in the financial statements. On an ongoing basis, the Company evaluates its estimates and assumptions. The Compa bases its estimates on historical experience and other assumptions believed to be reasonable under the circumstances, the results of which form the for making judgments about the carrying value of assets and liabilities that are not readily apparent from other sources. Actual results could differ from estimates.</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35" w:right="139" w:bottom="1440" w:gutter="0" w:footer="0" w:header="0"/>
        </w:sectPr>
      </w:pPr>
    </w:p>
    <w:bookmarkStart w:id="69" w:name="page70"/>
    <w:bookmarkEnd w:id="69"/>
    <w:p>
      <w:pPr>
        <w:jc w:val="both"/>
        <w:ind w:right="20"/>
        <w:spacing w:after="0" w:line="233" w:lineRule="auto"/>
        <w:rPr>
          <w:sz w:val="20"/>
          <w:szCs w:val="20"/>
          <w:color w:val="auto"/>
        </w:rPr>
      </w:pPr>
      <w:r>
        <w:rPr>
          <w:rFonts w:ascii="Arial" w:cs="Arial" w:eastAsia="Arial" w:hAnsi="Arial"/>
          <w:sz w:val="17"/>
          <w:szCs w:val="17"/>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55"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 xml:space="preserve">Revenue Recognition, Trade Accounts Receivable, Sales Returns and Allowance for Doubtful Accounts. </w:t>
      </w:r>
      <w:r>
        <w:rPr>
          <w:rFonts w:ascii="Arial" w:cs="Arial" w:eastAsia="Arial" w:hAnsi="Arial"/>
          <w:sz w:val="17"/>
          <w:szCs w:val="17"/>
          <w:color w:val="auto"/>
        </w:rPr>
        <w:t>Education tuition revenue is recogniz</w:t>
      </w:r>
      <w:r>
        <w:rPr>
          <w:rFonts w:ascii="Arial" w:cs="Arial" w:eastAsia="Arial" w:hAnsi="Arial"/>
          <w:sz w:val="17"/>
          <w:szCs w:val="17"/>
          <w:b w:val="1"/>
          <w:bCs w:val="1"/>
          <w:color w:val="auto"/>
        </w:rPr>
        <w:t xml:space="preserve"> </w:t>
      </w:r>
      <w:r>
        <w:rPr>
          <w:rFonts w:ascii="Arial" w:cs="Arial" w:eastAsia="Arial" w:hAnsi="Arial"/>
          <w:sz w:val="17"/>
          <w:szCs w:val="17"/>
          <w:color w:val="auto"/>
        </w:rPr>
        <w:t>ratably over the period of instruction as services are delivered to students, net of any refunds, corporate discounts, scholarships and employee tuition discounts.</w:t>
      </w:r>
    </w:p>
    <w:p>
      <w:pPr>
        <w:spacing w:after="0" w:line="17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Starting in the fourth quarter of 2010, KHE implemented the Kaplan Commitment program, which provides first-time students with a risk-free trial perio Under the program, KHE also monitors academic progress and conducts academic assessments to help determine whether students are likely to be successful in their chosen course of study. Students who withdraw or are subject to academic dismissal during the risk-free trial period do not incur an significant financial obligation. In general, the risk-free period is approximately four weeks for diploma programs and five weeks for associate’s, bachel and master’s degrees. The Company does not recognize revenues related to coursework until the students complete the risk-free period, meet the academic requirements and decide to continue with their studies, at which time the fees become fixed and determinable.</w:t>
      </w:r>
    </w:p>
    <w:p>
      <w:pPr>
        <w:spacing w:after="0" w:line="17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At KTP and Kaplan International, estimates of average student course length are developed for each course, along with estimates for the anticipated l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from media advertising is recognized, net of agency commissions, when the underlying advertisement is published or broadcast. Revenues f newspaper subscriptions and retail sales are recognized upon the later of delivery or publication date, with adequate provision made for anticipated sa returns.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Accounts receivable have been reduced by an allowance for amounts that may be uncollectible in the future. This estimated allowance is based prima the aging category, historical trends and management’s evaluation of the financial condition of the customer. Accounts receivable also have been redu by an estimate of advertising rate adjustments and discounts, based on estimates of advertising volumes for contract customers who are eligible for advertising rate adjustments and discounts.</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has a significant amount of goodwill and indefinite-lived intangible assets that are reviewed a</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for possible impairment.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tcPr>
          <w:p>
            <w:pPr>
              <w:jc w:val="right"/>
              <w:ind w:right="211"/>
              <w:spacing w:after="0"/>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January 2,</w:t>
            </w:r>
          </w:p>
        </w:tc>
      </w:tr>
      <w:tr>
        <w:trPr>
          <w:trHeight w:val="151"/>
        </w:trPr>
        <w:tc>
          <w:tcPr>
            <w:tcW w:w="6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1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2011</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2"/>
                <w:szCs w:val="12"/>
                <w:color w:val="auto"/>
              </w:rPr>
              <w:t>2011</w:t>
            </w:r>
          </w:p>
        </w:tc>
      </w:tr>
      <w:tr>
        <w:trPr>
          <w:trHeight w:val="150"/>
        </w:trPr>
        <w:tc>
          <w:tcPr>
            <w:tcW w:w="6680" w:type="dxa"/>
            <w:vAlign w:val="bottom"/>
          </w:tcPr>
          <w:p>
            <w:pPr>
              <w:spacing w:after="0" w:line="150" w:lineRule="exact"/>
              <w:rPr>
                <w:sz w:val="20"/>
                <w:szCs w:val="20"/>
                <w:color w:val="auto"/>
              </w:rPr>
            </w:pPr>
            <w:r>
              <w:rPr>
                <w:rFonts w:ascii="Arial" w:cs="Arial" w:eastAsia="Arial" w:hAnsi="Arial"/>
                <w:sz w:val="15"/>
                <w:szCs w:val="15"/>
                <w:color w:val="auto"/>
              </w:rPr>
              <w:t>Goodwill and indefinite-lived intangible assets</w:t>
            </w:r>
          </w:p>
        </w:tc>
        <w:tc>
          <w:tcPr>
            <w:tcW w:w="19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91"/>
              <w:spacing w:after="0" w:line="150" w:lineRule="exact"/>
              <w:rPr>
                <w:sz w:val="20"/>
                <w:szCs w:val="20"/>
                <w:color w:val="auto"/>
              </w:rPr>
            </w:pPr>
            <w:r>
              <w:rPr>
                <w:rFonts w:ascii="Arial" w:cs="Arial" w:eastAsia="Arial" w:hAnsi="Arial"/>
                <w:sz w:val="15"/>
                <w:szCs w:val="15"/>
                <w:b w:val="1"/>
                <w:bCs w:val="1"/>
                <w:color w:val="auto"/>
              </w:rPr>
              <w:t>1,945.6</w:t>
            </w:r>
          </w:p>
        </w:tc>
        <w:tc>
          <w:tcPr>
            <w:tcW w:w="40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50" w:lineRule="exact"/>
              <w:rPr>
                <w:sz w:val="20"/>
                <w:szCs w:val="20"/>
                <w:color w:val="auto"/>
              </w:rPr>
            </w:pPr>
            <w:r>
              <w:rPr>
                <w:rFonts w:ascii="Arial" w:cs="Arial" w:eastAsia="Arial" w:hAnsi="Arial"/>
                <w:sz w:val="15"/>
                <w:szCs w:val="15"/>
                <w:color w:val="auto"/>
              </w:rPr>
              <w:t>1,90</w:t>
            </w:r>
          </w:p>
        </w:tc>
      </w:tr>
      <w:tr>
        <w:trPr>
          <w:trHeight w:val="174"/>
        </w:trPr>
        <w:tc>
          <w:tcPr>
            <w:tcW w:w="6680" w:type="dxa"/>
            <w:vAlign w:val="bottom"/>
          </w:tcPr>
          <w:p>
            <w:pPr>
              <w:spacing w:after="0"/>
              <w:rPr>
                <w:sz w:val="20"/>
                <w:szCs w:val="20"/>
                <w:color w:val="auto"/>
              </w:rPr>
            </w:pPr>
            <w:r>
              <w:rPr>
                <w:rFonts w:ascii="Arial" w:cs="Arial" w:eastAsia="Arial" w:hAnsi="Arial"/>
                <w:sz w:val="15"/>
                <w:szCs w:val="15"/>
                <w:color w:val="auto"/>
              </w:rPr>
              <w:t>Total assets</w:t>
            </w:r>
          </w:p>
        </w:tc>
        <w:tc>
          <w:tcPr>
            <w:tcW w:w="198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191"/>
              <w:spacing w:after="0"/>
              <w:rPr>
                <w:sz w:val="20"/>
                <w:szCs w:val="20"/>
                <w:color w:val="auto"/>
              </w:rPr>
            </w:pPr>
            <w:r>
              <w:rPr>
                <w:rFonts w:ascii="Arial" w:cs="Arial" w:eastAsia="Arial" w:hAnsi="Arial"/>
                <w:sz w:val="15"/>
                <w:szCs w:val="15"/>
                <w:b w:val="1"/>
                <w:bCs w:val="1"/>
                <w:color w:val="auto"/>
              </w:rPr>
              <w:t>5,017.0</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5,15</w:t>
            </w:r>
          </w:p>
        </w:tc>
      </w:tr>
      <w:tr>
        <w:trPr>
          <w:trHeight w:val="197"/>
        </w:trPr>
        <w:tc>
          <w:tcPr>
            <w:tcW w:w="6680" w:type="dxa"/>
            <w:vAlign w:val="bottom"/>
          </w:tcPr>
          <w:p>
            <w:pPr>
              <w:spacing w:after="0"/>
              <w:rPr>
                <w:sz w:val="20"/>
                <w:szCs w:val="20"/>
                <w:color w:val="auto"/>
              </w:rPr>
            </w:pPr>
            <w:r>
              <w:rPr>
                <w:rFonts w:ascii="Arial" w:cs="Arial" w:eastAsia="Arial" w:hAnsi="Arial"/>
                <w:sz w:val="15"/>
                <w:szCs w:val="15"/>
                <w:color w:val="auto"/>
              </w:rPr>
              <w:t>Percentage of goodwill and indefinite-lived intangible assets to total assets</w:t>
            </w:r>
          </w:p>
        </w:tc>
        <w:tc>
          <w:tcPr>
            <w:tcW w:w="1980" w:type="dxa"/>
            <w:vAlign w:val="bottom"/>
          </w:tcPr>
          <w:p>
            <w:pPr>
              <w:spacing w:after="0"/>
              <w:rPr>
                <w:sz w:val="17"/>
                <w:szCs w:val="17"/>
                <w:color w:val="auto"/>
              </w:rPr>
            </w:pPr>
          </w:p>
        </w:tc>
        <w:tc>
          <w:tcPr>
            <w:tcW w:w="1180" w:type="dxa"/>
            <w:vAlign w:val="bottom"/>
          </w:tcPr>
          <w:p>
            <w:pPr>
              <w:jc w:val="right"/>
              <w:ind w:right="151"/>
              <w:spacing w:after="0"/>
              <w:rPr>
                <w:sz w:val="20"/>
                <w:szCs w:val="20"/>
                <w:color w:val="auto"/>
              </w:rPr>
            </w:pPr>
            <w:r>
              <w:rPr>
                <w:rFonts w:ascii="Arial" w:cs="Arial" w:eastAsia="Arial" w:hAnsi="Arial"/>
                <w:sz w:val="15"/>
                <w:szCs w:val="15"/>
                <w:b w:val="1"/>
                <w:bCs w:val="1"/>
                <w:color w:val="auto"/>
              </w:rPr>
              <w:t>39%</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179"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The Company performs its annual goodwill and intangible assets impairment test as of November 30. Goodwill and other intangible assets are review possible impairment between annual tests if an event occurred or circumstances changed that would more likely than not reduce the fair value of the reporting unit or other intangible assets below its carrying value.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19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Company tests its goodwill at the reporting unit level, which is an operating segment or one level below an operating segment. In the fourth quarte 2011, the Company adopted new accounting guidance that allows for an initial assessment of qualitative factors to determine if it is necessary to perfo two-step goodwill impairment test. The Company tests goodwill for impairment using the two-step process if, based on its assessment of the qualitativ factors, it determines that it is more likely than not that the fair value of a reporting unit is less than its carrying amount, or if it decides to bypass the qualitative assessment. The first step of the goodwill impairment test compares the estimated fair value of a reporting unit with its carrying amount, inc goodwill. This step is performed to identify potential impairment, which occurs when the carrying amount of the reporting unit exceeds its estimated fai value. The second step of the goodwill impairment test is only performed when there is a potential impairment and is performed to measure the amou impairment loss at the reporting unit. During the second step, the Company allocates the estimated fair</w:t>
      </w:r>
    </w:p>
    <w:p>
      <w:pPr>
        <w:spacing w:after="0" w:line="17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70" w:name="page71"/>
    <w:bookmarkEnd w:id="70"/>
    <w:p>
      <w:pPr>
        <w:jc w:val="both"/>
        <w:ind w:left="9" w:right="20"/>
        <w:spacing w:after="0" w:line="251" w:lineRule="auto"/>
        <w:rPr>
          <w:sz w:val="20"/>
          <w:szCs w:val="20"/>
          <w:color w:val="auto"/>
        </w:rPr>
      </w:pPr>
      <w:r>
        <w:rPr>
          <w:rFonts w:ascii="Arial" w:cs="Arial" w:eastAsia="Arial" w:hAnsi="Arial"/>
          <w:sz w:val="16"/>
          <w:szCs w:val="16"/>
          <w:color w:val="auto"/>
        </w:rPr>
        <w:t>value of the reporting unit to all of the assets and liabilities of the unit (including any unrecognized intangible assets). The excess of the fair value of th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67"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In the third quarter of 2011, as a result of continued challenges facing the lead generation industry, the Company performed an interim review of the c value of goodwill and other intangible assets at its online lead generation business for possible impairment. The Company used a discounted cash flo model to determine the estimated fair value of the reporting unit. The Company made estimates and assumptions regarding future cash flows, discoun rates, long-term growth rates and market values to determine the reporting unit’s estimated fair value. The methodology used to estimate the fair value the Company’s lead generation business reporting unit was consistent with the one used during the Company’s 2010 annual goodwill impairment test.</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key assumptions used by the Company were as follows:</w:t>
      </w:r>
    </w:p>
    <w:p>
      <w:pPr>
        <w:spacing w:after="0" w:line="40" w:lineRule="exact"/>
        <w:rPr>
          <w:sz w:val="20"/>
          <w:szCs w:val="20"/>
          <w:color w:val="auto"/>
        </w:rPr>
      </w:pPr>
    </w:p>
    <w:p>
      <w:pPr>
        <w:jc w:val="both"/>
        <w:ind w:left="289" w:hanging="289"/>
        <w:spacing w:after="0" w:line="233" w:lineRule="auto"/>
        <w:tabs>
          <w:tab w:leader="none" w:pos="2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Expected cash flows underlying the reporting unit’s business plans for the periods 2011 through 2015 were used. The expected cash flows took in account historical growth rates, forecasts and long-term business plans, but also included an estimate for the possible impact of newly enacted for education regulations on the Company’s lead generation business.</w:t>
      </w:r>
    </w:p>
    <w:p>
      <w:pPr>
        <w:spacing w:after="0" w:line="38" w:lineRule="exact"/>
        <w:rPr>
          <w:rFonts w:ascii="Arial" w:cs="Arial" w:eastAsia="Arial" w:hAnsi="Arial"/>
          <w:sz w:val="17"/>
          <w:szCs w:val="17"/>
          <w:color w:val="auto"/>
        </w:rPr>
      </w:pPr>
    </w:p>
    <w:p>
      <w:pPr>
        <w:ind w:left="289" w:hanging="289"/>
        <w:spacing w:after="0" w:line="235" w:lineRule="auto"/>
        <w:tabs>
          <w:tab w:leader="none" w:pos="2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Cash flows beyond 2015 were projected to grow at a long-term growth rate, which the Company estimated by considering historical market growth trends, anticipated reporting unit performance and expected market conditions.</w:t>
      </w:r>
    </w:p>
    <w:p>
      <w:pPr>
        <w:spacing w:after="0" w:line="39" w:lineRule="exact"/>
        <w:rPr>
          <w:rFonts w:ascii="Arial" w:cs="Arial" w:eastAsia="Arial" w:hAnsi="Arial"/>
          <w:sz w:val="17"/>
          <w:szCs w:val="17"/>
          <w:color w:val="auto"/>
        </w:rPr>
      </w:pPr>
    </w:p>
    <w:p>
      <w:pPr>
        <w:jc w:val="both"/>
        <w:ind w:left="289" w:hanging="289"/>
        <w:spacing w:after="0" w:line="233" w:lineRule="auto"/>
        <w:tabs>
          <w:tab w:leader="none" w:pos="2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Company used a discount rate of 20.5% to risk adjust the cash flow projections in determining the estimated fair value. This took into account Company’s assessment of the risks inherent in the future cash flows of the reporting unit and the weighted average cost of capital of market partic in businesses similar to the reporting unit.</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online lead generation reporting unit failed step one of the interim goodwill impairment review, and the Company performed a step two analysis. T Company recorded a goodwill impairment charge of $11.9 million related to the reporting unit. Following the impairment, the reporting unit had no goo remaining.</w:t>
      </w:r>
    </w:p>
    <w:p>
      <w:pPr>
        <w:spacing w:after="0" w:line="175"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The Company had 16 reporting units as of December 31, 2011. The reporting units with significant goodwill balances as of December 31, 2011, were follows, representing 97% of the total goodwill of the Company:</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10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Good</w:t>
            </w:r>
          </w:p>
        </w:tc>
      </w:tr>
      <w:tr>
        <w:trPr>
          <w:trHeight w:val="168"/>
        </w:trPr>
        <w:tc>
          <w:tcPr>
            <w:tcW w:w="10400" w:type="dxa"/>
            <w:vAlign w:val="bottom"/>
          </w:tcPr>
          <w:p>
            <w:pPr>
              <w:spacing w:after="0" w:line="168" w:lineRule="exact"/>
              <w:rPr>
                <w:sz w:val="20"/>
                <w:szCs w:val="20"/>
                <w:color w:val="auto"/>
              </w:rPr>
            </w:pPr>
            <w:r>
              <w:rPr>
                <w:rFonts w:ascii="Arial" w:cs="Arial" w:eastAsia="Arial" w:hAnsi="Arial"/>
                <w:sz w:val="15"/>
                <w:szCs w:val="15"/>
                <w:color w:val="auto"/>
              </w:rPr>
              <w:t>Education</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Higher education</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5"/>
                <w:szCs w:val="15"/>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Test preparation</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Kaplan international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4"/>
        </w:trPr>
        <w:tc>
          <w:tcPr>
            <w:tcW w:w="10400" w:type="dxa"/>
            <w:vAlign w:val="bottom"/>
          </w:tcPr>
          <w:p>
            <w:pPr>
              <w:spacing w:after="0"/>
              <w:rPr>
                <w:sz w:val="20"/>
                <w:szCs w:val="20"/>
                <w:color w:val="auto"/>
              </w:rPr>
            </w:pPr>
            <w:r>
              <w:rPr>
                <w:rFonts w:ascii="Arial" w:cs="Arial" w:eastAsia="Arial" w:hAnsi="Arial"/>
                <w:sz w:val="15"/>
                <w:szCs w:val="15"/>
                <w:color w:val="auto"/>
              </w:rPr>
              <w:t>Cable television</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2"/>
        </w:trPr>
        <w:tc>
          <w:tcPr>
            <w:tcW w:w="104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66"/>
        </w:trPr>
        <w:tc>
          <w:tcPr>
            <w:tcW w:w="1040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r>
      <w:tr>
        <w:trPr>
          <w:trHeight w:val="20"/>
        </w:trPr>
        <w:tc>
          <w:tcPr>
            <w:tcW w:w="10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As of November 30, 2011, in connection with the Company’s annual impairment testing, the Company assessed the qualitative factors to determine reporting units in which it was necessary to perform the two-step goodwill impairment process. The Company decided to perform the two-step goodwil impairment process at all reporting units with the exception of the television broadcasting reporting unit. The decision was based on a combination of and circumstances present at the reporting units, including negative financial performance, sustained declines in share price of industry peers, market changes for products and services, regulatory challenges, and the possibility of disposal of some reporting units; and some instances where the Comp decided to bypass the qualitative assessment.</w:t>
      </w:r>
    </w:p>
    <w:p>
      <w:pPr>
        <w:spacing w:after="0" w:line="179"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The estimated fair value of the television broadcasting reporting unit exceeded its carrying value by a margin in excess of 100% as of November 30, 2 The Company’s qualitative assessment indicated that it is not more likely than not that the estimated fair value of the reporting unit is less than its carr amount considering all factors, including the reporting unit’s financial performance and conditions in the television broadcasting industry.</w:t>
      </w:r>
    </w:p>
    <w:p>
      <w:pPr>
        <w:spacing w:after="0" w:line="16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In connection with the Company’s reporting units where the two-step goodwill impairment process was performed, the Company used a discounted ca flow model, and where appropriate, a market value approach was also utilized to supplement the discounted cash flow model to determine the estimat value of its reporting units. The Company made estimates and assumptions regarding future cash flows, discount rates, long-term growth rates and m values to determine each reporting unit’s estimated fair value. The methodology used to estimate the fair value of the Company’s reporting units on November 30, 2011, was consistent with the one used during the 2010 annual goodwill impairment test. The Company made changes to certain of its assumptions utilized in the discounted cash flow models for 2011 compared</w:t>
      </w:r>
    </w:p>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71" w:name="page72"/>
    <w:bookmarkEnd w:id="71"/>
    <w:p>
      <w:pPr>
        <w:ind w:left="9"/>
        <w:spacing w:after="0"/>
        <w:rPr>
          <w:sz w:val="20"/>
          <w:szCs w:val="20"/>
          <w:color w:val="auto"/>
        </w:rPr>
      </w:pPr>
      <w:r>
        <w:rPr>
          <w:rFonts w:ascii="Arial" w:cs="Arial" w:eastAsia="Arial" w:hAnsi="Arial"/>
          <w:sz w:val="16"/>
          <w:szCs w:val="16"/>
          <w:color w:val="auto"/>
        </w:rPr>
        <w:t>with the prior year due largely to the somewhat improved economic environment, newly enacted for-profit education regulations and their impact on th</w:t>
      </w:r>
    </w:p>
    <w:p>
      <w:pPr>
        <w:spacing w:after="0" w:line="2" w:lineRule="exact"/>
        <w:rPr>
          <w:sz w:val="20"/>
          <w:szCs w:val="20"/>
          <w:color w:val="auto"/>
        </w:rPr>
      </w:pPr>
    </w:p>
    <w:p>
      <w:pPr>
        <w:ind w:left="9"/>
        <w:spacing w:after="0"/>
        <w:rPr>
          <w:sz w:val="20"/>
          <w:szCs w:val="20"/>
          <w:color w:val="auto"/>
        </w:rPr>
      </w:pPr>
      <w:r>
        <w:rPr>
          <w:rFonts w:ascii="Arial" w:cs="Arial" w:eastAsia="Arial" w:hAnsi="Arial"/>
          <w:sz w:val="17"/>
          <w:szCs w:val="17"/>
          <w:color w:val="auto"/>
        </w:rPr>
        <w:t>Company’s businesses. The key assumptions used by the Company were as follows:</w:t>
      </w:r>
    </w:p>
    <w:p>
      <w:pPr>
        <w:spacing w:after="0" w:line="40" w:lineRule="exact"/>
        <w:rPr>
          <w:sz w:val="20"/>
          <w:szCs w:val="20"/>
          <w:color w:val="auto"/>
        </w:rPr>
      </w:pPr>
    </w:p>
    <w:p>
      <w:pPr>
        <w:ind w:left="289" w:right="20" w:hanging="289"/>
        <w:spacing w:after="0" w:line="232" w:lineRule="auto"/>
        <w:tabs>
          <w:tab w:leader="none" w:pos="279"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Expected cash flows underlying the Company’s business plans for the periods 2012 through 2016 were used. The expected cash flows took into account historical growth rates, the effect of the improved economic outlook at some of the Company’s businesses, industry challenges, and an estimate for the possible impact of newly enacted for-profit education regulations. Expected cash flows also reflected the anticipated savings from restructuring plans at the newspaper publishing and certain education divisions’ reporting units, and other initiatives.</w:t>
      </w:r>
    </w:p>
    <w:p>
      <w:pPr>
        <w:spacing w:after="0" w:line="38" w:lineRule="exact"/>
        <w:rPr>
          <w:rFonts w:ascii="Arial" w:cs="Arial" w:eastAsia="Arial" w:hAnsi="Arial"/>
          <w:sz w:val="17"/>
          <w:szCs w:val="17"/>
          <w:color w:val="auto"/>
        </w:rPr>
      </w:pPr>
    </w:p>
    <w:p>
      <w:pPr>
        <w:ind w:left="289" w:hanging="289"/>
        <w:spacing w:after="0"/>
        <w:tabs>
          <w:tab w:leader="none" w:pos="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flows beyond 2016 were projected to grow at a long-term growth rate, which the Company estimated between 1% and 3% for each reporting</w:t>
      </w:r>
    </w:p>
    <w:p>
      <w:pPr>
        <w:spacing w:after="0" w:line="51" w:lineRule="exact"/>
        <w:rPr>
          <w:rFonts w:ascii="Arial" w:cs="Arial" w:eastAsia="Arial" w:hAnsi="Arial"/>
          <w:sz w:val="16"/>
          <w:szCs w:val="16"/>
          <w:color w:val="auto"/>
        </w:rPr>
      </w:pPr>
    </w:p>
    <w:p>
      <w:pPr>
        <w:ind w:left="289" w:hanging="289"/>
        <w:spacing w:after="0"/>
        <w:tabs>
          <w:tab w:leader="none" w:pos="2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used a discount rate of 8.0% to 22.5% to risk adjust the cash flow projections in determining the estimated fair value.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fair value of each of the reporting units exceeded its respective carrying value as of November 30, 2011.</w:t>
      </w:r>
    </w:p>
    <w:p>
      <w:pPr>
        <w:spacing w:after="0" w:line="177"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The estimated fair value of the KTP reporting unit exceeded its carrying value by a margin of 15% following a substantial decrease in its estimated fair compared with the prior year. There exists a reasonable possibility that a decrease in the assumed projected cash flows or long-term growth rate, or a increase in the discount rate assumption used in the discounted cash flow model of this reporting unit, could result in an impairment charge.</w:t>
      </w:r>
    </w:p>
    <w:p>
      <w:pPr>
        <w:spacing w:after="0" w:line="167"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estimated fair value of the Company’s other reporting units with significant goodwill balances exceeded their respective carrying values by a marg excess of 25%. While less likely, additional impairment charges could occur at these reporting units as well, given the inherent variability in projecting f operating performance.</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Indefinite-Lived Intangible Assets</w:t>
      </w:r>
    </w:p>
    <w:p>
      <w:pPr>
        <w:spacing w:after="0" w:line="195"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The other intangible assets impairment test compares the fair value of the asset with its carrying value. The Company records an impairment loss if th carrying value of the other intangible assets exceeds the fair value of the assets for the difference in the values. The Company uses a discounted cash model, and in certain cases, a market value approach is also utilized to supplement the discounted cash flow model to determine the estimated fair va the indefinite-lived intangible assets. The Company makes estimates and assumptions regarding future cash flows, discount rates, long-term growth r and other market values to determine the estimated fair value of the indefinite-lived intangible assets.</w:t>
      </w:r>
    </w:p>
    <w:p>
      <w:pPr>
        <w:spacing w:after="0" w:line="176"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The Company’s intangible assets with an indefinite life are principally from franchise agreements at its cable television division. These franchise agree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 beyond the foreseeable horizon, and the Company’s cable television division historically has obtained renewals and extensions of such agreements fo nominal costs and without material modifications to the agreements. The franchise agreements represent 94% of the $530.6 million of indefinite-lived intangible assets of the Company as of December 31, 2011. The Company grouped the recorded values of its various cable franchise agreements int regional cable television systems or units of account.</w:t>
      </w:r>
    </w:p>
    <w:p>
      <w:pPr>
        <w:spacing w:after="0" w:line="178" w:lineRule="exact"/>
        <w:rPr>
          <w:sz w:val="20"/>
          <w:szCs w:val="20"/>
          <w:color w:val="auto"/>
        </w:rPr>
      </w:pPr>
    </w:p>
    <w:p>
      <w:pPr>
        <w:ind w:left="9" w:right="220"/>
        <w:spacing w:after="0" w:line="235" w:lineRule="auto"/>
        <w:rPr>
          <w:sz w:val="20"/>
          <w:szCs w:val="20"/>
          <w:color w:val="auto"/>
        </w:rPr>
      </w:pPr>
      <w:r>
        <w:rPr>
          <w:rFonts w:ascii="Arial" w:cs="Arial" w:eastAsia="Arial" w:hAnsi="Arial"/>
          <w:sz w:val="17"/>
          <w:szCs w:val="17"/>
          <w:color w:val="auto"/>
        </w:rPr>
        <w:t>The key assumptions used by the Company to determine the fair value of its franchise agreements as of November 30, 2011, the date of its annual impairment review, were as follows:</w:t>
      </w:r>
    </w:p>
    <w:p>
      <w:pPr>
        <w:spacing w:after="0" w:line="39" w:lineRule="exact"/>
        <w:rPr>
          <w:sz w:val="20"/>
          <w:szCs w:val="20"/>
          <w:color w:val="auto"/>
        </w:rPr>
      </w:pPr>
    </w:p>
    <w:p>
      <w:pPr>
        <w:jc w:val="both"/>
        <w:ind w:left="289" w:hanging="289"/>
        <w:spacing w:after="0" w:line="230" w:lineRule="auto"/>
        <w:tabs>
          <w:tab w:leader="none" w:pos="2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Expected cash flows underlying the Company’s business plans for the periods 2012 through 2021 were used, with the assumption that the only as the unbuilt start-up cable television systems possess are the various franchise agreements. The expected cash flows took into account the estima initial capital investment in the system region’s physical plant and related start-up costs, revenues, operating margins and growth rates. These cas flows and growth rates were based on forecasts and long-term business plans and take into account numerous factors, including historical experie anticipated economic conditions, changes in the cable television systems’ cost structures, homes in each region’s service area, number of subscri based on penetration of homes passed by the systems and expected revenues per subscriber.</w:t>
      </w:r>
    </w:p>
    <w:p>
      <w:pPr>
        <w:spacing w:after="0" w:line="42" w:lineRule="exact"/>
        <w:rPr>
          <w:rFonts w:ascii="Arial" w:cs="Arial" w:eastAsia="Arial" w:hAnsi="Arial"/>
          <w:sz w:val="17"/>
          <w:szCs w:val="17"/>
          <w:color w:val="auto"/>
        </w:rPr>
      </w:pPr>
    </w:p>
    <w:p>
      <w:pPr>
        <w:ind w:left="289" w:hanging="289"/>
        <w:spacing w:after="0" w:line="235" w:lineRule="auto"/>
        <w:tabs>
          <w:tab w:leader="none" w:pos="2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Cash flows beyond 2021 were projected to grow at a long-term growth rate, which the Company estimated by considering historical market growth trends, anticipated cable television system performance and expected market conditions.</w:t>
      </w:r>
    </w:p>
    <w:p>
      <w:pPr>
        <w:spacing w:after="0" w:line="39" w:lineRule="exact"/>
        <w:rPr>
          <w:rFonts w:ascii="Arial" w:cs="Arial" w:eastAsia="Arial" w:hAnsi="Arial"/>
          <w:sz w:val="17"/>
          <w:szCs w:val="17"/>
          <w:color w:val="auto"/>
        </w:rPr>
      </w:pPr>
    </w:p>
    <w:p>
      <w:pPr>
        <w:ind w:left="289" w:hanging="289"/>
        <w:spacing w:after="0"/>
        <w:tabs>
          <w:tab w:leader="none" w:pos="28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used a discount rate of 8% to risk adjust the cash flow projections in determining the estimated fair value.</w:t>
      </w:r>
    </w:p>
    <w:p>
      <w:pPr>
        <w:spacing w:after="0" w:line="36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72" w:name="page73"/>
    <w:bookmarkEnd w:id="72"/>
    <w:p>
      <w:pPr>
        <w:jc w:val="both"/>
        <w:ind w:left="9" w:right="40"/>
        <w:spacing w:after="0" w:line="233" w:lineRule="auto"/>
        <w:rPr>
          <w:sz w:val="20"/>
          <w:szCs w:val="20"/>
          <w:color w:val="auto"/>
        </w:rPr>
      </w:pPr>
      <w:r>
        <w:rPr>
          <w:rFonts w:ascii="Arial" w:cs="Arial" w:eastAsia="Arial" w:hAnsi="Arial"/>
          <w:sz w:val="17"/>
          <w:szCs w:val="17"/>
          <w:color w:val="auto"/>
        </w:rPr>
        <w:t>The estimated fair value of the Company’s franchise agreements exceeded their respective carrying values by a margin in excess of 50%. There is al possibility that impairment charges could occur in the future, given changes in the cable television market and U.S. economic environment, as well as inherent variability in projecting future operating performance.</w:t>
      </w:r>
    </w:p>
    <w:p>
      <w:pPr>
        <w:spacing w:after="0" w:line="155" w:lineRule="exact"/>
        <w:rPr>
          <w:sz w:val="20"/>
          <w:szCs w:val="20"/>
          <w:color w:val="auto"/>
        </w:rPr>
      </w:pPr>
    </w:p>
    <w:p>
      <w:pPr>
        <w:ind w:left="9"/>
        <w:spacing w:after="0" w:line="234" w:lineRule="auto"/>
        <w:rPr>
          <w:sz w:val="20"/>
          <w:szCs w:val="20"/>
          <w:color w:val="auto"/>
        </w:rPr>
      </w:pPr>
      <w:r>
        <w:rPr>
          <w:rFonts w:ascii="Arial" w:cs="Arial" w:eastAsia="Arial" w:hAnsi="Arial"/>
          <w:sz w:val="17"/>
          <w:szCs w:val="17"/>
          <w:b w:val="1"/>
          <w:bCs w:val="1"/>
          <w:color w:val="auto"/>
        </w:rPr>
        <w:t xml:space="preserve">Pension Costs. </w:t>
      </w:r>
      <w:r>
        <w:rPr>
          <w:rFonts w:ascii="Arial" w:cs="Arial" w:eastAsia="Arial" w:hAnsi="Arial"/>
          <w:sz w:val="17"/>
          <w:szCs w:val="17"/>
          <w:color w:val="auto"/>
        </w:rPr>
        <w:t>The Company sponsors a defined benefit pension plan for eligible employees in the U.S. Excluding special termination benefits,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net pension credit was $4.7 million, $3.9 million and $8.1 million for 2011, 2010 and 2009, respectively. The Company’s pension benefit obligation and related costs are actuarially determined and are impacted significantly by the Company’s assumptions related to future events, includin discount rate, expected return on plan assets and rate of compensation increases. The Company evaluates these critical assumptions at least annuall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 assumed a 6.5% expected return on plan assets for fiscal year 2011, which is consistent with the expected return assumption for fiscal 2010 and 2009. The Company’s actual return on plan assets was 14.7% in 2011, 20.3% in 2010 and 16.2% in 2009. The 10-year and 20-year actual r on plan assets were 6.4% and 10.9%, respectively.</w:t>
      </w:r>
    </w:p>
    <w:p>
      <w:pPr>
        <w:spacing w:after="0" w:line="175"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Accumulated and projected benefit obligations are measured as the present value of future cash payments. The Company discounts those cash paym using the weighted average of market-observed yields for high quality fixed income securities with maturities that correspond to the payment of benefit Lower discount rates increase present values and decrease subsequent-year pension credits; higher discount rates decrease present values and incr subsequent-year pension credits. The Company’s discount rate at December 31, 2011, January 2, 2011 and January 3, 2010, was 4.7%, 5.6%, and 6 respectively, reflecting market interest rates.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Changes in key assumptions for the Company’s pension plan would have the following effects on the 2011 pension credit:</w:t>
      </w:r>
    </w:p>
    <w:p>
      <w:pPr>
        <w:spacing w:after="0" w:line="40" w:lineRule="exact"/>
        <w:rPr>
          <w:sz w:val="20"/>
          <w:szCs w:val="20"/>
          <w:color w:val="auto"/>
        </w:rPr>
      </w:pPr>
    </w:p>
    <w:p>
      <w:pPr>
        <w:ind w:left="289" w:hanging="289"/>
        <w:spacing w:after="0" w:line="235" w:lineRule="auto"/>
        <w:tabs>
          <w:tab w:leader="none" w:pos="2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Expected return on assets – Each 1% increase or decrease to the Company’s assumed expected return on plan assets would increase or decreas pension credit by approximately $15 million.</w:t>
      </w:r>
    </w:p>
    <w:p>
      <w:pPr>
        <w:spacing w:after="0" w:line="39" w:lineRule="exact"/>
        <w:rPr>
          <w:rFonts w:ascii="Arial" w:cs="Arial" w:eastAsia="Arial" w:hAnsi="Arial"/>
          <w:sz w:val="17"/>
          <w:szCs w:val="17"/>
          <w:color w:val="auto"/>
        </w:rPr>
      </w:pPr>
    </w:p>
    <w:p>
      <w:pPr>
        <w:ind w:left="289" w:right="560" w:hanging="289"/>
        <w:spacing w:after="0" w:line="235" w:lineRule="auto"/>
        <w:tabs>
          <w:tab w:leader="none" w:pos="2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Discount rate – Each 1% increase or decrease to the Company’s assumed discount rate would increase or decrease the pension credit by approximately $5 million.</w:t>
      </w:r>
    </w:p>
    <w:p>
      <w:pPr>
        <w:spacing w:after="0" w:line="176"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The Company’s net pension (credit) cost includes an expected return on plan assets component, calculated using the expected return on plan assets assumption applied to a market-related value of plan assets. The market-related value of plan assets is determined using a five-year average market v method, which recognizes realized and unrealized appreciation and depreciation in market values over a five-year period. The value resulting from ap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 of pension (credit) cost for the year.</w:t>
      </w:r>
    </w:p>
    <w:p>
      <w:pPr>
        <w:spacing w:after="0" w:line="179"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At the end of each year, differences between the actual return on plan assets and the expected return on plan assets are combined with other differen actual versus expected experience to form a net unamortized actuarial gain or loss in accumulated other comprehensive income. Only those net actua gains or losses in excess of the deferred realized and unrealized appreciation and depreciation are potentially subject to amortization. The types of ite that generate actuarial gains and losses that may be subject to amortization in net periodic pension (credit) cost include the following:</w:t>
      </w:r>
    </w:p>
    <w:p>
      <w:pPr>
        <w:spacing w:after="0" w:line="34" w:lineRule="exact"/>
        <w:rPr>
          <w:sz w:val="20"/>
          <w:szCs w:val="20"/>
          <w:color w:val="auto"/>
        </w:rPr>
      </w:pPr>
    </w:p>
    <w:p>
      <w:pPr>
        <w:ind w:left="289" w:hanging="289"/>
        <w:spacing w:after="0"/>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Asset returns that are more or less than the expected return on plan assets for the year;</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participant demographic experience different from assumed (retirements, terminations and deaths during the year);</w:t>
      </w:r>
    </w:p>
    <w:p>
      <w:pPr>
        <w:spacing w:after="0" w:line="40" w:lineRule="exact"/>
        <w:rPr>
          <w:rFonts w:ascii="Arial" w:cs="Arial" w:eastAsia="Arial" w:hAnsi="Arial"/>
          <w:sz w:val="17"/>
          <w:szCs w:val="17"/>
          <w:color w:val="auto"/>
        </w:rPr>
      </w:pPr>
    </w:p>
    <w:p>
      <w:pPr>
        <w:ind w:left="289" w:hanging="289"/>
        <w:spacing w:after="0"/>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salary increases different from assumed; and</w:t>
      </w:r>
    </w:p>
    <w:p>
      <w:pPr>
        <w:spacing w:after="0" w:line="40" w:lineRule="exact"/>
        <w:rPr>
          <w:rFonts w:ascii="Arial" w:cs="Arial" w:eastAsia="Arial" w:hAnsi="Arial"/>
          <w:sz w:val="17"/>
          <w:szCs w:val="17"/>
          <w:color w:val="auto"/>
        </w:rPr>
      </w:pPr>
    </w:p>
    <w:p>
      <w:pPr>
        <w:ind w:left="289" w:right="540" w:hanging="289"/>
        <w:spacing w:after="0" w:line="260" w:lineRule="auto"/>
        <w:tabs>
          <w:tab w:leader="none" w:pos="2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60"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Amortization of the unrecognized actuarial gain or loss is included as a component of expense for a year if the magnitude of the net unamortized gain loss in accumulated other comprehensive income exceeds 10% of the greater of the benefit obligation or the market-related value of assets (10% corr The amortization component is equal to that excess divided by the average remaining service period of active employees expected to receive benefits the plan. At the end of 2008, the Company had net unamortized actuarial losses in accumulated other comprehensive income potentially subject to amortization that were outside the 10% corridor that resulted in amortized losses of $40,000 being</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73" w:name="page74"/>
    <w:bookmarkEnd w:id="73"/>
    <w:p>
      <w:pPr>
        <w:jc w:val="both"/>
        <w:spacing w:after="0" w:line="231" w:lineRule="auto"/>
        <w:rPr>
          <w:sz w:val="20"/>
          <w:szCs w:val="20"/>
          <w:color w:val="auto"/>
        </w:rPr>
      </w:pPr>
      <w:r>
        <w:rPr>
          <w:rFonts w:ascii="Arial" w:cs="Arial" w:eastAsia="Arial" w:hAnsi="Arial"/>
          <w:sz w:val="17"/>
          <w:szCs w:val="17"/>
          <w:color w:val="auto"/>
        </w:rPr>
        <w:t>included in the 2009 pension cost. During 2009, there were pension asset gains that resulted in no net unamortized actuarial gains or losses in accum other comprehensive income subject to amortization outside the 10% corridor, and therefore, no amortized gain or loss amounts were included in the pension cost in 2010. During 2010, there were pension asset gains offset by a decrease in the discount rate that resulted in no net unamortized actuar gains or losses in accumulated other comprehensive income subject to amortization outside the 10% corridor, and therefore, no amortized gain or loss amounts were included in the pension credit in 2011.</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During 2011, there were pension asset gains and a further decrease in the discount rate. Primarily as a result of the decrease in the discount rate, the Company currently estimates that there will be net unamortized actuarial losses in accumulated other comprehensive income subject to amortization o the corridor, and therefore, an amortized loss amount of $6.0 million is included in the estimated pension expense for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Overall, the Company estimates that it will record a net pension expense of approximately $9.0 million in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Note 13 to the Company’s Consolidated Financial Statements provides additional details surrounding pension costs and related assumptions.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Income Tax Valuation Allowances. </w:t>
      </w:r>
      <w:r>
        <w:rPr>
          <w:rFonts w:ascii="Arial" w:cs="Arial" w:eastAsia="Arial" w:hAnsi="Arial"/>
          <w:sz w:val="17"/>
          <w:szCs w:val="17"/>
          <w:color w:val="auto"/>
        </w:rPr>
        <w:t>Deferred income taxes arise from temporary differences between the tax and financial statement recognition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In evaluating its ability to recover deferred tax assets within the jurisdiction from which they arise, the Company considers all available p and negative evidence, including scheduled reversals of deferred tax liabilities, projected future taxable income, tax planning strategies and recent fina operations. These assumptions require significant judgment about forecasts of future taxable income.</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As of December 31, 2011, the Company had state income tax net operating loss carryforwards of $669 million, which will expire at various dates from through 2031. Also at December 31, 2011, the Company had approximately $53.9 million of non-U.S. income tax loss carryforwards, of which $46.9 m may be carried forward indefinitely; $2.7 million of losses that, if unutilized, will expire in varying amounts through 2015; and $4.3 million of losses that unutilized, will start to expire after 2016. At December 31, 2011, the Company has established approximately $59.2 million in valuation allowances ag deferred state and non-U.S. income taxes, net of U.S. Federal income taxes, as the Company believes that it is more likely than not that the benefit fro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 pension cost and goodwill. Prepaid pension cost and goodwill have not been considered a source of future taxable income for realizing deferred tax b recognized since these temporary differences are not likely to reverse in the foreseeable future. The valuation allowances established against state an non-U.S. income tax benefits recorded may increase or decrease within the next 12 months, based on operating results, the market value of investme holdings or business and tax planning strategies; as a result, the Company is unable to estimate the potential tax impact, given the uncertain operatin market environment.</w:t>
      </w:r>
    </w:p>
    <w:p>
      <w:pPr>
        <w:spacing w:after="0" w:line="162"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See Note 2 to the Company’s Consolidated Financial Statements for a discussion of recent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pronouncements.</w:t>
      </w:r>
    </w:p>
    <w:p>
      <w:pPr>
        <w:spacing w:after="0" w:line="16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74" w:name="page75"/>
    <w:bookmarkEnd w:id="74"/>
    <w:p>
      <w:pPr>
        <w:ind w:left="2409"/>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9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Management of The Washington Post Company is responsible for establishing and maintaining adequate internal control over financial reporting (as 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75"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receipts and expenditures of the Company are being made only in accordance with authorizations of management and directors of the Company; and</w:t>
      </w:r>
    </w:p>
    <w:p>
      <w:pPr>
        <w:spacing w:after="0" w:line="3" w:lineRule="exact"/>
        <w:rPr>
          <w:sz w:val="20"/>
          <w:szCs w:val="20"/>
          <w:color w:val="auto"/>
        </w:rPr>
      </w:pPr>
    </w:p>
    <w:p>
      <w:pPr>
        <w:ind w:left="9" w:hanging="9"/>
        <w:spacing w:after="0" w:line="235" w:lineRule="auto"/>
        <w:tabs>
          <w:tab w:leader="none" w:pos="2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 could have a material effect on the financial statements.</w:t>
      </w:r>
    </w:p>
    <w:p>
      <w:pPr>
        <w:spacing w:after="0" w:line="176"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The Company’s management assessed the effectiveness of internal control over financial reporting as of December 31, 2011. In making this assessm management used the criteria set forth by the Committee of Sponsoring Organizations of the Treadway Commission (“COSO”) in Internal Control — Integrated Framework. Management has concluded that, as of December 31, 2011, the Company’s internal control over financial reporting was effecti based on these criteria.</w:t>
      </w:r>
    </w:p>
    <w:p>
      <w:pPr>
        <w:spacing w:after="0" w:line="175"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effectiveness of the Company’s internal control over financial reporting as of December 31, 2011 has been audited by PricewaterhouseCoopers L independent registered public accounting firm, as stated in their report included herein.</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ind w:left="29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rPr>
          <w:sz w:val="20"/>
          <w:szCs w:val="20"/>
          <w:color w:val="auto"/>
        </w:rPr>
      </w:pPr>
      <w:r>
        <w:rPr>
          <w:rFonts w:ascii="Arial" w:cs="Arial" w:eastAsia="Arial" w:hAnsi="Arial"/>
          <w:sz w:val="17"/>
          <w:szCs w:val="17"/>
          <w:color w:val="auto"/>
        </w:rPr>
        <w:t>Shareholders of The Washington Post Company:</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In our opinion, the consolidated financial statements referred to under Item 15 (1) on page 49 and listed in the index on page 51 present fairly, in all m respects, the financial position of The Washington Post Company and its subsidiaries at December 31, 2011 and January 2, 2011, and the results of t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 internal control over financial reporting and for its assessment of the effectiveness of internal control over financial reporting, included in Management’ Report on Internal Control Over Financial Reporting appearing under Item 9A. Our responsibility is to express opinions on these financial statements, on the Company’s internal control over financial reporting based on our integrated audits. We conducted our audits in accordance with the standards o Public Company Accounting Oversight Board (United States). Those standards require that we plan and perform the audits to obtain reasonable assu about whether the financial statements are free of material misstatement and whether effective internal control over financial reporting was maintained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 provide a reasonable basis for our opinions.</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 and the preparation of financial statements for external purposes in accordance with generally accepted accounting principles. A company’s internal c over financial reporting includes those policies and procedures that (i) pertain to the maintenance of records that, in reasonable detail, accurately and reflect the transactions and dispositions of the assets of the company; (ii) provide reasonable assurance that transactions are recorded as necessary t permit preparation of financial statements in accordance with generally accepted accounting principles and that receipts and expenditures of the comp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rPr>
          <w:sz w:val="20"/>
          <w:szCs w:val="20"/>
          <w:color w:val="auto"/>
        </w:rPr>
      </w:pPr>
      <w:r>
        <w:rPr>
          <w:rFonts w:ascii="Arial" w:cs="Arial" w:eastAsia="Arial" w:hAnsi="Arial"/>
          <w:sz w:val="17"/>
          <w:szCs w:val="17"/>
          <w:color w:val="auto"/>
        </w:rPr>
        <w:t>February 29, 2012</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77" w:name="page78"/>
    <w:bookmarkEnd w:id="77"/>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Fiscal Year Ended</w:t>
            </w:r>
          </w:p>
        </w:tc>
        <w:tc>
          <w:tcPr>
            <w:tcW w:w="540" w:type="dxa"/>
            <w:vAlign w:val="bottom"/>
            <w:tcBorders>
              <w:bottom w:val="single" w:sz="8" w:color="auto"/>
            </w:tcBorders>
          </w:tcPr>
          <w:p>
            <w:pPr>
              <w:spacing w:after="0"/>
              <w:rPr>
                <w:sz w:val="13"/>
                <w:szCs w:val="13"/>
                <w:color w:val="auto"/>
              </w:rPr>
            </w:pPr>
          </w:p>
        </w:tc>
      </w:tr>
      <w:tr>
        <w:trPr>
          <w:trHeight w:val="114"/>
        </w:trPr>
        <w:tc>
          <w:tcPr>
            <w:tcW w:w="7900" w:type="dxa"/>
            <w:vAlign w:val="bottom"/>
          </w:tcPr>
          <w:p>
            <w:pPr>
              <w:spacing w:after="0"/>
              <w:rPr>
                <w:sz w:val="9"/>
                <w:szCs w:val="9"/>
                <w:color w:val="auto"/>
              </w:rPr>
            </w:pPr>
          </w:p>
        </w:tc>
        <w:tc>
          <w:tcPr>
            <w:tcW w:w="11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December 31,</w:t>
            </w:r>
          </w:p>
        </w:tc>
        <w:tc>
          <w:tcPr>
            <w:tcW w:w="1400" w:type="dxa"/>
            <w:vAlign w:val="bottom"/>
          </w:tcPr>
          <w:p>
            <w:pPr>
              <w:jc w:val="center"/>
              <w:spacing w:after="0" w:line="114" w:lineRule="exact"/>
              <w:rPr>
                <w:sz w:val="20"/>
                <w:szCs w:val="20"/>
                <w:color w:val="auto"/>
              </w:rPr>
            </w:pPr>
            <w:r>
              <w:rPr>
                <w:rFonts w:ascii="Arial" w:cs="Arial" w:eastAsia="Arial" w:hAnsi="Arial"/>
                <w:sz w:val="12"/>
                <w:szCs w:val="12"/>
                <w:color w:val="auto"/>
              </w:rPr>
              <w:t>January 2,</w:t>
            </w:r>
          </w:p>
        </w:tc>
        <w:tc>
          <w:tcPr>
            <w:tcW w:w="540" w:type="dxa"/>
            <w:vAlign w:val="bottom"/>
          </w:tcPr>
          <w:p>
            <w:pPr>
              <w:jc w:val="right"/>
              <w:spacing w:after="0" w:line="114" w:lineRule="exact"/>
              <w:rPr>
                <w:sz w:val="20"/>
                <w:szCs w:val="20"/>
                <w:color w:val="auto"/>
              </w:rPr>
            </w:pPr>
            <w:r>
              <w:rPr>
                <w:rFonts w:ascii="Arial" w:cs="Arial" w:eastAsia="Arial" w:hAnsi="Arial"/>
                <w:sz w:val="12"/>
                <w:szCs w:val="12"/>
                <w:color w:val="auto"/>
              </w:rPr>
              <w:t>Janua</w:t>
            </w:r>
          </w:p>
        </w:tc>
      </w:tr>
      <w:tr>
        <w:trPr>
          <w:trHeight w:val="160"/>
        </w:trPr>
        <w:tc>
          <w:tcPr>
            <w:tcW w:w="7900" w:type="dxa"/>
            <w:vAlign w:val="bottom"/>
          </w:tcPr>
          <w:p>
            <w:pPr>
              <w:spacing w:after="0"/>
              <w:rPr>
                <w:sz w:val="20"/>
                <w:szCs w:val="20"/>
                <w:color w:val="auto"/>
              </w:rPr>
            </w:pPr>
            <w:r>
              <w:rPr>
                <w:rFonts w:ascii="Arial" w:cs="Arial" w:eastAsia="Arial" w:hAnsi="Arial"/>
                <w:sz w:val="12"/>
                <w:szCs w:val="12"/>
                <w:color w:val="auto"/>
              </w:rPr>
              <w:t>(in thousands, except per share amounts)</w:t>
            </w:r>
          </w:p>
        </w:tc>
        <w:tc>
          <w:tcPr>
            <w:tcW w:w="1100" w:type="dxa"/>
            <w:vAlign w:val="bottom"/>
          </w:tcPr>
          <w:p>
            <w:pPr>
              <w:jc w:val="right"/>
              <w:ind w:right="318"/>
              <w:spacing w:after="0"/>
              <w:rPr>
                <w:sz w:val="20"/>
                <w:szCs w:val="20"/>
                <w:color w:val="auto"/>
              </w:rPr>
            </w:pPr>
            <w:r>
              <w:rPr>
                <w:rFonts w:ascii="Arial" w:cs="Arial" w:eastAsia="Arial" w:hAnsi="Arial"/>
                <w:sz w:val="12"/>
                <w:szCs w:val="12"/>
                <w:b w:val="1"/>
                <w:bCs w:val="1"/>
                <w:color w:val="auto"/>
              </w:rPr>
              <w:t>2011</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2011</w:t>
            </w:r>
          </w:p>
        </w:tc>
        <w:tc>
          <w:tcPr>
            <w:tcW w:w="540" w:type="dxa"/>
            <w:vAlign w:val="bottom"/>
          </w:tcPr>
          <w:p>
            <w:pPr>
              <w:jc w:val="right"/>
              <w:spacing w:after="0"/>
              <w:rPr>
                <w:sz w:val="20"/>
                <w:szCs w:val="20"/>
                <w:color w:val="auto"/>
              </w:rPr>
            </w:pPr>
            <w:r>
              <w:rPr>
                <w:rFonts w:ascii="Arial" w:cs="Arial" w:eastAsia="Arial" w:hAnsi="Arial"/>
                <w:sz w:val="12"/>
                <w:szCs w:val="12"/>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9532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p>
      <w:pPr>
        <w:spacing w:after="0" w:line="221" w:lineRule="auto"/>
        <w:rPr>
          <w:sz w:val="20"/>
          <w:szCs w:val="20"/>
          <w:color w:val="auto"/>
        </w:rPr>
      </w:pPr>
      <w:r>
        <w:rPr>
          <w:rFonts w:ascii="Arial" w:cs="Arial" w:eastAsia="Arial" w:hAnsi="Arial"/>
          <w:sz w:val="14"/>
          <w:szCs w:val="14"/>
          <w:b w:val="1"/>
          <w:bCs w:val="1"/>
          <w:color w:val="auto"/>
        </w:rPr>
        <w:t>Operating Revenues</w:t>
      </w:r>
    </w:p>
    <w:p>
      <w:pPr>
        <w:ind w:left="220"/>
        <w:spacing w:after="0" w:line="222" w:lineRule="auto"/>
        <w:rPr>
          <w:sz w:val="20"/>
          <w:szCs w:val="20"/>
          <w:color w:val="auto"/>
        </w:rPr>
      </w:pPr>
      <w:r>
        <w:rPr>
          <w:rFonts w:ascii="Arial" w:cs="Arial" w:eastAsia="Arial" w:hAnsi="Arial"/>
          <w:sz w:val="14"/>
          <w:szCs w:val="14"/>
          <w:color w:val="auto"/>
        </w:rPr>
        <w:t>Education</w:t>
      </w:r>
    </w:p>
    <w:p>
      <w:pPr>
        <w:ind w:left="220"/>
        <w:spacing w:after="0" w:line="222" w:lineRule="auto"/>
        <w:rPr>
          <w:sz w:val="20"/>
          <w:szCs w:val="20"/>
          <w:color w:val="auto"/>
        </w:rPr>
      </w:pPr>
      <w:r>
        <w:rPr>
          <w:rFonts w:ascii="Arial" w:cs="Arial" w:eastAsia="Arial" w:hAnsi="Arial"/>
          <w:sz w:val="14"/>
          <w:szCs w:val="14"/>
          <w:color w:val="auto"/>
        </w:rPr>
        <w:t>Advertising</w:t>
      </w:r>
    </w:p>
    <w:p>
      <w:pPr>
        <w:ind w:left="220"/>
        <w:spacing w:after="0" w:line="222" w:lineRule="auto"/>
        <w:rPr>
          <w:sz w:val="20"/>
          <w:szCs w:val="20"/>
          <w:color w:val="auto"/>
        </w:rPr>
      </w:pPr>
      <w:r>
        <w:rPr>
          <w:rFonts w:ascii="Arial" w:cs="Arial" w:eastAsia="Arial" w:hAnsi="Arial"/>
          <w:sz w:val="14"/>
          <w:szCs w:val="14"/>
          <w:color w:val="auto"/>
        </w:rPr>
        <w:t>Circulation and subscriber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Costs and Expenses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w:t>
      </w:r>
    </w:p>
    <w:p>
      <w:pPr>
        <w:ind w:left="220"/>
        <w:spacing w:after="0" w:line="221" w:lineRule="auto"/>
        <w:rPr>
          <w:sz w:val="20"/>
          <w:szCs w:val="20"/>
          <w:color w:val="auto"/>
        </w:rPr>
      </w:pPr>
      <w:r>
        <w:rPr>
          <w:rFonts w:ascii="Arial" w:cs="Arial" w:eastAsia="Arial" w:hAnsi="Arial"/>
          <w:sz w:val="14"/>
          <w:szCs w:val="14"/>
          <w:color w:val="auto"/>
        </w:rPr>
        <w:t>Selling, general and administrative</w:t>
      </w:r>
    </w:p>
    <w:p>
      <w:pPr>
        <w:ind w:left="220"/>
        <w:spacing w:after="0" w:line="222" w:lineRule="auto"/>
        <w:rPr>
          <w:sz w:val="20"/>
          <w:szCs w:val="20"/>
          <w:color w:val="auto"/>
        </w:rPr>
      </w:pPr>
      <w:r>
        <w:rPr>
          <w:rFonts w:ascii="Arial" w:cs="Arial" w:eastAsia="Arial" w:hAnsi="Arial"/>
          <w:sz w:val="14"/>
          <w:szCs w:val="14"/>
          <w:color w:val="auto"/>
        </w:rPr>
        <w:t>Depreciation of property, plant and equipment</w:t>
      </w:r>
    </w:p>
    <w:p>
      <w:pPr>
        <w:ind w:left="220"/>
        <w:spacing w:after="0" w:line="222" w:lineRule="auto"/>
        <w:rPr>
          <w:sz w:val="20"/>
          <w:szCs w:val="20"/>
          <w:color w:val="auto"/>
        </w:rPr>
      </w:pPr>
      <w:r>
        <w:rPr>
          <w:rFonts w:ascii="Arial" w:cs="Arial" w:eastAsia="Arial" w:hAnsi="Arial"/>
          <w:sz w:val="14"/>
          <w:szCs w:val="14"/>
          <w:color w:val="auto"/>
        </w:rPr>
        <w:t>Amortization of intangible assets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Impairment of goodwill and other intangible assets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Operations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Equity in earnings (losses) of affiliates, net</w:t>
      </w:r>
    </w:p>
    <w:p>
      <w:pPr>
        <w:ind w:left="220"/>
        <w:spacing w:after="0" w:line="221" w:lineRule="auto"/>
        <w:rPr>
          <w:sz w:val="20"/>
          <w:szCs w:val="20"/>
          <w:color w:val="auto"/>
        </w:rPr>
      </w:pPr>
      <w:r>
        <w:rPr>
          <w:rFonts w:ascii="Arial" w:cs="Arial" w:eastAsia="Arial" w:hAnsi="Arial"/>
          <w:sz w:val="14"/>
          <w:szCs w:val="14"/>
          <w:color w:val="auto"/>
        </w:rPr>
        <w:t>Interest income</w:t>
      </w:r>
    </w:p>
    <w:p>
      <w:pPr>
        <w:ind w:left="220"/>
        <w:spacing w:after="0" w:line="222" w:lineRule="auto"/>
        <w:rPr>
          <w:sz w:val="20"/>
          <w:szCs w:val="20"/>
          <w:color w:val="auto"/>
        </w:rPr>
      </w:pPr>
      <w:r>
        <w:rPr>
          <w:rFonts w:ascii="Arial" w:cs="Arial" w:eastAsia="Arial" w:hAnsi="Arial"/>
          <w:sz w:val="14"/>
          <w:szCs w:val="14"/>
          <w:color w:val="auto"/>
        </w:rPr>
        <w:t>Interest expense</w:t>
      </w:r>
    </w:p>
    <w:p>
      <w:pPr>
        <w:ind w:left="220"/>
        <w:spacing w:after="0" w:line="222" w:lineRule="auto"/>
        <w:rPr>
          <w:sz w:val="20"/>
          <w:szCs w:val="20"/>
          <w:color w:val="auto"/>
        </w:rPr>
      </w:pPr>
      <w:r>
        <w:rPr>
          <w:rFonts w:ascii="Arial" w:cs="Arial" w:eastAsia="Arial" w:hAnsi="Arial"/>
          <w:sz w:val="14"/>
          <w:szCs w:val="14"/>
          <w:color w:val="auto"/>
        </w:rPr>
        <w:t>Other (expense) income,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Continuing Operations Before Income Taxes</w:t>
      </w:r>
    </w:p>
    <w:p>
      <w:pPr>
        <w:spacing w:after="0" w:line="222" w:lineRule="auto"/>
        <w:rPr>
          <w:sz w:val="20"/>
          <w:szCs w:val="20"/>
          <w:color w:val="auto"/>
        </w:rPr>
      </w:pPr>
      <w:r>
        <w:rPr>
          <w:rFonts w:ascii="Arial" w:cs="Arial" w:eastAsia="Arial" w:hAnsi="Arial"/>
          <w:sz w:val="14"/>
          <w:szCs w:val="14"/>
          <w:b w:val="1"/>
          <w:bCs w:val="1"/>
          <w:color w:val="auto"/>
        </w:rPr>
        <w:t>Provision for Income Taxes</w:t>
      </w:r>
    </w:p>
    <w:p>
      <w:pPr>
        <w:spacing w:after="0"/>
        <w:rPr>
          <w:sz w:val="20"/>
          <w:szCs w:val="20"/>
          <w:color w:val="auto"/>
        </w:rPr>
      </w:pPr>
      <w:r>
        <w:rPr>
          <w:rFonts w:ascii="Arial" w:cs="Arial" w:eastAsia="Arial" w:hAnsi="Arial"/>
          <w:sz w:val="14"/>
          <w:szCs w:val="14"/>
          <w:b w:val="1"/>
          <w:bCs w:val="1"/>
          <w:color w:val="auto"/>
        </w:rPr>
        <w:t>Income from Continuing Operations</w:t>
      </w:r>
    </w:p>
    <w:p>
      <w:pPr>
        <w:spacing w:after="0" w:line="222" w:lineRule="auto"/>
        <w:rPr>
          <w:sz w:val="20"/>
          <w:szCs w:val="20"/>
          <w:color w:val="auto"/>
        </w:rPr>
      </w:pPr>
      <w:r>
        <w:rPr>
          <w:rFonts w:ascii="Arial" w:cs="Arial" w:eastAsia="Arial" w:hAnsi="Arial"/>
          <w:sz w:val="14"/>
          <w:szCs w:val="14"/>
          <w:b w:val="1"/>
          <w:bCs w:val="1"/>
          <w:color w:val="auto"/>
        </w:rPr>
        <w:t>Loss from Discontinued Operations, Net of Tax</w:t>
      </w:r>
    </w:p>
    <w:p>
      <w:pPr>
        <w:spacing w:after="0"/>
        <w:rPr>
          <w:sz w:val="20"/>
          <w:szCs w:val="20"/>
          <w:color w:val="auto"/>
        </w:rPr>
      </w:pPr>
      <w:r>
        <w:rPr>
          <w:rFonts w:ascii="Arial" w:cs="Arial" w:eastAsia="Arial" w:hAnsi="Arial"/>
          <w:sz w:val="14"/>
          <w:szCs w:val="14"/>
          <w:b w:val="1"/>
          <w:bCs w:val="1"/>
          <w:color w:val="auto"/>
        </w:rPr>
        <w:t>Net Income</w:t>
      </w:r>
    </w:p>
    <w:p>
      <w:pPr>
        <w:spacing w:after="0" w:line="222" w:lineRule="auto"/>
        <w:rPr>
          <w:sz w:val="20"/>
          <w:szCs w:val="20"/>
          <w:color w:val="auto"/>
        </w:rPr>
      </w:pPr>
      <w:r>
        <w:rPr>
          <w:rFonts w:ascii="Arial" w:cs="Arial" w:eastAsia="Arial" w:hAnsi="Arial"/>
          <w:sz w:val="14"/>
          <w:szCs w:val="14"/>
          <w:b w:val="1"/>
          <w:bCs w:val="1"/>
          <w:color w:val="auto"/>
        </w:rPr>
        <w:t>Net (Income) Loss Attributable to Noncontrolling Interests</w:t>
      </w:r>
    </w:p>
    <w:p>
      <w:pPr>
        <w:spacing w:after="0"/>
        <w:rPr>
          <w:sz w:val="20"/>
          <w:szCs w:val="20"/>
          <w:color w:val="auto"/>
        </w:rPr>
      </w:pPr>
      <w:r>
        <w:rPr>
          <w:rFonts w:ascii="Arial" w:cs="Arial" w:eastAsia="Arial" w:hAnsi="Arial"/>
          <w:sz w:val="14"/>
          <w:szCs w:val="14"/>
          <w:b w:val="1"/>
          <w:bCs w:val="1"/>
          <w:color w:val="auto"/>
        </w:rPr>
        <w:t>Net Income Attributable to The Washington Post Company</w:t>
      </w:r>
    </w:p>
    <w:p>
      <w:pPr>
        <w:spacing w:after="0"/>
        <w:rPr>
          <w:sz w:val="20"/>
          <w:szCs w:val="20"/>
          <w:color w:val="auto"/>
        </w:rPr>
      </w:pPr>
      <w:r>
        <w:rPr>
          <w:rFonts w:ascii="Arial" w:cs="Arial" w:eastAsia="Arial" w:hAnsi="Arial"/>
          <w:sz w:val="14"/>
          <w:szCs w:val="14"/>
          <w:b w:val="1"/>
          <w:bCs w:val="1"/>
          <w:color w:val="auto"/>
        </w:rPr>
        <w:t>Redeemable Preferred Stock Dividends</w:t>
      </w:r>
    </w:p>
    <w:p>
      <w:pPr>
        <w:ind w:right="1700"/>
        <w:spacing w:after="0" w:line="249" w:lineRule="auto"/>
        <w:rPr>
          <w:sz w:val="20"/>
          <w:szCs w:val="20"/>
          <w:color w:val="auto"/>
        </w:rPr>
      </w:pPr>
      <w:r>
        <w:rPr>
          <w:rFonts w:ascii="Arial" w:cs="Arial" w:eastAsia="Arial" w:hAnsi="Arial"/>
          <w:sz w:val="14"/>
          <w:szCs w:val="14"/>
          <w:b w:val="1"/>
          <w:bCs w:val="1"/>
          <w:color w:val="auto"/>
        </w:rPr>
        <w:t>Net Income Attributable to The Washington Post Company Common Stockholders Amounts Attributable to The Washington Post Company Common Stockholders</w:t>
      </w:r>
    </w:p>
    <w:p>
      <w:pPr>
        <w:spacing w:after="0" w:line="223" w:lineRule="auto"/>
        <w:rPr>
          <w:sz w:val="20"/>
          <w:szCs w:val="20"/>
          <w:color w:val="auto"/>
        </w:rPr>
      </w:pPr>
      <w:r>
        <w:rPr>
          <w:rFonts w:ascii="Arial" w:cs="Arial" w:eastAsia="Arial" w:hAnsi="Arial"/>
          <w:sz w:val="14"/>
          <w:szCs w:val="14"/>
          <w:color w:val="auto"/>
        </w:rPr>
        <w:t>Income from continuing operations</w:t>
      </w:r>
    </w:p>
    <w:p>
      <w:pPr>
        <w:spacing w:after="0"/>
        <w:rPr>
          <w:sz w:val="20"/>
          <w:szCs w:val="20"/>
          <w:color w:val="auto"/>
        </w:rPr>
      </w:pPr>
      <w:r>
        <w:rPr>
          <w:rFonts w:ascii="Arial" w:cs="Arial" w:eastAsia="Arial" w:hAnsi="Arial"/>
          <w:sz w:val="14"/>
          <w:szCs w:val="14"/>
          <w:color w:val="auto"/>
        </w:rPr>
        <w:t>Loss from discontinued operations, net of tax</w:t>
      </w:r>
    </w:p>
    <w:p>
      <w:pPr>
        <w:spacing w:after="0"/>
        <w:rPr>
          <w:sz w:val="20"/>
          <w:szCs w:val="20"/>
          <w:color w:val="auto"/>
        </w:rPr>
      </w:pPr>
      <w:r>
        <w:rPr>
          <w:rFonts w:ascii="Arial" w:cs="Arial" w:eastAsia="Arial" w:hAnsi="Arial"/>
          <w:sz w:val="14"/>
          <w:szCs w:val="14"/>
          <w:color w:val="auto"/>
        </w:rPr>
        <w:t>Net income attributable to The Washington Post Company common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Information Attributable to The Washington Post Company Common Stockholders</w:t>
      </w:r>
    </w:p>
    <w:p>
      <w:pPr>
        <w:spacing w:after="0" w:line="229" w:lineRule="auto"/>
        <w:rPr>
          <w:sz w:val="20"/>
          <w:szCs w:val="20"/>
          <w:color w:val="auto"/>
        </w:rPr>
      </w:pPr>
      <w:r>
        <w:rPr>
          <w:rFonts w:ascii="Arial" w:cs="Arial" w:eastAsia="Arial" w:hAnsi="Arial"/>
          <w:sz w:val="14"/>
          <w:szCs w:val="14"/>
          <w:color w:val="auto"/>
        </w:rPr>
        <w:t>Basic income per common share from continuing operations</w:t>
      </w:r>
    </w:p>
    <w:p>
      <w:pPr>
        <w:spacing w:after="0"/>
        <w:rPr>
          <w:sz w:val="20"/>
          <w:szCs w:val="20"/>
          <w:color w:val="auto"/>
        </w:rPr>
      </w:pPr>
      <w:r>
        <w:rPr>
          <w:rFonts w:ascii="Arial" w:cs="Arial" w:eastAsia="Arial" w:hAnsi="Arial"/>
          <w:sz w:val="14"/>
          <w:szCs w:val="14"/>
          <w:color w:val="auto"/>
        </w:rPr>
        <w:t>Basic loss per common share from discontinued operations</w:t>
      </w:r>
    </w:p>
    <w:p>
      <w:pPr>
        <w:spacing w:after="0"/>
        <w:rPr>
          <w:sz w:val="20"/>
          <w:szCs w:val="20"/>
          <w:color w:val="auto"/>
        </w:rPr>
      </w:pPr>
      <w:r>
        <w:rPr>
          <w:rFonts w:ascii="Arial" w:cs="Arial" w:eastAsia="Arial" w:hAnsi="Arial"/>
          <w:sz w:val="14"/>
          <w:szCs w:val="14"/>
          <w:color w:val="auto"/>
        </w:rPr>
        <w:t>Basic net income per common share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Basic average number of common shares outstanding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Diluted income per common share from continuing operations</w:t>
      </w:r>
    </w:p>
    <w:p>
      <w:pPr>
        <w:spacing w:after="0"/>
        <w:rPr>
          <w:sz w:val="20"/>
          <w:szCs w:val="20"/>
          <w:color w:val="auto"/>
        </w:rPr>
      </w:pPr>
      <w:r>
        <w:rPr>
          <w:rFonts w:ascii="Arial" w:cs="Arial" w:eastAsia="Arial" w:hAnsi="Arial"/>
          <w:sz w:val="14"/>
          <w:szCs w:val="14"/>
          <w:color w:val="auto"/>
        </w:rPr>
        <w:t>Diluted loss per common share from discontinued operations</w:t>
      </w:r>
    </w:p>
    <w:p>
      <w:pPr>
        <w:spacing w:after="0"/>
        <w:rPr>
          <w:sz w:val="20"/>
          <w:szCs w:val="20"/>
          <w:color w:val="auto"/>
        </w:rPr>
      </w:pPr>
      <w:r>
        <w:rPr>
          <w:rFonts w:ascii="Arial" w:cs="Arial" w:eastAsia="Arial" w:hAnsi="Arial"/>
          <w:sz w:val="14"/>
          <w:szCs w:val="14"/>
          <w:color w:val="auto"/>
        </w:rPr>
        <w:t>Diluted net income per common share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80" w:hanging="438"/>
        <w:spacing w:after="0"/>
        <w:tabs>
          <w:tab w:leader="none" w:pos="4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2,465,048   </w:t>
      </w:r>
      <w:r>
        <w:rPr>
          <w:rFonts w:ascii="Arial" w:cs="Arial" w:eastAsia="Arial" w:hAnsi="Arial"/>
          <w:sz w:val="14"/>
          <w:szCs w:val="14"/>
          <w:color w:val="auto"/>
        </w:rPr>
        <w:t>$2,862,279   $   2,5</w:t>
      </w:r>
    </w:p>
    <w:tbl>
      <w:tblPr>
        <w:tblLayout w:type="fixed"/>
        <w:tblInd w:w="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900" w:type="dxa"/>
            <w:vAlign w:val="bottom"/>
          </w:tcPr>
          <w:p>
            <w:pPr>
              <w:jc w:val="right"/>
              <w:ind w:right="10"/>
              <w:spacing w:after="0" w:line="137" w:lineRule="exact"/>
              <w:rPr>
                <w:sz w:val="20"/>
                <w:szCs w:val="20"/>
                <w:color w:val="auto"/>
              </w:rPr>
            </w:pPr>
            <w:r>
              <w:rPr>
                <w:rFonts w:ascii="Arial" w:cs="Arial" w:eastAsia="Arial" w:hAnsi="Arial"/>
                <w:sz w:val="14"/>
                <w:szCs w:val="14"/>
                <w:b w:val="1"/>
                <w:bCs w:val="1"/>
                <w:color w:val="auto"/>
              </w:rPr>
              <w:t>754,544</w:t>
            </w:r>
          </w:p>
        </w:tc>
        <w:tc>
          <w:tcPr>
            <w:tcW w:w="340" w:type="dxa"/>
            <w:vAlign w:val="bottom"/>
          </w:tcPr>
          <w:p>
            <w:pPr>
              <w:spacing w:after="0"/>
              <w:rPr>
                <w:sz w:val="11"/>
                <w:szCs w:val="11"/>
                <w:color w:val="auto"/>
              </w:rPr>
            </w:pPr>
          </w:p>
        </w:tc>
        <w:tc>
          <w:tcPr>
            <w:tcW w:w="860" w:type="dxa"/>
            <w:vAlign w:val="bottom"/>
          </w:tcPr>
          <w:p>
            <w:pPr>
              <w:jc w:val="right"/>
              <w:spacing w:after="0" w:line="137" w:lineRule="exact"/>
              <w:rPr>
                <w:sz w:val="20"/>
                <w:szCs w:val="20"/>
                <w:color w:val="auto"/>
              </w:rPr>
            </w:pPr>
            <w:r>
              <w:rPr>
                <w:rFonts w:ascii="Arial" w:cs="Arial" w:eastAsia="Arial" w:hAnsi="Arial"/>
                <w:sz w:val="14"/>
                <w:szCs w:val="14"/>
                <w:color w:val="auto"/>
              </w:rPr>
              <w:t>833,605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7</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856,457</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857,290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138,784</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130,867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41"/>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4,214,833</w:t>
            </w: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4,684,041</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4,3</w:t>
            </w:r>
          </w:p>
        </w:tc>
      </w:tr>
      <w:tr>
        <w:trPr>
          <w:trHeight w:val="271"/>
        </w:trPr>
        <w:tc>
          <w:tcPr>
            <w:tcW w:w="3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1,973,168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1,931,576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1,652,052</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1,888,954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253,373</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246,630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28,359</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26,742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11,923</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3,918,875</w:t>
            </w: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4,121,379</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4,0</w:t>
            </w: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295,958</w:t>
            </w:r>
          </w:p>
        </w:tc>
        <w:tc>
          <w:tcPr>
            <w:tcW w:w="3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562,662</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2</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5,949</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(4,133)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4,147</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2,576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(33,226)</w:t>
            </w:r>
          </w:p>
        </w:tc>
        <w:tc>
          <w:tcPr>
            <w:tcW w:w="3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(30,503)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(55,200)</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217,628</w:t>
            </w:r>
          </w:p>
        </w:tc>
        <w:tc>
          <w:tcPr>
            <w:tcW w:w="3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538,117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2</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96,300</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218,000</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121,328</w:t>
            </w:r>
          </w:p>
        </w:tc>
        <w:tc>
          <w:tcPr>
            <w:tcW w:w="3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320,117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1</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(4,171)</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117,157</w:t>
            </w:r>
          </w:p>
        </w:tc>
        <w:tc>
          <w:tcPr>
            <w:tcW w:w="3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278,020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117,150</w:t>
            </w:r>
          </w:p>
        </w:tc>
        <w:tc>
          <w:tcPr>
            <w:tcW w:w="340" w:type="dxa"/>
            <w:vAlign w:val="bottom"/>
          </w:tcPr>
          <w:p>
            <w:pPr>
              <w:spacing w:after="0"/>
              <w:rPr>
                <w:sz w:val="10"/>
                <w:szCs w:val="10"/>
                <w:color w:val="auto"/>
              </w:rPr>
            </w:pPr>
          </w:p>
        </w:tc>
        <w:tc>
          <w:tcPr>
            <w:tcW w:w="860" w:type="dxa"/>
            <w:vAlign w:val="bottom"/>
          </w:tcPr>
          <w:p>
            <w:pPr>
              <w:jc w:val="right"/>
              <w:spacing w:after="0" w:line="123" w:lineRule="exact"/>
              <w:rPr>
                <w:sz w:val="20"/>
                <w:szCs w:val="20"/>
                <w:color w:val="auto"/>
              </w:rPr>
            </w:pPr>
            <w:r>
              <w:rPr>
                <w:rFonts w:ascii="Arial" w:cs="Arial" w:eastAsia="Arial" w:hAnsi="Arial"/>
                <w:sz w:val="14"/>
                <w:szCs w:val="14"/>
                <w:color w:val="auto"/>
              </w:rPr>
              <w:t>278,114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(917)</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116,233</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277,192</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56"/>
        </w:trPr>
        <w:tc>
          <w:tcPr>
            <w:tcW w:w="30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120,404</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319,289</w:t>
            </w:r>
          </w:p>
        </w:tc>
        <w:tc>
          <w:tcPr>
            <w:tcW w:w="100" w:type="dxa"/>
            <w:vAlign w:val="bottom"/>
          </w:tcPr>
          <w:p>
            <w:pPr>
              <w:spacing w:after="0"/>
              <w:rPr>
                <w:sz w:val="22"/>
                <w:szCs w:val="22"/>
                <w:color w:val="auto"/>
              </w:rPr>
            </w:pPr>
          </w:p>
        </w:tc>
        <w:tc>
          <w:tcPr>
            <w:tcW w:w="2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(4,171)</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(42,097)</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116,233</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277,192</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56"/>
        </w:trPr>
        <w:tc>
          <w:tcPr>
            <w:tcW w:w="30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15.23</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35.77</w:t>
            </w:r>
          </w:p>
        </w:tc>
        <w:tc>
          <w:tcPr>
            <w:tcW w:w="100" w:type="dxa"/>
            <w:vAlign w:val="bottom"/>
          </w:tcPr>
          <w:p>
            <w:pPr>
              <w:spacing w:after="0"/>
              <w:rPr>
                <w:sz w:val="22"/>
                <w:szCs w:val="22"/>
                <w:color w:val="auto"/>
              </w:rPr>
            </w:pPr>
          </w:p>
        </w:tc>
        <w:tc>
          <w:tcPr>
            <w:tcW w:w="2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(0.53)</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14.70</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31.06</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26"/>
        </w:trPr>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b w:val="1"/>
                <w:bCs w:val="1"/>
                <w:color w:val="auto"/>
              </w:rPr>
              <w:t>7,826</w:t>
            </w: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4"/>
                <w:szCs w:val="14"/>
                <w:color w:val="auto"/>
              </w:rPr>
              <w:t>8,869</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07"/>
        </w:trPr>
        <w:tc>
          <w:tcPr>
            <w:tcW w:w="300" w:type="dxa"/>
            <w:vAlign w:val="bottom"/>
          </w:tcPr>
          <w:p>
            <w:pPr>
              <w:jc w:val="right"/>
              <w:ind w:right="111"/>
              <w:spacing w:after="0" w:line="107" w:lineRule="exact"/>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10"/>
              <w:spacing w:after="0" w:line="107" w:lineRule="exact"/>
              <w:rPr>
                <w:sz w:val="20"/>
                <w:szCs w:val="20"/>
                <w:color w:val="auto"/>
              </w:rPr>
            </w:pPr>
            <w:r>
              <w:rPr>
                <w:rFonts w:ascii="Arial" w:cs="Arial" w:eastAsia="Arial" w:hAnsi="Arial"/>
                <w:sz w:val="12"/>
                <w:szCs w:val="12"/>
                <w:b w:val="1"/>
                <w:bCs w:val="1"/>
                <w:color w:val="auto"/>
              </w:rPr>
              <w:t>15.23</w:t>
            </w:r>
          </w:p>
        </w:tc>
        <w:tc>
          <w:tcPr>
            <w:tcW w:w="340" w:type="dxa"/>
            <w:vAlign w:val="bottom"/>
          </w:tcPr>
          <w:p>
            <w:pPr>
              <w:jc w:val="right"/>
              <w:ind w:right="91"/>
              <w:spacing w:after="0" w:line="107"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07" w:lineRule="exact"/>
              <w:rPr>
                <w:sz w:val="20"/>
                <w:szCs w:val="20"/>
                <w:color w:val="auto"/>
              </w:rPr>
            </w:pPr>
            <w:r>
              <w:rPr>
                <w:rFonts w:ascii="Arial" w:cs="Arial" w:eastAsia="Arial" w:hAnsi="Arial"/>
                <w:sz w:val="12"/>
                <w:szCs w:val="12"/>
                <w:color w:val="auto"/>
              </w:rPr>
              <w:t>35.75</w:t>
            </w:r>
          </w:p>
        </w:tc>
        <w:tc>
          <w:tcPr>
            <w:tcW w:w="100" w:type="dxa"/>
            <w:vAlign w:val="bottom"/>
          </w:tcPr>
          <w:p>
            <w:pPr>
              <w:spacing w:after="0"/>
              <w:rPr>
                <w:sz w:val="9"/>
                <w:szCs w:val="9"/>
                <w:color w:val="auto"/>
              </w:rPr>
            </w:pPr>
          </w:p>
        </w:tc>
        <w:tc>
          <w:tcPr>
            <w:tcW w:w="240" w:type="dxa"/>
            <w:vAlign w:val="bottom"/>
          </w:tcPr>
          <w:p>
            <w:pPr>
              <w:jc w:val="right"/>
              <w:ind w:right="51"/>
              <w:spacing w:after="0" w:line="107"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9"/>
                <w:szCs w:val="9"/>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(0.53)</w:t>
            </w: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14.70</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31.04</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26"/>
        </w:trPr>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b w:val="1"/>
                <w:bCs w:val="1"/>
                <w:color w:val="auto"/>
              </w:rPr>
              <w:t>7,905</w:t>
            </w: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4"/>
                <w:szCs w:val="14"/>
                <w:color w:val="auto"/>
              </w:rPr>
              <w:t>8,931</w:t>
            </w: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040"/>
          </w:cols>
          <w:pgMar w:left="820" w:top="565" w:right="139" w:bottom="1440" w:gutter="0" w:footer="0" w:header="0"/>
          <w:type w:val="continuous"/>
        </w:sectPr>
      </w:pPr>
    </w:p>
    <w:p>
      <w:pPr>
        <w:spacing w:after="0" w:line="15"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2"/>
                <w:szCs w:val="12"/>
                <w:b w:val="1"/>
                <w:bCs w:val="1"/>
                <w:color w:val="auto"/>
              </w:rPr>
              <w:t>Fiscal Year Ended</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right"/>
              <w:ind w:right="131"/>
              <w:spacing w:after="0" w:line="114" w:lineRule="exact"/>
              <w:rPr>
                <w:sz w:val="20"/>
                <w:szCs w:val="20"/>
                <w:color w:val="auto"/>
              </w:rPr>
            </w:pPr>
            <w:r>
              <w:rPr>
                <w:rFonts w:ascii="Arial" w:cs="Arial" w:eastAsia="Arial" w:hAnsi="Arial"/>
                <w:sz w:val="12"/>
                <w:szCs w:val="12"/>
                <w:b w:val="1"/>
                <w:bCs w:val="1"/>
                <w:color w:val="auto"/>
              </w:rPr>
              <w:t>December 31,</w:t>
            </w:r>
          </w:p>
        </w:tc>
        <w:tc>
          <w:tcPr>
            <w:tcW w:w="280" w:type="dxa"/>
            <w:vAlign w:val="bottom"/>
          </w:tcPr>
          <w:p>
            <w:pPr>
              <w:spacing w:after="0"/>
              <w:rPr>
                <w:sz w:val="9"/>
                <w:szCs w:val="9"/>
                <w:color w:val="auto"/>
              </w:rPr>
            </w:pPr>
          </w:p>
        </w:tc>
        <w:tc>
          <w:tcPr>
            <w:tcW w:w="980" w:type="dxa"/>
            <w:vAlign w:val="bottom"/>
          </w:tcPr>
          <w:p>
            <w:pPr>
              <w:jc w:val="right"/>
              <w:ind w:right="251"/>
              <w:spacing w:after="0" w:line="114" w:lineRule="exact"/>
              <w:rPr>
                <w:sz w:val="20"/>
                <w:szCs w:val="20"/>
                <w:color w:val="auto"/>
              </w:rPr>
            </w:pPr>
            <w:r>
              <w:rPr>
                <w:rFonts w:ascii="Arial" w:cs="Arial" w:eastAsia="Arial" w:hAnsi="Arial"/>
                <w:sz w:val="12"/>
                <w:szCs w:val="12"/>
                <w:color w:val="auto"/>
              </w:rPr>
              <w:t>January 2,</w:t>
            </w:r>
          </w:p>
        </w:tc>
        <w:tc>
          <w:tcPr>
            <w:tcW w:w="22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2"/>
                <w:szCs w:val="12"/>
                <w:color w:val="auto"/>
              </w:rPr>
              <w:t>Janua</w:t>
            </w:r>
          </w:p>
        </w:tc>
        <w:tc>
          <w:tcPr>
            <w:tcW w:w="0" w:type="dxa"/>
            <w:vAlign w:val="bottom"/>
          </w:tcPr>
          <w:p>
            <w:pPr>
              <w:spacing w:after="0"/>
              <w:rPr>
                <w:sz w:val="1"/>
                <w:szCs w:val="1"/>
                <w:color w:val="auto"/>
              </w:rPr>
            </w:pPr>
          </w:p>
        </w:tc>
      </w:t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2011</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2"/>
                <w:szCs w:val="12"/>
                <w:color w:val="auto"/>
              </w:rPr>
              <w:t>2011</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22"/>
        </w:trPr>
        <w:tc>
          <w:tcPr>
            <w:tcW w:w="7900" w:type="dxa"/>
            <w:vAlign w:val="bottom"/>
          </w:tcPr>
          <w:p>
            <w:pPr>
              <w:spacing w:after="0" w:line="123" w:lineRule="exact"/>
              <w:rPr>
                <w:sz w:val="20"/>
                <w:szCs w:val="20"/>
                <w:color w:val="auto"/>
              </w:rPr>
            </w:pPr>
            <w:r>
              <w:rPr>
                <w:rFonts w:ascii="Arial" w:cs="Arial" w:eastAsia="Arial" w:hAnsi="Arial"/>
                <w:sz w:val="14"/>
                <w:szCs w:val="14"/>
                <w:b w:val="1"/>
                <w:bCs w:val="1"/>
                <w:color w:val="auto"/>
              </w:rPr>
              <w:t>Net Income</w:t>
            </w:r>
          </w:p>
        </w:tc>
        <w:tc>
          <w:tcPr>
            <w:tcW w:w="160" w:type="dxa"/>
            <w:vAlign w:val="bottom"/>
          </w:tcPr>
          <w:p>
            <w:pPr>
              <w:jc w:val="right"/>
              <w:spacing w:after="0" w:line="123"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line="123" w:lineRule="exact"/>
              <w:rPr>
                <w:sz w:val="20"/>
                <w:szCs w:val="20"/>
                <w:color w:val="auto"/>
              </w:rPr>
            </w:pPr>
            <w:r>
              <w:rPr>
                <w:rFonts w:ascii="Arial" w:cs="Arial" w:eastAsia="Arial" w:hAnsi="Arial"/>
                <w:sz w:val="14"/>
                <w:szCs w:val="14"/>
                <w:b w:val="1"/>
                <w:bCs w:val="1"/>
                <w:color w:val="auto"/>
              </w:rPr>
              <w:t>117,157</w:t>
            </w:r>
          </w:p>
        </w:tc>
        <w:tc>
          <w:tcPr>
            <w:tcW w:w="280" w:type="dxa"/>
            <w:vAlign w:val="bottom"/>
          </w:tcPr>
          <w:p>
            <w:pPr>
              <w:jc w:val="right"/>
              <w:ind w:right="12"/>
              <w:spacing w:after="0" w:line="123"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1"/>
              <w:spacing w:after="0" w:line="123" w:lineRule="exact"/>
              <w:rPr>
                <w:sz w:val="20"/>
                <w:szCs w:val="20"/>
                <w:color w:val="auto"/>
              </w:rPr>
            </w:pPr>
            <w:r>
              <w:rPr>
                <w:rFonts w:ascii="Arial" w:cs="Arial" w:eastAsia="Arial" w:hAnsi="Arial"/>
                <w:sz w:val="14"/>
                <w:szCs w:val="14"/>
                <w:color w:val="auto"/>
              </w:rPr>
              <w:t>278,020</w:t>
            </w:r>
          </w:p>
        </w:tc>
        <w:tc>
          <w:tcPr>
            <w:tcW w:w="2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900" w:type="dxa"/>
            <w:vAlign w:val="bottom"/>
          </w:tcPr>
          <w:p>
            <w:pPr>
              <w:spacing w:after="0"/>
              <w:rPr>
                <w:sz w:val="20"/>
                <w:szCs w:val="20"/>
                <w:color w:val="auto"/>
              </w:rPr>
            </w:pPr>
            <w:r>
              <w:rPr>
                <w:rFonts w:ascii="Arial" w:cs="Arial" w:eastAsia="Arial" w:hAnsi="Arial"/>
                <w:sz w:val="14"/>
                <w:szCs w:val="14"/>
                <w:b w:val="1"/>
                <w:bCs w:val="1"/>
                <w:color w:val="auto"/>
              </w:rPr>
              <w:t>Other Comprehensive (Loss) Income</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(21,375)</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900" w:type="dxa"/>
            <w:vAlign w:val="bottom"/>
          </w:tcPr>
          <w:p>
            <w:pPr>
              <w:ind w:left="220"/>
              <w:spacing w:after="0" w:line="133" w:lineRule="exact"/>
              <w:rPr>
                <w:sz w:val="20"/>
                <w:szCs w:val="20"/>
                <w:color w:val="auto"/>
              </w:rPr>
            </w:pPr>
            <w:r>
              <w:rPr>
                <w:rFonts w:ascii="Arial" w:cs="Arial" w:eastAsia="Arial" w:hAnsi="Arial"/>
                <w:sz w:val="14"/>
                <w:szCs w:val="14"/>
                <w:color w:val="auto"/>
              </w:rPr>
              <w:t>Foreign currency translation adjustment</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11"/>
              <w:spacing w:after="0" w:line="133" w:lineRule="exact"/>
              <w:rPr>
                <w:sz w:val="20"/>
                <w:szCs w:val="20"/>
                <w:color w:val="auto"/>
              </w:rPr>
            </w:pPr>
            <w:r>
              <w:rPr>
                <w:rFonts w:ascii="Arial" w:cs="Arial" w:eastAsia="Arial" w:hAnsi="Arial"/>
                <w:sz w:val="14"/>
                <w:szCs w:val="14"/>
                <w:color w:val="auto"/>
              </w:rPr>
              <w:t>10,994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900" w:type="dxa"/>
            <w:vAlign w:val="bottom"/>
          </w:tcPr>
          <w:p>
            <w:pPr>
              <w:ind w:left="220"/>
              <w:spacing w:after="0" w:line="149" w:lineRule="exact"/>
              <w:rPr>
                <w:sz w:val="20"/>
                <w:szCs w:val="20"/>
                <w:color w:val="auto"/>
              </w:rPr>
            </w:pPr>
            <w:r>
              <w:rPr>
                <w:rFonts w:ascii="Arial" w:cs="Arial" w:eastAsia="Arial" w:hAnsi="Arial"/>
                <w:sz w:val="14"/>
                <w:szCs w:val="14"/>
                <w:color w:val="auto"/>
              </w:rPr>
              <w:t>Change in unrealized (loss) gain on available-for-sale securities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(37,709)</w:t>
            </w:r>
          </w:p>
        </w:tc>
        <w:tc>
          <w:tcPr>
            <w:tcW w:w="280" w:type="dxa"/>
            <w:vAlign w:val="bottom"/>
          </w:tcPr>
          <w:p>
            <w:pPr>
              <w:spacing w:after="0"/>
              <w:rPr>
                <w:sz w:val="12"/>
                <w:szCs w:val="12"/>
                <w:color w:val="auto"/>
              </w:rPr>
            </w:pPr>
          </w:p>
        </w:tc>
        <w:tc>
          <w:tcPr>
            <w:tcW w:w="9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(12,974)</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00" w:type="dxa"/>
            <w:vAlign w:val="bottom"/>
          </w:tcPr>
          <w:p>
            <w:pPr>
              <w:ind w:left="220"/>
              <w:spacing w:after="0" w:line="149" w:lineRule="exact"/>
              <w:rPr>
                <w:sz w:val="20"/>
                <w:szCs w:val="20"/>
                <w:color w:val="auto"/>
              </w:rPr>
            </w:pPr>
            <w:r>
              <w:rPr>
                <w:rFonts w:ascii="Arial" w:cs="Arial" w:eastAsia="Arial" w:hAnsi="Arial"/>
                <w:sz w:val="14"/>
                <w:szCs w:val="14"/>
                <w:color w:val="auto"/>
              </w:rPr>
              <w:t>Pension and other postretirement plan adjustments</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(18,395)</w:t>
            </w:r>
          </w:p>
        </w:tc>
        <w:tc>
          <w:tcPr>
            <w:tcW w:w="280" w:type="dxa"/>
            <w:vAlign w:val="bottom"/>
          </w:tcPr>
          <w:p>
            <w:pPr>
              <w:spacing w:after="0"/>
              <w:rPr>
                <w:sz w:val="12"/>
                <w:szCs w:val="12"/>
                <w:color w:val="auto"/>
              </w:rPr>
            </w:pPr>
          </w:p>
        </w:tc>
        <w:tc>
          <w:tcPr>
            <w:tcW w:w="980" w:type="dxa"/>
            <w:vAlign w:val="bottom"/>
          </w:tcPr>
          <w:p>
            <w:pPr>
              <w:jc w:val="right"/>
              <w:ind w:right="11"/>
              <w:spacing w:after="0" w:line="149" w:lineRule="exact"/>
              <w:rPr>
                <w:sz w:val="20"/>
                <w:szCs w:val="20"/>
                <w:color w:val="auto"/>
              </w:rPr>
            </w:pPr>
            <w:r>
              <w:rPr>
                <w:rFonts w:ascii="Arial" w:cs="Arial" w:eastAsia="Arial" w:hAnsi="Arial"/>
                <w:sz w:val="14"/>
                <w:szCs w:val="14"/>
                <w:color w:val="auto"/>
              </w:rPr>
              <w:t>126,471</w:t>
            </w:r>
          </w:p>
        </w:tc>
        <w:tc>
          <w:tcPr>
            <w:tcW w:w="2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5"/>
        </w:trPr>
        <w:tc>
          <w:tcPr>
            <w:tcW w:w="7900" w:type="dxa"/>
            <w:vAlign w:val="bottom"/>
          </w:tcPr>
          <w:p>
            <w:pPr>
              <w:ind w:left="220"/>
              <w:spacing w:after="0"/>
              <w:rPr>
                <w:sz w:val="20"/>
                <w:szCs w:val="20"/>
                <w:color w:val="auto"/>
              </w:rPr>
            </w:pPr>
            <w:r>
              <w:rPr>
                <w:rFonts w:ascii="Arial" w:cs="Arial" w:eastAsia="Arial" w:hAnsi="Arial"/>
                <w:sz w:val="14"/>
                <w:szCs w:val="14"/>
                <w:color w:val="auto"/>
              </w:rPr>
              <w:t>Cash flow hedge, net change</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4"/>
                <w:szCs w:val="14"/>
                <w:color w:val="auto"/>
              </w:rPr>
            </w:pP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ind w:left="220"/>
              <w:spacing w:after="0" w:line="149" w:lineRule="exact"/>
              <w:rPr>
                <w:sz w:val="20"/>
                <w:szCs w:val="20"/>
                <w:color w:val="auto"/>
              </w:rPr>
            </w:pPr>
            <w:r>
              <w:rPr>
                <w:rFonts w:ascii="Arial" w:cs="Arial" w:eastAsia="Arial" w:hAnsi="Arial"/>
                <w:sz w:val="14"/>
                <w:szCs w:val="14"/>
                <w:color w:val="auto"/>
              </w:rPr>
              <w:t>Less reclassification adjustment for write-down on available-for-sale security included</w:t>
            </w:r>
          </w:p>
        </w:tc>
        <w:tc>
          <w:tcPr>
            <w:tcW w:w="1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53,794</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900" w:type="dxa"/>
            <w:vAlign w:val="bottom"/>
          </w:tcPr>
          <w:p>
            <w:pPr>
              <w:ind w:left="460"/>
              <w:spacing w:after="0" w:line="152" w:lineRule="exact"/>
              <w:rPr>
                <w:sz w:val="20"/>
                <w:szCs w:val="20"/>
                <w:color w:val="auto"/>
              </w:rPr>
            </w:pPr>
            <w:r>
              <w:rPr>
                <w:rFonts w:ascii="Arial" w:cs="Arial" w:eastAsia="Arial" w:hAnsi="Arial"/>
                <w:sz w:val="14"/>
                <w:szCs w:val="14"/>
                <w:color w:val="auto"/>
              </w:rPr>
              <w:t>in net income</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spacing w:after="0" w:line="123" w:lineRule="exact"/>
              <w:rPr>
                <w:sz w:val="20"/>
                <w:szCs w:val="20"/>
                <w:color w:val="auto"/>
              </w:rPr>
            </w:pPr>
            <w:r>
              <w:rPr>
                <w:rFonts w:ascii="Arial" w:cs="Arial" w:eastAsia="Arial" w:hAnsi="Arial"/>
                <w:sz w:val="14"/>
                <w:szCs w:val="14"/>
                <w:b w:val="1"/>
                <w:bCs w:val="1"/>
                <w:color w:val="auto"/>
              </w:rPr>
              <w:t>(23,671)</w:t>
            </w:r>
          </w:p>
        </w:tc>
        <w:tc>
          <w:tcPr>
            <w:tcW w:w="280" w:type="dxa"/>
            <w:vAlign w:val="bottom"/>
          </w:tcPr>
          <w:p>
            <w:pPr>
              <w:spacing w:after="0"/>
              <w:rPr>
                <w:sz w:val="10"/>
                <w:szCs w:val="10"/>
                <w:color w:val="auto"/>
              </w:rPr>
            </w:pPr>
          </w:p>
        </w:tc>
        <w:tc>
          <w:tcPr>
            <w:tcW w:w="980" w:type="dxa"/>
            <w:vAlign w:val="bottom"/>
          </w:tcPr>
          <w:p>
            <w:pPr>
              <w:jc w:val="right"/>
              <w:ind w:right="11"/>
              <w:spacing w:after="0" w:line="123" w:lineRule="exact"/>
              <w:rPr>
                <w:sz w:val="20"/>
                <w:szCs w:val="20"/>
                <w:color w:val="auto"/>
              </w:rPr>
            </w:pPr>
            <w:r>
              <w:rPr>
                <w:rFonts w:ascii="Arial" w:cs="Arial" w:eastAsia="Arial" w:hAnsi="Arial"/>
                <w:sz w:val="14"/>
                <w:szCs w:val="14"/>
                <w:color w:val="auto"/>
              </w:rPr>
              <w:t>124,491</w:t>
            </w:r>
          </w:p>
        </w:tc>
        <w:tc>
          <w:tcPr>
            <w:tcW w:w="220" w:type="dxa"/>
            <w:vAlign w:val="bottom"/>
          </w:tcPr>
          <w:p>
            <w:pPr>
              <w:spacing w:after="0"/>
              <w:rPr>
                <w:sz w:val="10"/>
                <w:szCs w:val="10"/>
                <w:color w:val="auto"/>
              </w:rPr>
            </w:pPr>
          </w:p>
        </w:tc>
        <w:tc>
          <w:tcPr>
            <w:tcW w:w="380" w:type="dxa"/>
            <w:vAlign w:val="bottom"/>
          </w:tcPr>
          <w:p>
            <w:pPr>
              <w:jc w:val="right"/>
              <w:spacing w:after="0" w:line="123"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8"/>
        </w:trPr>
        <w:tc>
          <w:tcPr>
            <w:tcW w:w="7900" w:type="dxa"/>
            <w:vAlign w:val="bottom"/>
          </w:tcPr>
          <w:p>
            <w:pPr>
              <w:ind w:left="220"/>
              <w:spacing w:after="0"/>
              <w:rPr>
                <w:sz w:val="20"/>
                <w:szCs w:val="20"/>
                <w:color w:val="auto"/>
              </w:rPr>
            </w:pPr>
            <w:r>
              <w:rPr>
                <w:rFonts w:ascii="Arial" w:cs="Arial" w:eastAsia="Arial" w:hAnsi="Arial"/>
                <w:sz w:val="14"/>
                <w:szCs w:val="14"/>
                <w:color w:val="auto"/>
              </w:rPr>
              <w:t>Income tax benefit (expense) related to other comprehensive (loss) income</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6,861</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(46,864)</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(16,810)</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4"/>
                <w:szCs w:val="14"/>
                <w:color w:val="auto"/>
              </w:rPr>
              <w:t>77,627</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7900" w:type="dxa"/>
            <w:vAlign w:val="bottom"/>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b w:val="1"/>
                <w:bCs w:val="1"/>
                <w:color w:val="auto"/>
              </w:rPr>
              <w:t>100,347</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
              <w:spacing w:after="0" w:line="138" w:lineRule="exact"/>
              <w:rPr>
                <w:sz w:val="20"/>
                <w:szCs w:val="20"/>
                <w:color w:val="auto"/>
              </w:rPr>
            </w:pPr>
            <w:r>
              <w:rPr>
                <w:rFonts w:ascii="Arial" w:cs="Arial" w:eastAsia="Arial" w:hAnsi="Arial"/>
                <w:sz w:val="14"/>
                <w:szCs w:val="14"/>
                <w:color w:val="auto"/>
              </w:rPr>
              <w:t>355,647</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4"/>
        </w:trPr>
        <w:tc>
          <w:tcPr>
            <w:tcW w:w="7900" w:type="dxa"/>
            <w:vAlign w:val="bottom"/>
          </w:tcPr>
          <w:p>
            <w:pPr>
              <w:ind w:left="220"/>
              <w:spacing w:after="0" w:line="145" w:lineRule="exact"/>
              <w:rPr>
                <w:sz w:val="20"/>
                <w:szCs w:val="20"/>
                <w:color w:val="auto"/>
              </w:rPr>
            </w:pPr>
            <w:r>
              <w:rPr>
                <w:rFonts w:ascii="Arial" w:cs="Arial" w:eastAsia="Arial" w:hAnsi="Arial"/>
                <w:sz w:val="14"/>
                <w:szCs w:val="14"/>
                <w:color w:val="auto"/>
              </w:rPr>
              <w:t>Comprehensive (income) loss attributable to noncontrolling interests</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(126)</w:t>
            </w: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1"/>
              <w:spacing w:after="0" w:line="145" w:lineRule="exact"/>
              <w:rPr>
                <w:sz w:val="20"/>
                <w:szCs w:val="20"/>
                <w:color w:val="auto"/>
              </w:rPr>
            </w:pPr>
            <w:r>
              <w:rPr>
                <w:rFonts w:ascii="Arial" w:cs="Arial" w:eastAsia="Arial" w:hAnsi="Arial"/>
                <w:sz w:val="14"/>
                <w:szCs w:val="14"/>
                <w:color w:val="auto"/>
              </w:rPr>
              <w:t>(13)</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900" w:type="dxa"/>
            <w:vAlign w:val="bottom"/>
          </w:tcPr>
          <w:p>
            <w:pPr>
              <w:spacing w:after="0" w:line="141" w:lineRule="exact"/>
              <w:rPr>
                <w:sz w:val="20"/>
                <w:szCs w:val="20"/>
                <w:color w:val="auto"/>
              </w:rPr>
            </w:pPr>
            <w:r>
              <w:rPr>
                <w:rFonts w:ascii="Arial" w:cs="Arial" w:eastAsia="Arial" w:hAnsi="Arial"/>
                <w:sz w:val="14"/>
                <w:szCs w:val="14"/>
                <w:b w:val="1"/>
                <w:bCs w:val="1"/>
                <w:color w:val="auto"/>
              </w:rPr>
              <w:t>Total Comprehensive Income Attributable to The Washington Post Company</w:t>
            </w:r>
          </w:p>
        </w:tc>
        <w:tc>
          <w:tcPr>
            <w:tcW w:w="1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100,221</w:t>
            </w:r>
          </w:p>
        </w:tc>
        <w:tc>
          <w:tcPr>
            <w:tcW w:w="280" w:type="dxa"/>
            <w:vAlign w:val="bottom"/>
            <w:tcBorders>
              <w:bottom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4"/>
                <w:szCs w:val="14"/>
                <w:color w:val="auto"/>
              </w:rPr>
              <w:t>355,634</w:t>
            </w:r>
          </w:p>
        </w:tc>
        <w:tc>
          <w:tcPr>
            <w:tcW w:w="2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type w:val="continuous"/>
        </w:sectPr>
      </w:pPr>
    </w:p>
    <w:bookmarkStart w:id="78" w:name="page79"/>
    <w:bookmarkEnd w:id="78"/>
    <w:p>
      <w:pPr>
        <w:ind w:left="4340"/>
        <w:spacing w:after="0"/>
        <w:rPr>
          <w:sz w:val="20"/>
          <w:szCs w:val="20"/>
          <w:color w:val="auto"/>
        </w:rPr>
      </w:pPr>
      <w:r>
        <w:rPr>
          <w:rFonts w:ascii="Arial" w:cs="Arial" w:eastAsia="Arial" w:hAnsi="Arial"/>
          <w:sz w:val="16"/>
          <w:szCs w:val="16"/>
          <w:b w:val="1"/>
          <w:bCs w:val="1"/>
          <w:color w:val="auto"/>
        </w:rPr>
        <w:t>THE WASHINGTON POST COMPANY</w:t>
      </w:r>
    </w:p>
    <w:p>
      <w:pPr>
        <w:spacing w:after="0" w:line="10"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486"/>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January 2</w:t>
            </w:r>
          </w:p>
        </w:tc>
        <w:tc>
          <w:tcPr>
            <w:tcW w:w="0" w:type="dxa"/>
            <w:vAlign w:val="bottom"/>
          </w:tcPr>
          <w:p>
            <w:pPr>
              <w:spacing w:after="0"/>
              <w:rPr>
                <w:sz w:val="1"/>
                <w:szCs w:val="1"/>
                <w:color w:val="auto"/>
              </w:rPr>
            </w:pPr>
          </w:p>
        </w:tc>
      </w:tr>
      <w:tr>
        <w:trPr>
          <w:trHeight w:val="163"/>
        </w:trPr>
        <w:tc>
          <w:tcPr>
            <w:tcW w:w="8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share amounts)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46"/>
              <w:spacing w:after="0"/>
              <w:rPr>
                <w:sz w:val="20"/>
                <w:szCs w:val="20"/>
                <w:color w:val="auto"/>
              </w:rPr>
            </w:pPr>
            <w:r>
              <w:rPr>
                <w:rFonts w:ascii="Arial" w:cs="Arial" w:eastAsia="Arial" w:hAnsi="Arial"/>
                <w:sz w:val="12"/>
                <w:szCs w:val="12"/>
                <w:b w:val="1"/>
                <w:bCs w:val="1"/>
                <w:color w:val="auto"/>
              </w:rPr>
              <w:t>2011</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381,099</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20"/>
              <w:spacing w:after="0" w:line="156" w:lineRule="exact"/>
              <w:rPr>
                <w:sz w:val="20"/>
                <w:szCs w:val="20"/>
                <w:color w:val="auto"/>
              </w:rPr>
            </w:pPr>
            <w:r>
              <w:rPr>
                <w:rFonts w:ascii="Arial" w:cs="Arial" w:eastAsia="Arial" w:hAnsi="Arial"/>
                <w:sz w:val="15"/>
                <w:szCs w:val="15"/>
                <w:color w:val="auto"/>
              </w:rPr>
              <w:t>Cash and cash equivalents</w:t>
            </w:r>
          </w:p>
        </w:tc>
        <w:tc>
          <w:tcPr>
            <w:tcW w:w="2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20" w:type="dxa"/>
            <w:vAlign w:val="bottom"/>
          </w:tcPr>
          <w:p>
            <w:pPr>
              <w:jc w:val="right"/>
              <w:ind w:right="46"/>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25,287</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338,674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Accounts receivable, net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392,725</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Income taxes receivable</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16,990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13,343</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6,571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70,936</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36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Assets</w:t>
            </w:r>
          </w:p>
        </w:tc>
        <w:tc>
          <w:tcPr>
            <w:tcW w:w="200" w:type="dxa"/>
            <w:vAlign w:val="bottom"/>
          </w:tcPr>
          <w:p>
            <w:pPr>
              <w:spacing w:after="0"/>
              <w:rPr>
                <w:sz w:val="13"/>
                <w:szCs w:val="13"/>
                <w:color w:val="auto"/>
              </w:rPr>
            </w:pPr>
          </w:p>
        </w:tc>
        <w:tc>
          <w:tcPr>
            <w:tcW w:w="1500" w:type="dxa"/>
            <w:vAlign w:val="bottom"/>
          </w:tcPr>
          <w:p>
            <w:pPr>
              <w:jc w:val="right"/>
              <w:ind w:right="186"/>
              <w:spacing w:after="0" w:line="150" w:lineRule="exact"/>
              <w:rPr>
                <w:sz w:val="20"/>
                <w:szCs w:val="20"/>
                <w:color w:val="auto"/>
              </w:rPr>
            </w:pPr>
            <w:r>
              <w:rPr>
                <w:rFonts w:ascii="Arial" w:cs="Arial" w:eastAsia="Arial" w:hAnsi="Arial"/>
                <w:sz w:val="15"/>
                <w:szCs w:val="15"/>
                <w:b w:val="1"/>
                <w:bCs w:val="1"/>
                <w:color w:val="auto"/>
              </w:rPr>
              <w:t>1,245,625</w:t>
            </w:r>
          </w:p>
        </w:tc>
        <w:tc>
          <w:tcPr>
            <w:tcW w:w="22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1,152,390</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17,101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1,414,997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 Net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530,641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54,622</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537,262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64,348</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Assets</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5,016,986</w:t>
            </w: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8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495,041</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20"/>
              <w:spacing w:after="0" w:line="156" w:lineRule="exact"/>
              <w:rPr>
                <w:sz w:val="20"/>
                <w:szCs w:val="20"/>
                <w:color w:val="auto"/>
              </w:rPr>
            </w:pPr>
            <w:r>
              <w:rPr>
                <w:rFonts w:ascii="Arial" w:cs="Arial" w:eastAsia="Arial" w:hAnsi="Arial"/>
                <w:sz w:val="15"/>
                <w:szCs w:val="15"/>
                <w:color w:val="auto"/>
              </w:rPr>
              <w:t>Accounts payable and accrued liabilities</w:t>
            </w:r>
          </w:p>
        </w:tc>
        <w:tc>
          <w:tcPr>
            <w:tcW w:w="2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20" w:type="dxa"/>
            <w:vAlign w:val="bottom"/>
          </w:tcPr>
          <w:p>
            <w:pPr>
              <w:jc w:val="right"/>
              <w:ind w:right="46"/>
              <w:spacing w:after="0" w:line="156" w:lineRule="exact"/>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387,532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Short-term borrowings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112,983</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36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Liabilities</w:t>
            </w:r>
          </w:p>
        </w:tc>
        <w:tc>
          <w:tcPr>
            <w:tcW w:w="200" w:type="dxa"/>
            <w:vAlign w:val="bottom"/>
          </w:tcPr>
          <w:p>
            <w:pPr>
              <w:spacing w:after="0"/>
              <w:rPr>
                <w:sz w:val="13"/>
                <w:szCs w:val="13"/>
                <w:color w:val="auto"/>
              </w:rPr>
            </w:pPr>
          </w:p>
        </w:tc>
        <w:tc>
          <w:tcPr>
            <w:tcW w:w="1500" w:type="dxa"/>
            <w:vAlign w:val="bottom"/>
          </w:tcPr>
          <w:p>
            <w:pPr>
              <w:jc w:val="right"/>
              <w:ind w:right="186"/>
              <w:spacing w:after="0" w:line="150" w:lineRule="exact"/>
              <w:rPr>
                <w:sz w:val="20"/>
                <w:szCs w:val="20"/>
                <w:color w:val="auto"/>
              </w:rPr>
            </w:pPr>
            <w:r>
              <w:rPr>
                <w:rFonts w:ascii="Arial" w:cs="Arial" w:eastAsia="Arial" w:hAnsi="Arial"/>
                <w:sz w:val="15"/>
                <w:szCs w:val="15"/>
                <w:b w:val="1"/>
                <w:bCs w:val="1"/>
                <w:color w:val="auto"/>
              </w:rPr>
              <w:t>995,556</w:t>
            </w:r>
          </w:p>
        </w:tc>
        <w:tc>
          <w:tcPr>
            <w:tcW w:w="22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Postretirement Benefits Other Than Pensions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67,864</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228,304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107,741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545,361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452,229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Liabilities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2,397,055</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15 and 16)</w:t>
            </w: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6,740</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60" w:type="dxa"/>
            <w:vAlign w:val="bottom"/>
          </w:tcPr>
          <w:p>
            <w:pPr>
              <w:spacing w:after="0"/>
              <w:rPr>
                <w:sz w:val="20"/>
                <w:szCs w:val="20"/>
                <w:color w:val="auto"/>
              </w:rPr>
            </w:pPr>
            <w:r>
              <w:rPr>
                <w:rFonts w:ascii="Arial" w:cs="Arial" w:eastAsia="Arial" w:hAnsi="Arial"/>
                <w:sz w:val="15"/>
                <w:szCs w:val="15"/>
                <w:b w:val="1"/>
                <w:bCs w:val="1"/>
                <w:color w:val="auto"/>
              </w:rPr>
              <w:t xml:space="preserve">Redeemable Preferred Stock, </w:t>
            </w:r>
            <w:r>
              <w:rPr>
                <w:rFonts w:ascii="Arial" w:cs="Arial" w:eastAsia="Arial" w:hAnsi="Arial"/>
                <w:sz w:val="15"/>
                <w:szCs w:val="15"/>
                <w:color w:val="auto"/>
              </w:rPr>
              <w:t>Series A, $1 par value, with a redemption and liquidation value of</w:t>
            </w:r>
          </w:p>
        </w:tc>
        <w:tc>
          <w:tcPr>
            <w:tcW w:w="200" w:type="dxa"/>
            <w:vAlign w:val="bottom"/>
          </w:tcPr>
          <w:p>
            <w:pPr>
              <w:spacing w:after="0"/>
              <w:rPr>
                <w:sz w:val="16"/>
                <w:szCs w:val="16"/>
                <w:color w:val="auto"/>
              </w:rPr>
            </w:pP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11,295</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220"/>
              <w:spacing w:after="0" w:line="180" w:lineRule="exact"/>
              <w:rPr>
                <w:sz w:val="20"/>
                <w:szCs w:val="20"/>
                <w:color w:val="auto"/>
              </w:rPr>
            </w:pPr>
            <w:r>
              <w:rPr>
                <w:rFonts w:ascii="Arial" w:cs="Arial" w:eastAsia="Arial" w:hAnsi="Arial"/>
                <w:sz w:val="16"/>
                <w:szCs w:val="16"/>
                <w:color w:val="auto"/>
              </w:rPr>
              <w:t>$1,000 per share; 23,000 shares authorized; 11,295 and 11,526 shares issued and outstanding</w:t>
            </w: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60" w:type="dxa"/>
            <w:vAlign w:val="bottom"/>
          </w:tcPr>
          <w:p>
            <w:pPr>
              <w:spacing w:after="0" w:line="168" w:lineRule="exact"/>
              <w:rPr>
                <w:sz w:val="20"/>
                <w:szCs w:val="20"/>
                <w:color w:val="auto"/>
              </w:rPr>
            </w:pPr>
            <w:r>
              <w:rPr>
                <w:rFonts w:ascii="Arial" w:cs="Arial" w:eastAsia="Arial" w:hAnsi="Arial"/>
                <w:sz w:val="15"/>
                <w:szCs w:val="15"/>
                <w:b w:val="1"/>
                <w:bCs w:val="1"/>
                <w:color w:val="auto"/>
              </w:rPr>
              <w:t>Common Stockholders’ Equity</w:t>
            </w: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Common stock</w:t>
            </w: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color w:val="auto"/>
              </w:rPr>
              <w:t>Class A Common stock, $1 par value; 7,000,000 shares authorized; 1,229,383 and 1,240,883</w:t>
            </w:r>
          </w:p>
        </w:tc>
        <w:tc>
          <w:tcPr>
            <w:tcW w:w="200" w:type="dxa"/>
            <w:vAlign w:val="bottom"/>
          </w:tcPr>
          <w:p>
            <w:pPr>
              <w:spacing w:after="0"/>
              <w:rPr>
                <w:sz w:val="14"/>
                <w:szCs w:val="14"/>
                <w:color w:val="auto"/>
              </w:rPr>
            </w:pP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1,229</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700"/>
              <w:spacing w:after="0" w:line="181" w:lineRule="exact"/>
              <w:rPr>
                <w:sz w:val="20"/>
                <w:szCs w:val="20"/>
                <w:color w:val="auto"/>
              </w:rPr>
            </w:pPr>
            <w:r>
              <w:rPr>
                <w:rFonts w:ascii="Arial" w:cs="Arial" w:eastAsia="Arial" w:hAnsi="Arial"/>
                <w:sz w:val="16"/>
                <w:szCs w:val="16"/>
                <w:color w:val="auto"/>
              </w:rPr>
              <w:t>shares issued and outstanding</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color w:val="auto"/>
              </w:rPr>
              <w:t>Class B Common stock, $1 par value; 40,000,000 shares authorized; 18,770,617 and</w:t>
            </w:r>
          </w:p>
        </w:tc>
        <w:tc>
          <w:tcPr>
            <w:tcW w:w="200" w:type="dxa"/>
            <w:vAlign w:val="bottom"/>
          </w:tcPr>
          <w:p>
            <w:pPr>
              <w:spacing w:after="0"/>
              <w:rPr>
                <w:sz w:val="14"/>
                <w:szCs w:val="14"/>
                <w:color w:val="auto"/>
              </w:rPr>
            </w:pP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18,771</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tcPr>
          <w:p>
            <w:pPr>
              <w:ind w:left="700"/>
              <w:spacing w:after="0" w:line="163" w:lineRule="exact"/>
              <w:rPr>
                <w:sz w:val="20"/>
                <w:szCs w:val="20"/>
                <w:color w:val="auto"/>
              </w:rPr>
            </w:pPr>
            <w:r>
              <w:rPr>
                <w:rFonts w:ascii="Arial" w:cs="Arial" w:eastAsia="Arial" w:hAnsi="Arial"/>
                <w:sz w:val="16"/>
                <w:szCs w:val="16"/>
                <w:color w:val="auto"/>
              </w:rPr>
              <w:t>18,759,117 shares issued; 6,361,617 and 6,952,973 shares outstanding</w:t>
            </w:r>
          </w:p>
        </w:tc>
        <w:tc>
          <w:tcPr>
            <w:tcW w:w="2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Capital in excess of par value</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252,767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836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200" w:type="dxa"/>
            <w:vAlign w:val="bottom"/>
          </w:tcPr>
          <w:p>
            <w:pPr>
              <w:spacing w:after="0"/>
              <w:rPr>
                <w:sz w:val="16"/>
                <w:szCs w:val="16"/>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4,561,989</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Accumulated other comprehensive income, net of taxes</w:t>
            </w:r>
          </w:p>
        </w:tc>
        <w:tc>
          <w:tcPr>
            <w:tcW w:w="200" w:type="dxa"/>
            <w:vAlign w:val="bottom"/>
          </w:tcPr>
          <w:p>
            <w:pPr>
              <w:spacing w:after="0"/>
              <w:rPr>
                <w:sz w:val="15"/>
                <w:szCs w:val="15"/>
                <w:color w:val="auto"/>
              </w:rPr>
            </w:pPr>
          </w:p>
        </w:tc>
        <w:tc>
          <w:tcPr>
            <w:tcW w:w="150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21,338</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460"/>
              <w:spacing w:after="0" w:line="156" w:lineRule="exact"/>
              <w:rPr>
                <w:sz w:val="20"/>
                <w:szCs w:val="20"/>
                <w:color w:val="auto"/>
              </w:rPr>
            </w:pPr>
            <w:r>
              <w:rPr>
                <w:rFonts w:ascii="Arial" w:cs="Arial" w:eastAsia="Arial" w:hAnsi="Arial"/>
                <w:sz w:val="15"/>
                <w:szCs w:val="15"/>
                <w:color w:val="auto"/>
              </w:rPr>
              <w:t>Cumulative foreign currency translation adjustment</w:t>
            </w:r>
          </w:p>
        </w:tc>
        <w:tc>
          <w:tcPr>
            <w:tcW w:w="2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Unrealized gain on available-for-sale securities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80,358</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63,625</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Cash flow hedge</w:t>
            </w:r>
          </w:p>
        </w:tc>
        <w:tc>
          <w:tcPr>
            <w:tcW w:w="200" w:type="dxa"/>
            <w:vAlign w:val="bottom"/>
          </w:tcPr>
          <w:p>
            <w:pPr>
              <w:spacing w:after="0"/>
              <w:rPr>
                <w:sz w:val="15"/>
                <w:szCs w:val="15"/>
                <w:color w:val="auto"/>
              </w:rPr>
            </w:pPr>
          </w:p>
        </w:tc>
        <w:tc>
          <w:tcPr>
            <w:tcW w:w="1500" w:type="dxa"/>
            <w:vAlign w:val="bottom"/>
          </w:tcPr>
          <w:p>
            <w:pPr>
              <w:jc w:val="right"/>
              <w:ind w:right="186"/>
              <w:spacing w:after="0"/>
              <w:rPr>
                <w:sz w:val="20"/>
                <w:szCs w:val="20"/>
                <w:color w:val="auto"/>
              </w:rPr>
            </w:pPr>
            <w:r>
              <w:rPr>
                <w:rFonts w:ascii="Arial" w:cs="Arial" w:eastAsia="Arial" w:hAnsi="Arial"/>
                <w:sz w:val="15"/>
                <w:szCs w:val="15"/>
                <w:b w:val="1"/>
                <w:bCs w:val="1"/>
                <w:color w:val="auto"/>
              </w:rPr>
              <w:t>8</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Cost of 12,409,000 and 11,806,144 shares of Class B common stock held in treasury</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(2,398,189)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Equity</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2,601,896</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6"/>
        </w:trPr>
        <w:tc>
          <w:tcPr>
            <w:tcW w:w="8360" w:type="dxa"/>
            <w:vAlign w:val="bottom"/>
          </w:tcPr>
          <w:p>
            <w:pPr>
              <w:ind w:left="700"/>
              <w:spacing w:after="0" w:line="167" w:lineRule="exact"/>
              <w:rPr>
                <w:sz w:val="20"/>
                <w:szCs w:val="20"/>
                <w:color w:val="auto"/>
              </w:rPr>
            </w:pPr>
            <w:r>
              <w:rPr>
                <w:rFonts w:ascii="Arial" w:cs="Arial" w:eastAsia="Arial" w:hAnsi="Arial"/>
                <w:sz w:val="15"/>
                <w:szCs w:val="15"/>
                <w:b w:val="1"/>
                <w:bCs w:val="1"/>
                <w:color w:val="auto"/>
              </w:rPr>
              <w:t>Total Liabilities and Equity</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5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5,016,986</w:t>
            </w:r>
          </w:p>
        </w:tc>
        <w:tc>
          <w:tcPr>
            <w:tcW w:w="2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96" w:right="139" w:bottom="1440" w:gutter="0" w:footer="0" w:header="0"/>
        </w:sectPr>
      </w:pPr>
    </w:p>
    <w:bookmarkStart w:id="79" w:name="page80"/>
    <w:bookmarkEnd w:id="79"/>
    <w:p>
      <w:pPr>
        <w:jc w:val="center"/>
        <w:ind w:right="7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
              <w:spacing w:after="0"/>
              <w:rPr>
                <w:sz w:val="20"/>
                <w:szCs w:val="20"/>
                <w:color w:val="auto"/>
              </w:rPr>
            </w:pPr>
            <w:r>
              <w:rPr>
                <w:rFonts w:ascii="Arial" w:cs="Arial" w:eastAsia="Arial" w:hAnsi="Arial"/>
                <w:sz w:val="12"/>
                <w:szCs w:val="12"/>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80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5"/>
                <w:szCs w:val="15"/>
                <w:color w:val="auto"/>
              </w:rPr>
            </w:pPr>
          </w:p>
        </w:tc>
        <w:tc>
          <w:tcPr>
            <w:tcW w:w="1000" w:type="dxa"/>
            <w:vAlign w:val="bottom"/>
          </w:tcPr>
          <w:p>
            <w:pPr>
              <w:jc w:val="center"/>
              <w:ind w:right="302"/>
              <w:spacing w:after="0"/>
              <w:rPr>
                <w:sz w:val="20"/>
                <w:szCs w:val="20"/>
                <w:color w:val="auto"/>
              </w:rPr>
            </w:pPr>
            <w:r>
              <w:rPr>
                <w:rFonts w:ascii="Arial" w:cs="Arial" w:eastAsia="Arial" w:hAnsi="Arial"/>
                <w:sz w:val="12"/>
                <w:szCs w:val="12"/>
                <w:color w:val="auto"/>
              </w:rPr>
              <w:t>January 2,</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Januar</w:t>
            </w:r>
          </w:p>
        </w:tc>
        <w:tc>
          <w:tcPr>
            <w:tcW w:w="0" w:type="dxa"/>
            <w:vAlign w:val="bottom"/>
          </w:tcPr>
          <w:p>
            <w:pPr>
              <w:spacing w:after="0"/>
              <w:rPr>
                <w:sz w:val="1"/>
                <w:szCs w:val="1"/>
                <w:color w:val="auto"/>
              </w:rPr>
            </w:pPr>
          </w:p>
        </w:tc>
      </w:tr>
      <w:tr>
        <w:trPr>
          <w:trHeight w:val="175"/>
        </w:trPr>
        <w:tc>
          <w:tcPr>
            <w:tcW w:w="7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2"/>
              <w:spacing w:after="0"/>
              <w:rPr>
                <w:sz w:val="20"/>
                <w:szCs w:val="20"/>
                <w:color w:val="auto"/>
              </w:rPr>
            </w:pPr>
            <w:r>
              <w:rPr>
                <w:rFonts w:ascii="Arial" w:cs="Arial" w:eastAsia="Arial" w:hAnsi="Arial"/>
                <w:sz w:val="12"/>
                <w:szCs w:val="12"/>
                <w:b w:val="1"/>
                <w:bCs w:val="1"/>
                <w:color w:val="auto"/>
              </w:rPr>
              <w:t>2011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82"/>
              <w:spacing w:after="0"/>
              <w:rPr>
                <w:sz w:val="20"/>
                <w:szCs w:val="20"/>
                <w:color w:val="auto"/>
              </w:rPr>
            </w:pPr>
            <w:r>
              <w:rPr>
                <w:rFonts w:ascii="Arial" w:cs="Arial" w:eastAsia="Arial" w:hAnsi="Arial"/>
                <w:sz w:val="12"/>
                <w:szCs w:val="12"/>
                <w:color w:val="auto"/>
              </w:rPr>
              <w:t>2011</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0"/>
        </w:trPr>
        <w:tc>
          <w:tcPr>
            <w:tcW w:w="7800" w:type="dxa"/>
            <w:vAlign w:val="bottom"/>
          </w:tcPr>
          <w:p>
            <w:pPr>
              <w:spacing w:after="0" w:line="161"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117,157</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800" w:type="dxa"/>
            <w:vAlign w:val="bottom"/>
          </w:tcPr>
          <w:p>
            <w:pPr>
              <w:spacing w:after="0" w:line="174" w:lineRule="exact"/>
              <w:rPr>
                <w:sz w:val="20"/>
                <w:szCs w:val="20"/>
                <w:color w:val="auto"/>
              </w:rPr>
            </w:pPr>
            <w:r>
              <w:rPr>
                <w:rFonts w:ascii="Arial" w:cs="Arial" w:eastAsia="Arial" w:hAnsi="Arial"/>
                <w:sz w:val="16"/>
                <w:szCs w:val="16"/>
                <w:color w:val="auto"/>
              </w:rPr>
              <w:t>Net income</w:t>
            </w:r>
          </w:p>
        </w:tc>
        <w:tc>
          <w:tcPr>
            <w:tcW w:w="3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3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278,020</w:t>
            </w:r>
          </w:p>
        </w:tc>
        <w:tc>
          <w:tcPr>
            <w:tcW w:w="24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4"/>
        </w:trPr>
        <w:tc>
          <w:tcPr>
            <w:tcW w:w="7800" w:type="dxa"/>
            <w:vAlign w:val="bottom"/>
          </w:tcPr>
          <w:p>
            <w:pPr>
              <w:spacing w:after="0" w:line="174"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255,975</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Depreciation of property, plant and equipment</w:t>
            </w:r>
          </w:p>
        </w:tc>
        <w:tc>
          <w:tcPr>
            <w:tcW w:w="3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252,457</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30,333</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27,191</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Goodwill and other long-lived asset impairment charges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11,923</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27,477</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pension benefit</w:t>
            </w:r>
          </w:p>
        </w:tc>
        <w:tc>
          <w:tcPr>
            <w:tcW w:w="320" w:type="dxa"/>
            <w:vAlign w:val="bottom"/>
          </w:tcPr>
          <w:p>
            <w:pPr>
              <w:spacing w:after="0"/>
              <w:rPr>
                <w:sz w:val="15"/>
                <w:szCs w:val="15"/>
                <w:color w:val="auto"/>
              </w:rPr>
            </w:pPr>
          </w:p>
        </w:tc>
        <w:tc>
          <w:tcPr>
            <w:tcW w:w="880" w:type="dxa"/>
            <w:vAlign w:val="bottom"/>
          </w:tcPr>
          <w:p>
            <w:pPr>
              <w:jc w:val="right"/>
              <w:spacing w:after="0" w:line="174" w:lineRule="exact"/>
              <w:rPr>
                <w:sz w:val="20"/>
                <w:szCs w:val="20"/>
                <w:color w:val="auto"/>
              </w:rPr>
            </w:pPr>
            <w:r>
              <w:rPr>
                <w:rFonts w:ascii="Arial" w:cs="Arial" w:eastAsia="Arial" w:hAnsi="Arial"/>
                <w:sz w:val="16"/>
                <w:szCs w:val="16"/>
                <w:b w:val="1"/>
                <w:bCs w:val="1"/>
                <w:color w:val="auto"/>
              </w:rPr>
              <w:t>(4,726)</w:t>
            </w:r>
          </w:p>
        </w:tc>
        <w:tc>
          <w:tcPr>
            <w:tcW w:w="300" w:type="dxa"/>
            <w:vAlign w:val="bottom"/>
          </w:tcPr>
          <w:p>
            <w:pPr>
              <w:spacing w:after="0"/>
              <w:rPr>
                <w:sz w:val="15"/>
                <w:szCs w:val="15"/>
                <w:color w:val="auto"/>
              </w:rPr>
            </w:pPr>
          </w:p>
        </w:tc>
        <w:tc>
          <w:tcPr>
            <w:tcW w:w="1000" w:type="dxa"/>
            <w:vAlign w:val="bottom"/>
          </w:tcPr>
          <w:p>
            <w:pPr>
              <w:jc w:val="right"/>
              <w:ind w:right="42"/>
              <w:spacing w:after="0" w:line="174" w:lineRule="exact"/>
              <w:rPr>
                <w:sz w:val="20"/>
                <w:szCs w:val="20"/>
                <w:color w:val="auto"/>
              </w:rPr>
            </w:pPr>
            <w:r>
              <w:rPr>
                <w:rFonts w:ascii="Arial" w:cs="Arial" w:eastAsia="Arial" w:hAnsi="Arial"/>
                <w:sz w:val="16"/>
                <w:szCs w:val="16"/>
                <w:color w:val="auto"/>
              </w:rPr>
              <w:t>(3,863)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Multiemployer pension plan withdrawal charge</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2,415</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20,355</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Early retirement program expense</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634</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Foreign exchange loss (gain)</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3,263</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(6,705)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(gain) loss on sales of businesses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(2,975)</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11,824</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Loss on write-down of a marketable equity security</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53,793</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Equity in (earnings) losses of affiliates, including impairment charges, net of distributions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5,492</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4,133</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Provision for deferred income taxes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42,265</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37,056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00" w:type="dxa"/>
            <w:vAlign w:val="bottom"/>
          </w:tcPr>
          <w:p>
            <w:pPr>
              <w:ind w:left="220"/>
              <w:spacing w:after="0"/>
              <w:rPr>
                <w:sz w:val="20"/>
                <w:szCs w:val="20"/>
                <w:color w:val="auto"/>
              </w:rPr>
            </w:pPr>
            <w:r>
              <w:rPr>
                <w:rFonts w:ascii="Arial" w:cs="Arial" w:eastAsia="Arial" w:hAnsi="Arial"/>
                <w:sz w:val="16"/>
                <w:szCs w:val="16"/>
                <w:color w:val="auto"/>
              </w:rPr>
              <w:t>Net loss on sale or write-down of property, plant and equipment and other assets</w:t>
            </w:r>
          </w:p>
        </w:tc>
        <w:tc>
          <w:tcPr>
            <w:tcW w:w="3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9,294</w:t>
            </w:r>
          </w:p>
        </w:tc>
        <w:tc>
          <w:tcPr>
            <w:tcW w:w="300" w:type="dxa"/>
            <w:vAlign w:val="bottom"/>
          </w:tcPr>
          <w:p>
            <w:pPr>
              <w:spacing w:after="0"/>
              <w:rPr>
                <w:sz w:val="16"/>
                <w:szCs w:val="16"/>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15,094</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5"/>
                <w:szCs w:val="15"/>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27,895</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460"/>
              <w:spacing w:after="0" w:line="154" w:lineRule="exact"/>
              <w:rPr>
                <w:sz w:val="20"/>
                <w:szCs w:val="20"/>
                <w:color w:val="auto"/>
              </w:rPr>
            </w:pPr>
            <w:r>
              <w:rPr>
                <w:rFonts w:ascii="Arial" w:cs="Arial" w:eastAsia="Arial" w:hAnsi="Arial"/>
                <w:sz w:val="16"/>
                <w:szCs w:val="16"/>
                <w:color w:val="auto"/>
              </w:rPr>
              <w:t>Decrease in accounts receivable, net</w:t>
            </w:r>
          </w:p>
        </w:tc>
        <w:tc>
          <w:tcPr>
            <w:tcW w:w="3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14,648</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(Increase) decrease in inventories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(1,587)</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8,571</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(Decrease) increase in accounts payable and accrued liabilities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(126,771)</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40,892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(Decrease) increase in deferred revenue</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(9,186)</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(10,410)</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Decrease (increase) in Income taxes receivable</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16,002</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(41,398)</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(Increase) decrease in other assets and other liabilities, net</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(37,748)</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18,251</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(157)</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123</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b w:val="1"/>
                <w:bCs w:val="1"/>
                <w:color w:val="auto"/>
              </w:rPr>
              <w:t>393,291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693,716</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334"/>
        </w:trPr>
        <w:tc>
          <w:tcPr>
            <w:tcW w:w="78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(216,381)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(243,712)</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Investments in certain businesses, net of cash acquired</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(83,699)</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(13,345)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49,157</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39,007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Purchases of marketable equity securities and other investments</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(8,165)</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(8,070)</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(1,640)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16,248</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b w:val="1"/>
                <w:bCs w:val="1"/>
                <w:color w:val="auto"/>
              </w:rPr>
              <w:t>(260,728)</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(209,872)</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4"/>
        </w:trPr>
        <w:tc>
          <w:tcPr>
            <w:tcW w:w="7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(248,055)</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Common shares repurchased</w:t>
            </w:r>
          </w:p>
        </w:tc>
        <w:tc>
          <w:tcPr>
            <w:tcW w:w="3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(404,816)</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Issuance (repayment) of commercial paper, net</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109,671</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(75,493)</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(82,090)</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Issuance of debt</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52,476</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5"/>
                <w:szCs w:val="15"/>
                <w:color w:val="auto"/>
              </w:rPr>
            </w:pPr>
          </w:p>
        </w:tc>
        <w:tc>
          <w:tcPr>
            <w:tcW w:w="880" w:type="dxa"/>
            <w:vAlign w:val="bottom"/>
          </w:tcPr>
          <w:p>
            <w:pPr>
              <w:jc w:val="right"/>
              <w:ind w:right="22"/>
              <w:spacing w:after="0" w:line="174" w:lineRule="exact"/>
              <w:rPr>
                <w:sz w:val="20"/>
                <w:szCs w:val="20"/>
                <w:color w:val="auto"/>
              </w:rPr>
            </w:pPr>
            <w:r>
              <w:rPr>
                <w:rFonts w:ascii="Arial" w:cs="Arial" w:eastAsia="Arial" w:hAnsi="Arial"/>
                <w:sz w:val="16"/>
                <w:szCs w:val="16"/>
                <w:b w:val="1"/>
                <w:bCs w:val="1"/>
                <w:color w:val="auto"/>
              </w:rPr>
              <w:t>(1,285)</w:t>
            </w:r>
          </w:p>
        </w:tc>
        <w:tc>
          <w:tcPr>
            <w:tcW w:w="300" w:type="dxa"/>
            <w:vAlign w:val="bottom"/>
          </w:tcPr>
          <w:p>
            <w:pPr>
              <w:spacing w:after="0"/>
              <w:rPr>
                <w:sz w:val="15"/>
                <w:szCs w:val="15"/>
                <w:color w:val="auto"/>
              </w:rPr>
            </w:pPr>
          </w:p>
        </w:tc>
        <w:tc>
          <w:tcPr>
            <w:tcW w:w="1000" w:type="dxa"/>
            <w:vAlign w:val="bottom"/>
          </w:tcPr>
          <w:p>
            <w:pPr>
              <w:jc w:val="right"/>
              <w:ind w:right="82"/>
              <w:spacing w:after="0" w:line="174"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(24,275)</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(4,266)</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b w:val="1"/>
                <w:bCs w:val="1"/>
                <w:color w:val="auto"/>
              </w:rPr>
              <w:t>(186,961)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(491,172)</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6"/>
        </w:trPr>
        <w:tc>
          <w:tcPr>
            <w:tcW w:w="7800" w:type="dxa"/>
            <w:vAlign w:val="bottom"/>
          </w:tcPr>
          <w:p>
            <w:pPr>
              <w:spacing w:after="0" w:line="166" w:lineRule="exact"/>
              <w:rPr>
                <w:sz w:val="20"/>
                <w:szCs w:val="20"/>
                <w:color w:val="auto"/>
              </w:rPr>
            </w:pPr>
            <w:r>
              <w:rPr>
                <w:rFonts w:ascii="Arial" w:cs="Arial" w:eastAsia="Arial" w:hAnsi="Arial"/>
                <w:sz w:val="16"/>
                <w:szCs w:val="16"/>
                <w:b w:val="1"/>
                <w:bCs w:val="1"/>
                <w:color w:val="auto"/>
              </w:rPr>
              <w:t>Effect of Currency Exchange Rate Change</w:t>
            </w: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b w:val="1"/>
                <w:bCs w:val="1"/>
                <w:color w:val="auto"/>
              </w:rPr>
              <w:t>(2,243)</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2,509</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line="141"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320" w:type="dxa"/>
            <w:vAlign w:val="bottom"/>
          </w:tcPr>
          <w:p>
            <w:pPr>
              <w:spacing w:after="0"/>
              <w:rPr>
                <w:sz w:val="12"/>
                <w:szCs w:val="12"/>
                <w:color w:val="auto"/>
              </w:rPr>
            </w:pPr>
          </w:p>
        </w:tc>
        <w:tc>
          <w:tcPr>
            <w:tcW w:w="880" w:type="dxa"/>
            <w:vAlign w:val="bottom"/>
          </w:tcPr>
          <w:p>
            <w:pPr>
              <w:jc w:val="right"/>
              <w:ind w:right="22"/>
              <w:spacing w:after="0" w:line="141" w:lineRule="exact"/>
              <w:rPr>
                <w:sz w:val="20"/>
                <w:szCs w:val="20"/>
                <w:color w:val="auto"/>
              </w:rPr>
            </w:pPr>
            <w:r>
              <w:rPr>
                <w:rFonts w:ascii="Arial" w:cs="Arial" w:eastAsia="Arial" w:hAnsi="Arial"/>
                <w:sz w:val="16"/>
                <w:szCs w:val="16"/>
                <w:b w:val="1"/>
                <w:bCs w:val="1"/>
                <w:color w:val="auto"/>
              </w:rPr>
              <w:t>(56,641)</w:t>
            </w:r>
          </w:p>
        </w:tc>
        <w:tc>
          <w:tcPr>
            <w:tcW w:w="300" w:type="dxa"/>
            <w:vAlign w:val="bottom"/>
          </w:tcPr>
          <w:p>
            <w:pPr>
              <w:spacing w:after="0"/>
              <w:rPr>
                <w:sz w:val="12"/>
                <w:szCs w:val="12"/>
                <w:color w:val="auto"/>
              </w:rPr>
            </w:pPr>
          </w:p>
        </w:tc>
        <w:tc>
          <w:tcPr>
            <w:tcW w:w="1000" w:type="dxa"/>
            <w:vAlign w:val="bottom"/>
          </w:tcPr>
          <w:p>
            <w:pPr>
              <w:jc w:val="right"/>
              <w:ind w:right="82"/>
              <w:spacing w:after="0" w:line="141" w:lineRule="exact"/>
              <w:rPr>
                <w:sz w:val="20"/>
                <w:szCs w:val="20"/>
                <w:color w:val="auto"/>
              </w:rPr>
            </w:pPr>
            <w:r>
              <w:rPr>
                <w:rFonts w:ascii="Arial" w:cs="Arial" w:eastAsia="Arial" w:hAnsi="Arial"/>
                <w:sz w:val="16"/>
                <w:szCs w:val="16"/>
                <w:color w:val="auto"/>
              </w:rPr>
              <w:t>(4,819)</w:t>
            </w:r>
          </w:p>
        </w:tc>
        <w:tc>
          <w:tcPr>
            <w:tcW w:w="240" w:type="dxa"/>
            <w:vAlign w:val="bottom"/>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437,740</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442,559</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6"/>
        </w:trPr>
        <w:tc>
          <w:tcPr>
            <w:tcW w:w="7800" w:type="dxa"/>
            <w:vAlign w:val="bottom"/>
          </w:tcPr>
          <w:p>
            <w:pPr>
              <w:spacing w:after="0" w:line="166" w:lineRule="exact"/>
              <w:rPr>
                <w:sz w:val="20"/>
                <w:szCs w:val="20"/>
                <w:color w:val="auto"/>
              </w:rPr>
            </w:pPr>
            <w:r>
              <w:rPr>
                <w:rFonts w:ascii="Arial" w:cs="Arial" w:eastAsia="Arial" w:hAnsi="Arial"/>
                <w:sz w:val="16"/>
                <w:szCs w:val="16"/>
                <w:b w:val="1"/>
                <w:bCs w:val="1"/>
                <w:color w:val="auto"/>
              </w:rPr>
              <w:t>Cash and Cash Equivalents at End of Year</w:t>
            </w:r>
          </w:p>
        </w:tc>
        <w:tc>
          <w:tcPr>
            <w:tcW w:w="3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
              <w:spacing w:after="0" w:line="166" w:lineRule="exact"/>
              <w:rPr>
                <w:sz w:val="20"/>
                <w:szCs w:val="20"/>
                <w:color w:val="auto"/>
              </w:rPr>
            </w:pPr>
            <w:r>
              <w:rPr>
                <w:rFonts w:ascii="Arial" w:cs="Arial" w:eastAsia="Arial" w:hAnsi="Arial"/>
                <w:sz w:val="16"/>
                <w:szCs w:val="16"/>
                <w:b w:val="1"/>
                <w:bCs w:val="1"/>
                <w:color w:val="auto"/>
              </w:rPr>
              <w:t>381,099</w:t>
            </w:r>
          </w:p>
        </w:tc>
        <w:tc>
          <w:tcPr>
            <w:tcW w:w="3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437,740</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Cash paid during the year for:</w:t>
            </w:r>
          </w:p>
        </w:tc>
        <w:tc>
          <w:tcPr>
            <w:tcW w:w="3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38,500</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460"/>
              <w:spacing w:after="0" w:line="154" w:lineRule="exact"/>
              <w:rPr>
                <w:sz w:val="20"/>
                <w:szCs w:val="20"/>
                <w:color w:val="auto"/>
              </w:rPr>
            </w:pPr>
            <w:r>
              <w:rPr>
                <w:rFonts w:ascii="Arial" w:cs="Arial" w:eastAsia="Arial" w:hAnsi="Arial"/>
                <w:sz w:val="16"/>
                <w:szCs w:val="16"/>
                <w:color w:val="auto"/>
              </w:rPr>
              <w:t>Income taxes</w:t>
            </w:r>
          </w:p>
        </w:tc>
        <w:tc>
          <w:tcPr>
            <w:tcW w:w="3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213,000</w:t>
            </w:r>
          </w:p>
        </w:tc>
        <w:tc>
          <w:tcPr>
            <w:tcW w:w="2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8"/>
        </w:trPr>
        <w:tc>
          <w:tcPr>
            <w:tcW w:w="7800" w:type="dxa"/>
            <w:vAlign w:val="bottom"/>
          </w:tcPr>
          <w:p>
            <w:pPr>
              <w:ind w:left="460"/>
              <w:spacing w:after="0"/>
              <w:rPr>
                <w:sz w:val="20"/>
                <w:szCs w:val="20"/>
                <w:color w:val="auto"/>
              </w:rPr>
            </w:pPr>
            <w:r>
              <w:rPr>
                <w:rFonts w:ascii="Arial" w:cs="Arial" w:eastAsia="Arial" w:hAnsi="Arial"/>
                <w:sz w:val="16"/>
                <w:szCs w:val="16"/>
                <w:color w:val="auto"/>
              </w:rPr>
              <w:t>Interest</w:t>
            </w:r>
          </w:p>
        </w:tc>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32,650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30,500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1" w:right="13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CONSOLIDATED STATEMENTS OF CHANGES IN COMMON STOCKHOLDERS’ EQUITY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Unrealized</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4"/>
        </w:trPr>
        <w:tc>
          <w:tcPr>
            <w:tcW w:w="1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jc w:val="center"/>
              <w:ind w:left="26"/>
              <w:spacing w:after="0" w:line="124" w:lineRule="exact"/>
              <w:rPr>
                <w:sz w:val="20"/>
                <w:szCs w:val="20"/>
                <w:color w:val="auto"/>
              </w:rPr>
            </w:pPr>
            <w:r>
              <w:rPr>
                <w:rFonts w:ascii="Arial" w:cs="Arial" w:eastAsia="Arial" w:hAnsi="Arial"/>
                <w:sz w:val="11"/>
                <w:szCs w:val="11"/>
                <w:b w:val="1"/>
                <w:bCs w:val="1"/>
                <w:color w:val="auto"/>
                <w:w w:val="97"/>
              </w:rPr>
              <w:t>Cumulative</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6"/>
              </w:rPr>
              <w:t>Unrealized</w:t>
            </w:r>
          </w:p>
        </w:tc>
        <w:tc>
          <w:tcPr>
            <w:tcW w:w="108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w w:val="99"/>
              </w:rPr>
              <w:t>Gain (Loss)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4"/>
        </w:trPr>
        <w:tc>
          <w:tcPr>
            <w:tcW w:w="1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jc w:val="center"/>
              <w:ind w:left="26"/>
              <w:spacing w:after="0" w:line="124" w:lineRule="exact"/>
              <w:rPr>
                <w:sz w:val="20"/>
                <w:szCs w:val="20"/>
                <w:color w:val="auto"/>
              </w:rPr>
            </w:pPr>
            <w:r>
              <w:rPr>
                <w:rFonts w:ascii="Arial" w:cs="Arial" w:eastAsia="Arial" w:hAnsi="Arial"/>
                <w:sz w:val="11"/>
                <w:szCs w:val="11"/>
                <w:b w:val="1"/>
                <w:bCs w:val="1"/>
                <w:color w:val="auto"/>
                <w:w w:val="94"/>
              </w:rPr>
              <w:t>Foreign</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Gain (Loss)</w:t>
            </w:r>
          </w:p>
        </w:tc>
        <w:tc>
          <w:tcPr>
            <w:tcW w:w="108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w w:val="97"/>
              </w:rPr>
              <w:t>on Pensions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4"/>
        </w:trPr>
        <w:tc>
          <w:tcPr>
            <w:tcW w:w="1460" w:type="dxa"/>
            <w:vAlign w:val="bottom"/>
          </w:tcPr>
          <w:p>
            <w:pPr>
              <w:spacing w:after="0"/>
              <w:rPr>
                <w:sz w:val="10"/>
                <w:szCs w:val="10"/>
                <w:color w:val="auto"/>
              </w:rPr>
            </w:pPr>
          </w:p>
        </w:tc>
        <w:tc>
          <w:tcPr>
            <w:tcW w:w="1480" w:type="dxa"/>
            <w:vAlign w:val="bottom"/>
          </w:tcPr>
          <w:p>
            <w:pPr>
              <w:jc w:val="center"/>
              <w:ind w:left="486"/>
              <w:spacing w:after="0" w:line="124" w:lineRule="exact"/>
              <w:rPr>
                <w:sz w:val="20"/>
                <w:szCs w:val="20"/>
                <w:color w:val="auto"/>
              </w:rPr>
            </w:pPr>
            <w:r>
              <w:rPr>
                <w:rFonts w:ascii="Arial" w:cs="Arial" w:eastAsia="Arial" w:hAnsi="Arial"/>
                <w:sz w:val="11"/>
                <w:szCs w:val="11"/>
                <w:b w:val="1"/>
                <w:bCs w:val="1"/>
                <w:color w:val="auto"/>
                <w:w w:val="94"/>
              </w:rPr>
              <w:t>Class A</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Class B</w:t>
            </w:r>
          </w:p>
        </w:tc>
        <w:tc>
          <w:tcPr>
            <w:tcW w:w="9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Capital in</w:t>
            </w:r>
          </w:p>
        </w:tc>
        <w:tc>
          <w:tcPr>
            <w:tcW w:w="920" w:type="dxa"/>
            <w:vAlign w:val="bottom"/>
          </w:tcPr>
          <w:p>
            <w:pPr>
              <w:spacing w:after="0"/>
              <w:rPr>
                <w:sz w:val="10"/>
                <w:szCs w:val="10"/>
                <w:color w:val="auto"/>
              </w:rPr>
            </w:pPr>
          </w:p>
        </w:tc>
        <w:tc>
          <w:tcPr>
            <w:tcW w:w="940" w:type="dxa"/>
            <w:vAlign w:val="bottom"/>
          </w:tcPr>
          <w:p>
            <w:pPr>
              <w:jc w:val="center"/>
              <w:ind w:left="26"/>
              <w:spacing w:after="0" w:line="124" w:lineRule="exact"/>
              <w:rPr>
                <w:sz w:val="20"/>
                <w:szCs w:val="20"/>
                <w:color w:val="auto"/>
              </w:rPr>
            </w:pPr>
            <w:r>
              <w:rPr>
                <w:rFonts w:ascii="Arial" w:cs="Arial" w:eastAsia="Arial" w:hAnsi="Arial"/>
                <w:sz w:val="11"/>
                <w:szCs w:val="11"/>
                <w:b w:val="1"/>
                <w:bCs w:val="1"/>
                <w:color w:val="auto"/>
                <w:w w:val="95"/>
              </w:rPr>
              <w:t>Currency</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6"/>
              </w:rPr>
              <w:t>on Available-</w:t>
            </w:r>
          </w:p>
        </w:tc>
        <w:tc>
          <w:tcPr>
            <w:tcW w:w="108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w w:val="99"/>
              </w:rPr>
              <w:t>and Other</w:t>
            </w:r>
          </w:p>
        </w:tc>
        <w:tc>
          <w:tcPr>
            <w:tcW w:w="8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Cash</w:t>
            </w: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4"/>
        </w:trPr>
        <w:tc>
          <w:tcPr>
            <w:tcW w:w="1460" w:type="dxa"/>
            <w:vAlign w:val="bottom"/>
          </w:tcPr>
          <w:p>
            <w:pPr>
              <w:spacing w:after="0"/>
              <w:rPr>
                <w:sz w:val="10"/>
                <w:szCs w:val="10"/>
                <w:color w:val="auto"/>
              </w:rPr>
            </w:pPr>
          </w:p>
        </w:tc>
        <w:tc>
          <w:tcPr>
            <w:tcW w:w="1480" w:type="dxa"/>
            <w:vAlign w:val="bottom"/>
          </w:tcPr>
          <w:p>
            <w:pPr>
              <w:jc w:val="center"/>
              <w:ind w:left="486"/>
              <w:spacing w:after="0" w:line="124" w:lineRule="exact"/>
              <w:rPr>
                <w:sz w:val="20"/>
                <w:szCs w:val="20"/>
                <w:color w:val="auto"/>
              </w:rPr>
            </w:pPr>
            <w:r>
              <w:rPr>
                <w:rFonts w:ascii="Arial" w:cs="Arial" w:eastAsia="Arial" w:hAnsi="Arial"/>
                <w:sz w:val="11"/>
                <w:szCs w:val="11"/>
                <w:b w:val="1"/>
                <w:bCs w:val="1"/>
                <w:color w:val="auto"/>
                <w:w w:val="96"/>
              </w:rPr>
              <w:t>Common</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6"/>
              </w:rPr>
              <w:t>Common</w:t>
            </w:r>
          </w:p>
        </w:tc>
        <w:tc>
          <w:tcPr>
            <w:tcW w:w="9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Excess of</w:t>
            </w:r>
          </w:p>
        </w:tc>
        <w:tc>
          <w:tcPr>
            <w:tcW w:w="920" w:type="dxa"/>
            <w:vAlign w:val="bottom"/>
          </w:tcPr>
          <w:p>
            <w:pPr>
              <w:ind w:left="240"/>
              <w:spacing w:after="0" w:line="124" w:lineRule="exact"/>
              <w:rPr>
                <w:sz w:val="20"/>
                <w:szCs w:val="20"/>
                <w:color w:val="auto"/>
              </w:rPr>
            </w:pPr>
            <w:r>
              <w:rPr>
                <w:rFonts w:ascii="Arial" w:cs="Arial" w:eastAsia="Arial" w:hAnsi="Arial"/>
                <w:sz w:val="11"/>
                <w:szCs w:val="11"/>
                <w:b w:val="1"/>
                <w:bCs w:val="1"/>
                <w:color w:val="auto"/>
              </w:rPr>
              <w:t>Retained</w:t>
            </w:r>
          </w:p>
        </w:tc>
        <w:tc>
          <w:tcPr>
            <w:tcW w:w="940" w:type="dxa"/>
            <w:vAlign w:val="bottom"/>
          </w:tcPr>
          <w:p>
            <w:pPr>
              <w:jc w:val="center"/>
              <w:ind w:left="26"/>
              <w:spacing w:after="0" w:line="124" w:lineRule="exact"/>
              <w:rPr>
                <w:sz w:val="20"/>
                <w:szCs w:val="20"/>
                <w:color w:val="auto"/>
              </w:rPr>
            </w:pPr>
            <w:r>
              <w:rPr>
                <w:rFonts w:ascii="Arial" w:cs="Arial" w:eastAsia="Arial" w:hAnsi="Arial"/>
                <w:sz w:val="11"/>
                <w:szCs w:val="11"/>
                <w:b w:val="1"/>
                <w:bCs w:val="1"/>
                <w:color w:val="auto"/>
                <w:w w:val="97"/>
              </w:rPr>
              <w:t>Translation</w:t>
            </w:r>
          </w:p>
        </w:tc>
        <w:tc>
          <w:tcPr>
            <w:tcW w:w="9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for-Sale</w:t>
            </w:r>
          </w:p>
        </w:tc>
        <w:tc>
          <w:tcPr>
            <w:tcW w:w="1080" w:type="dxa"/>
            <w:vAlign w:val="bottom"/>
          </w:tcPr>
          <w:p>
            <w:pPr>
              <w:jc w:val="center"/>
              <w:ind w:right="26"/>
              <w:spacing w:after="0" w:line="124" w:lineRule="exact"/>
              <w:rPr>
                <w:sz w:val="20"/>
                <w:szCs w:val="20"/>
                <w:color w:val="auto"/>
              </w:rPr>
            </w:pPr>
            <w:r>
              <w:rPr>
                <w:rFonts w:ascii="Arial" w:cs="Arial" w:eastAsia="Arial" w:hAnsi="Arial"/>
                <w:sz w:val="11"/>
                <w:szCs w:val="11"/>
                <w:b w:val="1"/>
                <w:bCs w:val="1"/>
                <w:color w:val="auto"/>
                <w:w w:val="97"/>
              </w:rPr>
              <w:t>Postretirement</w:t>
            </w:r>
          </w:p>
        </w:tc>
        <w:tc>
          <w:tcPr>
            <w:tcW w:w="8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Flow</w:t>
            </w:r>
          </w:p>
        </w:tc>
        <w:tc>
          <w:tcPr>
            <w:tcW w:w="880" w:type="dxa"/>
            <w:vAlign w:val="bottom"/>
          </w:tcPr>
          <w:p>
            <w:pPr>
              <w:jc w:val="center"/>
              <w:ind w:left="26"/>
              <w:spacing w:after="0" w:line="124" w:lineRule="exact"/>
              <w:rPr>
                <w:sz w:val="20"/>
                <w:szCs w:val="20"/>
                <w:color w:val="auto"/>
              </w:rPr>
            </w:pPr>
            <w:r>
              <w:rPr>
                <w:rFonts w:ascii="Arial" w:cs="Arial" w:eastAsia="Arial" w:hAnsi="Arial"/>
                <w:sz w:val="11"/>
                <w:szCs w:val="11"/>
                <w:b w:val="1"/>
                <w:bCs w:val="1"/>
                <w:color w:val="auto"/>
                <w:w w:val="94"/>
              </w:rPr>
              <w:t>Treasury</w:t>
            </w:r>
          </w:p>
        </w:tc>
        <w:tc>
          <w:tcPr>
            <w:tcW w:w="540" w:type="dxa"/>
            <w:vAlign w:val="bottom"/>
          </w:tcPr>
          <w:p>
            <w:pPr>
              <w:ind w:left="180"/>
              <w:spacing w:after="0" w:line="124" w:lineRule="exact"/>
              <w:rPr>
                <w:sz w:val="20"/>
                <w:szCs w:val="20"/>
                <w:color w:val="auto"/>
              </w:rPr>
            </w:pPr>
            <w:r>
              <w:rPr>
                <w:rFonts w:ascii="Arial" w:cs="Arial" w:eastAsia="Arial" w:hAnsi="Arial"/>
                <w:sz w:val="11"/>
                <w:szCs w:val="11"/>
                <w:b w:val="1"/>
                <w:bCs w:val="1"/>
                <w:color w:val="auto"/>
                <w:w w:val="99"/>
              </w:rPr>
              <w:t>Nonco</w:t>
            </w:r>
          </w:p>
        </w:tc>
      </w:tr>
      <w:tr>
        <w:trPr>
          <w:trHeight w:val="134"/>
        </w:trPr>
        <w:tc>
          <w:tcPr>
            <w:tcW w:w="14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480" w:type="dxa"/>
            <w:vAlign w:val="bottom"/>
            <w:tcBorders>
              <w:bottom w:val="single" w:sz="8" w:color="auto"/>
            </w:tcBorders>
          </w:tcPr>
          <w:p>
            <w:pPr>
              <w:jc w:val="center"/>
              <w:ind w:left="486"/>
              <w:spacing w:after="0"/>
              <w:rPr>
                <w:sz w:val="20"/>
                <w:szCs w:val="20"/>
                <w:color w:val="auto"/>
              </w:rPr>
            </w:pPr>
            <w:r>
              <w:rPr>
                <w:rFonts w:ascii="Arial" w:cs="Arial" w:eastAsia="Arial" w:hAnsi="Arial"/>
                <w:sz w:val="11"/>
                <w:szCs w:val="11"/>
                <w:b w:val="1"/>
                <w:bCs w:val="1"/>
                <w:color w:val="auto"/>
                <w:w w:val="99"/>
              </w:rPr>
              <w:t>Stock</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Stock</w:t>
            </w: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1"/>
                <w:szCs w:val="11"/>
                <w:b w:val="1"/>
                <w:bCs w:val="1"/>
                <w:color w:val="auto"/>
              </w:rPr>
              <w:t>Par Value</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Earnings</w:t>
            </w:r>
          </w:p>
        </w:tc>
        <w:tc>
          <w:tcPr>
            <w:tcW w:w="94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5"/>
              </w:rPr>
              <w:t>Adjustment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Securities</w:t>
            </w:r>
          </w:p>
        </w:tc>
        <w:tc>
          <w:tcPr>
            <w:tcW w:w="10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5"/>
              </w:rPr>
              <w:t>Plans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Hedge</w:t>
            </w:r>
          </w:p>
        </w:tc>
        <w:tc>
          <w:tcPr>
            <w:tcW w:w="88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w w:val="99"/>
              </w:rPr>
              <w:t>Stock</w:t>
            </w: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b w:val="1"/>
                <w:bCs w:val="1"/>
                <w:color w:val="auto"/>
                <w:w w:val="71"/>
              </w:rPr>
              <w:t>Inte</w:t>
            </w:r>
          </w:p>
        </w:tc>
      </w:tr>
    </w:tbl>
    <w:p>
      <w:pPr>
        <w:spacing w:after="0" w:line="109" w:lineRule="exact"/>
        <w:rPr>
          <w:sz w:val="20"/>
          <w:szCs w:val="20"/>
          <w:color w:val="auto"/>
        </w:rPr>
      </w:pPr>
    </w:p>
    <w:p>
      <w:pPr>
        <w:sectPr>
          <w:pgSz w:w="11900" w:h="16838" w:orient="portrait"/>
          <w:cols w:equalWidth="0" w:num="1">
            <w:col w:w="10940"/>
          </w:cols>
          <w:pgMar w:left="820" w:top="118" w:right="139" w:bottom="1440" w:gutter="0" w:footer="0" w:header="0"/>
        </w:sectPr>
      </w:pPr>
    </w:p>
    <w:p>
      <w:pPr>
        <w:ind w:right="680"/>
        <w:spacing w:after="0" w:line="293" w:lineRule="auto"/>
        <w:rPr>
          <w:sz w:val="20"/>
          <w:szCs w:val="20"/>
          <w:color w:val="auto"/>
        </w:rPr>
      </w:pPr>
      <w:r>
        <w:rPr>
          <w:rFonts w:ascii="Arial" w:cs="Arial" w:eastAsia="Arial" w:hAnsi="Arial"/>
          <w:sz w:val="10"/>
          <w:szCs w:val="10"/>
          <w:b w:val="1"/>
          <w:bCs w:val="1"/>
          <w:color w:val="auto"/>
        </w:rPr>
        <w:t xml:space="preserve">Balance, December 28, 2008 </w:t>
      </w:r>
      <w:r>
        <w:rPr>
          <w:rFonts w:ascii="Arial" w:cs="Arial" w:eastAsia="Arial" w:hAnsi="Arial"/>
          <w:sz w:val="10"/>
          <w:szCs w:val="10"/>
          <w:color w:val="auto"/>
        </w:rPr>
        <w:t>Net income for the year Net loss attributable</w:t>
      </w:r>
    </w:p>
    <w:p>
      <w:pPr>
        <w:jc w:val="center"/>
        <w:ind w:right="460"/>
        <w:spacing w:after="0"/>
        <w:rPr>
          <w:sz w:val="20"/>
          <w:szCs w:val="20"/>
          <w:color w:val="auto"/>
        </w:rPr>
      </w:pPr>
      <w:r>
        <w:rPr>
          <w:rFonts w:ascii="Arial" w:cs="Arial" w:eastAsia="Arial" w:hAnsi="Arial"/>
          <w:sz w:val="10"/>
          <w:szCs w:val="10"/>
          <w:color w:val="auto"/>
        </w:rPr>
        <w:t>to noncontrolling interest</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9"/>
          <w:szCs w:val="9"/>
          <w:color w:val="auto"/>
        </w:rPr>
        <w:t>Net loss attributable to redeemable</w:t>
      </w:r>
    </w:p>
    <w:p>
      <w:pPr>
        <w:spacing w:after="0" w:line="33" w:lineRule="exact"/>
        <w:rPr>
          <w:sz w:val="20"/>
          <w:szCs w:val="20"/>
          <w:color w:val="auto"/>
        </w:rPr>
      </w:pPr>
    </w:p>
    <w:p>
      <w:pPr>
        <w:ind w:right="560" w:firstLine="236"/>
        <w:spacing w:after="0" w:line="284" w:lineRule="auto"/>
        <w:rPr>
          <w:sz w:val="20"/>
          <w:szCs w:val="20"/>
          <w:color w:val="auto"/>
        </w:rPr>
      </w:pPr>
      <w:r>
        <w:rPr>
          <w:rFonts w:ascii="Arial" w:cs="Arial" w:eastAsia="Arial" w:hAnsi="Arial"/>
          <w:sz w:val="10"/>
          <w:szCs w:val="10"/>
          <w:color w:val="auto"/>
        </w:rPr>
        <w:t>noncontrolling interest Dividends paid on common stock Dividends paid on</w:t>
      </w:r>
    </w:p>
    <w:p>
      <w:pPr>
        <w:spacing w:after="0" w:line="1" w:lineRule="exact"/>
        <w:rPr>
          <w:sz w:val="20"/>
          <w:szCs w:val="20"/>
          <w:color w:val="auto"/>
        </w:rPr>
      </w:pPr>
    </w:p>
    <w:p>
      <w:pPr>
        <w:ind w:right="320" w:firstLine="236"/>
        <w:spacing w:after="0" w:line="316" w:lineRule="auto"/>
        <w:rPr>
          <w:sz w:val="20"/>
          <w:szCs w:val="20"/>
          <w:color w:val="auto"/>
        </w:rPr>
      </w:pPr>
      <w:r>
        <w:rPr>
          <w:rFonts w:ascii="Arial" w:cs="Arial" w:eastAsia="Arial" w:hAnsi="Arial"/>
          <w:sz w:val="9"/>
          <w:szCs w:val="9"/>
          <w:color w:val="auto"/>
        </w:rPr>
        <w:t>redeemable preferred stock Repurchase of Class B common stock Issuance of Class B common stock,</w:t>
      </w:r>
    </w:p>
    <w:p>
      <w:pPr>
        <w:spacing w:after="0" w:line="1" w:lineRule="exact"/>
        <w:rPr>
          <w:sz w:val="20"/>
          <w:szCs w:val="20"/>
          <w:color w:val="auto"/>
        </w:rPr>
      </w:pPr>
    </w:p>
    <w:p>
      <w:pPr>
        <w:ind w:right="60" w:firstLine="236"/>
        <w:spacing w:after="0" w:line="284" w:lineRule="auto"/>
        <w:rPr>
          <w:sz w:val="20"/>
          <w:szCs w:val="20"/>
          <w:color w:val="auto"/>
        </w:rPr>
      </w:pPr>
      <w:r>
        <w:rPr>
          <w:rFonts w:ascii="Arial" w:cs="Arial" w:eastAsia="Arial" w:hAnsi="Arial"/>
          <w:sz w:val="10"/>
          <w:szCs w:val="10"/>
          <w:color w:val="auto"/>
        </w:rPr>
        <w:t>net of restricted stock award forfeitures Amortization of unearned stock</w:t>
      </w:r>
    </w:p>
    <w:p>
      <w:pPr>
        <w:spacing w:after="0" w:line="1" w:lineRule="exact"/>
        <w:rPr>
          <w:sz w:val="20"/>
          <w:szCs w:val="20"/>
          <w:color w:val="auto"/>
        </w:rPr>
      </w:pPr>
    </w:p>
    <w:p>
      <w:pPr>
        <w:ind w:firstLine="236"/>
        <w:spacing w:after="0" w:line="316" w:lineRule="auto"/>
        <w:rPr>
          <w:sz w:val="20"/>
          <w:szCs w:val="20"/>
          <w:color w:val="auto"/>
        </w:rPr>
      </w:pPr>
      <w:r>
        <w:rPr>
          <w:rFonts w:ascii="Arial" w:cs="Arial" w:eastAsia="Arial" w:hAnsi="Arial"/>
          <w:sz w:val="9"/>
          <w:szCs w:val="9"/>
          <w:color w:val="auto"/>
        </w:rPr>
        <w:t>compensation and stock option expense Change in foreign currency translation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0"/>
          <w:szCs w:val="10"/>
          <w:color w:val="auto"/>
        </w:rPr>
        <w:t>adjustment (net of taxes)</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Change in unrealized</w:t>
      </w:r>
    </w:p>
    <w:p>
      <w:pPr>
        <w:spacing w:after="0" w:line="22" w:lineRule="exact"/>
        <w:rPr>
          <w:sz w:val="20"/>
          <w:szCs w:val="20"/>
          <w:color w:val="auto"/>
        </w:rPr>
      </w:pPr>
    </w:p>
    <w:p>
      <w:pPr>
        <w:ind w:left="260" w:right="660" w:hanging="27"/>
        <w:spacing w:after="0" w:line="316" w:lineRule="auto"/>
        <w:rPr>
          <w:sz w:val="20"/>
          <w:szCs w:val="20"/>
          <w:color w:val="auto"/>
        </w:rPr>
      </w:pPr>
      <w:r>
        <w:rPr>
          <w:rFonts w:ascii="Arial" w:cs="Arial" w:eastAsia="Arial" w:hAnsi="Arial"/>
          <w:sz w:val="9"/>
          <w:szCs w:val="9"/>
          <w:color w:val="auto"/>
        </w:rPr>
        <w:t>gain on available-for-sale securities (net of taxes)</w:t>
      </w:r>
    </w:p>
    <w:p>
      <w:pPr>
        <w:spacing w:after="0" w:line="1" w:lineRule="exact"/>
        <w:rPr>
          <w:sz w:val="20"/>
          <w:szCs w:val="20"/>
          <w:color w:val="auto"/>
        </w:rPr>
      </w:pPr>
    </w:p>
    <w:p>
      <w:pPr>
        <w:ind w:left="220" w:right="260" w:hanging="235"/>
        <w:spacing w:after="0" w:line="284" w:lineRule="auto"/>
        <w:rPr>
          <w:sz w:val="20"/>
          <w:szCs w:val="20"/>
          <w:color w:val="auto"/>
        </w:rPr>
      </w:pPr>
      <w:r>
        <w:rPr>
          <w:rFonts w:ascii="Arial" w:cs="Arial" w:eastAsia="Arial" w:hAnsi="Arial"/>
          <w:sz w:val="10"/>
          <w:szCs w:val="10"/>
          <w:color w:val="auto"/>
        </w:rPr>
        <w:t>Adjustment for pensions and other postretirement plans (net of taxes)</w:t>
      </w:r>
    </w:p>
    <w:p>
      <w:pPr>
        <w:spacing w:after="0" w:line="1" w:lineRule="exact"/>
        <w:rPr>
          <w:sz w:val="20"/>
          <w:szCs w:val="20"/>
          <w:color w:val="auto"/>
        </w:rPr>
      </w:pPr>
    </w:p>
    <w:p>
      <w:pPr>
        <w:ind w:right="220"/>
        <w:spacing w:after="0" w:line="272" w:lineRule="auto"/>
        <w:rPr>
          <w:sz w:val="20"/>
          <w:szCs w:val="20"/>
          <w:color w:val="auto"/>
        </w:rPr>
      </w:pPr>
      <w:r>
        <w:rPr>
          <w:rFonts w:ascii="Arial" w:cs="Arial" w:eastAsia="Arial" w:hAnsi="Arial"/>
          <w:sz w:val="10"/>
          <w:szCs w:val="10"/>
          <w:color w:val="auto"/>
        </w:rPr>
        <w:t>Taxes arising from employee stock plans Other</w:t>
      </w:r>
    </w:p>
    <w:p>
      <w:pPr>
        <w:spacing w:after="0"/>
        <w:rPr>
          <w:sz w:val="20"/>
          <w:szCs w:val="20"/>
          <w:color w:val="auto"/>
        </w:rPr>
      </w:pPr>
      <w:r>
        <w:rPr>
          <w:rFonts w:ascii="Arial" w:cs="Arial" w:eastAsia="Arial" w:hAnsi="Arial"/>
          <w:sz w:val="10"/>
          <w:szCs w:val="10"/>
          <w:b w:val="1"/>
          <w:bCs w:val="1"/>
          <w:color w:val="auto"/>
        </w:rPr>
        <w:t>Balance, January 3, 2010</w:t>
      </w:r>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Net income for the year</w:t>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Net income attributable</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10"/>
          <w:szCs w:val="10"/>
          <w:color w:val="auto"/>
        </w:rPr>
        <w:t>to noncontrolling interest</w:t>
      </w:r>
    </w:p>
    <w:p>
      <w:pPr>
        <w:spacing w:after="0" w:line="22" w:lineRule="exact"/>
        <w:rPr>
          <w:sz w:val="20"/>
          <w:szCs w:val="20"/>
          <w:color w:val="auto"/>
        </w:rPr>
      </w:pPr>
    </w:p>
    <w:p>
      <w:pPr>
        <w:jc w:val="center"/>
        <w:ind w:right="460"/>
        <w:spacing w:after="0"/>
        <w:rPr>
          <w:sz w:val="20"/>
          <w:szCs w:val="20"/>
          <w:color w:val="auto"/>
        </w:rPr>
      </w:pPr>
      <w:r>
        <w:rPr>
          <w:rFonts w:ascii="Arial" w:cs="Arial" w:eastAsia="Arial" w:hAnsi="Arial"/>
          <w:sz w:val="9"/>
          <w:szCs w:val="9"/>
          <w:color w:val="auto"/>
        </w:rPr>
        <w:t>Net loss attributable to redeemable</w:t>
      </w:r>
    </w:p>
    <w:p>
      <w:pPr>
        <w:spacing w:after="0" w:line="33" w:lineRule="exact"/>
        <w:rPr>
          <w:sz w:val="20"/>
          <w:szCs w:val="20"/>
          <w:color w:val="auto"/>
        </w:rPr>
      </w:pPr>
    </w:p>
    <w:p>
      <w:pPr>
        <w:ind w:right="560" w:firstLine="236"/>
        <w:spacing w:after="0" w:line="316" w:lineRule="auto"/>
        <w:rPr>
          <w:sz w:val="20"/>
          <w:szCs w:val="20"/>
          <w:color w:val="auto"/>
        </w:rPr>
      </w:pPr>
      <w:r>
        <w:rPr>
          <w:rFonts w:ascii="Arial" w:cs="Arial" w:eastAsia="Arial" w:hAnsi="Arial"/>
          <w:sz w:val="9"/>
          <w:szCs w:val="9"/>
          <w:color w:val="auto"/>
        </w:rPr>
        <w:t>noncontrolling interest Dividends paid on common stock Dividends paid on redeemable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0"/>
          <w:szCs w:val="10"/>
          <w:color w:val="auto"/>
        </w:rPr>
        <w:t>preferred stock</w:t>
      </w:r>
    </w:p>
    <w:p>
      <w:pPr>
        <w:spacing w:after="0" w:line="22" w:lineRule="exact"/>
        <w:rPr>
          <w:sz w:val="20"/>
          <w:szCs w:val="20"/>
          <w:color w:val="auto"/>
        </w:rPr>
      </w:pPr>
    </w:p>
    <w:p>
      <w:pPr>
        <w:ind w:right="320"/>
        <w:spacing w:after="0" w:line="316" w:lineRule="auto"/>
        <w:rPr>
          <w:sz w:val="20"/>
          <w:szCs w:val="20"/>
          <w:color w:val="auto"/>
        </w:rPr>
      </w:pPr>
      <w:r>
        <w:rPr>
          <w:rFonts w:ascii="Arial" w:cs="Arial" w:eastAsia="Arial" w:hAnsi="Arial"/>
          <w:sz w:val="9"/>
          <w:szCs w:val="9"/>
          <w:color w:val="auto"/>
        </w:rPr>
        <w:t>Repurchase of Class B common stock Forfeitures of restricted stock, net of</w:t>
      </w:r>
    </w:p>
    <w:p>
      <w:pPr>
        <w:spacing w:after="0" w:line="1" w:lineRule="exact"/>
        <w:rPr>
          <w:sz w:val="20"/>
          <w:szCs w:val="20"/>
          <w:color w:val="auto"/>
        </w:rPr>
      </w:pPr>
    </w:p>
    <w:p>
      <w:pPr>
        <w:ind w:right="240" w:firstLine="236"/>
        <w:spacing w:after="0" w:line="284" w:lineRule="auto"/>
        <w:rPr>
          <w:sz w:val="20"/>
          <w:szCs w:val="20"/>
          <w:color w:val="auto"/>
        </w:rPr>
      </w:pPr>
      <w:r>
        <w:rPr>
          <w:rFonts w:ascii="Arial" w:cs="Arial" w:eastAsia="Arial" w:hAnsi="Arial"/>
          <w:sz w:val="10"/>
          <w:szCs w:val="10"/>
          <w:color w:val="auto"/>
        </w:rPr>
        <w:t>issuance of Class B common stock Amortization of unearned stock</w:t>
      </w:r>
    </w:p>
    <w:p>
      <w:pPr>
        <w:spacing w:after="0" w:line="1" w:lineRule="exact"/>
        <w:rPr>
          <w:sz w:val="20"/>
          <w:szCs w:val="20"/>
          <w:color w:val="auto"/>
        </w:rPr>
      </w:pPr>
    </w:p>
    <w:p>
      <w:pPr>
        <w:ind w:firstLine="236"/>
        <w:spacing w:after="0" w:line="316" w:lineRule="auto"/>
        <w:rPr>
          <w:sz w:val="20"/>
          <w:szCs w:val="20"/>
          <w:color w:val="auto"/>
        </w:rPr>
      </w:pPr>
      <w:r>
        <w:rPr>
          <w:rFonts w:ascii="Arial" w:cs="Arial" w:eastAsia="Arial" w:hAnsi="Arial"/>
          <w:sz w:val="9"/>
          <w:szCs w:val="9"/>
          <w:color w:val="auto"/>
        </w:rPr>
        <w:t>compensation and stock option expense Change in foreign currency translation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0"/>
          <w:szCs w:val="10"/>
          <w:color w:val="auto"/>
        </w:rPr>
        <w:t>adjustment (net of taxes)</w:t>
      </w:r>
    </w:p>
    <w:p>
      <w:pPr>
        <w:spacing w:after="0" w:line="22" w:lineRule="exact"/>
        <w:rPr>
          <w:sz w:val="20"/>
          <w:szCs w:val="20"/>
          <w:color w:val="auto"/>
        </w:rPr>
      </w:pPr>
    </w:p>
    <w:p>
      <w:pPr>
        <w:ind w:left="220" w:right="260" w:hanging="235"/>
        <w:spacing w:after="0" w:line="316" w:lineRule="auto"/>
        <w:rPr>
          <w:sz w:val="20"/>
          <w:szCs w:val="20"/>
          <w:color w:val="auto"/>
        </w:rPr>
      </w:pPr>
      <w:r>
        <w:rPr>
          <w:rFonts w:ascii="Arial" w:cs="Arial" w:eastAsia="Arial" w:hAnsi="Arial"/>
          <w:sz w:val="9"/>
          <w:szCs w:val="9"/>
          <w:color w:val="auto"/>
        </w:rPr>
        <w:t>Change in unrealized gain on available-for-sale securities (net of taxes)</w:t>
      </w:r>
    </w:p>
    <w:p>
      <w:pPr>
        <w:spacing w:after="0" w:line="1" w:lineRule="exact"/>
        <w:rPr>
          <w:sz w:val="20"/>
          <w:szCs w:val="20"/>
          <w:color w:val="auto"/>
        </w:rPr>
      </w:pPr>
    </w:p>
    <w:p>
      <w:pPr>
        <w:ind w:left="220" w:right="260" w:hanging="235"/>
        <w:spacing w:after="0" w:line="284" w:lineRule="auto"/>
        <w:rPr>
          <w:sz w:val="20"/>
          <w:szCs w:val="20"/>
          <w:color w:val="auto"/>
        </w:rPr>
      </w:pPr>
      <w:r>
        <w:rPr>
          <w:rFonts w:ascii="Arial" w:cs="Arial" w:eastAsia="Arial" w:hAnsi="Arial"/>
          <w:sz w:val="10"/>
          <w:szCs w:val="10"/>
          <w:color w:val="auto"/>
        </w:rPr>
        <w:t>Adjustment for pensions and other postretirement plans (net of taxes)</w:t>
      </w:r>
    </w:p>
    <w:p>
      <w:pPr>
        <w:spacing w:after="0" w:line="1" w:lineRule="exact"/>
        <w:rPr>
          <w:sz w:val="20"/>
          <w:szCs w:val="20"/>
          <w:color w:val="auto"/>
        </w:rPr>
      </w:pPr>
    </w:p>
    <w:p>
      <w:pPr>
        <w:ind w:left="220" w:right="360" w:hanging="235"/>
        <w:spacing w:after="0" w:line="284" w:lineRule="auto"/>
        <w:rPr>
          <w:sz w:val="20"/>
          <w:szCs w:val="20"/>
          <w:color w:val="auto"/>
        </w:rPr>
      </w:pPr>
      <w:r>
        <w:rPr>
          <w:rFonts w:ascii="Arial" w:cs="Arial" w:eastAsia="Arial" w:hAnsi="Arial"/>
          <w:sz w:val="10"/>
          <w:szCs w:val="10"/>
          <w:color w:val="auto"/>
        </w:rPr>
        <w:t>Conversion of Class A common stock to Class B common stock</w:t>
      </w:r>
    </w:p>
    <w:p>
      <w:pPr>
        <w:spacing w:after="0" w:line="1" w:lineRule="exact"/>
        <w:rPr>
          <w:sz w:val="20"/>
          <w:szCs w:val="20"/>
          <w:color w:val="auto"/>
        </w:rPr>
      </w:pPr>
    </w:p>
    <w:p>
      <w:pPr>
        <w:ind w:right="220"/>
        <w:spacing w:after="0" w:line="272" w:lineRule="auto"/>
        <w:rPr>
          <w:sz w:val="20"/>
          <w:szCs w:val="20"/>
          <w:color w:val="auto"/>
        </w:rPr>
      </w:pPr>
      <w:r>
        <w:rPr>
          <w:rFonts w:ascii="Arial" w:cs="Arial" w:eastAsia="Arial" w:hAnsi="Arial"/>
          <w:sz w:val="10"/>
          <w:szCs w:val="10"/>
          <w:color w:val="auto"/>
        </w:rPr>
        <w:t>Taxes arising from employee stock plans Other</w:t>
      </w:r>
    </w:p>
    <w:p>
      <w:pPr>
        <w:spacing w:after="0"/>
        <w:rPr>
          <w:sz w:val="20"/>
          <w:szCs w:val="20"/>
          <w:color w:val="auto"/>
        </w:rPr>
      </w:pPr>
      <w:r>
        <w:rPr>
          <w:rFonts w:ascii="Arial" w:cs="Arial" w:eastAsia="Arial" w:hAnsi="Arial"/>
          <w:sz w:val="10"/>
          <w:szCs w:val="10"/>
          <w:b w:val="1"/>
          <w:bCs w:val="1"/>
          <w:color w:val="auto"/>
        </w:rPr>
        <w:t>Balance, January 2, 2011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8"/>
        </w:trPr>
        <w:tc>
          <w:tcPr>
            <w:tcW w:w="40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110"/>
              <w:spacing w:after="0"/>
              <w:rPr>
                <w:sz w:val="20"/>
                <w:szCs w:val="20"/>
                <w:color w:val="auto"/>
              </w:rPr>
            </w:pPr>
            <w:r>
              <w:rPr>
                <w:rFonts w:ascii="Arial" w:cs="Arial" w:eastAsia="Arial" w:hAnsi="Arial"/>
                <w:sz w:val="10"/>
                <w:szCs w:val="10"/>
                <w:color w:val="auto"/>
              </w:rPr>
              <w:t>1,292</w:t>
            </w:r>
          </w:p>
        </w:tc>
        <w:tc>
          <w:tcPr>
            <w:tcW w:w="34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18,708</w:t>
            </w:r>
          </w:p>
        </w:tc>
        <w:tc>
          <w:tcPr>
            <w:tcW w:w="300" w:type="dxa"/>
            <w:vAlign w:val="bottom"/>
          </w:tcPr>
          <w:p>
            <w:pPr>
              <w:jc w:val="right"/>
              <w:ind w:right="30"/>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232,201</w:t>
            </w:r>
          </w:p>
        </w:tc>
        <w:tc>
          <w:tcPr>
            <w:tcW w:w="3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4,313,287</w:t>
            </w:r>
          </w:p>
        </w:tc>
        <w:tc>
          <w:tcPr>
            <w:tcW w:w="34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(3,412)</w:t>
            </w:r>
          </w:p>
        </w:tc>
        <w:tc>
          <w:tcPr>
            <w:tcW w:w="32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72,646</w:t>
            </w:r>
          </w:p>
        </w:tc>
        <w:tc>
          <w:tcPr>
            <w:tcW w:w="36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0"/>
              <w:spacing w:after="0"/>
              <w:rPr>
                <w:sz w:val="20"/>
                <w:szCs w:val="20"/>
                <w:color w:val="auto"/>
              </w:rPr>
            </w:pPr>
            <w:r>
              <w:rPr>
                <w:rFonts w:ascii="Arial" w:cs="Arial" w:eastAsia="Arial" w:hAnsi="Arial"/>
                <w:sz w:val="10"/>
                <w:szCs w:val="10"/>
                <w:color w:val="auto"/>
              </w:rPr>
              <w:t>(79,914)</w:t>
            </w:r>
          </w:p>
        </w:tc>
        <w:tc>
          <w:tcPr>
            <w:tcW w:w="460" w:type="dxa"/>
            <w:vAlign w:val="bottom"/>
          </w:tcPr>
          <w:p>
            <w:pPr>
              <w:jc w:val="right"/>
              <w:ind w:right="210"/>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 (1,697,268)</w:t>
            </w:r>
          </w:p>
        </w:tc>
        <w:tc>
          <w:tcPr>
            <w:tcW w:w="420" w:type="dxa"/>
            <w:vAlign w:val="bottom"/>
          </w:tcPr>
          <w:p>
            <w:pPr>
              <w:jc w:val="right"/>
              <w:ind w:right="150"/>
              <w:spacing w:after="0"/>
              <w:rPr>
                <w:sz w:val="20"/>
                <w:szCs w:val="20"/>
                <w:color w:val="auto"/>
              </w:rPr>
            </w:pPr>
            <w:r>
              <w:rPr>
                <w:rFonts w:ascii="Arial" w:cs="Arial" w:eastAsia="Arial" w:hAnsi="Arial"/>
                <w:sz w:val="10"/>
                <w:szCs w:val="10"/>
                <w:color w:val="auto"/>
              </w:rPr>
              <w:t>$</w:t>
            </w: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91,200</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141</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1,433</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(80,844)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(928)</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(60,956)</w:t>
            </w:r>
          </w:p>
        </w:tc>
        <w:tc>
          <w:tcPr>
            <w:tcW w:w="420" w:type="dxa"/>
            <w:vAlign w:val="bottom"/>
          </w:tcPr>
          <w:p>
            <w:pPr>
              <w:spacing w:after="0"/>
              <w:rPr>
                <w:sz w:val="11"/>
                <w:szCs w:val="11"/>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(7,677)</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7,538</w:t>
            </w: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9,346</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30,422</w:t>
            </w: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410"/>
        </w:trPr>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5,846</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10"/>
              <w:spacing w:after="0"/>
              <w:rPr>
                <w:sz w:val="20"/>
                <w:szCs w:val="20"/>
                <w:color w:val="auto"/>
              </w:rPr>
            </w:pPr>
            <w:r>
              <w:rPr>
                <w:rFonts w:ascii="Arial" w:cs="Arial" w:eastAsia="Arial" w:hAnsi="Arial"/>
                <w:sz w:val="10"/>
                <w:szCs w:val="10"/>
                <w:color w:val="auto"/>
              </w:rPr>
              <w:t>78,924</w:t>
            </w: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(1,719)</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9,284</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13"/>
        </w:trPr>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1,292</w:t>
            </w: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18,708</w:t>
            </w: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241,435</w:t>
            </w: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4,324,289</w:t>
            </w: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27,010</w:t>
            </w: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78,492</w:t>
            </w: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(990)</w:t>
            </w: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(1,750,686)</w:t>
            </w:r>
          </w:p>
        </w:tc>
        <w:tc>
          <w:tcPr>
            <w:tcW w:w="420" w:type="dxa"/>
            <w:vAlign w:val="bottom"/>
            <w:tcBorders>
              <w:bottom w:val="single" w:sz="8" w:color="auto"/>
            </w:tcBorders>
          </w:tcPr>
          <w:p>
            <w:pPr>
              <w:spacing w:after="0"/>
              <w:rPr>
                <w:sz w:val="9"/>
                <w:szCs w:val="9"/>
                <w:color w:val="auto"/>
              </w:rPr>
            </w:pPr>
          </w:p>
        </w:tc>
      </w:tr>
      <w:tr>
        <w:trPr>
          <w:trHeight w:val="222"/>
        </w:trPr>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278,020</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(44)</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138</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(81,168)</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(922)</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(404,816)</w:t>
            </w:r>
          </w:p>
        </w:tc>
        <w:tc>
          <w:tcPr>
            <w:tcW w:w="420" w:type="dxa"/>
            <w:vAlign w:val="bottom"/>
          </w:tcPr>
          <w:p>
            <w:pPr>
              <w:spacing w:after="0"/>
              <w:rPr>
                <w:sz w:val="11"/>
                <w:szCs w:val="11"/>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597</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(2,324)</w:t>
            </w: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8,054</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10,596</w:t>
            </w: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(7,785)</w:t>
            </w: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110"/>
              <w:spacing w:after="0"/>
              <w:rPr>
                <w:sz w:val="20"/>
                <w:szCs w:val="20"/>
                <w:color w:val="auto"/>
              </w:rPr>
            </w:pPr>
            <w:r>
              <w:rPr>
                <w:rFonts w:ascii="Arial" w:cs="Arial" w:eastAsia="Arial" w:hAnsi="Arial"/>
                <w:sz w:val="10"/>
                <w:szCs w:val="10"/>
                <w:color w:val="auto"/>
              </w:rPr>
              <w:t>74,816</w:t>
            </w: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3"/>
        </w:trPr>
        <w:tc>
          <w:tcPr>
            <w:tcW w:w="400" w:type="dxa"/>
            <w:vAlign w:val="bottom"/>
          </w:tcPr>
          <w:p>
            <w:pPr>
              <w:spacing w:after="0"/>
              <w:rPr>
                <w:sz w:val="23"/>
                <w:szCs w:val="23"/>
                <w:color w:val="auto"/>
              </w:rPr>
            </w:pPr>
          </w:p>
        </w:tc>
        <w:tc>
          <w:tcPr>
            <w:tcW w:w="560" w:type="dxa"/>
            <w:vAlign w:val="bottom"/>
          </w:tcPr>
          <w:p>
            <w:pPr>
              <w:jc w:val="right"/>
              <w:ind w:right="110"/>
              <w:spacing w:after="0"/>
              <w:rPr>
                <w:sz w:val="20"/>
                <w:szCs w:val="20"/>
                <w:color w:val="auto"/>
              </w:rPr>
            </w:pPr>
            <w:r>
              <w:rPr>
                <w:rFonts w:ascii="Arial" w:cs="Arial" w:eastAsia="Arial" w:hAnsi="Arial"/>
                <w:sz w:val="10"/>
                <w:szCs w:val="10"/>
                <w:color w:val="auto"/>
              </w:rPr>
              <w:t>(51)</w:t>
            </w:r>
          </w:p>
        </w:tc>
        <w:tc>
          <w:tcPr>
            <w:tcW w:w="340" w:type="dxa"/>
            <w:vAlign w:val="bottom"/>
          </w:tcPr>
          <w:p>
            <w:pPr>
              <w:spacing w:after="0"/>
              <w:rPr>
                <w:sz w:val="23"/>
                <w:szCs w:val="23"/>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51</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(348)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7"/>
        </w:trPr>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(19)</w:t>
            </w: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19</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2"/>
        </w:trPr>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13"/>
        </w:trPr>
        <w:tc>
          <w:tcPr>
            <w:tcW w:w="4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1,241</w:t>
            </w: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18,759</w:t>
            </w:r>
          </w:p>
        </w:tc>
        <w:tc>
          <w:tcPr>
            <w:tcW w:w="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249,719</w:t>
            </w:r>
          </w:p>
        </w:tc>
        <w:tc>
          <w:tcPr>
            <w:tcW w:w="3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4,520,332</w:t>
            </w: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37,606</w:t>
            </w:r>
          </w:p>
        </w:tc>
        <w:tc>
          <w:tcPr>
            <w:tcW w:w="3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70,707</w:t>
            </w: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73,826</w:t>
            </w:r>
          </w:p>
        </w:tc>
        <w:tc>
          <w:tcPr>
            <w:tcW w:w="4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10"/>
              <w:spacing w:after="0" w:line="114" w:lineRule="exact"/>
              <w:rPr>
                <w:sz w:val="20"/>
                <w:szCs w:val="20"/>
                <w:color w:val="auto"/>
              </w:rPr>
            </w:pPr>
            <w:r>
              <w:rPr>
                <w:rFonts w:ascii="Arial" w:cs="Arial" w:eastAsia="Arial" w:hAnsi="Arial"/>
                <w:sz w:val="10"/>
                <w:szCs w:val="10"/>
                <w:color w:val="auto"/>
              </w:rPr>
              <w:t>-</w:t>
            </w:r>
          </w:p>
        </w:tc>
        <w:tc>
          <w:tcPr>
            <w:tcW w:w="900" w:type="dxa"/>
            <w:vAlign w:val="bottom"/>
            <w:tcBorders>
              <w:bottom w:val="single" w:sz="8" w:color="auto"/>
            </w:tcBorders>
          </w:tcPr>
          <w:p>
            <w:pPr>
              <w:jc w:val="right"/>
              <w:ind w:right="90"/>
              <w:spacing w:after="0" w:line="114" w:lineRule="exact"/>
              <w:rPr>
                <w:sz w:val="20"/>
                <w:szCs w:val="20"/>
                <w:color w:val="auto"/>
              </w:rPr>
            </w:pPr>
            <w:r>
              <w:rPr>
                <w:rFonts w:ascii="Arial" w:cs="Arial" w:eastAsia="Arial" w:hAnsi="Arial"/>
                <w:sz w:val="10"/>
                <w:szCs w:val="10"/>
                <w:color w:val="auto"/>
              </w:rPr>
              <w:t>(2,157,826)</w:t>
            </w:r>
          </w:p>
        </w:tc>
        <w:tc>
          <w:tcPr>
            <w:tcW w:w="420" w:type="dxa"/>
            <w:vAlign w:val="bottom"/>
            <w:tcBorders>
              <w:bottom w:val="single" w:sz="8" w:color="auto"/>
            </w:tcBorders>
          </w:tcPr>
          <w:p>
            <w:pPr>
              <w:spacing w:after="0"/>
              <w:rPr>
                <w:sz w:val="9"/>
                <w:szCs w:val="9"/>
                <w:color w:val="auto"/>
              </w:rPr>
            </w:pPr>
          </w:p>
        </w:tc>
      </w:tr>
    </w:tbl>
    <w:p>
      <w:pPr>
        <w:spacing w:after="0" w:line="109" w:lineRule="exact"/>
        <w:rPr>
          <w:sz w:val="20"/>
          <w:szCs w:val="20"/>
          <w:color w:val="auto"/>
        </w:rPr>
      </w:pPr>
    </w:p>
    <w:p>
      <w:pPr>
        <w:sectPr>
          <w:pgSz w:w="11900" w:h="16838" w:orient="portrait"/>
          <w:cols w:equalWidth="0" w:num="2">
            <w:col w:w="2000" w:space="60"/>
            <w:col w:w="8880"/>
          </w:cols>
          <w:pgMar w:left="820" w:top="118" w:right="1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60" w:type="dxa"/>
            <w:vAlign w:val="bottom"/>
          </w:tcPr>
          <w:p>
            <w:pPr>
              <w:spacing w:after="0"/>
              <w:rPr>
                <w:sz w:val="20"/>
                <w:szCs w:val="20"/>
                <w:color w:val="auto"/>
              </w:rPr>
            </w:pPr>
            <w:r>
              <w:rPr>
                <w:rFonts w:ascii="Arial" w:cs="Arial" w:eastAsia="Arial" w:hAnsi="Arial"/>
                <w:sz w:val="10"/>
                <w:szCs w:val="10"/>
                <w:color w:val="auto"/>
              </w:rPr>
              <w:t>Net income for the year</w:t>
            </w:r>
          </w:p>
        </w:tc>
        <w:tc>
          <w:tcPr>
            <w:tcW w:w="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117,157</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Net income attributable to redeemable</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(7)</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Dividends paid on common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(74,576)</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Dividends paid on redeemable</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preferred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90"/>
              <w:spacing w:after="0"/>
              <w:rPr>
                <w:sz w:val="20"/>
                <w:szCs w:val="20"/>
                <w:color w:val="auto"/>
              </w:rPr>
            </w:pPr>
            <w:r>
              <w:rPr>
                <w:rFonts w:ascii="Arial" w:cs="Arial" w:eastAsia="Arial" w:hAnsi="Arial"/>
                <w:sz w:val="10"/>
                <w:szCs w:val="10"/>
                <w:color w:val="auto"/>
              </w:rPr>
              <w:t>(917)</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Repurchase of Class B common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(248,055)</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Issuance of Class B common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net of restricted stock award forfeitures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(8,040)</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right"/>
              <w:ind w:right="90"/>
              <w:spacing w:after="0"/>
              <w:rPr>
                <w:sz w:val="20"/>
                <w:szCs w:val="20"/>
                <w:color w:val="auto"/>
              </w:rPr>
            </w:pPr>
            <w:r>
              <w:rPr>
                <w:rFonts w:ascii="Arial" w:cs="Arial" w:eastAsia="Arial" w:hAnsi="Arial"/>
                <w:sz w:val="10"/>
                <w:szCs w:val="10"/>
                <w:color w:val="auto"/>
              </w:rPr>
              <w:t>7,692</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Amortization of unearned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compensation and stock option expense</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11,789</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Change in foreign currency translation</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adjustment (net of tax)</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ind w:right="110"/>
              <w:spacing w:after="0"/>
              <w:rPr>
                <w:sz w:val="20"/>
                <w:szCs w:val="20"/>
                <w:color w:val="auto"/>
              </w:rPr>
            </w:pPr>
            <w:r>
              <w:rPr>
                <w:rFonts w:ascii="Arial" w:cs="Arial" w:eastAsia="Arial" w:hAnsi="Arial"/>
                <w:sz w:val="10"/>
                <w:szCs w:val="10"/>
                <w:color w:val="auto"/>
              </w:rPr>
              <w:t>(16,268)</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Change in unrealized gain on available-</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for-sale securities (net of taxes)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jc w:val="right"/>
              <w:ind w:right="110"/>
              <w:spacing w:after="0"/>
              <w:rPr>
                <w:sz w:val="20"/>
                <w:szCs w:val="20"/>
                <w:color w:val="auto"/>
              </w:rPr>
            </w:pPr>
            <w:r>
              <w:rPr>
                <w:rFonts w:ascii="Arial" w:cs="Arial" w:eastAsia="Arial" w:hAnsi="Arial"/>
                <w:sz w:val="10"/>
                <w:szCs w:val="10"/>
                <w:color w:val="auto"/>
              </w:rPr>
              <w:t>9,651</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Adjustment for pensions and other</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postretirement plans (net of taxes)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jc w:val="right"/>
              <w:ind w:right="110"/>
              <w:spacing w:after="0"/>
              <w:rPr>
                <w:sz w:val="20"/>
                <w:szCs w:val="20"/>
                <w:color w:val="auto"/>
              </w:rPr>
            </w:pPr>
            <w:r>
              <w:rPr>
                <w:rFonts w:ascii="Arial" w:cs="Arial" w:eastAsia="Arial" w:hAnsi="Arial"/>
                <w:sz w:val="10"/>
                <w:szCs w:val="10"/>
                <w:color w:val="auto"/>
              </w:rPr>
              <w:t>(10,201)</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Conversion of Class A common stock</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ind w:left="220"/>
              <w:spacing w:after="0"/>
              <w:rPr>
                <w:sz w:val="20"/>
                <w:szCs w:val="20"/>
                <w:color w:val="auto"/>
              </w:rPr>
            </w:pPr>
            <w:r>
              <w:rPr>
                <w:rFonts w:ascii="Arial" w:cs="Arial" w:eastAsia="Arial" w:hAnsi="Arial"/>
                <w:sz w:val="10"/>
                <w:szCs w:val="10"/>
                <w:color w:val="auto"/>
              </w:rPr>
              <w:t>to Class B common stock</w:t>
            </w:r>
          </w:p>
        </w:tc>
        <w:tc>
          <w:tcPr>
            <w:tcW w:w="400" w:type="dxa"/>
            <w:vAlign w:val="bottom"/>
          </w:tcPr>
          <w:p>
            <w:pPr>
              <w:spacing w:after="0"/>
              <w:rPr>
                <w:sz w:val="11"/>
                <w:szCs w:val="11"/>
                <w:color w:val="auto"/>
              </w:rPr>
            </w:pPr>
          </w:p>
        </w:tc>
        <w:tc>
          <w:tcPr>
            <w:tcW w:w="560" w:type="dxa"/>
            <w:vAlign w:val="bottom"/>
          </w:tcPr>
          <w:p>
            <w:pPr>
              <w:jc w:val="right"/>
              <w:ind w:right="110"/>
              <w:spacing w:after="0"/>
              <w:rPr>
                <w:sz w:val="20"/>
                <w:szCs w:val="20"/>
                <w:color w:val="auto"/>
              </w:rPr>
            </w:pPr>
            <w:r>
              <w:rPr>
                <w:rFonts w:ascii="Arial" w:cs="Arial" w:eastAsia="Arial" w:hAnsi="Arial"/>
                <w:sz w:val="10"/>
                <w:szCs w:val="10"/>
                <w:color w:val="auto"/>
              </w:rPr>
              <w:t>(12)</w:t>
            </w:r>
          </w:p>
        </w:tc>
        <w:tc>
          <w:tcPr>
            <w:tcW w:w="340" w:type="dxa"/>
            <w:vAlign w:val="bottom"/>
          </w:tcPr>
          <w:p>
            <w:pPr>
              <w:spacing w:after="0"/>
              <w:rPr>
                <w:sz w:val="11"/>
                <w:szCs w:val="11"/>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12</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Taxes arising from employee stock plans</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jc w:val="right"/>
              <w:ind w:right="90"/>
              <w:spacing w:after="0"/>
              <w:rPr>
                <w:sz w:val="20"/>
                <w:szCs w:val="20"/>
                <w:color w:val="auto"/>
              </w:rPr>
            </w:pPr>
            <w:r>
              <w:rPr>
                <w:rFonts w:ascii="Arial" w:cs="Arial" w:eastAsia="Arial" w:hAnsi="Arial"/>
                <w:sz w:val="10"/>
                <w:szCs w:val="10"/>
                <w:color w:val="auto"/>
              </w:rPr>
              <w:t>(701)</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60" w:type="dxa"/>
            <w:vAlign w:val="bottom"/>
          </w:tcPr>
          <w:p>
            <w:pPr>
              <w:spacing w:after="0"/>
              <w:rPr>
                <w:sz w:val="20"/>
                <w:szCs w:val="20"/>
                <w:color w:val="auto"/>
              </w:rPr>
            </w:pPr>
            <w:r>
              <w:rPr>
                <w:rFonts w:ascii="Arial" w:cs="Arial" w:eastAsia="Arial" w:hAnsi="Arial"/>
                <w:sz w:val="10"/>
                <w:szCs w:val="10"/>
                <w:color w:val="auto"/>
              </w:rPr>
              <w:t>Cash flow hedge</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jc w:val="right"/>
              <w:ind w:right="110"/>
              <w:spacing w:after="0"/>
              <w:rPr>
                <w:sz w:val="20"/>
                <w:szCs w:val="20"/>
                <w:color w:val="auto"/>
              </w:rPr>
            </w:pPr>
            <w:r>
              <w:rPr>
                <w:rFonts w:ascii="Arial" w:cs="Arial" w:eastAsia="Arial" w:hAnsi="Arial"/>
                <w:sz w:val="10"/>
                <w:szCs w:val="10"/>
                <w:color w:val="auto"/>
              </w:rPr>
              <w:t>8</w:t>
            </w: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60" w:type="dxa"/>
            <w:vAlign w:val="bottom"/>
            <w:vMerge w:val="restart"/>
          </w:tcPr>
          <w:p>
            <w:pPr>
              <w:spacing w:after="0"/>
              <w:rPr>
                <w:sz w:val="20"/>
                <w:szCs w:val="20"/>
                <w:color w:val="auto"/>
              </w:rPr>
            </w:pPr>
            <w:r>
              <w:rPr>
                <w:rFonts w:ascii="Arial" w:cs="Arial" w:eastAsia="Arial" w:hAnsi="Arial"/>
                <w:sz w:val="10"/>
                <w:szCs w:val="10"/>
                <w:b w:val="1"/>
                <w:bCs w:val="1"/>
                <w:color w:val="auto"/>
              </w:rPr>
              <w:t>Balance, December 31, 2011</w:t>
            </w: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7"/>
        </w:trPr>
        <w:tc>
          <w:tcPr>
            <w:tcW w:w="2060" w:type="dxa"/>
            <w:vAlign w:val="bottom"/>
            <w:vMerge w:val="continue"/>
          </w:tcPr>
          <w:p>
            <w:pPr>
              <w:spacing w:after="0"/>
              <w:rPr>
                <w:sz w:val="10"/>
                <w:szCs w:val="10"/>
                <w:color w:val="auto"/>
              </w:rPr>
            </w:pP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w:t>
            </w: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1,229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18,771</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252,767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4,561,989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21,338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80,358</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63,625</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8</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 (2,398,189)</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type w:val="continuous"/>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7" w:lineRule="exact"/>
        <w:rPr>
          <w:sz w:val="20"/>
          <w:szCs w:val="20"/>
          <w:color w:val="auto"/>
        </w:rPr>
      </w:pPr>
    </w:p>
    <w:p>
      <w:pPr>
        <w:ind w:left="329" w:hanging="329"/>
        <w:spacing w:after="0"/>
        <w:tabs>
          <w:tab w:leader="none" w:pos="329"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NATURE OF OPERATIONS</w:t>
      </w:r>
    </w:p>
    <w:p>
      <w:pPr>
        <w:spacing w:after="0" w:line="19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 variety of educational services, both domestically and outside the United States. The Company’s media operations consist of the ownership and opera cable television systems, newspaper publishing (principally The Washington Post), and television broadcasting (through the ownership and operation television broadcast stations).</w:t>
      </w:r>
    </w:p>
    <w:p>
      <w:pPr>
        <w:spacing w:after="0" w:line="155" w:lineRule="exact"/>
        <w:rPr>
          <w:sz w:val="20"/>
          <w:szCs w:val="20"/>
          <w:color w:val="auto"/>
        </w:rPr>
      </w:pPr>
    </w:p>
    <w:p>
      <w:pPr>
        <w:ind w:left="9" w:right="40"/>
        <w:spacing w:after="0" w:line="255" w:lineRule="auto"/>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—Kaplan, Inc. provides an extensive range of educational services for students and professionals. Kaplan’s various businesses comprise f</w:t>
      </w:r>
      <w:r>
        <w:rPr>
          <w:rFonts w:ascii="Arial" w:cs="Arial" w:eastAsia="Arial" w:hAnsi="Arial"/>
          <w:sz w:val="17"/>
          <w:szCs w:val="17"/>
          <w:b w:val="1"/>
          <w:bCs w:val="1"/>
          <w:color w:val="auto"/>
        </w:rPr>
        <w:t xml:space="preserve"> </w:t>
      </w:r>
      <w:r>
        <w:rPr>
          <w:rFonts w:ascii="Arial" w:cs="Arial" w:eastAsia="Arial" w:hAnsi="Arial"/>
          <w:sz w:val="17"/>
          <w:szCs w:val="17"/>
          <w:color w:val="auto"/>
        </w:rPr>
        <w:t>categories: Higher Education, Test Preparation, Kaplan International and Kaplan Ventures.</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Media</w:t>
      </w:r>
      <w:r>
        <w:rPr>
          <w:rFonts w:ascii="Arial" w:cs="Arial" w:eastAsia="Arial" w:hAnsi="Arial"/>
          <w:sz w:val="17"/>
          <w:szCs w:val="17"/>
          <w:color w:val="auto"/>
        </w:rPr>
        <w:t>—The Company’s diversified media operations consist of cable television operations, newspaper publishing and television broadcasting.</w:t>
      </w:r>
    </w:p>
    <w:p>
      <w:pPr>
        <w:spacing w:after="0" w:line="179" w:lineRule="exact"/>
        <w:rPr>
          <w:sz w:val="20"/>
          <w:szCs w:val="20"/>
          <w:color w:val="auto"/>
        </w:rPr>
      </w:pPr>
    </w:p>
    <w:p>
      <w:pPr>
        <w:jc w:val="both"/>
        <w:ind w:left="9"/>
        <w:spacing w:after="0" w:line="253" w:lineRule="auto"/>
        <w:rPr>
          <w:sz w:val="20"/>
          <w:szCs w:val="20"/>
          <w:color w:val="auto"/>
        </w:rPr>
      </w:pPr>
      <w:r>
        <w:rPr>
          <w:rFonts w:ascii="Arial" w:cs="Arial" w:eastAsia="Arial" w:hAnsi="Arial"/>
          <w:sz w:val="17"/>
          <w:szCs w:val="17"/>
          <w:i w:val="1"/>
          <w:iCs w:val="1"/>
          <w:color w:val="auto"/>
        </w:rPr>
        <w:t xml:space="preserve">Cable television. </w:t>
      </w:r>
      <w:r>
        <w:rPr>
          <w:rFonts w:ascii="Arial" w:cs="Arial" w:eastAsia="Arial" w:hAnsi="Arial"/>
          <w:sz w:val="17"/>
          <w:szCs w:val="17"/>
          <w:color w:val="auto"/>
        </w:rPr>
        <w:t>Cable ONE provides cable services that include basic video, digital video, high-speed data and telephone service in the midwestern,</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and southern states of the United States.</w:t>
      </w:r>
    </w:p>
    <w:p>
      <w:pPr>
        <w:spacing w:after="0" w:line="146"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i w:val="1"/>
          <w:iCs w:val="1"/>
          <w:color w:val="auto"/>
        </w:rPr>
        <w:t xml:space="preserve">Newspaper publishing. </w:t>
      </w:r>
      <w:r>
        <w:rPr>
          <w:rFonts w:ascii="Arial" w:cs="Arial" w:eastAsia="Arial" w:hAnsi="Arial"/>
          <w:sz w:val="17"/>
          <w:szCs w:val="17"/>
          <w:color w:val="auto"/>
        </w:rPr>
        <w:t>Washington Post Media publishes The Washington Post (the Post), which is the largest and most widely circulated morning da</w:t>
      </w:r>
      <w:r>
        <w:rPr>
          <w:rFonts w:ascii="Arial" w:cs="Arial" w:eastAsia="Arial" w:hAnsi="Arial"/>
          <w:sz w:val="17"/>
          <w:szCs w:val="17"/>
          <w:i w:val="1"/>
          <w:iCs w:val="1"/>
          <w:color w:val="auto"/>
        </w:rPr>
        <w:t xml:space="preserve"> </w:t>
      </w:r>
      <w:r>
        <w:rPr>
          <w:rFonts w:ascii="Arial" w:cs="Arial" w:eastAsia="Arial" w:hAnsi="Arial"/>
          <w:sz w:val="17"/>
          <w:szCs w:val="17"/>
          <w:color w:val="auto"/>
        </w:rPr>
        <w:t>and Sunday newspaper, primarily distributed by home delivery in the Washington, DC, metropolitan area (including large portions of Maryland and nor Virginia). Washington Post Media also produces washingtonpost.com, an Internet site that features news and information products, as well as the full editorial content of the Post. Through the Company’s other newspaper publishing businesses, the Company also publishes weekly publications and ta distributed within the Washington, DC, metropolitan area and elsewhere, and produces other websites.</w:t>
      </w:r>
    </w:p>
    <w:p>
      <w:pPr>
        <w:spacing w:after="0" w:line="160" w:lineRule="exact"/>
        <w:rPr>
          <w:sz w:val="20"/>
          <w:szCs w:val="20"/>
          <w:color w:val="auto"/>
        </w:rPr>
      </w:pPr>
    </w:p>
    <w:p>
      <w:pPr>
        <w:jc w:val="both"/>
        <w:ind w:left="9"/>
        <w:spacing w:after="0"/>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The Company owns six VHF television stations located in Houston, TX; Detroit, MI; Miami, FL; Orlando, FL; San Antonio, TX</w:t>
      </w:r>
      <w:r>
        <w:rPr>
          <w:rFonts w:ascii="Arial" w:cs="Arial" w:eastAsia="Arial" w:hAnsi="Arial"/>
          <w:sz w:val="17"/>
          <w:szCs w:val="17"/>
          <w:i w:val="1"/>
          <w:iCs w:val="1"/>
          <w:color w:val="auto"/>
        </w:rPr>
        <w:t xml:space="preserve"> </w:t>
      </w:r>
      <w:r>
        <w:rPr>
          <w:rFonts w:ascii="Arial" w:cs="Arial" w:eastAsia="Arial" w:hAnsi="Arial"/>
          <w:sz w:val="17"/>
          <w:szCs w:val="17"/>
          <w:color w:val="auto"/>
        </w:rPr>
        <w:t>Jacksonville, FL. Other than the Company’s Jacksonville station, WJXT, the Company’s television stations are affiliated with one of the major national networks.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7" w:lineRule="exact"/>
        <w:rPr>
          <w:sz w:val="20"/>
          <w:szCs w:val="20"/>
          <w:color w:val="auto"/>
        </w:rPr>
      </w:pPr>
    </w:p>
    <w:p>
      <w:pPr>
        <w:jc w:val="both"/>
        <w:ind w:left="9"/>
        <w:spacing w:after="0" w:line="236" w:lineRule="auto"/>
        <w:rPr>
          <w:sz w:val="20"/>
          <w:szCs w:val="20"/>
          <w:color w:val="auto"/>
        </w:rPr>
      </w:pPr>
      <w:r>
        <w:rPr>
          <w:rFonts w:ascii="Arial" w:cs="Arial" w:eastAsia="Arial" w:hAnsi="Arial"/>
          <w:sz w:val="17"/>
          <w:szCs w:val="17"/>
          <w:b w:val="1"/>
          <w:bCs w:val="1"/>
          <w:color w:val="auto"/>
        </w:rPr>
        <w:t>Fiscal Year</w:t>
      </w:r>
      <w:r>
        <w:rPr>
          <w:rFonts w:ascii="Arial" w:cs="Arial" w:eastAsia="Arial" w:hAnsi="Arial"/>
          <w:sz w:val="17"/>
          <w:szCs w:val="17"/>
          <w:color w:val="auto"/>
        </w:rPr>
        <w:t>—In 2011, the Company changed its fiscal year from a 52 to 53-week fiscal year ending on the Sunday nearest December 31 to a quarterl</w:t>
      </w:r>
      <w:r>
        <w:rPr>
          <w:rFonts w:ascii="Arial" w:cs="Arial" w:eastAsia="Arial" w:hAnsi="Arial"/>
          <w:sz w:val="17"/>
          <w:szCs w:val="17"/>
          <w:b w:val="1"/>
          <w:bCs w:val="1"/>
          <w:color w:val="auto"/>
        </w:rPr>
        <w:t xml:space="preserve"> </w:t>
      </w:r>
      <w:r>
        <w:rPr>
          <w:rFonts w:ascii="Arial" w:cs="Arial" w:eastAsia="Arial" w:hAnsi="Arial"/>
          <w:sz w:val="17"/>
          <w:szCs w:val="17"/>
          <w:color w:val="auto"/>
        </w:rPr>
        <w:t>month end, with the new fiscal year ending on December 31 of each year. Fiscal year 2011, which ended on December 31, 2011, included approximat weeks. The fiscal years 2010 and 2009, which ended on January 2, 2011, and January 3, 2010, respectively, included 52 and 53 weeks, respectively. Subsidiaries of the Company report on a calendar-year basis, with the exception of most of the newspaper publishing operations, which report on a 52 53-week fiscal year ending on the Sunday nearest December 31.</w:t>
      </w:r>
    </w:p>
    <w:p>
      <w:pPr>
        <w:spacing w:after="0" w:line="156" w:lineRule="exact"/>
        <w:rPr>
          <w:sz w:val="20"/>
          <w:szCs w:val="20"/>
          <w:color w:val="auto"/>
        </w:rPr>
      </w:pPr>
    </w:p>
    <w:p>
      <w:pPr>
        <w:jc w:val="both"/>
        <w:ind w:left="9"/>
        <w:spacing w:after="0" w:line="264" w:lineRule="auto"/>
        <w:rPr>
          <w:sz w:val="20"/>
          <w:szCs w:val="20"/>
          <w:color w:val="auto"/>
        </w:rPr>
      </w:pPr>
      <w:r>
        <w:rPr>
          <w:rFonts w:ascii="Arial" w:cs="Arial" w:eastAsia="Arial" w:hAnsi="Arial"/>
          <w:sz w:val="16"/>
          <w:szCs w:val="16"/>
          <w:b w:val="1"/>
          <w:bCs w:val="1"/>
          <w:color w:val="auto"/>
        </w:rPr>
        <w:t>Basis of Presentation and Principles of Consolidation</w:t>
      </w:r>
      <w:r>
        <w:rPr>
          <w:rFonts w:ascii="Arial" w:cs="Arial" w:eastAsia="Arial" w:hAnsi="Arial"/>
          <w:sz w:val="16"/>
          <w:szCs w:val="16"/>
          <w:color w:val="auto"/>
        </w:rPr>
        <w:t>—The accompanying Consolidated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(GAAP) in the United States and include the assets, liabilities, results of operations and cash flows of the Co and its majority-owned and controlled subsidiaries. All significant intercompany accounts and transactions have been eliminated in consolidation.</w:t>
      </w:r>
    </w:p>
    <w:p>
      <w:pPr>
        <w:spacing w:after="0" w:line="137" w:lineRule="exact"/>
        <w:rPr>
          <w:sz w:val="20"/>
          <w:szCs w:val="20"/>
          <w:color w:val="auto"/>
        </w:rPr>
      </w:pPr>
    </w:p>
    <w:p>
      <w:pPr>
        <w:jc w:val="both"/>
        <w:ind w:left="9" w:right="20"/>
        <w:spacing w:after="0" w:line="255" w:lineRule="auto"/>
        <w:rPr>
          <w:sz w:val="20"/>
          <w:szCs w:val="20"/>
          <w:color w:val="auto"/>
        </w:rPr>
      </w:pPr>
      <w:r>
        <w:rPr>
          <w:rFonts w:ascii="Arial" w:cs="Arial" w:eastAsia="Arial" w:hAnsi="Arial"/>
          <w:sz w:val="17"/>
          <w:szCs w:val="17"/>
          <w:b w:val="1"/>
          <w:bCs w:val="1"/>
          <w:color w:val="auto"/>
        </w:rPr>
        <w:t>Reclassifications</w:t>
      </w:r>
      <w:r>
        <w:rPr>
          <w:rFonts w:ascii="Arial" w:cs="Arial" w:eastAsia="Arial" w:hAnsi="Arial"/>
          <w:sz w:val="17"/>
          <w:szCs w:val="17"/>
          <w:color w:val="auto"/>
        </w:rPr>
        <w:t>—Certain amounts in previously issued financial statements have been reclassified to conform with the 2011 presentation, which in</w:t>
      </w:r>
      <w:r>
        <w:rPr>
          <w:rFonts w:ascii="Arial" w:cs="Arial" w:eastAsia="Arial" w:hAnsi="Arial"/>
          <w:sz w:val="17"/>
          <w:szCs w:val="17"/>
          <w:b w:val="1"/>
          <w:bCs w:val="1"/>
          <w:color w:val="auto"/>
        </w:rPr>
        <w:t xml:space="preserve"> </w:t>
      </w:r>
      <w:r>
        <w:rPr>
          <w:rFonts w:ascii="Arial" w:cs="Arial" w:eastAsia="Arial" w:hAnsi="Arial"/>
          <w:sz w:val="17"/>
          <w:szCs w:val="17"/>
          <w:color w:val="auto"/>
        </w:rPr>
        <w:t>the reclassification of the results of operations of certain Kaplan businesses as discontinued operations for all periods presented.</w:t>
      </w:r>
    </w:p>
    <w:p>
      <w:pPr>
        <w:spacing w:after="0" w:line="143" w:lineRule="exact"/>
        <w:rPr>
          <w:sz w:val="20"/>
          <w:szCs w:val="20"/>
          <w:color w:val="auto"/>
        </w:rPr>
      </w:pPr>
    </w:p>
    <w:p>
      <w:pPr>
        <w:jc w:val="both"/>
        <w:ind w:left="9"/>
        <w:spacing w:after="0" w:line="257"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financial statements in conformity with GAAP requires management to make estimates and judgments that aff</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reported in the financial statements. Management bases its estimates and assumptions on historical experience and on various other factors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43" w:lineRule="exact"/>
        <w:rPr>
          <w:sz w:val="20"/>
          <w:szCs w:val="20"/>
          <w:color w:val="auto"/>
        </w:rPr>
      </w:pPr>
    </w:p>
    <w:p>
      <w:pPr>
        <w:jc w:val="both"/>
        <w:ind w:left="9"/>
        <w:spacing w:after="0" w:line="242"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—The purchase price of an acquisition is allocated to the assets acquired, including intangible assets, and liabilities assume</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their respective fair values at the acquisition date. Acquisition-related costs are expensed as incurred. The excess of the cost of an acquired over the net of the amounts assigned to the assets</w:t>
      </w:r>
    </w:p>
    <w:p>
      <w:pPr>
        <w:spacing w:after="0" w:line="17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18" w:right="139" w:bottom="1440" w:gutter="0" w:footer="0" w:header="0"/>
        </w:sectPr>
      </w:pPr>
    </w:p>
    <w:bookmarkStart w:id="84" w:name="page85"/>
    <w:bookmarkEnd w:id="84"/>
    <w:p>
      <w:pPr>
        <w:jc w:val="both"/>
        <w:spacing w:after="0" w:line="235" w:lineRule="auto"/>
        <w:rPr>
          <w:sz w:val="20"/>
          <w:szCs w:val="20"/>
          <w:color w:val="auto"/>
        </w:rPr>
      </w:pPr>
      <w:r>
        <w:rPr>
          <w:rFonts w:ascii="Arial" w:cs="Arial" w:eastAsia="Arial" w:hAnsi="Arial"/>
          <w:sz w:val="17"/>
          <w:szCs w:val="17"/>
          <w:color w:val="auto"/>
        </w:rPr>
        <w:t>acquired and liabilities assumed is recognized as goodwill. The net assets and results of operations of an acquired entity are included in the Company Consolidated Financial Statements from the acquisition date.</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Cash and Cash Equivalents</w:t>
      </w:r>
      <w:r>
        <w:rPr>
          <w:rFonts w:ascii="Arial" w:cs="Arial" w:eastAsia="Arial" w:hAnsi="Arial"/>
          <w:sz w:val="17"/>
          <w:szCs w:val="17"/>
          <w:color w:val="auto"/>
        </w:rPr>
        <w:t>—Cash and cash equivalents consist of cash on hand, short-term investments with original maturities of three months or</w:t>
      </w:r>
      <w:r>
        <w:rPr>
          <w:rFonts w:ascii="Arial" w:cs="Arial" w:eastAsia="Arial" w:hAnsi="Arial"/>
          <w:sz w:val="17"/>
          <w:szCs w:val="17"/>
          <w:b w:val="1"/>
          <w:bCs w:val="1"/>
          <w:color w:val="auto"/>
        </w:rPr>
        <w:t xml:space="preserve"> </w:t>
      </w:r>
      <w:r>
        <w:rPr>
          <w:rFonts w:ascii="Arial" w:cs="Arial" w:eastAsia="Arial" w:hAnsi="Arial"/>
          <w:sz w:val="17"/>
          <w:szCs w:val="17"/>
          <w:color w:val="auto"/>
        </w:rPr>
        <w:t>and investments in money market funds with weighted average maturities of three months or less.</w:t>
      </w:r>
    </w:p>
    <w:p>
      <w:pPr>
        <w:spacing w:after="0" w:line="14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Restricted Cash</w:t>
      </w:r>
      <w:r>
        <w:rPr>
          <w:rFonts w:ascii="Arial" w:cs="Arial" w:eastAsia="Arial" w:hAnsi="Arial"/>
          <w:sz w:val="17"/>
          <w:szCs w:val="17"/>
          <w:color w:val="auto"/>
        </w:rPr>
        <w:t>—Restricted cash represents amounts held for students that were received from U.S. Federal and state governments under various</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loan programs, such as Title IV of the U.S. Federal Higher Education Act of 1965, as amended, that the Company is required to maintain pu to U.S. Department of Education and other regulations. Restricted cash also includes certain funds that the Company may be required to return if a st who receives Title IV program funds withdraws from a program.</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Concentration of Credit Risk</w:t>
      </w:r>
      <w:r>
        <w:rPr>
          <w:rFonts w:ascii="Arial" w:cs="Arial" w:eastAsia="Arial" w:hAnsi="Arial"/>
          <w:sz w:val="17"/>
          <w:szCs w:val="17"/>
          <w:color w:val="auto"/>
        </w:rPr>
        <w:t>—Cash and cash equivalents are maintained with several financial institutions domestically and internationally.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with banks may exceed the amount of insurance provided on such deposits. Generally, these deposits may be redeemed upon demand and are maint with financial institutions with investment grade credit ratings. The Company routinely assesses the financial strength of significant customers, and this assessment, combined with the large number and geographical diversity of its customers, limits the Company’s concentration of risk with respect to tra accounts receivable.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Allowance for Doubtful Accounts</w:t>
      </w:r>
      <w:r>
        <w:rPr>
          <w:rFonts w:ascii="Arial" w:cs="Arial" w:eastAsia="Arial" w:hAnsi="Arial"/>
          <w:sz w:val="17"/>
          <w:szCs w:val="17"/>
          <w:color w:val="auto"/>
        </w:rPr>
        <w:t>—Accounts receivable have been reduced by an allowance for amounts that may be uncollectible in the future. Th</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 contract customers who are eligible for advertising rate adjustments and discounts.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Investments in Marketable Equity Securities</w:t>
      </w:r>
      <w:r>
        <w:rPr>
          <w:rFonts w:ascii="Arial" w:cs="Arial" w:eastAsia="Arial" w:hAnsi="Arial"/>
          <w:sz w:val="16"/>
          <w:szCs w:val="16"/>
          <w:color w:val="auto"/>
        </w:rPr>
        <w:t>—The Company’s investments in marketable equity securities are classified as available-for-sale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therefore, are recorded at fair value in the Consolidated Financial Statements, with the change in fair value during the period excluded from earnings a recorded net of income taxes as a separate component of other comprehensive income. If the fair value of a marketable equity security declines below cost basis and the decline is considered other than temporary, the Company will record a write-down, which is included in earnings.</w:t>
      </w:r>
    </w:p>
    <w:p>
      <w:pPr>
        <w:spacing w:after="0" w:line="143"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Fair Value of Financial Instruments</w:t>
      </w:r>
      <w:r>
        <w:rPr>
          <w:rFonts w:ascii="Arial" w:cs="Arial" w:eastAsia="Arial" w:hAnsi="Arial"/>
          <w:sz w:val="17"/>
          <w:szCs w:val="17"/>
          <w:color w:val="auto"/>
        </w:rPr>
        <w:t>—The carrying amounts reported in the Company’s Consolidated Financial Statements for cash and cash equiva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 and market interest rates.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16"/>
          <w:szCs w:val="16"/>
          <w:color w:val="auto"/>
        </w:rPr>
        <w:t>—Inventories are stated at the lower of cost or current market value. Cost of newsprint is determined on the first-in, first-out (FIFO) metho</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Property, Plant and Equipment</w:t>
      </w:r>
      <w:r>
        <w:rPr>
          <w:rFonts w:ascii="Arial" w:cs="Arial" w:eastAsia="Arial" w:hAnsi="Arial"/>
          <w:sz w:val="17"/>
          <w:szCs w:val="17"/>
          <w:color w:val="auto"/>
        </w:rPr>
        <w:t>—Property, plant and equipment is recorded at cost and includes interest capitalized in connection with major long-te</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 and 20 to 50 years for buildings. The costs of leasehold improvements are amortized over the lesser of their useful lives or the terms of the respective leases.</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cable television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 as they are incurred.</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Evaluation of Long-Lived Assets</w:t>
      </w:r>
      <w:r>
        <w:rPr>
          <w:rFonts w:ascii="Arial" w:cs="Arial" w:eastAsia="Arial" w:hAnsi="Arial"/>
          <w:sz w:val="17"/>
          <w:szCs w:val="17"/>
          <w:color w:val="auto"/>
        </w:rPr>
        <w:t>—The recoverability of long-lived assets and finite-lived intangible assets is assessed whenever adverse events 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in circumstances indicate that recorded values may not be recoverable. A long-lived asset is considered to be not recoverable when the undiscounted estimated future cash flows are less than the asset’s recorded value. An impairment charge is measured based on estimated fair marke value, determined primarily using estimated future cash flows on a discounted basis. Losses on long-lived assets to be disposed of are determined in similar manner, but the fair market value would be reduced for estimated costs to dispose.</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85" w:name="page86"/>
    <w:bookmarkEnd w:id="85"/>
    <w:p>
      <w:pPr>
        <w:jc w:val="both"/>
        <w:spacing w:after="0" w:line="235" w:lineRule="auto"/>
        <w:rPr>
          <w:sz w:val="20"/>
          <w:szCs w:val="20"/>
          <w:color w:val="auto"/>
        </w:rPr>
      </w:pPr>
      <w:r>
        <w:rPr>
          <w:rFonts w:ascii="Arial" w:cs="Arial" w:eastAsia="Arial" w:hAnsi="Arial"/>
          <w:sz w:val="17"/>
          <w:szCs w:val="17"/>
          <w:b w:val="1"/>
          <w:bCs w:val="1"/>
          <w:color w:val="auto"/>
        </w:rPr>
        <w:t>Goodwill and Other Intangible Assets</w:t>
      </w:r>
      <w:r>
        <w:rPr>
          <w:rFonts w:ascii="Arial" w:cs="Arial" w:eastAsia="Arial" w:hAnsi="Arial"/>
          <w:sz w:val="17"/>
          <w:szCs w:val="17"/>
          <w:color w:val="auto"/>
        </w:rPr>
        <w:t>—Goodwill is the excess of purchase price over the fair value of identified net assets of businesses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intangible assets with an indefinite life are principally from franchise agreements at its cable television division, as the Company expects it cable franchise agreements to provide the Company with substantial benefit for a period that extends beyond the foreseeable horizon, and the Compa cable television division historically has obtained renewals and extensions of such agreements for nominal costs and without any material modification the agreements. Amortized intangible assets are primarily student and customer relationships, noncompete agreements, trademarks and databases, w amortization periods up to 10 years.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Company reviews goodwill and indefinite-lived intangible assets at least annually, as of November 30, for possible impairment. Goodwill and indef lived intangible assets are reviewed for possible impairment between annual tests if an event occurs or circumstances change that would more likely t not reduce the fair value of the reporting unit below its carrying value. The Company tests its goodwill and indefinite-lived intangible assets at the repo unit level, which is an operating segment or one level below an operating segment. In reviewing the carrying value of indefinite-lived intangible assets cable television division, the Company aggregates its cable systems on a regional basis. The Company initially assesses qualitative factors to determi is necessary to perform the two-step goodwill impairment review. The Company reviews the goodwill for impairment using the two-step process if, bas its assessment of the qualitative factors, it determines that it is more likely than not that the fair value of a reporting unit is less than its carrying value,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 makes assumptions regarding estimated future cash flows, discount rates, long-term growth rates and market values to determine each reporting unit’ estimated fair value. If these estimates or related assumptions change in the future, the Company may be required to record impairment charges.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Investments in Affiliates</w:t>
      </w:r>
      <w:r>
        <w:rPr>
          <w:rFonts w:ascii="Arial" w:cs="Arial" w:eastAsia="Arial" w:hAnsi="Arial"/>
          <w:sz w:val="17"/>
          <w:szCs w:val="17"/>
          <w:color w:val="auto"/>
        </w:rPr>
        <w:t>—The Company uses the equity method of accounting for its investments in and earnings or losses of affiliates that it does 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but over which it exerts significant influence. The Company considers whether the fair values of any of its equity method investments have dec below their carrying value whenever adverse events or changes in circumstances indicate that recorded values may not be recoverable. If the Compa considered any such decline to be other than temporary (based on various factors, including historical financial results, product development activities the overall health of the affiliate’s industry), a write-down would be recorded to estimated fair value.</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Cost Method Investments</w:t>
      </w:r>
      <w:r>
        <w:rPr>
          <w:rFonts w:ascii="Arial" w:cs="Arial" w:eastAsia="Arial" w:hAnsi="Arial"/>
          <w:sz w:val="17"/>
          <w:szCs w:val="17"/>
          <w:color w:val="auto"/>
        </w:rPr>
        <w:t>—The Company uses the cost method of accounting for its minority investments in nonpublic companies where it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method investments are included in other (expense) income, net, in the Company’s Consolidated Financial Statements. Fair value estimates are base review of the investees’ product development activities, historical financial results and projected discounted cash flows.</w:t>
      </w:r>
    </w:p>
    <w:p>
      <w:pPr>
        <w:spacing w:after="0" w:line="156"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—Revenue is recognized when persuasive evidence of an arrangement exists, the fees are fixed or determinable, the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has been delivered and collectability is reasonably assured. The Company considers the terms of each arrangement to determine the appropr accounting treatment.</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Education revenues. </w:t>
      </w:r>
      <w:r>
        <w:rPr>
          <w:rFonts w:ascii="Arial" w:cs="Arial" w:eastAsia="Arial" w:hAnsi="Arial"/>
          <w:sz w:val="16"/>
          <w:szCs w:val="16"/>
          <w:color w:val="auto"/>
        </w:rPr>
        <w:t>Tuition revenue is recognized ratably over the period of instruction as services are delivered to students, net of any refunds, corp</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scholarships and employee tuition discounts. At Kaplan’s Test Preparation (KTP) and International divisions, estimates of average student c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the products are delivered, if not related. Other revenues, such as student support services, are recognized when the services are provided.</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Starting in the fourth quarter of 2010, Kaplan Higher Education (KHE) implemented the Kaplan Commitment program, which provides first-time studen a risk-free trial period. Under the program, KHE also monitors academic progress and conducts academic assessments to help determine whether stu are likely to be successful in their chosen course of study. Students who withdraw or are subject to academic dismissal during the risk-free trial period incur any significant financial obligation. In general, the risk-free period is approximately four weeks for diploma programs and five weeks for associate bachelor’s and master’s degrees. The Company does not recognize revenues related to coursework until the students complete the risk-free period, m the academic requirements and decide to continue with their studies, at which time the fees become fixed and determinable.</w:t>
      </w:r>
    </w:p>
    <w:p>
      <w:pPr>
        <w:spacing w:after="0" w:line="1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2" w:right="139" w:bottom="1440" w:gutter="0" w:footer="0" w:header="0"/>
        </w:sectPr>
      </w:pPr>
    </w:p>
    <w:bookmarkStart w:id="86" w:name="page87"/>
    <w:bookmarkEnd w:id="86"/>
    <w:p>
      <w:pPr>
        <w:jc w:val="both"/>
        <w:spacing w:after="0"/>
        <w:rPr>
          <w:sz w:val="20"/>
          <w:szCs w:val="20"/>
          <w:color w:val="auto"/>
        </w:rPr>
      </w:pPr>
      <w:r>
        <w:rPr>
          <w:rFonts w:ascii="Arial" w:cs="Arial" w:eastAsia="Arial" w:hAnsi="Arial"/>
          <w:sz w:val="17"/>
          <w:szCs w:val="17"/>
          <w:i w:val="1"/>
          <w:iCs w:val="1"/>
          <w:color w:val="auto"/>
        </w:rPr>
        <w:t xml:space="preserve">Cable television revenues. </w:t>
      </w:r>
      <w:r>
        <w:rPr>
          <w:rFonts w:ascii="Arial" w:cs="Arial" w:eastAsia="Arial" w:hAnsi="Arial"/>
          <w:sz w:val="17"/>
          <w:szCs w:val="17"/>
          <w:color w:val="auto"/>
        </w:rPr>
        <w:t>Cable television revenues are primarily derived from subscriber fees for video, high-speed Internet and phone services, an</w:t>
      </w:r>
      <w:r>
        <w:rPr>
          <w:rFonts w:ascii="Arial" w:cs="Arial" w:eastAsia="Arial" w:hAnsi="Arial"/>
          <w:sz w:val="17"/>
          <w:szCs w:val="17"/>
          <w:i w:val="1"/>
          <w:iCs w:val="1"/>
          <w:color w:val="auto"/>
        </w:rPr>
        <w:t xml:space="preserve"> </w:t>
      </w:r>
      <w:r>
        <w:rPr>
          <w:rFonts w:ascii="Arial" w:cs="Arial" w:eastAsia="Arial" w:hAnsi="Arial"/>
          <w:sz w:val="17"/>
          <w:szCs w:val="17"/>
          <w:color w:val="auto"/>
        </w:rPr>
        <w:t>from advertising. Cable subscriber revenue is recognized monthly as services are delivered. Advertising revenue is recognized when the commercials programs are aired.</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Newspaper publishing and television broadcasting revenues. </w:t>
      </w:r>
      <w:r>
        <w:rPr>
          <w:rFonts w:ascii="Arial" w:cs="Arial" w:eastAsia="Arial" w:hAnsi="Arial"/>
          <w:sz w:val="17"/>
          <w:szCs w:val="17"/>
          <w:color w:val="auto"/>
        </w:rPr>
        <w:t>Media advertising revenues are recognized, net of agency commissions, when the unde</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 is published or broadcast. Revenues from newspaper subscriptions and retail sales are recognized upon the later of delivery or publicat date, with adequate provision made for anticipated sales returns.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Sales returns. </w:t>
      </w:r>
      <w:r>
        <w:rPr>
          <w:rFonts w:ascii="Arial" w:cs="Arial" w:eastAsia="Arial" w:hAnsi="Arial"/>
          <w:sz w:val="17"/>
          <w:szCs w:val="17"/>
          <w:color w:val="auto"/>
        </w:rPr>
        <w:t>Consistent with industry practice, certain of the Company’s products, such as newspapers, are sold with the right of return. The Compa</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as a reduction of revenue, the estimated impact of such returns. The Company bases its estimates for sales returns on historical experience has not experienced significant fluctuations between estimated and actual return activity.</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Amounts received from customers in advance of revenue recognition are deferred as liabilities. Deferred revenue to be earned afte</w:t>
      </w:r>
      <w:r>
        <w:rPr>
          <w:rFonts w:ascii="Arial" w:cs="Arial" w:eastAsia="Arial" w:hAnsi="Arial"/>
          <w:sz w:val="17"/>
          <w:szCs w:val="17"/>
          <w:i w:val="1"/>
          <w:iCs w:val="1"/>
          <w:color w:val="auto"/>
        </w:rPr>
        <w:t xml:space="preserve"> </w:t>
      </w:r>
      <w:r>
        <w:rPr>
          <w:rFonts w:ascii="Arial" w:cs="Arial" w:eastAsia="Arial" w:hAnsi="Arial"/>
          <w:sz w:val="17"/>
          <w:szCs w:val="17"/>
          <w:color w:val="auto"/>
        </w:rPr>
        <w:t>year is included in other liabilities in the Company’s Consolidated Financial Statements.</w:t>
      </w:r>
    </w:p>
    <w:p>
      <w:pPr>
        <w:spacing w:after="0" w:line="144"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b w:val="1"/>
          <w:bCs w:val="1"/>
          <w:color w:val="auto"/>
        </w:rPr>
        <w:t>Leases</w:t>
      </w:r>
      <w:r>
        <w:rPr>
          <w:rFonts w:ascii="Arial" w:cs="Arial" w:eastAsia="Arial" w:hAnsi="Arial"/>
          <w:sz w:val="17"/>
          <w:szCs w:val="17"/>
          <w:color w:val="auto"/>
        </w:rPr>
        <w:t>—The Company leases substantially all of its educational facilities and enters into various other lease agreements in conducting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of each lease, the Company evaluates the lease agreement to determine whether the lease is an operating or capital lease. Additionally, ma the Company’s lease agreements contain renewal options, tenant improvement allowances, rent holidays and/or rent escalation clauses. When such i are included in a lease agreement, the Company records a deferred rent asset or liability in the Consolidated Financial Statements and records these in rent expense evenly over the terms of the lease.</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is also required to make additional payments under operating lease terms for taxes, insurance and other operating expenses incurred d the operating lease period; such items are expensed as incurred. Rental deposits are included as other assets in the Consolidated Financial Statemen lease agreements that require payments in advance or deposits held for security that are refundable, less any damages, at the end of the respective l</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Pensions and Other Postretirement Benefits</w:t>
      </w:r>
      <w:r>
        <w:rPr>
          <w:rFonts w:ascii="Arial" w:cs="Arial" w:eastAsia="Arial" w:hAnsi="Arial"/>
          <w:sz w:val="17"/>
          <w:szCs w:val="17"/>
          <w:color w:val="auto"/>
        </w:rPr>
        <w:t>—The Company maintains various pension and incentive savings plans and contributes to several</w:t>
      </w:r>
      <w:r>
        <w:rPr>
          <w:rFonts w:ascii="Arial" w:cs="Arial" w:eastAsia="Arial" w:hAnsi="Arial"/>
          <w:sz w:val="17"/>
          <w:szCs w:val="17"/>
          <w:b w:val="1"/>
          <w:bCs w:val="1"/>
          <w:color w:val="auto"/>
        </w:rPr>
        <w:t xml:space="preserve"> </w:t>
      </w:r>
      <w:r>
        <w:rPr>
          <w:rFonts w:ascii="Arial" w:cs="Arial" w:eastAsia="Arial" w:hAnsi="Arial"/>
          <w:sz w:val="17"/>
          <w:szCs w:val="17"/>
          <w:color w:val="auto"/>
        </w:rPr>
        <w:t>multiemployer plans on behalf of certain union-represented employee groups. Substantially all of the Company’s employees are covered by these plan The Company also provides health care and life insurance benefits to certain retired employees. These employees become eligible for benefits after meeting age and service requirements.</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recognizes the overfunded or underfunded status of a defined benefit postretirement plan (other than a multiemployer plan) as an asset liability in its statement of financial position and recognizes changes in that funded status in the fiscal year in which the changes occur through comprehensive income. The Company measures changes in the funded status of its plans using the projected unit credit method and several actuaria assumptions, the most significant of which are the discount rate, the long-term rate of asset return and rate of compensation increase. The Company measurement date of December 31 for its pension and other postretirement benefit plans.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Self-Insurance</w:t>
      </w:r>
      <w:r>
        <w:rPr>
          <w:rFonts w:ascii="Arial" w:cs="Arial" w:eastAsia="Arial" w:hAnsi="Arial"/>
          <w:sz w:val="17"/>
          <w:szCs w:val="17"/>
          <w:color w:val="auto"/>
        </w:rPr>
        <w:t>—The Company uses a combination of insurance and self-insurance for a number of risks, including claims related to employee health</w:t>
      </w:r>
      <w:r>
        <w:rPr>
          <w:rFonts w:ascii="Arial" w:cs="Arial" w:eastAsia="Arial" w:hAnsi="Arial"/>
          <w:sz w:val="17"/>
          <w:szCs w:val="17"/>
          <w:b w:val="1"/>
          <w:bCs w:val="1"/>
          <w:color w:val="auto"/>
        </w:rPr>
        <w:t xml:space="preserve"> </w:t>
      </w:r>
      <w:r>
        <w:rPr>
          <w:rFonts w:ascii="Arial" w:cs="Arial" w:eastAsia="Arial" w:hAnsi="Arial"/>
          <w:sz w:val="17"/>
          <w:szCs w:val="17"/>
          <w:color w:val="auto"/>
        </w:rPr>
        <w:t>and dental care, disability benefits, workers’ compensation, general liability, property damage and business interruption. Liabilities associated with the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the amounts provided.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—The Company accounts for income taxes under the asset and liability method, which requires the recognition of deferred tax assets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for the expected future tax consequences of events that have been included in the financial statements. Under this method, deferred tax ass and liabilities are determined based on the differences between the financial statements and tax basis of assets and liabilities using enacted tax rates effect for the year in which the differences are expected to reverse. The effect of a change in tax rates on deferred tax assets and liabilities is recogniz income in the period that includes the enactment date.</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records net deferred tax assets to the extent that it believes these assets will more likely than not be realized. In making such determin the Company considers all available positive and negative evidence, including</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3" w:right="139" w:bottom="1440" w:gutter="0" w:footer="0" w:header="0"/>
        </w:sectPr>
      </w:pPr>
    </w:p>
    <w:bookmarkStart w:id="87" w:name="page88"/>
    <w:bookmarkEnd w:id="87"/>
    <w:p>
      <w:pPr>
        <w:jc w:val="both"/>
        <w:spacing w:after="0" w:line="232" w:lineRule="auto"/>
        <w:rPr>
          <w:sz w:val="20"/>
          <w:szCs w:val="20"/>
          <w:color w:val="auto"/>
        </w:rPr>
      </w:pPr>
      <w:r>
        <w:rPr>
          <w:rFonts w:ascii="Arial" w:cs="Arial" w:eastAsia="Arial" w:hAnsi="Arial"/>
          <w:sz w:val="17"/>
          <w:szCs w:val="17"/>
          <w:color w:val="auto"/>
        </w:rPr>
        <w:t>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in excess of their net recorded amount, the Company would record an adjustment to the valuation allowance, which would reduce the provision for inc taxes.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recognizes a tax benefit from an uncertain tax position when it is more likely than not that the position will be sustained upon examinati including resolutions of any related appeals or litigation processes, based on the technical merits. The Company records a liability for the difference be the benefit recognized and measured for financial statement purposes and the tax position taken or expected to be taken on the Company’s tax return Changes in the estimate are recorded in the period in which such determination is made.</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Foreign Currency Translation</w:t>
      </w:r>
      <w:r>
        <w:rPr>
          <w:rFonts w:ascii="Arial" w:cs="Arial" w:eastAsia="Arial" w:hAnsi="Arial"/>
          <w:sz w:val="17"/>
          <w:szCs w:val="17"/>
          <w:color w:val="auto"/>
        </w:rPr>
        <w:t>—Income and expense accounts of the Company’s non-U.S. operations where the local currency is the functional curr</w:t>
      </w:r>
      <w:r>
        <w:rPr>
          <w:rFonts w:ascii="Arial" w:cs="Arial" w:eastAsia="Arial" w:hAnsi="Arial"/>
          <w:sz w:val="17"/>
          <w:szCs w:val="17"/>
          <w:b w:val="1"/>
          <w:bCs w:val="1"/>
          <w:color w:val="auto"/>
        </w:rPr>
        <w:t xml:space="preserve"> </w:t>
      </w:r>
      <w:r>
        <w:rPr>
          <w:rFonts w:ascii="Arial" w:cs="Arial" w:eastAsia="Arial" w:hAnsi="Arial"/>
          <w:sz w:val="17"/>
          <w:szCs w:val="17"/>
          <w:color w:val="auto"/>
        </w:rPr>
        <w:t>are translated into U.S. dollars using the current rate method, whereby operating results are converted at the average rate of exchange for the period, assets and liabilities are converted at the closing rates on the period end date. Gains and losses on translation of these accounts and the Company’s investment in its non-U.S. affiliates are accumulated and reported as a separate component of equity and other comprehensive income. Gains and los on foreign currency transactions, including foreign currency denominated intercompany loans on entities with a functional currency in U.S. dollars, are recognized in the Consolidated Statements of Operations.</w:t>
      </w:r>
    </w:p>
    <w:p>
      <w:pPr>
        <w:spacing w:after="0" w:line="155"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Equity-Based Compensation</w:t>
      </w:r>
      <w:r>
        <w:rPr>
          <w:rFonts w:ascii="Arial" w:cs="Arial" w:eastAsia="Arial" w:hAnsi="Arial"/>
          <w:sz w:val="17"/>
          <w:szCs w:val="17"/>
          <w:color w:val="auto"/>
        </w:rPr>
        <w:t>—The Company measures compensation expense for awards settled in shares based on the grant date fair value of th</w:t>
      </w:r>
      <w:r>
        <w:rPr>
          <w:rFonts w:ascii="Arial" w:cs="Arial" w:eastAsia="Arial" w:hAnsi="Arial"/>
          <w:sz w:val="17"/>
          <w:szCs w:val="17"/>
          <w:b w:val="1"/>
          <w:bCs w:val="1"/>
          <w:color w:val="auto"/>
        </w:rPr>
        <w:t xml:space="preserve"> </w:t>
      </w:r>
      <w:r>
        <w:rPr>
          <w:rFonts w:ascii="Arial" w:cs="Arial" w:eastAsia="Arial" w:hAnsi="Arial"/>
          <w:sz w:val="17"/>
          <w:szCs w:val="17"/>
          <w:color w:val="auto"/>
        </w:rPr>
        <w:t>award. The Company measures compensation expense for awards settled in cash, or that may be settled in cash, based on the fair value at each rep date. The Company recognizes the expense over the requisite service period, which is generally the vesting period of the award.</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Earnings Per Share</w:t>
      </w:r>
      <w:r>
        <w:rPr>
          <w:rFonts w:ascii="Arial" w:cs="Arial" w:eastAsia="Arial" w:hAnsi="Arial"/>
          <w:sz w:val="17"/>
          <w:szCs w:val="17"/>
          <w:color w:val="auto"/>
        </w:rPr>
        <w:t>—Earnings per share is calculated under the two-class method. Under the two-class method, the Company treats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security due to its nonforfeitable right to dividends. Basic earnings per share is calculated using the weighted average number of common shares outstanding during the period. Diluted earnings per share is calculated similarly except that the computation includes the dilutive effect of the assumed exercise of options and restricted stock issuable under the Company’s stock plans.</w:t>
      </w:r>
    </w:p>
    <w:p>
      <w:pPr>
        <w:spacing w:after="0" w:line="15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auto"/>
        </w:rPr>
        <w:t>Comprehensive Income</w:t>
      </w:r>
      <w:r>
        <w:rPr>
          <w:rFonts w:ascii="Arial" w:cs="Arial" w:eastAsia="Arial" w:hAnsi="Arial"/>
          <w:sz w:val="16"/>
          <w:szCs w:val="16"/>
          <w:color w:val="auto"/>
        </w:rPr>
        <w:t>—Comprehensive income consists of net income, foreign currency translation adjustments, the change in unrealized gains</w:t>
      </w:r>
      <w:r>
        <w:rPr>
          <w:rFonts w:ascii="Arial" w:cs="Arial" w:eastAsia="Arial" w:hAnsi="Arial"/>
          <w:sz w:val="16"/>
          <w:szCs w:val="16"/>
          <w:b w:val="1"/>
          <w:bCs w:val="1"/>
          <w:color w:val="auto"/>
        </w:rPr>
        <w:t xml:space="preserve"> </w:t>
      </w:r>
      <w:r>
        <w:rPr>
          <w:rFonts w:ascii="Arial" w:cs="Arial" w:eastAsia="Arial" w:hAnsi="Arial"/>
          <w:sz w:val="16"/>
          <w:szCs w:val="16"/>
          <w:color w:val="auto"/>
        </w:rPr>
        <w:t>(losses) on investments in marketable equity securities, net changes in cash flow hedge, and pension and other postretirement plan adjustments.</w:t>
      </w:r>
    </w:p>
    <w:p>
      <w:pPr>
        <w:spacing w:after="0" w:line="12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Discontinued Operations</w:t>
      </w:r>
      <w:r>
        <w:rPr>
          <w:rFonts w:ascii="Arial" w:cs="Arial" w:eastAsia="Arial" w:hAnsi="Arial"/>
          <w:sz w:val="17"/>
          <w:szCs w:val="17"/>
          <w:color w:val="auto"/>
        </w:rPr>
        <w:t>—A business is classified as a discontinued operation when (i) the operations and cash flows of the business can be clearly</w:t>
      </w:r>
      <w:r>
        <w:rPr>
          <w:rFonts w:ascii="Arial" w:cs="Arial" w:eastAsia="Arial" w:hAnsi="Arial"/>
          <w:sz w:val="17"/>
          <w:szCs w:val="17"/>
          <w:b w:val="1"/>
          <w:bCs w:val="1"/>
          <w:color w:val="auto"/>
        </w:rPr>
        <w:t xml:space="preserve"> </w:t>
      </w:r>
      <w:r>
        <w:rPr>
          <w:rFonts w:ascii="Arial" w:cs="Arial" w:eastAsia="Arial" w:hAnsi="Arial"/>
          <w:sz w:val="17"/>
          <w:szCs w:val="17"/>
          <w:color w:val="auto"/>
        </w:rPr>
        <w:t>distinguished and have been or will be eliminated from the Company’s ongoing operations; (ii) the business has either been disposed of or is classified held for sale; and (iii) the Company will not have any significant continuing involvement in the operations of the business after the disposal transaction results of discontinued operations (as well as the gain or loss on the disposal) are aggregated and separately presented in the Company’s Consolidate Statements of Operations, net of income taxes.</w:t>
      </w:r>
    </w:p>
    <w:p>
      <w:pPr>
        <w:spacing w:after="0" w:line="15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b w:val="1"/>
          <w:bCs w:val="1"/>
          <w:color w:val="auto"/>
        </w:rPr>
        <w:t>Recently Adopted and Issued Accounting Pronouncements</w:t>
      </w:r>
      <w:r>
        <w:rPr>
          <w:rFonts w:ascii="Arial" w:cs="Arial" w:eastAsia="Arial" w:hAnsi="Arial"/>
          <w:sz w:val="16"/>
          <w:szCs w:val="16"/>
          <w:color w:val="auto"/>
        </w:rPr>
        <w:t>—In October 2009, the Financial Accounting Standards Board (FASB) issued new gui</w:t>
      </w:r>
      <w:r>
        <w:rPr>
          <w:rFonts w:ascii="Arial" w:cs="Arial" w:eastAsia="Arial" w:hAnsi="Arial"/>
          <w:sz w:val="16"/>
          <w:szCs w:val="16"/>
          <w:b w:val="1"/>
          <w:bCs w:val="1"/>
          <w:color w:val="auto"/>
        </w:rPr>
        <w:t xml:space="preserve"> </w:t>
      </w:r>
      <w:r>
        <w:rPr>
          <w:rFonts w:ascii="Arial" w:cs="Arial" w:eastAsia="Arial" w:hAnsi="Arial"/>
          <w:sz w:val="16"/>
          <w:szCs w:val="16"/>
          <w:color w:val="auto"/>
        </w:rPr>
        <w:t>that modifies the fair value requirement of multiple element revenue arrangements. The new guidance allows the use of the "best estimate of selling p addition to vendor-specific objective evidence (VSOE) and third-party evidence (TPE) for determining the selling price of a deliverable. A vendor is no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revenue arrangements entered into or materially modified in fiscal years beginning on or after June 15, 2010. The implementation of this guidance in t quarter of 2011 did not have a material impact on the Consolidated Financial Statements of the Company.</w:t>
      </w:r>
    </w:p>
    <w:p>
      <w:pPr>
        <w:spacing w:after="0" w:line="16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January 2010, the FASB issued additional disclosure requirements for fair value measurements. One of the fair value disclosure amendments requi more detailed disclosures of the changes in Level 3 instruments. This change became effective for interim and annual periods beginning after Decemb 2010, and did not impact the Consolidated Financial Statements of the Company.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June 2011, the FASB issued an amended standard to increase the prominence of items reported in other comprehensive income. The amendment eliminates the option to present components of other comprehensive income as part of the statement of changes in stockholders' equity and requires t changes in stockholders' equity be presented either in a single continuous statement of comprehensive income or in two separate but consecutive statements. In</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88" w:name="page89"/>
    <w:bookmarkEnd w:id="88"/>
    <w:p>
      <w:pPr>
        <w:ind w:left="9"/>
        <w:spacing w:after="0" w:line="230" w:lineRule="auto"/>
        <w:rPr>
          <w:sz w:val="20"/>
          <w:szCs w:val="20"/>
          <w:color w:val="auto"/>
        </w:rPr>
      </w:pPr>
      <w:r>
        <w:rPr>
          <w:rFonts w:ascii="Arial" w:cs="Arial" w:eastAsia="Arial" w:hAnsi="Arial"/>
          <w:sz w:val="17"/>
          <w:szCs w:val="17"/>
          <w:color w:val="auto"/>
        </w:rPr>
        <w:t>addition, the amendment requires companies to present on the face of the financial statements reclassification adjustments for items that are reclassif from other comprehensive income to net income in the statement(s) where the components of net income and the components of other comprehensiv income are presented. The amendment does not affect how earnings per share is calculated or presented. This amendment is effective for interim and years beginning after December 15, 2011 and must be applied retrospectively. In December 2011, the FASB deferred the requirements related to the presentation of reclassification adjustments until further deliberations have taken place. Entities should continue to report reclassifications out of accumulated other comprehensive income consistent with the presentation requirements in effect prior to the issuance of the June 2011 amended sta The amended standard will not impact the Company's financial position or results of operations.</w:t>
      </w:r>
    </w:p>
    <w:p>
      <w:pPr>
        <w:spacing w:after="0" w:line="178"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In September 2011, the FASB issued new guidance that amends the current goodwill impairment testing process. The new guidance permits an entity first assess qualitative factors to determine whether it is more likely than not that the fair value of a reporting unit is less than its carrying amount as a b for determining whether it is necessary to perform the two-step goodwill impairment test. Previous guidance required an entity to test goodwill for impairment, on at least an annual basis, by comparing the fair value of a reporting unit with its carrying amount, including goodwill. The new guidance effective for goodwill and interim impairment tests performed for fiscal years beginning after December 15, 2011. Early adoption is permitted if an entit financial statements for the most recent period have not yet been issued. The Company early adopted this guidance at the beginning of the fourth qua 2011.</w:t>
      </w:r>
    </w:p>
    <w:p>
      <w:pPr>
        <w:spacing w:after="0" w:line="158" w:lineRule="exact"/>
        <w:rPr>
          <w:sz w:val="20"/>
          <w:szCs w:val="20"/>
          <w:color w:val="auto"/>
        </w:rPr>
      </w:pPr>
    </w:p>
    <w:p>
      <w:pPr>
        <w:ind w:left="329" w:hanging="329"/>
        <w:spacing w:after="0"/>
        <w:tabs>
          <w:tab w:leader="none" w:pos="329"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DISCONTINUED OPERATIONS</w:t>
      </w:r>
    </w:p>
    <w:p>
      <w:pPr>
        <w:spacing w:after="0" w:line="197" w:lineRule="exact"/>
        <w:rPr>
          <w:sz w:val="20"/>
          <w:szCs w:val="20"/>
          <w:color w:val="auto"/>
        </w:rPr>
      </w:pPr>
    </w:p>
    <w:p>
      <w:pPr>
        <w:jc w:val="both"/>
        <w:ind w:left="9"/>
        <w:spacing w:after="0" w:line="246" w:lineRule="auto"/>
        <w:rPr>
          <w:sz w:val="20"/>
          <w:szCs w:val="20"/>
          <w:color w:val="auto"/>
        </w:rPr>
      </w:pPr>
      <w:r>
        <w:rPr>
          <w:rFonts w:ascii="Arial" w:cs="Arial" w:eastAsia="Arial" w:hAnsi="Arial"/>
          <w:sz w:val="16"/>
          <w:szCs w:val="16"/>
          <w:color w:val="auto"/>
        </w:rPr>
        <w:t>In October 2011, Kaplan completed the sale of Kaplan Compliance Solutions (KCS). Under the terms of the asset purchase agreement, the buyer rec KCS’ net working capital, tangible and intangible assets and assumed certain liabilities. The Company recorded an after-tax gain on the transaction of million, which is included in loss from discontinued operations, net of tax in the Company's Consolidated Statement of Operations for fiscal year 2011. July 2011, Kaplan completed the sale of Kaplan Virtual Education (KVE). Under the terms of the asset purchase agreement, the buyer received KVE’s intellectual property, education programs and selected other long-lived assets. The Company recorded an after-tax loss on the transaction of $1.2 milli which is included in loss from discontinued operations, net of tax in the Company's Consolidated Statement of Operations for fiscal year 2011.</w:t>
      </w:r>
    </w:p>
    <w:p>
      <w:pPr>
        <w:spacing w:after="0" w:line="172"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April 2010, Kaplan completed the sale of Education Connection and in September 2010, the Company completed the sale of Newsweek magazine. results of operations of KCS, KVE, Education Connection and the magazine publishing division for fiscal years 2011, 2010 and 2009, where applicabl included in the Company’s Consolidated Statements of Operations as loss from discontinued operations, net of tax. All corresponding prior period ope results presented in the Company’s Consolidated Financial Statements and the accompanying notes have been reclassified to reflect the discontinued operations presented. The Company did not reclassify its Consolidated Statements of Cash Flows or prior year Consolidated Balance Sheet to reflect discontinued operations.</w:t>
      </w:r>
    </w:p>
    <w:p>
      <w:pPr>
        <w:spacing w:after="0" w:line="179" w:lineRule="exact"/>
        <w:rPr>
          <w:sz w:val="20"/>
          <w:szCs w:val="20"/>
          <w:color w:val="auto"/>
        </w:rPr>
      </w:pPr>
    </w:p>
    <w:p>
      <w:pPr>
        <w:ind w:left="9"/>
        <w:spacing w:after="0" w:line="247" w:lineRule="auto"/>
        <w:rPr>
          <w:sz w:val="20"/>
          <w:szCs w:val="20"/>
          <w:color w:val="auto"/>
        </w:rPr>
      </w:pPr>
      <w:r>
        <w:rPr>
          <w:rFonts w:ascii="Arial" w:cs="Arial" w:eastAsia="Arial" w:hAnsi="Arial"/>
          <w:sz w:val="16"/>
          <w:szCs w:val="16"/>
          <w:color w:val="auto"/>
        </w:rPr>
        <w:t>Newsweek employees were participants in The Washington Post Company Retirement Plan, and the Company had historically allocated Newsweek a pension credit for segment reporting purposes. Since the associated pension assets and liabilities were retained by the Company, the associated cred $25.8 million and $34.6 million, respectively, for fiscal years 2010 and 2009 have been excluded from the reclassification of Newsweek results to discontinued operations. Pension cost arising from early retirement programs at Newsweek, however, is included in discontinued operations (see Note In fiscal year 2010, Newsweek recorded $4.7 million in accelerated depreciation and property, plant, and equipment write-downs in anticipation of the</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6"/>
          <w:szCs w:val="16"/>
          <w:color w:val="auto"/>
        </w:rPr>
        <w:t>The summarized loss from discontinued operations, net of tax, for the years ended December 31, 2011, January 2, 2011 and January 3, 2010 follows: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2011</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color w:val="auto"/>
              </w:rPr>
              <w:t>2010</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4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34,769</w:t>
            </w:r>
          </w:p>
        </w:tc>
        <w:tc>
          <w:tcPr>
            <w:tcW w:w="480" w:type="dxa"/>
            <w:vAlign w:val="bottom"/>
            <w:gridSpan w:val="2"/>
          </w:tcPr>
          <w:p>
            <w:pPr>
              <w:jc w:val="right"/>
              <w:ind w:right="160"/>
              <w:spacing w:after="0" w:line="150"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133,013</w:t>
            </w:r>
          </w:p>
        </w:tc>
        <w:tc>
          <w:tcPr>
            <w:tcW w:w="480" w:type="dxa"/>
            <w:vAlign w:val="bottom"/>
            <w:gridSpan w:val="2"/>
          </w:tcPr>
          <w:p>
            <w:pPr>
              <w:jc w:val="right"/>
              <w:ind w:right="160"/>
              <w:spacing w:after="0" w:line="150" w:lineRule="exact"/>
              <w:rPr>
                <w:sz w:val="20"/>
                <w:szCs w:val="20"/>
                <w:color w:val="auto"/>
              </w:rPr>
            </w:pPr>
            <w:r>
              <w:rPr>
                <w:rFonts w:ascii="Arial" w:cs="Arial" w:eastAsia="Arial" w:hAnsi="Arial"/>
                <w:sz w:val="15"/>
                <w:szCs w:val="15"/>
                <w:color w:val="auto"/>
              </w:rPr>
              <w:t>$</w:t>
            </w:r>
          </w:p>
        </w:tc>
        <w:tc>
          <w:tcPr>
            <w:tcW w:w="400" w:type="dxa"/>
            <w:vAlign w:val="bottom"/>
          </w:tcPr>
          <w:p>
            <w:pPr>
              <w:jc w:val="center"/>
              <w:ind w:left="207"/>
              <w:spacing w:after="0" w:line="150" w:lineRule="exact"/>
              <w:rPr>
                <w:sz w:val="20"/>
                <w:szCs w:val="20"/>
                <w:color w:val="auto"/>
              </w:rPr>
            </w:pPr>
            <w:r>
              <w:rPr>
                <w:rFonts w:ascii="Arial" w:cs="Arial" w:eastAsia="Arial" w:hAnsi="Arial"/>
                <w:sz w:val="15"/>
                <w:szCs w:val="15"/>
                <w:color w:val="auto"/>
                <w:w w:val="95"/>
              </w:rPr>
              <w:t>2</w:t>
            </w: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42,133</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176,454</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ind w:left="207"/>
              <w:spacing w:after="0"/>
              <w:rPr>
                <w:sz w:val="20"/>
                <w:szCs w:val="20"/>
                <w:color w:val="auto"/>
              </w:rPr>
            </w:pPr>
            <w:r>
              <w:rPr>
                <w:rFonts w:ascii="Arial" w:cs="Arial" w:eastAsia="Arial" w:hAnsi="Arial"/>
                <w:sz w:val="15"/>
                <w:szCs w:val="15"/>
                <w:color w:val="auto"/>
                <w:w w:val="95"/>
              </w:rPr>
              <w:t>3</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(7,364)</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(43,441)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center"/>
              <w:ind w:left="207"/>
              <w:spacing w:after="0" w:line="150" w:lineRule="exact"/>
              <w:rPr>
                <w:sz w:val="20"/>
                <w:szCs w:val="20"/>
                <w:color w:val="auto"/>
              </w:rPr>
            </w:pPr>
            <w:r>
              <w:rPr>
                <w:rFonts w:ascii="Arial" w:cs="Arial" w:eastAsia="Arial" w:hAnsi="Arial"/>
                <w:sz w:val="15"/>
                <w:szCs w:val="15"/>
                <w:color w:val="auto"/>
                <w:w w:val="89"/>
              </w:rPr>
              <w:t>(9</w:t>
            </w: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(2,834)</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(16,369)</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center"/>
              <w:ind w:left="207"/>
              <w:spacing w:after="0"/>
              <w:rPr>
                <w:sz w:val="20"/>
                <w:szCs w:val="20"/>
                <w:color w:val="auto"/>
              </w:rPr>
            </w:pPr>
            <w:r>
              <w:rPr>
                <w:rFonts w:ascii="Arial" w:cs="Arial" w:eastAsia="Arial" w:hAnsi="Arial"/>
                <w:sz w:val="15"/>
                <w:szCs w:val="15"/>
                <w:color w:val="auto"/>
                <w:w w:val="89"/>
              </w:rPr>
              <w:t>(3</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color w:val="auto"/>
              </w:rPr>
              <w:t>Net loss from discontinued operations</w:t>
            </w:r>
          </w:p>
        </w:tc>
        <w:tc>
          <w:tcPr>
            <w:tcW w:w="340" w:type="dxa"/>
            <w:vAlign w:val="bottom"/>
          </w:tcPr>
          <w:p>
            <w:pPr>
              <w:spacing w:after="0"/>
              <w:rPr>
                <w:sz w:val="13"/>
                <w:szCs w:val="13"/>
                <w:color w:val="auto"/>
              </w:rPr>
            </w:pPr>
          </w:p>
        </w:tc>
        <w:tc>
          <w:tcPr>
            <w:tcW w:w="8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(4,530)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(27,072)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jc w:val="center"/>
              <w:ind w:left="207"/>
              <w:spacing w:after="0" w:line="150" w:lineRule="exact"/>
              <w:rPr>
                <w:sz w:val="20"/>
                <w:szCs w:val="20"/>
                <w:color w:val="auto"/>
              </w:rPr>
            </w:pPr>
            <w:r>
              <w:rPr>
                <w:rFonts w:ascii="Arial" w:cs="Arial" w:eastAsia="Arial" w:hAnsi="Arial"/>
                <w:sz w:val="15"/>
                <w:szCs w:val="15"/>
                <w:color w:val="auto"/>
                <w:w w:val="89"/>
              </w:rPr>
              <w:t>(6</w:t>
            </w:r>
          </w:p>
        </w:tc>
      </w:tr>
      <w:tr>
        <w:trPr>
          <w:trHeight w:val="174"/>
        </w:trPr>
        <w:tc>
          <w:tcPr>
            <w:tcW w:w="7540" w:type="dxa"/>
            <w:vAlign w:val="bottom"/>
          </w:tcPr>
          <w:p>
            <w:pPr>
              <w:spacing w:after="0"/>
              <w:rPr>
                <w:sz w:val="20"/>
                <w:szCs w:val="20"/>
                <w:color w:val="auto"/>
              </w:rPr>
            </w:pPr>
            <w:r>
              <w:rPr>
                <w:rFonts w:ascii="Arial" w:cs="Arial" w:eastAsia="Arial" w:hAnsi="Arial"/>
                <w:sz w:val="15"/>
                <w:szCs w:val="15"/>
                <w:color w:val="auto"/>
              </w:rPr>
              <w:t>Gain (loss) on sale of discontinued operations</w:t>
            </w: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2,975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(9,156)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Provision for income taxes on sale of discontinued operations</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2,616</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5,869</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66"/>
        </w:trPr>
        <w:tc>
          <w:tcPr>
            <w:tcW w:w="7540" w:type="dxa"/>
            <w:vAlign w:val="bottom"/>
          </w:tcPr>
          <w:p>
            <w:pPr>
              <w:spacing w:after="0" w:line="167" w:lineRule="exact"/>
              <w:rPr>
                <w:sz w:val="20"/>
                <w:szCs w:val="20"/>
                <w:color w:val="auto"/>
              </w:rPr>
            </w:pPr>
            <w:r>
              <w:rPr>
                <w:rFonts w:ascii="Arial" w:cs="Arial" w:eastAsia="Arial" w:hAnsi="Arial"/>
                <w:sz w:val="15"/>
                <w:szCs w:val="15"/>
                <w:color w:val="auto"/>
              </w:rPr>
              <w:t>Loss from discontinued operations, net of tax</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(4,171)</w:t>
            </w:r>
          </w:p>
        </w:tc>
        <w:tc>
          <w:tcPr>
            <w:tcW w:w="480" w:type="dxa"/>
            <w:vAlign w:val="bottom"/>
            <w:tcBorders>
              <w:bottom w:val="single" w:sz="8" w:color="auto"/>
            </w:tcBorders>
            <w:gridSpan w:val="2"/>
          </w:tcPr>
          <w:p>
            <w:pPr>
              <w:jc w:val="right"/>
              <w:ind w:right="160"/>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(42,097)</w:t>
            </w:r>
          </w:p>
        </w:tc>
        <w:tc>
          <w:tcPr>
            <w:tcW w:w="480" w:type="dxa"/>
            <w:vAlign w:val="bottom"/>
            <w:tcBorders>
              <w:bottom w:val="single" w:sz="8" w:color="auto"/>
            </w:tcBorders>
            <w:gridSpan w:val="2"/>
          </w:tcPr>
          <w:p>
            <w:pPr>
              <w:jc w:val="right"/>
              <w:ind w:right="160"/>
              <w:spacing w:after="0" w:line="167"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center"/>
              <w:ind w:left="207"/>
              <w:spacing w:after="0" w:line="167" w:lineRule="exact"/>
              <w:rPr>
                <w:sz w:val="20"/>
                <w:szCs w:val="20"/>
                <w:color w:val="auto"/>
              </w:rPr>
            </w:pPr>
            <w:r>
              <w:rPr>
                <w:rFonts w:ascii="Arial" w:cs="Arial" w:eastAsia="Arial" w:hAnsi="Arial"/>
                <w:sz w:val="15"/>
                <w:szCs w:val="15"/>
                <w:color w:val="auto"/>
                <w:w w:val="89"/>
              </w:rPr>
              <w:t>(6</w:t>
            </w: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89" w:name="page90"/>
    <w:bookmarkEnd w:id="89"/>
    <w:p>
      <w:pPr>
        <w:ind w:left="900" w:hanging="329"/>
        <w:spacing w:after="0"/>
        <w:tabs>
          <w:tab w:leader="none" w:pos="90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177" w:lineRule="exact"/>
        <w:rPr>
          <w:sz w:val="20"/>
          <w:szCs w:val="20"/>
          <w:color w:val="auto"/>
        </w:rPr>
      </w:pPr>
    </w:p>
    <w:p>
      <w:pPr>
        <w:jc w:val="both"/>
        <w:ind w:left="580"/>
        <w:spacing w:after="0" w:line="255" w:lineRule="auto"/>
        <w:rPr>
          <w:sz w:val="20"/>
          <w:szCs w:val="20"/>
          <w:color w:val="auto"/>
        </w:rPr>
      </w:pPr>
      <w:r>
        <w:rPr>
          <w:rFonts w:ascii="Arial" w:cs="Arial" w:eastAsia="Arial" w:hAnsi="Arial"/>
          <w:sz w:val="17"/>
          <w:szCs w:val="17"/>
          <w:b w:val="1"/>
          <w:bCs w:val="1"/>
          <w:color w:val="auto"/>
        </w:rPr>
        <w:t xml:space="preserve">Investments in Marketable Equity Securities. </w:t>
      </w:r>
      <w:r>
        <w:rPr>
          <w:rFonts w:ascii="Arial" w:cs="Arial" w:eastAsia="Arial" w:hAnsi="Arial"/>
          <w:sz w:val="17"/>
          <w:szCs w:val="17"/>
          <w:color w:val="auto"/>
        </w:rPr>
        <w:t>Investments in marketable equity securities at December 31, 2011, and January 2, 2011 consist of th</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51"/>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2011</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04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169,271</w:t>
            </w:r>
          </w:p>
        </w:tc>
        <w:tc>
          <w:tcPr>
            <w:tcW w:w="4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90"/>
        </w:trPr>
        <w:tc>
          <w:tcPr>
            <w:tcW w:w="9040" w:type="dxa"/>
            <w:vAlign w:val="bottom"/>
          </w:tcPr>
          <w:p>
            <w:pPr>
              <w:spacing w:after="0"/>
              <w:rPr>
                <w:sz w:val="20"/>
                <w:szCs w:val="20"/>
                <w:color w:val="auto"/>
              </w:rPr>
            </w:pPr>
            <w:r>
              <w:rPr>
                <w:rFonts w:ascii="Arial" w:cs="Arial" w:eastAsia="Arial" w:hAnsi="Arial"/>
                <w:sz w:val="15"/>
                <w:szCs w:val="15"/>
                <w:color w:val="auto"/>
              </w:rPr>
              <w:t>Net unrealized gains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133,930</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040" w:type="dxa"/>
            <w:vAlign w:val="bottom"/>
          </w:tcPr>
          <w:p>
            <w:pPr>
              <w:spacing w:after="0" w:line="167" w:lineRule="exact"/>
              <w:rPr>
                <w:sz w:val="20"/>
                <w:szCs w:val="20"/>
                <w:color w:val="auto"/>
              </w:rPr>
            </w:pPr>
            <w:r>
              <w:rPr>
                <w:rFonts w:ascii="Arial" w:cs="Arial" w:eastAsia="Arial" w:hAnsi="Arial"/>
                <w:sz w:val="15"/>
                <w:szCs w:val="15"/>
                <w:color w:val="auto"/>
              </w:rPr>
              <w:t>Total fair value</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129"/>
              <w:spacing w:after="0" w:line="167" w:lineRule="exact"/>
              <w:rPr>
                <w:sz w:val="20"/>
                <w:szCs w:val="20"/>
                <w:color w:val="auto"/>
              </w:rPr>
            </w:pPr>
            <w:r>
              <w:rPr>
                <w:rFonts w:ascii="Arial" w:cs="Arial" w:eastAsia="Arial" w:hAnsi="Arial"/>
                <w:sz w:val="15"/>
                <w:szCs w:val="15"/>
                <w:b w:val="1"/>
                <w:bCs w:val="1"/>
                <w:color w:val="auto"/>
              </w:rPr>
              <w:t>303,201</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left="580"/>
        <w:spacing w:after="0" w:line="251" w:lineRule="auto"/>
        <w:rPr>
          <w:sz w:val="20"/>
          <w:szCs w:val="20"/>
          <w:color w:val="auto"/>
        </w:rPr>
      </w:pPr>
      <w:r>
        <w:rPr>
          <w:rFonts w:ascii="Arial" w:cs="Arial" w:eastAsia="Arial" w:hAnsi="Arial"/>
          <w:sz w:val="16"/>
          <w:szCs w:val="16"/>
          <w:color w:val="auto"/>
        </w:rPr>
        <w:t>At December 31, 2011, and January 2, 2011, the Company owned 2,214 shares of Berkshire Hathaway Inc. ("Berkshire") Class A common stock and 424,250 shares of Berkshire Class B common stock, respectively. The Company's ownership of Berkshire accounted for $ 286.4 million, or 94%, and $ million, or 88%, of the total fair value of the Company's investments in marketable equity securities at December 31, 2011 and January 2, 2011, respe</w:t>
      </w:r>
    </w:p>
    <w:p>
      <w:pPr>
        <w:spacing w:after="0" w:line="167" w:lineRule="exact"/>
        <w:rPr>
          <w:sz w:val="20"/>
          <w:szCs w:val="20"/>
          <w:color w:val="auto"/>
        </w:rPr>
      </w:pPr>
    </w:p>
    <w:p>
      <w:pPr>
        <w:ind w:left="580"/>
        <w:spacing w:after="0" w:line="230" w:lineRule="auto"/>
        <w:rPr>
          <w:sz w:val="20"/>
          <w:szCs w:val="20"/>
          <w:color w:val="auto"/>
        </w:rPr>
      </w:pPr>
      <w:r>
        <w:rPr>
          <w:rFonts w:ascii="Arial" w:cs="Arial" w:eastAsia="Arial" w:hAnsi="Arial"/>
          <w:sz w:val="17"/>
          <w:szCs w:val="17"/>
          <w:color w:val="auto"/>
        </w:rPr>
        <w:t>Berkshire is a holding company owning subsidiaries engaged in a number of diverse business activities, the most significant of which consists of prop and casualty insurance businesses conducted on both a direct and reinsurance basis. Berkshire also owns approximately 23% of the common stock o Company. The chairman, chief executive officer and largest shareholder of Berkshire, Mr. Warren Buffet, was a member of the Company’s Board of Directors until May 2011, at which time Mr. Buffet retired from the Company’s Board. The Company's investment in Berkshire common stock is less th of the consolidated equity of Berkshire. At December 31, 2011 and January 2, 2011, the unrealized gain related to the Company's Berkshire stock investment totaled $129.1 million and $143.4 million, respectively.</w:t>
      </w:r>
    </w:p>
    <w:p>
      <w:pPr>
        <w:spacing w:after="0" w:line="179" w:lineRule="exact"/>
        <w:rPr>
          <w:sz w:val="20"/>
          <w:szCs w:val="20"/>
          <w:color w:val="auto"/>
        </w:rPr>
      </w:pPr>
    </w:p>
    <w:p>
      <w:pPr>
        <w:jc w:val="both"/>
        <w:ind w:left="580"/>
        <w:spacing w:after="0" w:line="230" w:lineRule="auto"/>
        <w:rPr>
          <w:sz w:val="20"/>
          <w:szCs w:val="20"/>
          <w:color w:val="auto"/>
        </w:rPr>
      </w:pPr>
      <w:r>
        <w:rPr>
          <w:rFonts w:ascii="Arial" w:cs="Arial" w:eastAsia="Arial" w:hAnsi="Arial"/>
          <w:sz w:val="17"/>
          <w:szCs w:val="17"/>
          <w:color w:val="auto"/>
        </w:rPr>
        <w:t>At the end of the first quarter of 2011, the Company’s investment in Corinthian Colleges, Inc. had been in an unrealized loss position for over six mont The Company evaluated this investment for other-than-temporary impairment based on various factors, including the duration and severity of the unre loss, the reason for the decline in value and the potential recovery period, and the Company’s ability and intent to hold the investment. In the first quar 2011, the Company concluded the loss was other-than-temporary and recorded a $30.7 million write-down of the investment. The investment continue decline, and in the third quarter of 2011, the Company recorded an additional $23.1 million write-down of the investment. The Company’s investment i Corinthian Colleges, Inc. accounted for $16.8 million of the total fair value of the Company’s investments in marketable equity securities at December 2011.</w:t>
      </w:r>
    </w:p>
    <w:p>
      <w:pPr>
        <w:spacing w:after="0" w:line="178" w:lineRule="exact"/>
        <w:rPr>
          <w:sz w:val="20"/>
          <w:szCs w:val="20"/>
          <w:color w:val="auto"/>
        </w:rPr>
      </w:pPr>
    </w:p>
    <w:p>
      <w:pPr>
        <w:jc w:val="both"/>
        <w:ind w:left="580" w:right="20"/>
        <w:spacing w:after="0" w:line="235" w:lineRule="auto"/>
        <w:rPr>
          <w:sz w:val="20"/>
          <w:szCs w:val="20"/>
          <w:color w:val="auto"/>
        </w:rPr>
      </w:pPr>
      <w:r>
        <w:rPr>
          <w:rFonts w:ascii="Arial" w:cs="Arial" w:eastAsia="Arial" w:hAnsi="Arial"/>
          <w:sz w:val="17"/>
          <w:szCs w:val="17"/>
          <w:color w:val="auto"/>
        </w:rPr>
        <w:t>There were no new investments or sales of marketable equity securities in 2011 and 2010. During 2009, the Company invested $10.8 million in the Cl common stock of Berkshire. There were no sales of marketable equity securities during 2011, 2010 and 2009.</w:t>
      </w:r>
    </w:p>
    <w:p>
      <w:pPr>
        <w:spacing w:after="0" w:line="156" w:lineRule="exact"/>
        <w:rPr>
          <w:sz w:val="20"/>
          <w:szCs w:val="20"/>
          <w:color w:val="auto"/>
        </w:rPr>
      </w:pPr>
    </w:p>
    <w:p>
      <w:pPr>
        <w:jc w:val="both"/>
        <w:ind w:left="580" w:right="40"/>
        <w:spacing w:after="0" w:line="264" w:lineRule="auto"/>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At the end of 2011, the Company's investments in affiliates include a 49% interest in the common stock of Bowater Merse</w:t>
      </w:r>
      <w:r>
        <w:rPr>
          <w:rFonts w:ascii="Arial" w:cs="Arial" w:eastAsia="Arial" w:hAnsi="Arial"/>
          <w:sz w:val="16"/>
          <w:szCs w:val="16"/>
          <w:b w:val="1"/>
          <w:bCs w:val="1"/>
          <w:color w:val="auto"/>
        </w:rPr>
        <w:t xml:space="preserve"> </w:t>
      </w:r>
      <w:r>
        <w:rPr>
          <w:rFonts w:ascii="Arial" w:cs="Arial" w:eastAsia="Arial" w:hAnsi="Arial"/>
          <w:sz w:val="16"/>
          <w:szCs w:val="16"/>
          <w:color w:val="auto"/>
        </w:rPr>
        <w:t>Paper Company Limited, which owns and operates a newsprint mill in Nova Scotia. The Company also holds a 16.5% interest in Classified Ventures, which owns and operates several leading businesses in the online classified advertising space, and several other investments.</w:t>
      </w:r>
    </w:p>
    <w:p>
      <w:pPr>
        <w:spacing w:after="0" w:line="157" w:lineRule="exact"/>
        <w:rPr>
          <w:sz w:val="20"/>
          <w:szCs w:val="20"/>
          <w:color w:val="auto"/>
        </w:rPr>
      </w:pPr>
    </w:p>
    <w:p>
      <w:pPr>
        <w:jc w:val="both"/>
        <w:ind w:left="580"/>
        <w:spacing w:after="0" w:line="233" w:lineRule="auto"/>
        <w:rPr>
          <w:sz w:val="20"/>
          <w:szCs w:val="20"/>
          <w:color w:val="auto"/>
        </w:rPr>
      </w:pPr>
      <w:r>
        <w:rPr>
          <w:rFonts w:ascii="Arial" w:cs="Arial" w:eastAsia="Arial" w:hAnsi="Arial"/>
          <w:sz w:val="17"/>
          <w:szCs w:val="17"/>
          <w:color w:val="auto"/>
        </w:rPr>
        <w:t>In the third quarter of 2011 and the third quarter of 2009, the Company recorded impairment charges of $9.2 million and $27.4 million on the Company interest in Bowater Mersey Paper Company, respectively, as a result of the challenging economic environment for newsprint producers. An additional million impairment loss was recorded in 2009.</w:t>
      </w:r>
    </w:p>
    <w:p>
      <w:pPr>
        <w:spacing w:after="0" w:line="155" w:lineRule="exact"/>
        <w:rPr>
          <w:sz w:val="20"/>
          <w:szCs w:val="20"/>
          <w:color w:val="auto"/>
        </w:rPr>
      </w:pPr>
    </w:p>
    <w:p>
      <w:pPr>
        <w:jc w:val="both"/>
        <w:ind w:left="580" w:right="4480"/>
        <w:spacing w:after="0" w:line="497" w:lineRule="auto"/>
        <w:rPr>
          <w:sz w:val="20"/>
          <w:szCs w:val="20"/>
          <w:color w:val="auto"/>
        </w:rPr>
      </w:pPr>
      <w:r>
        <w:rPr>
          <w:rFonts w:ascii="Arial" w:cs="Arial" w:eastAsia="Arial" w:hAnsi="Arial"/>
          <w:sz w:val="16"/>
          <w:szCs w:val="16"/>
          <w:b w:val="1"/>
          <w:bCs w:val="1"/>
          <w:color w:val="auto"/>
        </w:rPr>
        <w:t xml:space="preserve">5. ACCOUNTS RECEIVABLE, ACCOUNTS PAYABLE AND ACCRUED LIABILITIES </w:t>
      </w:r>
      <w:r>
        <w:rPr>
          <w:rFonts w:ascii="Arial" w:cs="Arial" w:eastAsia="Arial" w:hAnsi="Arial"/>
          <w:sz w:val="16"/>
          <w:szCs w:val="16"/>
          <w:color w:val="auto"/>
        </w:rPr>
        <w:t>Accounts receivable at December 31, 2011 and January 2, 2011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2011</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5600" w:type="dxa"/>
            <w:vAlign w:val="bottom"/>
          </w:tcPr>
          <w:p>
            <w:pPr>
              <w:spacing w:after="0" w:line="168" w:lineRule="exact"/>
              <w:rPr>
                <w:sz w:val="20"/>
                <w:szCs w:val="20"/>
                <w:color w:val="auto"/>
              </w:rPr>
            </w:pPr>
            <w:r>
              <w:rPr>
                <w:rFonts w:ascii="Arial" w:cs="Arial" w:eastAsia="Arial" w:hAnsi="Arial"/>
                <w:sz w:val="15"/>
                <w:szCs w:val="15"/>
                <w:color w:val="auto"/>
                <w:w w:val="98"/>
              </w:rPr>
              <w:t>Trade accounts receivable, less estimated returns, doubtful accounts and allowances</w:t>
            </w:r>
          </w:p>
        </w:tc>
        <w:tc>
          <w:tcPr>
            <w:tcW w:w="3780" w:type="dxa"/>
            <w:vAlign w:val="bottom"/>
            <w:gridSpan w:val="2"/>
            <w:vMerge w:val="restart"/>
          </w:tcPr>
          <w:p>
            <w:pPr>
              <w:jc w:val="right"/>
              <w:ind w:right="66"/>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69"/>
              <w:spacing w:after="0"/>
              <w:rPr>
                <w:sz w:val="20"/>
                <w:szCs w:val="20"/>
                <w:color w:val="auto"/>
              </w:rPr>
            </w:pPr>
            <w:r>
              <w:rPr>
                <w:rFonts w:ascii="Arial" w:cs="Arial" w:eastAsia="Arial" w:hAnsi="Arial"/>
                <w:sz w:val="15"/>
                <w:szCs w:val="15"/>
                <w:b w:val="1"/>
                <w:bCs w:val="1"/>
                <w:color w:val="auto"/>
              </w:rPr>
              <w:t>375,577</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0" w:type="dxa"/>
            <w:vAlign w:val="bottom"/>
          </w:tcPr>
          <w:p>
            <w:pPr>
              <w:ind w:left="220"/>
              <w:spacing w:after="0" w:line="156" w:lineRule="exact"/>
              <w:rPr>
                <w:sz w:val="20"/>
                <w:szCs w:val="20"/>
                <w:color w:val="auto"/>
              </w:rPr>
            </w:pPr>
            <w:r>
              <w:rPr>
                <w:rFonts w:ascii="Arial" w:cs="Arial" w:eastAsia="Arial" w:hAnsi="Arial"/>
                <w:sz w:val="15"/>
                <w:szCs w:val="15"/>
                <w:color w:val="auto"/>
              </w:rPr>
              <w:t>of $50,225 and $70,181</w:t>
            </w:r>
          </w:p>
        </w:tc>
        <w:tc>
          <w:tcPr>
            <w:tcW w:w="378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5"/>
                <w:szCs w:val="15"/>
                <w:color w:val="auto"/>
              </w:rPr>
              <w:t>Other accounts receivable</w:t>
            </w:r>
          </w:p>
        </w:tc>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17,148</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392,725</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540" w:type="dxa"/>
            <w:vAlign w:val="bottom"/>
            <w:vMerge w:val="restart"/>
          </w:tcPr>
          <w:p>
            <w:pPr>
              <w:jc w:val="right"/>
              <w:ind w:right="3261"/>
              <w:spacing w:after="0"/>
              <w:rPr>
                <w:sz w:val="20"/>
                <w:szCs w:val="20"/>
                <w:color w:val="auto"/>
              </w:rPr>
            </w:pPr>
            <w:r>
              <w:rPr>
                <w:rFonts w:ascii="Arial" w:cs="Arial" w:eastAsia="Arial" w:hAnsi="Arial"/>
                <w:sz w:val="17"/>
                <w:szCs w:val="17"/>
                <w:color w:val="auto"/>
                <w:w w:val="94"/>
              </w:rPr>
              <w:t>83</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65" w:right="139" w:bottom="1440" w:gutter="0" w:footer="0" w:header="0"/>
        </w:sectPr>
      </w:pPr>
    </w:p>
    <w:bookmarkStart w:id="90" w:name="page91"/>
    <w:bookmarkEnd w:id="90"/>
    <w:p>
      <w:pPr>
        <w:ind w:right="20"/>
        <w:spacing w:after="0" w:line="235" w:lineRule="auto"/>
        <w:rPr>
          <w:sz w:val="20"/>
          <w:szCs w:val="20"/>
          <w:color w:val="auto"/>
        </w:rPr>
      </w:pPr>
      <w:r>
        <w:rPr>
          <w:rFonts w:ascii="Arial" w:cs="Arial" w:eastAsia="Arial" w:hAnsi="Arial"/>
          <w:sz w:val="17"/>
          <w:szCs w:val="17"/>
          <w:color w:val="auto"/>
        </w:rPr>
        <w:t>The changes in allowance for doubtful accounts and returns and allowance for advertising rate adjustments and discounts during 2011, 2010 and 200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69"/>
              <w:spacing w:after="0"/>
              <w:rPr>
                <w:sz w:val="20"/>
                <w:szCs w:val="20"/>
                <w:color w:val="auto"/>
              </w:rPr>
            </w:pPr>
            <w:r>
              <w:rPr>
                <w:rFonts w:ascii="Arial" w:cs="Arial" w:eastAsia="Arial" w:hAnsi="Arial"/>
                <w:sz w:val="12"/>
                <w:szCs w:val="12"/>
                <w:b w:val="1"/>
                <w:bCs w:val="1"/>
                <w:color w:val="auto"/>
              </w:rPr>
              <w:t>Additions –</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Bala</w:t>
            </w: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89"/>
              <w:spacing w:after="0" w:line="137" w:lineRule="exact"/>
              <w:rPr>
                <w:sz w:val="20"/>
                <w:szCs w:val="20"/>
                <w:color w:val="auto"/>
              </w:rPr>
            </w:pPr>
            <w:r>
              <w:rPr>
                <w:rFonts w:ascii="Arial" w:cs="Arial" w:eastAsia="Arial" w:hAnsi="Arial"/>
                <w:sz w:val="12"/>
                <w:szCs w:val="12"/>
                <w:b w:val="1"/>
                <w:bCs w:val="1"/>
                <w:color w:val="auto"/>
              </w:rPr>
              <w:t>Balance at</w:t>
            </w:r>
          </w:p>
        </w:tc>
        <w:tc>
          <w:tcPr>
            <w:tcW w:w="300" w:type="dxa"/>
            <w:vAlign w:val="bottom"/>
          </w:tcPr>
          <w:p>
            <w:pPr>
              <w:spacing w:after="0"/>
              <w:rPr>
                <w:sz w:val="11"/>
                <w:szCs w:val="11"/>
                <w:color w:val="auto"/>
              </w:rPr>
            </w:pPr>
          </w:p>
        </w:tc>
        <w:tc>
          <w:tcPr>
            <w:tcW w:w="1080" w:type="dxa"/>
            <w:vAlign w:val="bottom"/>
          </w:tcPr>
          <w:p>
            <w:pPr>
              <w:jc w:val="center"/>
              <w:ind w:right="189"/>
              <w:spacing w:after="0" w:line="137" w:lineRule="exact"/>
              <w:rPr>
                <w:sz w:val="20"/>
                <w:szCs w:val="20"/>
                <w:color w:val="auto"/>
              </w:rPr>
            </w:pPr>
            <w:r>
              <w:rPr>
                <w:rFonts w:ascii="Arial" w:cs="Arial" w:eastAsia="Arial" w:hAnsi="Arial"/>
                <w:sz w:val="12"/>
                <w:szCs w:val="12"/>
                <w:b w:val="1"/>
                <w:bCs w:val="1"/>
                <w:color w:val="auto"/>
              </w:rPr>
              <w:t>Charged to</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37"/>
        </w:trPr>
        <w:tc>
          <w:tcPr>
            <w:tcW w:w="6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89"/>
              <w:spacing w:after="0" w:line="137" w:lineRule="exact"/>
              <w:rPr>
                <w:sz w:val="20"/>
                <w:szCs w:val="20"/>
                <w:color w:val="auto"/>
              </w:rPr>
            </w:pPr>
            <w:r>
              <w:rPr>
                <w:rFonts w:ascii="Arial" w:cs="Arial" w:eastAsia="Arial" w:hAnsi="Arial"/>
                <w:sz w:val="12"/>
                <w:szCs w:val="12"/>
                <w:b w:val="1"/>
                <w:bCs w:val="1"/>
                <w:color w:val="auto"/>
              </w:rPr>
              <w:t>Beginning</w:t>
            </w:r>
          </w:p>
        </w:tc>
        <w:tc>
          <w:tcPr>
            <w:tcW w:w="300" w:type="dxa"/>
            <w:vAlign w:val="bottom"/>
          </w:tcPr>
          <w:p>
            <w:pPr>
              <w:spacing w:after="0"/>
              <w:rPr>
                <w:sz w:val="11"/>
                <w:szCs w:val="11"/>
                <w:color w:val="auto"/>
              </w:rPr>
            </w:pPr>
          </w:p>
        </w:tc>
        <w:tc>
          <w:tcPr>
            <w:tcW w:w="1080" w:type="dxa"/>
            <w:vAlign w:val="bottom"/>
          </w:tcPr>
          <w:p>
            <w:pPr>
              <w:jc w:val="center"/>
              <w:ind w:right="169"/>
              <w:spacing w:after="0" w:line="137" w:lineRule="exact"/>
              <w:rPr>
                <w:sz w:val="20"/>
                <w:szCs w:val="20"/>
                <w:color w:val="auto"/>
              </w:rPr>
            </w:pPr>
            <w:r>
              <w:rPr>
                <w:rFonts w:ascii="Arial" w:cs="Arial" w:eastAsia="Arial" w:hAnsi="Arial"/>
                <w:sz w:val="12"/>
                <w:szCs w:val="12"/>
                <w:b w:val="1"/>
                <w:bCs w:val="1"/>
                <w:color w:val="auto"/>
              </w:rPr>
              <w:t>Costs and</w:t>
            </w: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End</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rPr>
              <w:t>of Period</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rPr>
              <w:t>Expenses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Deductions</w:t>
            </w:r>
          </w:p>
        </w:tc>
        <w:tc>
          <w:tcPr>
            <w:tcW w:w="3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w:t>
            </w:r>
          </w:p>
        </w:tc>
        <w:tc>
          <w:tcPr>
            <w:tcW w:w="0" w:type="dxa"/>
            <w:vAlign w:val="bottom"/>
          </w:tcPr>
          <w:p>
            <w:pPr>
              <w:spacing w:after="0"/>
              <w:rPr>
                <w:sz w:val="1"/>
                <w:szCs w:val="1"/>
                <w:color w:val="auto"/>
              </w:rPr>
            </w:pP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b w:val="1"/>
                <w:bCs w:val="1"/>
                <w:color w:val="auto"/>
              </w:rPr>
              <w:t>Year Ended December 31, 2011</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Allowance for doubtful accounts and returns</w:t>
            </w:r>
          </w:p>
        </w:tc>
        <w:tc>
          <w:tcPr>
            <w:tcW w:w="160" w:type="dxa"/>
            <w:vAlign w:val="bottom"/>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ind w:right="69"/>
              <w:spacing w:after="0"/>
              <w:rPr>
                <w:sz w:val="20"/>
                <w:szCs w:val="20"/>
                <w:color w:val="auto"/>
              </w:rPr>
            </w:pPr>
            <w:r>
              <w:rPr>
                <w:rFonts w:ascii="Arial" w:cs="Arial" w:eastAsia="Arial" w:hAnsi="Arial"/>
                <w:sz w:val="15"/>
                <w:szCs w:val="15"/>
                <w:b w:val="1"/>
                <w:bCs w:val="1"/>
                <w:color w:val="auto"/>
              </w:rPr>
              <w:t>67,007</w:t>
            </w:r>
          </w:p>
        </w:tc>
        <w:tc>
          <w:tcPr>
            <w:tcW w:w="3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9"/>
              <w:spacing w:after="0"/>
              <w:rPr>
                <w:sz w:val="20"/>
                <w:szCs w:val="20"/>
                <w:color w:val="auto"/>
              </w:rPr>
            </w:pPr>
            <w:r>
              <w:rPr>
                <w:rFonts w:ascii="Arial" w:cs="Arial" w:eastAsia="Arial" w:hAnsi="Arial"/>
                <w:sz w:val="15"/>
                <w:szCs w:val="15"/>
                <w:b w:val="1"/>
                <w:bCs w:val="1"/>
                <w:color w:val="auto"/>
              </w:rPr>
              <w:t>61,327</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(80,135)</w:t>
            </w:r>
          </w:p>
        </w:tc>
        <w:tc>
          <w:tcPr>
            <w:tcW w:w="3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b w:val="1"/>
                <w:bCs w:val="1"/>
                <w:color w:val="auto"/>
              </w:rPr>
              <w:t>Allowance for advertising rate adjustments and</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00" w:type="dxa"/>
            <w:vAlign w:val="bottom"/>
          </w:tcPr>
          <w:p>
            <w:pPr>
              <w:ind w:left="220"/>
              <w:spacing w:after="0"/>
              <w:rPr>
                <w:sz w:val="20"/>
                <w:szCs w:val="20"/>
                <w:color w:val="auto"/>
              </w:rPr>
            </w:pPr>
            <w:r>
              <w:rPr>
                <w:rFonts w:ascii="Arial" w:cs="Arial" w:eastAsia="Arial" w:hAnsi="Arial"/>
                <w:sz w:val="15"/>
                <w:szCs w:val="15"/>
                <w:b w:val="1"/>
                <w:bCs w:val="1"/>
                <w:color w:val="auto"/>
              </w:rPr>
              <w:t>discounts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3,174</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11,868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(13,016)</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70,181</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73,195</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(93,151)</w:t>
            </w:r>
          </w:p>
        </w:tc>
        <w:tc>
          <w:tcPr>
            <w:tcW w:w="3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5"/>
                <w:szCs w:val="15"/>
                <w:color w:val="auto"/>
              </w:rPr>
              <w:t>Year Ended January 2, 2011</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color w:val="auto"/>
              </w:rPr>
              <w:t>Allowance for doubtful accounts and returns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98,286</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137,888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(169,167)</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00" w:type="dxa"/>
            <w:vAlign w:val="bottom"/>
          </w:tcPr>
          <w:p>
            <w:pPr>
              <w:spacing w:after="0"/>
              <w:rPr>
                <w:sz w:val="20"/>
                <w:szCs w:val="20"/>
                <w:color w:val="auto"/>
              </w:rPr>
            </w:pPr>
            <w:r>
              <w:rPr>
                <w:rFonts w:ascii="Arial" w:cs="Arial" w:eastAsia="Arial" w:hAnsi="Arial"/>
                <w:sz w:val="15"/>
                <w:szCs w:val="15"/>
                <w:color w:val="auto"/>
              </w:rPr>
              <w:t>Allowance for advertising rate adjustments and discounts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8,495</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12,216</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(17,537)</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106,781</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150,104</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(186,704)</w:t>
            </w:r>
          </w:p>
        </w:tc>
        <w:tc>
          <w:tcPr>
            <w:tcW w:w="3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5"/>
                <w:szCs w:val="15"/>
                <w:color w:val="auto"/>
              </w:rPr>
              <w:t>Year Ended January 3, 2010</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color w:val="auto"/>
              </w:rPr>
              <w:t>Allowance for doubtful accounts and returns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95,425</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9"/>
              <w:spacing w:after="0"/>
              <w:rPr>
                <w:sz w:val="20"/>
                <w:szCs w:val="20"/>
                <w:color w:val="auto"/>
              </w:rPr>
            </w:pPr>
            <w:r>
              <w:rPr>
                <w:rFonts w:ascii="Arial" w:cs="Arial" w:eastAsia="Arial" w:hAnsi="Arial"/>
                <w:sz w:val="15"/>
                <w:szCs w:val="15"/>
                <w:color w:val="auto"/>
              </w:rPr>
              <w:t>168,455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(165,594)</w:t>
            </w:r>
          </w:p>
        </w:tc>
        <w:tc>
          <w:tcPr>
            <w:tcW w:w="3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00" w:type="dxa"/>
            <w:vAlign w:val="bottom"/>
          </w:tcPr>
          <w:p>
            <w:pPr>
              <w:spacing w:after="0"/>
              <w:rPr>
                <w:sz w:val="20"/>
                <w:szCs w:val="20"/>
                <w:color w:val="auto"/>
              </w:rPr>
            </w:pPr>
            <w:r>
              <w:rPr>
                <w:rFonts w:ascii="Arial" w:cs="Arial" w:eastAsia="Arial" w:hAnsi="Arial"/>
                <w:sz w:val="15"/>
                <w:szCs w:val="15"/>
                <w:color w:val="auto"/>
              </w:rPr>
              <w:t>Allowance for advertising rate adjustments and discounts</w:t>
            </w: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9,228</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24,208</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(24,941)</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104,653</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192,663</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(190,535)</w:t>
            </w:r>
          </w:p>
        </w:tc>
        <w:tc>
          <w:tcPr>
            <w:tcW w:w="3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reduced activity for 2011 and 2010 in the table above is largely due to the sale of Newsweek on September 30, 2010.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liabilities at December 31, 2011 and January 2,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2011</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Accounts payable and accrued liabilities</w:t>
            </w:r>
          </w:p>
        </w:tc>
        <w:tc>
          <w:tcPr>
            <w:tcW w:w="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333,282</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4</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Accrued compensation and related benefits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161,759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40" w:type="dxa"/>
            <w:vAlign w:val="bottom"/>
          </w:tcPr>
          <w:p>
            <w:pPr>
              <w:spacing w:after="0"/>
              <w:rPr>
                <w:sz w:val="14"/>
                <w:szCs w:val="14"/>
                <w:color w:val="auto"/>
              </w:rPr>
            </w:pP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495,041</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Cash overdrafts of $2.1 million and $26.2 million are included in accounts payable and accrued liabilities at December 31, 2011 and January 2, 2011,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PLANT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at December 31, 2011 and January 2, 2011 consist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2011</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2010</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Land</w:t>
            </w:r>
          </w:p>
        </w:tc>
        <w:tc>
          <w:tcPr>
            <w:tcW w:w="28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41,093</w:t>
            </w:r>
          </w:p>
        </w:tc>
        <w:tc>
          <w:tcPr>
            <w:tcW w:w="40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Buildings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350,939</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Machinery, equipment and fixtures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2,479,823</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Leasehold improvements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304,421</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95,173</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50"/>
        </w:trPr>
        <w:tc>
          <w:tcPr>
            <w:tcW w:w="8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3,271,449</w:t>
            </w:r>
          </w:p>
        </w:tc>
        <w:tc>
          <w:tcPr>
            <w:tcW w:w="40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3,1</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(2,119,059)</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w:t>
            </w:r>
          </w:p>
        </w:tc>
      </w:tr>
      <w:tr>
        <w:trPr>
          <w:trHeight w:val="166"/>
        </w:trPr>
        <w:tc>
          <w:tcPr>
            <w:tcW w:w="8680" w:type="dxa"/>
            <w:vAlign w:val="bottom"/>
          </w:tcPr>
          <w:p>
            <w:pPr>
              <w:spacing w:after="0"/>
              <w:rPr>
                <w:sz w:val="14"/>
                <w:szCs w:val="14"/>
                <w:color w:val="auto"/>
              </w:rPr>
            </w:pP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1,152,390</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$253.4 million, $246.6 million and $290.6 million in 2011, 2010 and 2009, respectively.</w:t>
      </w:r>
    </w:p>
    <w:p>
      <w:pPr>
        <w:spacing w:after="0" w:line="15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6"/>
          <w:szCs w:val="16"/>
          <w:b w:val="1"/>
          <w:bCs w:val="1"/>
          <w:color w:val="auto"/>
        </w:rPr>
        <w:t>ACQUISITIONS AND DISPOSITIONS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completed business acquisitions totaling approximately $136.5 million, $14.1 million and $26.1 million, in 2011, 2010 and 2009, respect The assets and liabilities of the companies acquired have been recorded at their estimated fair values at the date of acquisition.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During 2011, the Company completed five business acquisitions totaling approximately $ 136.5 million, including assumed debt of $ 5.5 million and oth assumed liabilities. Kaplan acquired three businesses in its Kaplan International division, one business in its KHE division, and one business in its Kap Ventures division. These included the May 2011 acquisitions of Franklyn Scholar and Carrick Education Group, leading national providers of vocationa training and higher education in Australia, and the June 2011 acquisition of Structuralia, a provider of e-learning for the engineering and infrastructure in Spain. The purchase price allocations mostly comprised goodwill, other intangible assets, and property, plant and equipment.</w:t>
      </w:r>
    </w:p>
    <w:p>
      <w:pPr>
        <w:spacing w:after="0" w:line="17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91" w:name="page92"/>
    <w:bookmarkEnd w:id="91"/>
    <w:p>
      <w:pPr>
        <w:jc w:val="both"/>
        <w:ind w:left="9" w:right="20"/>
        <w:spacing w:after="0" w:line="233" w:lineRule="auto"/>
        <w:rPr>
          <w:sz w:val="20"/>
          <w:szCs w:val="20"/>
          <w:color w:val="auto"/>
        </w:rPr>
      </w:pPr>
      <w:r>
        <w:rPr>
          <w:rFonts w:ascii="Arial" w:cs="Arial" w:eastAsia="Arial" w:hAnsi="Arial"/>
          <w:sz w:val="17"/>
          <w:szCs w:val="17"/>
          <w:color w:val="auto"/>
        </w:rPr>
        <w:t>Kaplan completed the sales of KVE in July 2011 and KCS in October 2011, which were part of Kaplan Ventures and KHE, respectively. In April 2010, Kaplan completed the sale of Education Connection, which was part of Kaplan Ventures. Consequently, the Company’s income from continuing opera excludes results from these businesses, which have been reclassified to discontinued operations (see Note 3).</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During 2010, the Company acquired six businesses for $14.1 million. Kaplan acquired two small businesses in its KTP division, one small business in Ventures division and one small business in its International division. The Company made two small acquisitions in its cable television and other busin divisions. The purchase price allocations for these acquisitions mostly comprised goodwill and other intangible assets.</w:t>
      </w:r>
    </w:p>
    <w:p>
      <w:pPr>
        <w:spacing w:after="0" w:line="175"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In September 2010, the Company completed the sale of Newsweek. In December 2009, the Company completed the sale of Newsweek’s Budget Tra Consequently, the Company’s income from continuing operations excludes magazine publishing division results, which have been reclassified to discontinued operations (see Note 3).</w:t>
      </w:r>
    </w:p>
    <w:p>
      <w:pPr>
        <w:spacing w:after="0" w:line="175"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During 2009, the Company acquired three businesses for $26.1 million. Kaplan acquired one business in each of its International and KTP divisions, a newspaper publishing division acquired a small local publication. The purchase price allocations for these acquisitions mostly comprised goodwill and intangible assets. Also in 2009, the Company recorded $3.2 million of additional purchase consideration in connection with the achievement of certain operating results by a company acquired in 2007 and allocated the additional purchase consideration to goodwill.</w:t>
      </w:r>
    </w:p>
    <w:p>
      <w:pPr>
        <w:spacing w:after="0" w:line="155" w:lineRule="exact"/>
        <w:rPr>
          <w:sz w:val="20"/>
          <w:szCs w:val="20"/>
          <w:color w:val="auto"/>
        </w:rPr>
      </w:pPr>
    </w:p>
    <w:p>
      <w:pPr>
        <w:ind w:left="329" w:hanging="329"/>
        <w:spacing w:after="0"/>
        <w:tabs>
          <w:tab w:leader="none" w:pos="329"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OTHER INTANGIBLE ASSETS</w:t>
      </w:r>
    </w:p>
    <w:p>
      <w:pPr>
        <w:spacing w:after="0" w:line="197"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education division made several changes to its operating and reporting structure in the first quarter of 2011 and 2010, changing the composition o reporting units within KTP, Kaplan Ventures and KHE (see Note 18). The changes resulted in the reassignment of the assets and liabilities to the repor units affected. The goodwill was allocated to the reporting units affected using the relative fair value approach.</w:t>
      </w:r>
    </w:p>
    <w:p>
      <w:pPr>
        <w:spacing w:after="0" w:line="175"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As a result of continued challenges in the lead generation industry, in both the third quarters of 2011 and 2010, the Company performed interim review the carrying value of goodwill and other intangible asset at its online lead generation business, which is included within the other businesses segment. business failed the step one goodwill impairment tests and the Company performed a step two analysis, resulting in an $11.9 million and a $ 27.5 millio goodwill and other intangible assets impairment charge in the third quarters of 2011 and 2010, respectively. The Company estimated the fair value util discounted cash flow model.</w:t>
      </w:r>
    </w:p>
    <w:p>
      <w:pPr>
        <w:spacing w:after="0" w:line="176" w:lineRule="exact"/>
        <w:rPr>
          <w:sz w:val="20"/>
          <w:szCs w:val="20"/>
          <w:color w:val="auto"/>
        </w:rPr>
      </w:pPr>
    </w:p>
    <w:p>
      <w:pPr>
        <w:ind w:left="9"/>
        <w:spacing w:after="0" w:line="244" w:lineRule="auto"/>
        <w:rPr>
          <w:sz w:val="20"/>
          <w:szCs w:val="20"/>
          <w:color w:val="auto"/>
        </w:rPr>
      </w:pPr>
      <w:r>
        <w:rPr>
          <w:rFonts w:ascii="Arial" w:cs="Arial" w:eastAsia="Arial" w:hAnsi="Arial"/>
          <w:sz w:val="16"/>
          <w:szCs w:val="16"/>
          <w:color w:val="auto"/>
        </w:rPr>
        <w:t>The education division reorganized its operations in the third quarter of 2009 into the following four operating segments for the purpose of making ope decisions and assessing performance: KHE, KTP, Kaplan International and Kaplan Ventures. The reorganization changed the composition of the repo units within the education division and resulted in the reassignment of the assets and liabilities. The goodwill was allocated to the reporting units using relative fair value approach. As a result of the reassignment and allocation, the Company performed an interim review of the carrying value of goodwill education division for possible impairment on both a prereorganization and postreorganization basis. No impairment of goodwill was indicated at the prereorganization reporting units. On a postreorganization basis, the Company failed the step one goodwill impairment test at Kaplan EduNeering and and performed a step two analysis. The Company recorded a goodwill and other long-lived asset impairment charge of $25.4 million related to these t reporting units in 2009. The fair value of Kaplan EduNeering was determined utilizing a discounted cash flow model; the fair value of KCS was determ using a cost approach. Of the $25.4 million goodwill and other long-lived asset impairment charge, $16.9 million related to KCS and is included in “Los discontinued operation, net of tax” in the Company’s Consolidated Statements of Operations.</w:t>
      </w:r>
    </w:p>
    <w:p>
      <w:pPr>
        <w:spacing w:after="0" w:line="177"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Amortization of intangible assets is estimated to be approximately $15 million in 2012, $12 million in 2013, $9 million in 2014, $8 million in 2015, $5 mi 2016 and $6 million thereafter.</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72" w:right="1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The changes in the carrying amount of goodwill related to continuing operations, by segment, during 2011 and 2010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07"/>
              <w:spacing w:after="0"/>
              <w:rPr>
                <w:sz w:val="20"/>
                <w:szCs w:val="20"/>
                <w:color w:val="auto"/>
              </w:rPr>
            </w:pPr>
            <w:r>
              <w:rPr>
                <w:rFonts w:ascii="Arial" w:cs="Arial" w:eastAsia="Arial" w:hAnsi="Arial"/>
                <w:sz w:val="12"/>
                <w:szCs w:val="12"/>
                <w:b w:val="1"/>
                <w:bCs w:val="1"/>
                <w:color w:val="auto"/>
              </w:rPr>
              <w:t>Cable</w:t>
            </w:r>
          </w:p>
        </w:tc>
        <w:tc>
          <w:tcPr>
            <w:tcW w:w="220" w:type="dxa"/>
            <w:vAlign w:val="bottom"/>
          </w:tcPr>
          <w:p>
            <w:pPr>
              <w:spacing w:after="0"/>
              <w:rPr>
                <w:sz w:val="12"/>
                <w:szCs w:val="12"/>
                <w:color w:val="auto"/>
              </w:rPr>
            </w:pPr>
          </w:p>
        </w:tc>
        <w:tc>
          <w:tcPr>
            <w:tcW w:w="920" w:type="dxa"/>
            <w:vAlign w:val="bottom"/>
          </w:tcPr>
          <w:p>
            <w:pPr>
              <w:jc w:val="right"/>
              <w:ind w:right="147"/>
              <w:spacing w:after="0"/>
              <w:rPr>
                <w:sz w:val="20"/>
                <w:szCs w:val="20"/>
                <w:color w:val="auto"/>
              </w:rPr>
            </w:pPr>
            <w:r>
              <w:rPr>
                <w:rFonts w:ascii="Arial" w:cs="Arial" w:eastAsia="Arial" w:hAnsi="Arial"/>
                <w:sz w:val="12"/>
                <w:szCs w:val="12"/>
                <w:b w:val="1"/>
                <w:bCs w:val="1"/>
                <w:color w:val="auto"/>
              </w:rPr>
              <w:t>Newspaper</w:t>
            </w:r>
          </w:p>
        </w:tc>
        <w:tc>
          <w:tcPr>
            <w:tcW w:w="160" w:type="dxa"/>
            <w:vAlign w:val="bottom"/>
          </w:tcPr>
          <w:p>
            <w:pPr>
              <w:spacing w:after="0"/>
              <w:rPr>
                <w:sz w:val="12"/>
                <w:szCs w:val="12"/>
                <w:color w:val="auto"/>
              </w:rPr>
            </w:pPr>
          </w:p>
        </w:tc>
        <w:tc>
          <w:tcPr>
            <w:tcW w:w="960" w:type="dxa"/>
            <w:vAlign w:val="bottom"/>
          </w:tcPr>
          <w:p>
            <w:pPr>
              <w:jc w:val="right"/>
              <w:ind w:right="167"/>
              <w:spacing w:after="0"/>
              <w:rPr>
                <w:sz w:val="20"/>
                <w:szCs w:val="20"/>
                <w:color w:val="auto"/>
              </w:rPr>
            </w:pPr>
            <w:r>
              <w:rPr>
                <w:rFonts w:ascii="Arial" w:cs="Arial" w:eastAsia="Arial" w:hAnsi="Arial"/>
                <w:sz w:val="12"/>
                <w:szCs w:val="12"/>
                <w:b w:val="1"/>
                <w:bCs w:val="1"/>
                <w:color w:val="auto"/>
              </w:rPr>
              <w:t>Television</w:t>
            </w:r>
          </w:p>
        </w:tc>
        <w:tc>
          <w:tcPr>
            <w:tcW w:w="200" w:type="dxa"/>
            <w:vAlign w:val="bottom"/>
          </w:tcPr>
          <w:p>
            <w:pPr>
              <w:spacing w:after="0"/>
              <w:rPr>
                <w:sz w:val="12"/>
                <w:szCs w:val="12"/>
                <w:color w:val="auto"/>
              </w:rPr>
            </w:pPr>
          </w:p>
        </w:tc>
        <w:tc>
          <w:tcPr>
            <w:tcW w:w="940" w:type="dxa"/>
            <w:vAlign w:val="bottom"/>
          </w:tcPr>
          <w:p>
            <w:pPr>
              <w:jc w:val="right"/>
              <w:ind w:right="307"/>
              <w:spacing w:after="0"/>
              <w:rPr>
                <w:sz w:val="20"/>
                <w:szCs w:val="20"/>
                <w:color w:val="auto"/>
              </w:rPr>
            </w:pPr>
            <w:r>
              <w:rPr>
                <w:rFonts w:ascii="Arial" w:cs="Arial" w:eastAsia="Arial" w:hAnsi="Arial"/>
                <w:sz w:val="12"/>
                <w:szCs w:val="12"/>
                <w:b w:val="1"/>
                <w:bCs w:val="1"/>
                <w:color w:val="auto"/>
              </w:rPr>
              <w:t>Other</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Education</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Television</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Publishing</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Broadcasting</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Businesses</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w w:val="78"/>
              </w:rPr>
              <w:t>Tota</w:t>
            </w: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Balance as of January 3, 2010</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1,073,852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85,488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81,186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203,165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97,342</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400" w:type="dxa"/>
            <w:vAlign w:val="bottom"/>
          </w:tcPr>
          <w:p>
            <w:pPr>
              <w:ind w:left="180"/>
              <w:spacing w:after="0"/>
              <w:rPr>
                <w:sz w:val="20"/>
                <w:szCs w:val="20"/>
                <w:color w:val="auto"/>
              </w:rPr>
            </w:pPr>
            <w:r>
              <w:rPr>
                <w:rFonts w:ascii="Arial" w:cs="Arial" w:eastAsia="Arial" w:hAnsi="Arial"/>
                <w:sz w:val="15"/>
                <w:szCs w:val="15"/>
                <w:color w:val="auto"/>
                <w:w w:val="95"/>
              </w:rPr>
              <w:t>1,5</w:t>
            </w:r>
          </w:p>
        </w:tc>
        <w:tc>
          <w:tcPr>
            <w:tcW w:w="0" w:type="dxa"/>
            <w:vAlign w:val="bottom"/>
          </w:tcPr>
          <w:p>
            <w:pPr>
              <w:spacing w:after="0"/>
              <w:rPr>
                <w:sz w:val="1"/>
                <w:szCs w:val="1"/>
                <w:color w:val="auto"/>
              </w:rPr>
            </w:pPr>
          </w:p>
        </w:tc>
      </w:tr>
      <w:tr>
        <w:trPr>
          <w:trHeight w:val="172"/>
        </w:trPr>
        <w:tc>
          <w:tcPr>
            <w:tcW w:w="43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(15,529)</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(65,772)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(60,785)</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1,058,323</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85,488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15,414</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203,165</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36,557</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color w:val="auto"/>
                <w:w w:val="95"/>
              </w:rPr>
              <w:t>1,3</w:t>
            </w: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Acquisitions</w:t>
            </w:r>
          </w:p>
        </w:tc>
        <w:tc>
          <w:tcPr>
            <w:tcW w:w="200" w:type="dxa"/>
            <w:vAlign w:val="bottom"/>
          </w:tcPr>
          <w:p>
            <w:pPr>
              <w:spacing w:after="0"/>
              <w:rPr>
                <w:sz w:val="14"/>
                <w:szCs w:val="14"/>
                <w:color w:val="auto"/>
              </w:rPr>
            </w:pPr>
          </w:p>
        </w:tc>
        <w:tc>
          <w:tcPr>
            <w:tcW w:w="1100" w:type="dxa"/>
            <w:vAlign w:val="bottom"/>
          </w:tcPr>
          <w:p>
            <w:pPr>
              <w:jc w:val="right"/>
              <w:ind w:right="6"/>
              <w:spacing w:after="0" w:line="168" w:lineRule="exact"/>
              <w:rPr>
                <w:sz w:val="20"/>
                <w:szCs w:val="20"/>
                <w:color w:val="auto"/>
              </w:rPr>
            </w:pPr>
            <w:r>
              <w:rPr>
                <w:rFonts w:ascii="Arial" w:cs="Arial" w:eastAsia="Arial" w:hAnsi="Arial"/>
                <w:sz w:val="15"/>
                <w:szCs w:val="15"/>
                <w:color w:val="auto"/>
              </w:rPr>
              <w:t>4,200</w:t>
            </w:r>
          </w:p>
        </w:tc>
        <w:tc>
          <w:tcPr>
            <w:tcW w:w="2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Arial" w:cs="Arial" w:eastAsia="Arial" w:hAnsi="Arial"/>
                <w:sz w:val="15"/>
                <w:szCs w:val="15"/>
                <w:color w:val="auto"/>
              </w:rPr>
              <w:t>2,810</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color w:val="auto"/>
              </w:rPr>
              <w:t>Impairment</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(24,634)</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color w:val="auto"/>
              </w:rPr>
              <w:t>Dispositions</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(19,851)</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43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14,888</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Balance as of January 2, 2011</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1,073,089</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85,488</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81,183</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203,165</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100,152</w:t>
            </w:r>
          </w:p>
        </w:tc>
        <w:tc>
          <w:tcPr>
            <w:tcW w:w="32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5"/>
                <w:szCs w:val="15"/>
                <w:color w:val="auto"/>
                <w:w w:val="95"/>
              </w:rPr>
              <w:t>1,5</w:t>
            </w:r>
          </w:p>
        </w:tc>
        <w:tc>
          <w:tcPr>
            <w:tcW w:w="0" w:type="dxa"/>
            <w:vAlign w:val="bottom"/>
          </w:tcPr>
          <w:p>
            <w:pPr>
              <w:spacing w:after="0"/>
              <w:rPr>
                <w:sz w:val="1"/>
                <w:szCs w:val="1"/>
                <w:color w:val="auto"/>
              </w:rPr>
            </w:pPr>
          </w:p>
        </w:tc>
      </w:tr>
      <w:tr>
        <w:trPr>
          <w:trHeight w:val="172"/>
        </w:trPr>
        <w:tc>
          <w:tcPr>
            <w:tcW w:w="43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(15,529)</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(65,772)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(85,419)</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6"/>
        </w:trPr>
        <w:tc>
          <w:tcPr>
            <w:tcW w:w="4360" w:type="dxa"/>
            <w:vAlign w:val="bottom"/>
            <w:vMerge w:val="restart"/>
          </w:tcPr>
          <w:p>
            <w:pPr>
              <w:spacing w:after="0"/>
              <w:rPr>
                <w:sz w:val="20"/>
                <w:szCs w:val="20"/>
                <w:color w:val="auto"/>
              </w:rPr>
            </w:pPr>
            <w:r>
              <w:rPr>
                <w:rFonts w:ascii="Arial" w:cs="Arial" w:eastAsia="Arial" w:hAnsi="Arial"/>
                <w:sz w:val="15"/>
                <w:szCs w:val="15"/>
                <w:b w:val="1"/>
                <w:bCs w:val="1"/>
                <w:color w:val="auto"/>
              </w:rPr>
              <w:t>Acquisitions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1,057,560</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85,488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15,411</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203,165</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14,733</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color w:val="auto"/>
                <w:w w:val="95"/>
              </w:rPr>
              <w:t>1,3</w:t>
            </w:r>
          </w:p>
        </w:tc>
        <w:tc>
          <w:tcPr>
            <w:tcW w:w="0" w:type="dxa"/>
            <w:vAlign w:val="bottom"/>
          </w:tcPr>
          <w:p>
            <w:pPr>
              <w:spacing w:after="0"/>
              <w:rPr>
                <w:sz w:val="1"/>
                <w:szCs w:val="1"/>
                <w:color w:val="auto"/>
              </w:rPr>
            </w:pPr>
          </w:p>
        </w:tc>
      </w:tr>
      <w:tr>
        <w:trPr>
          <w:trHeight w:val="150"/>
        </w:trPr>
        <w:tc>
          <w:tcPr>
            <w:tcW w:w="4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78,643</w:t>
            </w:r>
          </w:p>
        </w:tc>
        <w:tc>
          <w:tcPr>
            <w:tcW w:w="240" w:type="dxa"/>
            <w:vAlign w:val="bottom"/>
          </w:tcPr>
          <w:p>
            <w:pPr>
              <w:spacing w:after="0"/>
              <w:rPr>
                <w:sz w:val="13"/>
                <w:szCs w:val="13"/>
                <w:color w:val="auto"/>
              </w:rPr>
            </w:pPr>
          </w:p>
        </w:tc>
        <w:tc>
          <w:tcPr>
            <w:tcW w:w="9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c>
          <w:tcPr>
            <w:tcW w:w="92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96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94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b w:val="1"/>
                <w:bCs w:val="1"/>
                <w:color w:val="auto"/>
              </w:rPr>
              <w:t>Impairment</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(11,923)</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b w:val="1"/>
                <w:bCs w:val="1"/>
                <w:color w:val="auto"/>
              </w:rPr>
              <w:t>Dispositions</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(21,144)</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 and other</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(6,936)</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0"/>
        </w:trPr>
        <w:tc>
          <w:tcPr>
            <w:tcW w:w="43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December 31, 2011</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1,116,615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85,488</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81,183</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203,165</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100,152</w:t>
            </w:r>
          </w:p>
        </w:tc>
        <w:tc>
          <w:tcPr>
            <w:tcW w:w="32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5"/>
                <w:szCs w:val="15"/>
                <w:b w:val="1"/>
                <w:bCs w:val="1"/>
                <w:color w:val="auto"/>
                <w:w w:val="95"/>
              </w:rPr>
              <w:t>1,5</w:t>
            </w:r>
          </w:p>
        </w:tc>
        <w:tc>
          <w:tcPr>
            <w:tcW w:w="0" w:type="dxa"/>
            <w:vAlign w:val="bottom"/>
          </w:tcPr>
          <w:p>
            <w:pPr>
              <w:spacing w:after="0"/>
              <w:rPr>
                <w:sz w:val="1"/>
                <w:szCs w:val="1"/>
                <w:color w:val="auto"/>
              </w:rPr>
            </w:pPr>
          </w:p>
        </w:tc>
      </w:tr>
      <w:tr>
        <w:trPr>
          <w:trHeight w:val="190"/>
        </w:trPr>
        <w:tc>
          <w:tcPr>
            <w:tcW w:w="436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(8,492)</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(65,772)</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(97,342)</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(17</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1,108,123</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85,488</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15,411</w:t>
            </w: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203,165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2,810</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b w:val="1"/>
                <w:bCs w:val="1"/>
                <w:color w:val="auto"/>
                <w:w w:val="95"/>
              </w:rPr>
              <w:t>1,4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carrying amount of goodwill at the Company’s education division for 2011 and 2010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Higher</w:t>
            </w: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rPr>
              <w:t>Test</w:t>
            </w: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Kaplan</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Kaplan</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rPr>
              <w:t>Education</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2"/>
                <w:szCs w:val="12"/>
                <w:b w:val="1"/>
                <w:bCs w:val="1"/>
                <w:color w:val="auto"/>
              </w:rPr>
              <w:t>Preparation</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rPr>
              <w:t>International</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2"/>
                <w:szCs w:val="12"/>
                <w:b w:val="1"/>
                <w:bCs w:val="1"/>
                <w:color w:val="auto"/>
              </w:rPr>
              <w:t>Ventures</w:t>
            </w: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20"/>
                <w:szCs w:val="20"/>
                <w:color w:val="auto"/>
              </w:rPr>
            </w:pPr>
            <w:r>
              <w:rPr>
                <w:rFonts w:ascii="Arial" w:cs="Arial" w:eastAsia="Arial" w:hAnsi="Arial"/>
                <w:sz w:val="15"/>
                <w:szCs w:val="15"/>
                <w:color w:val="auto"/>
              </w:rPr>
              <w:t>Balance as of January 3, 2010</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335,226</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236,779</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432,973</w:t>
            </w:r>
          </w:p>
        </w:tc>
        <w:tc>
          <w:tcPr>
            <w:tcW w:w="22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68,874</w:t>
            </w:r>
          </w:p>
        </w:tc>
        <w:tc>
          <w:tcPr>
            <w:tcW w:w="22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9"/>
        </w:trPr>
        <w:tc>
          <w:tcPr>
            <w:tcW w:w="51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(15,529)</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335,226</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236,779</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432,973</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53,345</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20"/>
                <w:szCs w:val="20"/>
                <w:color w:val="auto"/>
              </w:rPr>
            </w:pPr>
            <w:r>
              <w:rPr>
                <w:rFonts w:ascii="Arial" w:cs="Arial" w:eastAsia="Arial" w:hAnsi="Arial"/>
                <w:sz w:val="15"/>
                <w:szCs w:val="15"/>
                <w:color w:val="auto"/>
              </w:rPr>
              <w:t>Reallocation, net</w:t>
            </w: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(14,534)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14,534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Acquisitions</w:t>
            </w: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3,999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60" w:type="dxa"/>
            <w:vAlign w:val="bottom"/>
          </w:tcPr>
          <w:p>
            <w:pPr>
              <w:spacing w:after="0"/>
              <w:rPr>
                <w:sz w:val="20"/>
                <w:szCs w:val="20"/>
                <w:color w:val="auto"/>
              </w:rPr>
            </w:pPr>
            <w:r>
              <w:rPr>
                <w:rFonts w:ascii="Arial" w:cs="Arial" w:eastAsia="Arial" w:hAnsi="Arial"/>
                <w:sz w:val="15"/>
                <w:szCs w:val="15"/>
                <w:color w:val="auto"/>
              </w:rPr>
              <w:t>Dispositions</w:t>
            </w: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(19,851)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51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204</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11,766</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2,918</w:t>
            </w: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line="168" w:lineRule="exact"/>
              <w:rPr>
                <w:sz w:val="20"/>
                <w:szCs w:val="20"/>
                <w:color w:val="auto"/>
              </w:rPr>
            </w:pPr>
            <w:r>
              <w:rPr>
                <w:rFonts w:ascii="Arial" w:cs="Arial" w:eastAsia="Arial" w:hAnsi="Arial"/>
                <w:sz w:val="15"/>
                <w:szCs w:val="15"/>
                <w:color w:val="auto"/>
              </w:rPr>
              <w:t>Balance as of January 2, 2011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335,226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229,486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444,940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63,437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2"/>
        </w:trPr>
        <w:tc>
          <w:tcPr>
            <w:tcW w:w="51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(7,037)</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(8,492)</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5160" w:type="dxa"/>
            <w:vAlign w:val="bottom"/>
            <w:vMerge w:val="restart"/>
          </w:tcPr>
          <w:p>
            <w:pPr>
              <w:spacing w:after="0"/>
              <w:rPr>
                <w:sz w:val="20"/>
                <w:szCs w:val="20"/>
                <w:color w:val="auto"/>
              </w:rPr>
            </w:pPr>
            <w:r>
              <w:rPr>
                <w:rFonts w:ascii="Arial" w:cs="Arial" w:eastAsia="Arial" w:hAnsi="Arial"/>
                <w:sz w:val="15"/>
                <w:szCs w:val="15"/>
                <w:b w:val="1"/>
                <w:bCs w:val="1"/>
                <w:color w:val="auto"/>
              </w:rPr>
              <w:t>Reallocation, net</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335,226</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222,449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444,940</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54,945</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91,043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(70,262)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260"/>
              <w:spacing w:after="0" w:line="150"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8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(20,781)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20"/>
                <w:szCs w:val="20"/>
                <w:color w:val="auto"/>
              </w:rPr>
            </w:pPr>
            <w:r>
              <w:rPr>
                <w:rFonts w:ascii="Arial" w:cs="Arial" w:eastAsia="Arial" w:hAnsi="Arial"/>
                <w:sz w:val="15"/>
                <w:szCs w:val="15"/>
                <w:b w:val="1"/>
                <w:bCs w:val="1"/>
                <w:color w:val="auto"/>
              </w:rPr>
              <w:t>Acquisitions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74,803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3,418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20"/>
                <w:szCs w:val="20"/>
                <w:color w:val="auto"/>
              </w:rPr>
            </w:pPr>
            <w:r>
              <w:rPr>
                <w:rFonts w:ascii="Arial" w:cs="Arial" w:eastAsia="Arial" w:hAnsi="Arial"/>
                <w:sz w:val="15"/>
                <w:szCs w:val="15"/>
                <w:b w:val="1"/>
                <w:bCs w:val="1"/>
                <w:color w:val="auto"/>
              </w:rPr>
              <w:t>Dispositions</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(17,479)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(3,665)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 and other</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(84)</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(3,807)</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(3,045)</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0"/>
        </w:trPr>
        <w:tc>
          <w:tcPr>
            <w:tcW w:w="51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December 31, 2011</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16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409,128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152,187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515,936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39,364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r>
        <w:trPr>
          <w:trHeight w:val="190"/>
        </w:trPr>
        <w:tc>
          <w:tcPr>
            <w:tcW w:w="516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1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(8,492)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6"/>
        </w:trPr>
        <w:tc>
          <w:tcPr>
            <w:tcW w:w="5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409,128</w:t>
            </w:r>
          </w:p>
        </w:tc>
        <w:tc>
          <w:tcPr>
            <w:tcW w:w="240" w:type="dxa"/>
            <w:vAlign w:val="bottom"/>
            <w:tcBorders>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152,187</w:t>
            </w:r>
          </w:p>
        </w:tc>
        <w:tc>
          <w:tcPr>
            <w:tcW w:w="2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515,936</w:t>
            </w:r>
          </w:p>
        </w:tc>
        <w:tc>
          <w:tcPr>
            <w:tcW w:w="2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30,872</w:t>
            </w:r>
          </w:p>
        </w:tc>
        <w:tc>
          <w:tcPr>
            <w:tcW w:w="22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auto"/>
        </w:rPr>
        <w:t>Other intangible assets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31, 2011</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rPr>
              <w:t>As of January 2, 2011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center"/>
              <w:ind w:right="8"/>
              <w:spacing w:after="0" w:line="114" w:lineRule="exact"/>
              <w:rPr>
                <w:sz w:val="20"/>
                <w:szCs w:val="20"/>
                <w:color w:val="auto"/>
              </w:rPr>
            </w:pPr>
            <w:r>
              <w:rPr>
                <w:rFonts w:ascii="Arial" w:cs="Arial" w:eastAsia="Arial" w:hAnsi="Arial"/>
                <w:sz w:val="12"/>
                <w:szCs w:val="12"/>
                <w:b w:val="1"/>
                <w:bCs w:val="1"/>
                <w:color w:val="auto"/>
              </w:rPr>
              <w:t>Gross</w:t>
            </w: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180" w:type="dxa"/>
            <w:vAlign w:val="bottom"/>
          </w:tcPr>
          <w:p>
            <w:pPr>
              <w:spacing w:after="0"/>
              <w:rPr>
                <w:sz w:val="9"/>
                <w:szCs w:val="9"/>
                <w:color w:val="auto"/>
              </w:rPr>
            </w:pPr>
          </w:p>
        </w:tc>
        <w:tc>
          <w:tcPr>
            <w:tcW w:w="840" w:type="dxa"/>
            <w:vAlign w:val="bottom"/>
          </w:tcPr>
          <w:p>
            <w:pPr>
              <w:jc w:val="center"/>
              <w:ind w:right="108"/>
              <w:spacing w:after="0" w:line="114" w:lineRule="exact"/>
              <w:rPr>
                <w:sz w:val="20"/>
                <w:szCs w:val="20"/>
                <w:color w:val="auto"/>
              </w:rPr>
            </w:pPr>
            <w:r>
              <w:rPr>
                <w:rFonts w:ascii="Arial" w:cs="Arial" w:eastAsia="Arial" w:hAnsi="Arial"/>
                <w:sz w:val="12"/>
                <w:szCs w:val="12"/>
                <w:color w:val="auto"/>
              </w:rPr>
              <w:t>Gross</w:t>
            </w: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jc w:val="right"/>
              <w:spacing w:after="0" w:line="114" w:lineRule="exact"/>
              <w:rPr>
                <w:sz w:val="20"/>
                <w:szCs w:val="20"/>
                <w:color w:val="auto"/>
              </w:rPr>
            </w:pPr>
            <w:r>
              <w:rPr>
                <w:rFonts w:ascii="Arial" w:cs="Arial" w:eastAsia="Arial" w:hAnsi="Arial"/>
                <w:sz w:val="12"/>
                <w:szCs w:val="12"/>
                <w:color w:val="auto"/>
              </w:rPr>
              <w:t>Ne</w:t>
            </w: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600" w:type="dxa"/>
            <w:vAlign w:val="bottom"/>
            <w:gridSpan w:val="2"/>
          </w:tcPr>
          <w:p>
            <w:pPr>
              <w:jc w:val="right"/>
              <w:ind w:right="466"/>
              <w:spacing w:after="0" w:line="137" w:lineRule="exact"/>
              <w:rPr>
                <w:sz w:val="20"/>
                <w:szCs w:val="20"/>
                <w:color w:val="auto"/>
              </w:rPr>
            </w:pPr>
            <w:r>
              <w:rPr>
                <w:rFonts w:ascii="Arial" w:cs="Arial" w:eastAsia="Arial" w:hAnsi="Arial"/>
                <w:sz w:val="12"/>
                <w:szCs w:val="12"/>
                <w:b w:val="1"/>
                <w:bCs w:val="1"/>
                <w:color w:val="auto"/>
              </w:rPr>
              <w:t>Useful Life</w:t>
            </w:r>
          </w:p>
        </w:tc>
        <w:tc>
          <w:tcPr>
            <w:tcW w:w="840" w:type="dxa"/>
            <w:vAlign w:val="bottom"/>
          </w:tcPr>
          <w:p>
            <w:pPr>
              <w:jc w:val="center"/>
              <w:ind w:right="28"/>
              <w:spacing w:after="0" w:line="137" w:lineRule="exact"/>
              <w:rPr>
                <w:sz w:val="20"/>
                <w:szCs w:val="20"/>
                <w:color w:val="auto"/>
              </w:rPr>
            </w:pPr>
            <w:r>
              <w:rPr>
                <w:rFonts w:ascii="Arial" w:cs="Arial" w:eastAsia="Arial" w:hAnsi="Arial"/>
                <w:sz w:val="12"/>
                <w:szCs w:val="12"/>
                <w:b w:val="1"/>
                <w:bCs w:val="1"/>
                <w:color w:val="auto"/>
              </w:rPr>
              <w:t>Carrying</w:t>
            </w:r>
          </w:p>
        </w:tc>
        <w:tc>
          <w:tcPr>
            <w:tcW w:w="400" w:type="dxa"/>
            <w:vAlign w:val="bottom"/>
          </w:tcPr>
          <w:p>
            <w:pPr>
              <w:spacing w:after="0"/>
              <w:rPr>
                <w:sz w:val="11"/>
                <w:szCs w:val="11"/>
                <w:color w:val="auto"/>
              </w:rPr>
            </w:pPr>
          </w:p>
        </w:tc>
        <w:tc>
          <w:tcPr>
            <w:tcW w:w="1160" w:type="dxa"/>
            <w:vAlign w:val="bottom"/>
          </w:tcPr>
          <w:p>
            <w:pPr>
              <w:jc w:val="right"/>
              <w:ind w:right="229"/>
              <w:spacing w:after="0" w:line="137"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1"/>
                <w:szCs w:val="11"/>
                <w:color w:val="auto"/>
              </w:rPr>
            </w:pPr>
          </w:p>
        </w:tc>
        <w:tc>
          <w:tcPr>
            <w:tcW w:w="96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Carrying</w:t>
            </w:r>
          </w:p>
        </w:tc>
        <w:tc>
          <w:tcPr>
            <w:tcW w:w="180" w:type="dxa"/>
            <w:vAlign w:val="bottom"/>
          </w:tcPr>
          <w:p>
            <w:pPr>
              <w:spacing w:after="0"/>
              <w:rPr>
                <w:sz w:val="11"/>
                <w:szCs w:val="11"/>
                <w:color w:val="auto"/>
              </w:rPr>
            </w:pPr>
          </w:p>
        </w:tc>
        <w:tc>
          <w:tcPr>
            <w:tcW w:w="840" w:type="dxa"/>
            <w:vAlign w:val="bottom"/>
          </w:tcPr>
          <w:p>
            <w:pPr>
              <w:jc w:val="center"/>
              <w:ind w:right="108"/>
              <w:spacing w:after="0" w:line="137" w:lineRule="exact"/>
              <w:rPr>
                <w:sz w:val="20"/>
                <w:szCs w:val="20"/>
                <w:color w:val="auto"/>
              </w:rPr>
            </w:pPr>
            <w:r>
              <w:rPr>
                <w:rFonts w:ascii="Arial" w:cs="Arial" w:eastAsia="Arial" w:hAnsi="Arial"/>
                <w:sz w:val="12"/>
                <w:szCs w:val="12"/>
                <w:color w:val="auto"/>
              </w:rPr>
              <w:t>Carrying</w:t>
            </w:r>
          </w:p>
        </w:tc>
        <w:tc>
          <w:tcPr>
            <w:tcW w:w="220" w:type="dxa"/>
            <w:vAlign w:val="bottom"/>
          </w:tcPr>
          <w:p>
            <w:pPr>
              <w:spacing w:after="0"/>
              <w:rPr>
                <w:sz w:val="11"/>
                <w:szCs w:val="11"/>
                <w:color w:val="auto"/>
              </w:rPr>
            </w:pPr>
          </w:p>
        </w:tc>
        <w:tc>
          <w:tcPr>
            <w:tcW w:w="1020" w:type="dxa"/>
            <w:vAlign w:val="bottom"/>
          </w:tcPr>
          <w:p>
            <w:pPr>
              <w:jc w:val="center"/>
              <w:ind w:right="149"/>
              <w:spacing w:after="0" w:line="137" w:lineRule="exact"/>
              <w:rPr>
                <w:sz w:val="20"/>
                <w:szCs w:val="20"/>
                <w:color w:val="auto"/>
              </w:rPr>
            </w:pPr>
            <w:r>
              <w:rPr>
                <w:rFonts w:ascii="Arial" w:cs="Arial" w:eastAsia="Arial" w:hAnsi="Arial"/>
                <w:sz w:val="12"/>
                <w:szCs w:val="12"/>
                <w:color w:val="auto"/>
              </w:rPr>
              <w:t>Accumulated</w:t>
            </w:r>
          </w:p>
        </w:tc>
        <w:tc>
          <w:tcPr>
            <w:tcW w:w="540" w:type="dxa"/>
            <w:vAlign w:val="bottom"/>
          </w:tcPr>
          <w:p>
            <w:pPr>
              <w:jc w:val="right"/>
              <w:spacing w:after="0" w:line="137" w:lineRule="exact"/>
              <w:rPr>
                <w:sz w:val="20"/>
                <w:szCs w:val="20"/>
                <w:color w:val="auto"/>
              </w:rPr>
            </w:pPr>
            <w:r>
              <w:rPr>
                <w:rFonts w:ascii="Arial" w:cs="Arial" w:eastAsia="Arial" w:hAnsi="Arial"/>
                <w:sz w:val="12"/>
                <w:szCs w:val="12"/>
                <w:color w:val="auto"/>
              </w:rPr>
              <w:t>Carr</w:t>
            </w:r>
          </w:p>
        </w:tc>
        <w:tc>
          <w:tcPr>
            <w:tcW w:w="0" w:type="dxa"/>
            <w:vAlign w:val="bottom"/>
          </w:tcPr>
          <w:p>
            <w:pPr>
              <w:spacing w:after="0"/>
              <w:rPr>
                <w:sz w:val="1"/>
                <w:szCs w:val="1"/>
                <w:color w:val="auto"/>
              </w:rPr>
            </w:pPr>
          </w:p>
        </w:tc>
      </w:tr>
      <w:tr>
        <w:trPr>
          <w:trHeight w:val="151"/>
        </w:trPr>
        <w:tc>
          <w:tcPr>
            <w:tcW w:w="2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600" w:type="dxa"/>
            <w:vAlign w:val="bottom"/>
            <w:tcBorders>
              <w:bottom w:val="single" w:sz="8" w:color="auto"/>
            </w:tcBorders>
            <w:gridSpan w:val="2"/>
          </w:tcPr>
          <w:p>
            <w:pPr>
              <w:jc w:val="right"/>
              <w:ind w:right="586"/>
              <w:spacing w:after="0"/>
              <w:rPr>
                <w:sz w:val="20"/>
                <w:szCs w:val="20"/>
                <w:color w:val="auto"/>
              </w:rPr>
            </w:pPr>
            <w:r>
              <w:rPr>
                <w:rFonts w:ascii="Arial" w:cs="Arial" w:eastAsia="Arial" w:hAnsi="Arial"/>
                <w:sz w:val="12"/>
                <w:szCs w:val="12"/>
                <w:b w:val="1"/>
                <w:bCs w:val="1"/>
                <w:color w:val="auto"/>
              </w:rPr>
              <w:t>Range</w:t>
            </w: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Amount</w:t>
            </w: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Amortization</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color w:val="auto"/>
              </w:rPr>
              <w:t>Amount</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9"/>
              <w:spacing w:after="0"/>
              <w:rPr>
                <w:sz w:val="20"/>
                <w:szCs w:val="20"/>
                <w:color w:val="auto"/>
              </w:rPr>
            </w:pPr>
            <w:r>
              <w:rPr>
                <w:rFonts w:ascii="Arial" w:cs="Arial" w:eastAsia="Arial" w:hAnsi="Arial"/>
                <w:sz w:val="12"/>
                <w:szCs w:val="12"/>
                <w:color w:val="auto"/>
              </w:rPr>
              <w:t>Amortization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Arial" w:cs="Arial" w:eastAsia="Arial" w:hAnsi="Arial"/>
                <w:sz w:val="15"/>
                <w:szCs w:val="15"/>
                <w:color w:val="auto"/>
              </w:rPr>
              <w:t>Amortized intangible assets</w:t>
            </w:r>
          </w:p>
        </w:tc>
        <w:tc>
          <w:tcPr>
            <w:tcW w:w="1600" w:type="dxa"/>
            <w:vAlign w:val="bottom"/>
            <w:gridSpan w:val="2"/>
            <w:vMerge w:val="restart"/>
          </w:tcPr>
          <w:p>
            <w:pPr>
              <w:jc w:val="right"/>
              <w:ind w:right="46"/>
              <w:spacing w:after="0"/>
              <w:rPr>
                <w:sz w:val="20"/>
                <w:szCs w:val="20"/>
                <w:color w:val="auto"/>
              </w:rPr>
            </w:pPr>
            <w:r>
              <w:rPr>
                <w:rFonts w:ascii="Arial" w:cs="Arial" w:eastAsia="Arial" w:hAnsi="Arial"/>
                <w:sz w:val="15"/>
                <w:szCs w:val="15"/>
                <w:color w:val="auto"/>
              </w:rPr>
              <w:t xml:space="preserve">2 – 5 years  </w:t>
            </w:r>
            <w:r>
              <w:rPr>
                <w:rFonts w:ascii="Arial" w:cs="Arial" w:eastAsia="Arial" w:hAnsi="Arial"/>
                <w:sz w:val="15"/>
                <w:szCs w:val="15"/>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14,493</w:t>
            </w:r>
          </w:p>
        </w:tc>
        <w:tc>
          <w:tcPr>
            <w:tcW w:w="400" w:type="dxa"/>
            <w:vAlign w:val="bottom"/>
            <w:vMerge w:val="restart"/>
          </w:tcPr>
          <w:p>
            <w:pPr>
              <w:jc w:val="right"/>
              <w:ind w:right="10"/>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269"/>
              <w:spacing w:after="0"/>
              <w:rPr>
                <w:sz w:val="20"/>
                <w:szCs w:val="20"/>
                <w:color w:val="auto"/>
              </w:rPr>
            </w:pPr>
            <w:r>
              <w:rPr>
                <w:rFonts w:ascii="Arial" w:cs="Arial" w:eastAsia="Arial" w:hAnsi="Arial"/>
                <w:sz w:val="15"/>
                <w:szCs w:val="15"/>
                <w:b w:val="1"/>
                <w:bCs w:val="1"/>
                <w:color w:val="auto"/>
              </w:rPr>
              <w:t>10,764</w:t>
            </w: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tcPr>
          <w:p>
            <w:pPr>
              <w:jc w:val="right"/>
              <w:ind w:right="70"/>
              <w:spacing w:after="0"/>
              <w:rPr>
                <w:sz w:val="20"/>
                <w:szCs w:val="20"/>
                <w:color w:val="auto"/>
              </w:rPr>
            </w:pPr>
            <w:r>
              <w:rPr>
                <w:rFonts w:ascii="Arial" w:cs="Arial" w:eastAsia="Arial" w:hAnsi="Arial"/>
                <w:sz w:val="15"/>
                <w:szCs w:val="15"/>
                <w:b w:val="1"/>
                <w:bCs w:val="1"/>
                <w:color w:val="auto"/>
              </w:rPr>
              <w:t>3,729</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Pr>
          <w:p>
            <w:pPr>
              <w:ind w:left="220"/>
              <w:spacing w:after="0" w:line="156" w:lineRule="exact"/>
              <w:rPr>
                <w:sz w:val="20"/>
                <w:szCs w:val="20"/>
                <w:color w:val="auto"/>
              </w:rPr>
            </w:pPr>
            <w:r>
              <w:rPr>
                <w:rFonts w:ascii="Arial" w:cs="Arial" w:eastAsia="Arial" w:hAnsi="Arial"/>
                <w:sz w:val="15"/>
                <w:szCs w:val="15"/>
                <w:color w:val="auto"/>
              </w:rPr>
              <w:t>Noncompete agreements</w:t>
            </w:r>
          </w:p>
        </w:tc>
        <w:tc>
          <w:tcPr>
            <w:tcW w:w="16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43,940</w:t>
            </w: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89"/>
              <w:spacing w:after="0" w:line="156" w:lineRule="exact"/>
              <w:rPr>
                <w:sz w:val="20"/>
                <w:szCs w:val="20"/>
                <w:color w:val="auto"/>
              </w:rPr>
            </w:pPr>
            <w:r>
              <w:rPr>
                <w:rFonts w:ascii="Arial" w:cs="Arial" w:eastAsia="Arial" w:hAnsi="Arial"/>
                <w:sz w:val="15"/>
                <w:szCs w:val="15"/>
                <w:color w:val="auto"/>
              </w:rPr>
              <w:t>33,570</w:t>
            </w:r>
          </w:p>
        </w:tc>
        <w:tc>
          <w:tcPr>
            <w:tcW w:w="540" w:type="dxa"/>
            <w:vAlign w:val="bottom"/>
          </w:tcPr>
          <w:p>
            <w:pPr>
              <w:jc w:val="right"/>
              <w:ind w:right="393"/>
              <w:spacing w:after="0" w:line="156" w:lineRule="exact"/>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74"/>
        </w:trPr>
        <w:tc>
          <w:tcPr>
            <w:tcW w:w="2980" w:type="dxa"/>
            <w:vAlign w:val="bottom"/>
          </w:tcPr>
          <w:p>
            <w:pPr>
              <w:ind w:left="220"/>
              <w:spacing w:after="0"/>
              <w:rPr>
                <w:sz w:val="20"/>
                <w:szCs w:val="20"/>
                <w:color w:val="auto"/>
              </w:rPr>
            </w:pPr>
            <w:r>
              <w:rPr>
                <w:rFonts w:ascii="Arial" w:cs="Arial" w:eastAsia="Arial" w:hAnsi="Arial"/>
                <w:sz w:val="15"/>
                <w:szCs w:val="15"/>
                <w:color w:val="auto"/>
              </w:rPr>
              <w:t>Student and customer relationships</w:t>
            </w:r>
          </w:p>
        </w:tc>
        <w:tc>
          <w:tcPr>
            <w:tcW w:w="1600" w:type="dxa"/>
            <w:vAlign w:val="bottom"/>
            <w:gridSpan w:val="2"/>
          </w:tcPr>
          <w:p>
            <w:pPr>
              <w:jc w:val="right"/>
              <w:ind w:right="266"/>
              <w:spacing w:after="0"/>
              <w:rPr>
                <w:sz w:val="20"/>
                <w:szCs w:val="20"/>
                <w:color w:val="auto"/>
              </w:rPr>
            </w:pPr>
            <w:r>
              <w:rPr>
                <w:rFonts w:ascii="Arial" w:cs="Arial" w:eastAsia="Arial" w:hAnsi="Arial"/>
                <w:sz w:val="15"/>
                <w:szCs w:val="15"/>
                <w:color w:val="auto"/>
              </w:rPr>
              <w:t>2 – 10 years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75,734</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47,888</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27,846</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66,510</w:t>
            </w:r>
          </w:p>
        </w:tc>
        <w:tc>
          <w:tcPr>
            <w:tcW w:w="220" w:type="dxa"/>
            <w:vAlign w:val="bottom"/>
          </w:tcPr>
          <w:p>
            <w:pPr>
              <w:spacing w:after="0"/>
              <w:rPr>
                <w:sz w:val="15"/>
                <w:szCs w:val="15"/>
                <w:color w:val="auto"/>
              </w:rPr>
            </w:pPr>
          </w:p>
        </w:tc>
        <w:tc>
          <w:tcPr>
            <w:tcW w:w="1020" w:type="dxa"/>
            <w:vAlign w:val="bottom"/>
          </w:tcPr>
          <w:p>
            <w:pPr>
              <w:jc w:val="right"/>
              <w:ind w:right="89"/>
              <w:spacing w:after="0"/>
              <w:rPr>
                <w:sz w:val="20"/>
                <w:szCs w:val="20"/>
                <w:color w:val="auto"/>
              </w:rPr>
            </w:pPr>
            <w:r>
              <w:rPr>
                <w:rFonts w:ascii="Arial" w:cs="Arial" w:eastAsia="Arial" w:hAnsi="Arial"/>
                <w:sz w:val="15"/>
                <w:szCs w:val="15"/>
                <w:color w:val="auto"/>
              </w:rPr>
              <w:t>41,958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220"/>
              <w:spacing w:after="0"/>
              <w:rPr>
                <w:sz w:val="20"/>
                <w:szCs w:val="20"/>
                <w:color w:val="auto"/>
              </w:rPr>
            </w:pPr>
            <w:r>
              <w:rPr>
                <w:rFonts w:ascii="Arial" w:cs="Arial" w:eastAsia="Arial" w:hAnsi="Arial"/>
                <w:sz w:val="15"/>
                <w:szCs w:val="15"/>
                <w:color w:val="auto"/>
              </w:rPr>
              <w:t>Databases and technology</w:t>
            </w:r>
          </w:p>
        </w:tc>
        <w:tc>
          <w:tcPr>
            <w:tcW w:w="1600" w:type="dxa"/>
            <w:vAlign w:val="bottom"/>
            <w:gridSpan w:val="2"/>
          </w:tcPr>
          <w:p>
            <w:pPr>
              <w:jc w:val="right"/>
              <w:ind w:right="266"/>
              <w:spacing w:after="0"/>
              <w:rPr>
                <w:sz w:val="20"/>
                <w:szCs w:val="20"/>
                <w:color w:val="auto"/>
              </w:rPr>
            </w:pPr>
            <w:r>
              <w:rPr>
                <w:rFonts w:ascii="Arial" w:cs="Arial" w:eastAsia="Arial" w:hAnsi="Arial"/>
                <w:sz w:val="15"/>
                <w:szCs w:val="15"/>
                <w:color w:val="auto"/>
              </w:rPr>
              <w:t>3 – 5 years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10,514</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8,159</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2,355</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10,514</w:t>
            </w:r>
          </w:p>
        </w:tc>
        <w:tc>
          <w:tcPr>
            <w:tcW w:w="220" w:type="dxa"/>
            <w:vAlign w:val="bottom"/>
          </w:tcPr>
          <w:p>
            <w:pPr>
              <w:spacing w:after="0"/>
              <w:rPr>
                <w:sz w:val="15"/>
                <w:szCs w:val="15"/>
                <w:color w:val="auto"/>
              </w:rPr>
            </w:pPr>
          </w:p>
        </w:tc>
        <w:tc>
          <w:tcPr>
            <w:tcW w:w="1020" w:type="dxa"/>
            <w:vAlign w:val="bottom"/>
          </w:tcPr>
          <w:p>
            <w:pPr>
              <w:jc w:val="right"/>
              <w:ind w:right="89"/>
              <w:spacing w:after="0"/>
              <w:rPr>
                <w:sz w:val="20"/>
                <w:szCs w:val="20"/>
                <w:color w:val="auto"/>
              </w:rPr>
            </w:pPr>
            <w:r>
              <w:rPr>
                <w:rFonts w:ascii="Arial" w:cs="Arial" w:eastAsia="Arial" w:hAnsi="Arial"/>
                <w:sz w:val="15"/>
                <w:szCs w:val="15"/>
                <w:color w:val="auto"/>
              </w:rPr>
              <w:t>2,921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1600" w:type="dxa"/>
            <w:vAlign w:val="bottom"/>
            <w:gridSpan w:val="2"/>
          </w:tcPr>
          <w:p>
            <w:pPr>
              <w:jc w:val="right"/>
              <w:ind w:right="266"/>
              <w:spacing w:after="0"/>
              <w:rPr>
                <w:sz w:val="20"/>
                <w:szCs w:val="20"/>
                <w:color w:val="auto"/>
              </w:rPr>
            </w:pPr>
            <w:r>
              <w:rPr>
                <w:rFonts w:ascii="Arial" w:cs="Arial" w:eastAsia="Arial" w:hAnsi="Arial"/>
                <w:sz w:val="15"/>
                <w:szCs w:val="15"/>
                <w:color w:val="auto"/>
              </w:rPr>
              <w:t>2 – 10 years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36,222</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18,936</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17,286</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29,053</w:t>
            </w:r>
          </w:p>
        </w:tc>
        <w:tc>
          <w:tcPr>
            <w:tcW w:w="220" w:type="dxa"/>
            <w:vAlign w:val="bottom"/>
          </w:tcPr>
          <w:p>
            <w:pPr>
              <w:spacing w:after="0"/>
              <w:rPr>
                <w:sz w:val="15"/>
                <w:szCs w:val="15"/>
                <w:color w:val="auto"/>
              </w:rPr>
            </w:pPr>
          </w:p>
        </w:tc>
        <w:tc>
          <w:tcPr>
            <w:tcW w:w="1020" w:type="dxa"/>
            <w:vAlign w:val="bottom"/>
          </w:tcPr>
          <w:p>
            <w:pPr>
              <w:jc w:val="right"/>
              <w:ind w:right="89"/>
              <w:spacing w:after="0"/>
              <w:rPr>
                <w:sz w:val="20"/>
                <w:szCs w:val="20"/>
                <w:color w:val="auto"/>
              </w:rPr>
            </w:pPr>
            <w:r>
              <w:rPr>
                <w:rFonts w:ascii="Arial" w:cs="Arial" w:eastAsia="Arial" w:hAnsi="Arial"/>
                <w:sz w:val="15"/>
                <w:szCs w:val="15"/>
                <w:color w:val="auto"/>
              </w:rPr>
              <w:t>15,330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220"/>
              <w:spacing w:after="0"/>
              <w:rPr>
                <w:sz w:val="20"/>
                <w:szCs w:val="20"/>
                <w:color w:val="auto"/>
              </w:rPr>
            </w:pPr>
            <w:r>
              <w:rPr>
                <w:rFonts w:ascii="Arial" w:cs="Arial" w:eastAsia="Arial" w:hAnsi="Arial"/>
                <w:sz w:val="15"/>
                <w:szCs w:val="15"/>
                <w:color w:val="auto"/>
              </w:rPr>
              <w:t>Other</w:t>
            </w:r>
          </w:p>
        </w:tc>
        <w:tc>
          <w:tcPr>
            <w:tcW w:w="1600" w:type="dxa"/>
            <w:vAlign w:val="bottom"/>
            <w:gridSpan w:val="2"/>
          </w:tcPr>
          <w:p>
            <w:pPr>
              <w:jc w:val="right"/>
              <w:ind w:right="266"/>
              <w:spacing w:after="0"/>
              <w:rPr>
                <w:sz w:val="20"/>
                <w:szCs w:val="20"/>
                <w:color w:val="auto"/>
              </w:rPr>
            </w:pPr>
            <w:r>
              <w:rPr>
                <w:rFonts w:ascii="Arial" w:cs="Arial" w:eastAsia="Arial" w:hAnsi="Arial"/>
                <w:sz w:val="15"/>
                <w:szCs w:val="15"/>
                <w:color w:val="auto"/>
              </w:rPr>
              <w:t>1 – 25 years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9,971</w:t>
            </w:r>
          </w:p>
        </w:tc>
        <w:tc>
          <w:tcPr>
            <w:tcW w:w="400" w:type="dxa"/>
            <w:vAlign w:val="bottom"/>
          </w:tcPr>
          <w:p>
            <w:pPr>
              <w:spacing w:after="0"/>
              <w:rPr>
                <w:sz w:val="16"/>
                <w:szCs w:val="16"/>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6,565</w:t>
            </w:r>
          </w:p>
        </w:tc>
        <w:tc>
          <w:tcPr>
            <w:tcW w:w="200" w:type="dxa"/>
            <w:vAlign w:val="bottom"/>
          </w:tcPr>
          <w:p>
            <w:pPr>
              <w:spacing w:after="0"/>
              <w:rPr>
                <w:sz w:val="16"/>
                <w:szCs w:val="16"/>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3,406</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11,502</w:t>
            </w:r>
          </w:p>
        </w:tc>
        <w:tc>
          <w:tcPr>
            <w:tcW w:w="220" w:type="dxa"/>
            <w:vAlign w:val="bottom"/>
          </w:tcPr>
          <w:p>
            <w:pPr>
              <w:spacing w:after="0"/>
              <w:rPr>
                <w:sz w:val="16"/>
                <w:szCs w:val="16"/>
                <w:color w:val="auto"/>
              </w:rPr>
            </w:pPr>
          </w:p>
        </w:tc>
        <w:tc>
          <w:tcPr>
            <w:tcW w:w="1020" w:type="dxa"/>
            <w:vAlign w:val="bottom"/>
          </w:tcPr>
          <w:p>
            <w:pPr>
              <w:jc w:val="right"/>
              <w:ind w:right="89"/>
              <w:spacing w:after="0"/>
              <w:rPr>
                <w:sz w:val="20"/>
                <w:szCs w:val="20"/>
                <w:color w:val="auto"/>
              </w:rPr>
            </w:pPr>
            <w:r>
              <w:rPr>
                <w:rFonts w:ascii="Arial" w:cs="Arial" w:eastAsia="Arial" w:hAnsi="Arial"/>
                <w:sz w:val="15"/>
                <w:szCs w:val="15"/>
                <w:color w:val="auto"/>
              </w:rPr>
              <w:t>6,498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146,934</w:t>
            </w:r>
          </w:p>
        </w:tc>
        <w:tc>
          <w:tcPr>
            <w:tcW w:w="400" w:type="dxa"/>
            <w:vAlign w:val="bottom"/>
            <w:tcBorders>
              <w:top w:val="single" w:sz="8" w:color="auto"/>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top w:val="single" w:sz="8" w:color="auto"/>
              <w:bottom w:val="single" w:sz="8" w:color="auto"/>
            </w:tcBorders>
          </w:tcPr>
          <w:p>
            <w:pPr>
              <w:jc w:val="right"/>
              <w:ind w:right="269"/>
              <w:spacing w:after="0" w:line="167" w:lineRule="exact"/>
              <w:rPr>
                <w:sz w:val="20"/>
                <w:szCs w:val="20"/>
                <w:color w:val="auto"/>
              </w:rPr>
            </w:pPr>
            <w:r>
              <w:rPr>
                <w:rFonts w:ascii="Arial" w:cs="Arial" w:eastAsia="Arial" w:hAnsi="Arial"/>
                <w:sz w:val="15"/>
                <w:szCs w:val="15"/>
                <w:b w:val="1"/>
                <w:bCs w:val="1"/>
                <w:color w:val="auto"/>
              </w:rPr>
              <w:t>92,312</w:t>
            </w:r>
          </w:p>
        </w:tc>
        <w:tc>
          <w:tcPr>
            <w:tcW w:w="200" w:type="dxa"/>
            <w:vAlign w:val="bottom"/>
            <w:tcBorders>
              <w:top w:val="single" w:sz="8" w:color="auto"/>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tcPr>
          <w:p>
            <w:pPr>
              <w:jc w:val="right"/>
              <w:ind w:right="70"/>
              <w:spacing w:after="0" w:line="167" w:lineRule="exact"/>
              <w:rPr>
                <w:sz w:val="20"/>
                <w:szCs w:val="20"/>
                <w:color w:val="auto"/>
              </w:rPr>
            </w:pPr>
            <w:r>
              <w:rPr>
                <w:rFonts w:ascii="Arial" w:cs="Arial" w:eastAsia="Arial" w:hAnsi="Arial"/>
                <w:sz w:val="15"/>
                <w:szCs w:val="15"/>
                <w:b w:val="1"/>
                <w:bCs w:val="1"/>
                <w:color w:val="auto"/>
              </w:rPr>
              <w:t>54,622</w:t>
            </w:r>
          </w:p>
        </w:tc>
        <w:tc>
          <w:tcPr>
            <w:tcW w:w="180" w:type="dxa"/>
            <w:vAlign w:val="bottom"/>
            <w:tcBorders>
              <w:top w:val="single" w:sz="8" w:color="auto"/>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161,519</w:t>
            </w:r>
          </w:p>
        </w:tc>
        <w:tc>
          <w:tcPr>
            <w:tcW w:w="2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top w:val="single" w:sz="8" w:color="auto"/>
              <w:bottom w:val="single" w:sz="8" w:color="auto"/>
            </w:tcBorders>
          </w:tcPr>
          <w:p>
            <w:pPr>
              <w:jc w:val="right"/>
              <w:ind w:right="89"/>
              <w:spacing w:after="0" w:line="167" w:lineRule="exact"/>
              <w:rPr>
                <w:sz w:val="20"/>
                <w:szCs w:val="20"/>
                <w:color w:val="auto"/>
              </w:rPr>
            </w:pPr>
            <w:r>
              <w:rPr>
                <w:rFonts w:ascii="Arial" w:cs="Arial" w:eastAsia="Arial" w:hAnsi="Arial"/>
                <w:sz w:val="15"/>
                <w:szCs w:val="15"/>
                <w:color w:val="auto"/>
              </w:rPr>
              <w:t>100,277</w:t>
            </w:r>
          </w:p>
        </w:tc>
        <w:tc>
          <w:tcPr>
            <w:tcW w:w="540" w:type="dxa"/>
            <w:vAlign w:val="bottom"/>
            <w:tcBorders>
              <w:top w:val="single" w:sz="8" w:color="auto"/>
              <w:bottom w:val="single" w:sz="8" w:color="auto"/>
            </w:tcBorders>
          </w:tcPr>
          <w:p>
            <w:pPr>
              <w:jc w:val="right"/>
              <w:ind w:right="393"/>
              <w:spacing w:after="0" w:line="167" w:lineRule="exact"/>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5"/>
                <w:szCs w:val="15"/>
                <w:color w:val="auto"/>
              </w:rPr>
              <w:t>Indefinite-lived intangible assets</w:t>
            </w: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80" w:type="dxa"/>
            <w:vAlign w:val="bottom"/>
            <w:vMerge w:val="continue"/>
          </w:tcPr>
          <w:p>
            <w:pPr>
              <w:spacing w:after="0"/>
              <w:rPr>
                <w:sz w:val="13"/>
                <w:szCs w:val="13"/>
                <w:color w:val="auto"/>
              </w:rPr>
            </w:pPr>
          </w:p>
        </w:tc>
        <w:tc>
          <w:tcPr>
            <w:tcW w:w="1600" w:type="dxa"/>
            <w:vAlign w:val="bottom"/>
            <w:gridSpan w:val="2"/>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80" w:type="dxa"/>
            <w:vAlign w:val="bottom"/>
          </w:tcPr>
          <w:p>
            <w:pPr>
              <w:ind w:left="220"/>
              <w:spacing w:after="0" w:line="156" w:lineRule="exact"/>
              <w:rPr>
                <w:sz w:val="20"/>
                <w:szCs w:val="20"/>
                <w:color w:val="auto"/>
              </w:rPr>
            </w:pPr>
            <w:r>
              <w:rPr>
                <w:rFonts w:ascii="Arial" w:cs="Arial" w:eastAsia="Arial" w:hAnsi="Arial"/>
                <w:sz w:val="15"/>
                <w:szCs w:val="15"/>
                <w:color w:val="auto"/>
              </w:rPr>
              <w:t>Franchise agreements</w:t>
            </w:r>
          </w:p>
        </w:tc>
        <w:tc>
          <w:tcPr>
            <w:tcW w:w="16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496,166</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220"/>
              <w:spacing w:after="0"/>
              <w:rPr>
                <w:sz w:val="20"/>
                <w:szCs w:val="20"/>
                <w:color w:val="auto"/>
              </w:rPr>
            </w:pPr>
            <w:r>
              <w:rPr>
                <w:rFonts w:ascii="Arial" w:cs="Arial" w:eastAsia="Arial" w:hAnsi="Arial"/>
                <w:sz w:val="15"/>
                <w:szCs w:val="15"/>
                <w:color w:val="auto"/>
              </w:rPr>
              <w:t>Wireless licenses</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22,150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tcPr>
          <w:p>
            <w:pPr>
              <w:ind w:left="220"/>
              <w:spacing w:after="0"/>
              <w:rPr>
                <w:sz w:val="20"/>
                <w:szCs w:val="20"/>
                <w:color w:val="auto"/>
              </w:rPr>
            </w:pPr>
            <w:r>
              <w:rPr>
                <w:rFonts w:ascii="Arial" w:cs="Arial" w:eastAsia="Arial" w:hAnsi="Arial"/>
                <w:sz w:val="15"/>
                <w:szCs w:val="15"/>
                <w:color w:val="auto"/>
              </w:rPr>
              <w:t>Licensure and accreditation</w:t>
            </w: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7,862</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7,877</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tcPr>
          <w:p>
            <w:pPr>
              <w:ind w:left="220"/>
              <w:spacing w:after="0"/>
              <w:rPr>
                <w:sz w:val="20"/>
                <w:szCs w:val="20"/>
                <w:color w:val="auto"/>
              </w:rPr>
            </w:pPr>
            <w:r>
              <w:rPr>
                <w:rFonts w:ascii="Arial" w:cs="Arial" w:eastAsia="Arial" w:hAnsi="Arial"/>
                <w:sz w:val="15"/>
                <w:szCs w:val="15"/>
                <w:color w:val="auto"/>
              </w:rPr>
              <w:t>Other</w:t>
            </w:r>
          </w:p>
        </w:tc>
        <w:tc>
          <w:tcPr>
            <w:tcW w:w="1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4,308</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530,641</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530,816</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before income taxes consists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color w:val="auto"/>
              </w:rPr>
              <w:t>2010</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r>
      <w:tr>
        <w:trPr>
          <w:trHeight w:val="150"/>
        </w:trPr>
        <w:tc>
          <w:tcPr>
            <w:tcW w:w="7900" w:type="dxa"/>
            <w:vAlign w:val="bottom"/>
          </w:tcPr>
          <w:p>
            <w:pPr>
              <w:spacing w:after="0" w:line="150" w:lineRule="exact"/>
              <w:rPr>
                <w:sz w:val="20"/>
                <w:szCs w:val="20"/>
                <w:color w:val="auto"/>
              </w:rPr>
            </w:pPr>
            <w:r>
              <w:rPr>
                <w:rFonts w:ascii="Arial" w:cs="Arial" w:eastAsia="Arial" w:hAnsi="Arial"/>
                <w:sz w:val="15"/>
                <w:szCs w:val="15"/>
                <w:color w:val="auto"/>
              </w:rPr>
              <w:t>United States (U.S.)</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49"/>
              <w:spacing w:after="0" w:line="150" w:lineRule="exact"/>
              <w:rPr>
                <w:sz w:val="20"/>
                <w:szCs w:val="20"/>
                <w:color w:val="auto"/>
              </w:rPr>
            </w:pPr>
            <w:r>
              <w:rPr>
                <w:rFonts w:ascii="Arial" w:cs="Arial" w:eastAsia="Arial" w:hAnsi="Arial"/>
                <w:sz w:val="15"/>
                <w:szCs w:val="15"/>
                <w:b w:val="1"/>
                <w:bCs w:val="1"/>
                <w:color w:val="auto"/>
              </w:rPr>
              <w:t>207,527</w:t>
            </w: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69"/>
              <w:spacing w:after="0" w:line="150" w:lineRule="exact"/>
              <w:rPr>
                <w:sz w:val="20"/>
                <w:szCs w:val="20"/>
                <w:color w:val="auto"/>
              </w:rPr>
            </w:pPr>
            <w:r>
              <w:rPr>
                <w:rFonts w:ascii="Arial" w:cs="Arial" w:eastAsia="Arial" w:hAnsi="Arial"/>
                <w:sz w:val="15"/>
                <w:szCs w:val="15"/>
                <w:color w:val="auto"/>
              </w:rPr>
              <w:t>518,769</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90"/>
        </w:trPr>
        <w:tc>
          <w:tcPr>
            <w:tcW w:w="7900" w:type="dxa"/>
            <w:vAlign w:val="bottom"/>
          </w:tcPr>
          <w:p>
            <w:pPr>
              <w:spacing w:after="0"/>
              <w:rPr>
                <w:sz w:val="20"/>
                <w:szCs w:val="20"/>
                <w:color w:val="auto"/>
              </w:rPr>
            </w:pPr>
            <w:r>
              <w:rPr>
                <w:rFonts w:ascii="Arial" w:cs="Arial" w:eastAsia="Arial" w:hAnsi="Arial"/>
                <w:sz w:val="15"/>
                <w:szCs w:val="15"/>
                <w:color w:val="auto"/>
              </w:rPr>
              <w:t>Non-U.S.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b w:val="1"/>
                <w:bCs w:val="1"/>
                <w:color w:val="auto"/>
              </w:rPr>
              <w:t>10,101</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19,348</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66"/>
        </w:trPr>
        <w:tc>
          <w:tcPr>
            <w:tcW w:w="7900" w:type="dxa"/>
            <w:vAlign w:val="bottom"/>
          </w:tcPr>
          <w:p>
            <w:pPr>
              <w:spacing w:after="0"/>
              <w:rPr>
                <w:sz w:val="14"/>
                <w:szCs w:val="14"/>
                <w:color w:val="auto"/>
              </w:rPr>
            </w:pP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49"/>
              <w:spacing w:after="0" w:line="167" w:lineRule="exact"/>
              <w:rPr>
                <w:sz w:val="20"/>
                <w:szCs w:val="20"/>
                <w:color w:val="auto"/>
              </w:rPr>
            </w:pPr>
            <w:r>
              <w:rPr>
                <w:rFonts w:ascii="Arial" w:cs="Arial" w:eastAsia="Arial" w:hAnsi="Arial"/>
                <w:sz w:val="15"/>
                <w:szCs w:val="15"/>
                <w:b w:val="1"/>
                <w:bCs w:val="1"/>
                <w:color w:val="auto"/>
              </w:rPr>
              <w:t>217,628</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538,117</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2011 and 2009 non-U.S. results include losses from impairment charges with respect to an investment in a non-U.S. affiliate of $9.2 million and $27.4 million,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on income from continuing operations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Current</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Deferred</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w:t>
            </w:r>
          </w:p>
        </w:tc>
        <w:tc>
          <w:tcPr>
            <w:tcW w:w="0" w:type="dxa"/>
            <w:vAlign w:val="bottom"/>
          </w:tcPr>
          <w:p>
            <w:pPr>
              <w:spacing w:after="0"/>
              <w:rPr>
                <w:sz w:val="1"/>
                <w:szCs w:val="1"/>
                <w:color w:val="auto"/>
              </w:rPr>
            </w:pPr>
          </w:p>
        </w:tc>
      </w:tr>
      <w:tr>
        <w:trPr>
          <w:trHeight w:val="150"/>
        </w:trPr>
        <w:tc>
          <w:tcPr>
            <w:tcW w:w="7660" w:type="dxa"/>
            <w:vAlign w:val="bottom"/>
          </w:tcPr>
          <w:p>
            <w:pPr>
              <w:spacing w:after="0" w:line="150" w:lineRule="exact"/>
              <w:rPr>
                <w:sz w:val="20"/>
                <w:szCs w:val="20"/>
                <w:color w:val="auto"/>
              </w:rPr>
            </w:pPr>
            <w:r>
              <w:rPr>
                <w:rFonts w:ascii="Arial" w:cs="Arial" w:eastAsia="Arial" w:hAnsi="Arial"/>
                <w:sz w:val="15"/>
                <w:szCs w:val="15"/>
                <w:b w:val="1"/>
                <w:bCs w:val="1"/>
                <w:color w:val="auto"/>
              </w:rPr>
              <w:t>2011</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b w:val="1"/>
                <w:bCs w:val="1"/>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b w:val="1"/>
                <w:bCs w:val="1"/>
                <w:color w:val="auto"/>
              </w:rPr>
              <w:t>40,365</w:t>
            </w:r>
          </w:p>
        </w:tc>
        <w:tc>
          <w:tcPr>
            <w:tcW w:w="36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b w:val="1"/>
                <w:bCs w:val="1"/>
                <w:color w:val="auto"/>
              </w:rPr>
              <w:t>26,635</w:t>
            </w:r>
          </w:p>
        </w:tc>
        <w:tc>
          <w:tcPr>
            <w:tcW w:w="40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b w:val="1"/>
                <w:bCs w:val="1"/>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b w:val="1"/>
                <w:bCs w:val="1"/>
                <w:color w:val="auto"/>
              </w:rPr>
              <w:t>11,862</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b w:val="1"/>
                <w:bCs w:val="1"/>
                <w:color w:val="auto"/>
              </w:rPr>
              <w:t>9,132</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20"/>
                <w:szCs w:val="20"/>
                <w:color w:val="auto"/>
              </w:rPr>
            </w:pPr>
            <w:r>
              <w:rPr>
                <w:rFonts w:ascii="Arial" w:cs="Arial" w:eastAsia="Arial" w:hAnsi="Arial"/>
                <w:sz w:val="15"/>
                <w:szCs w:val="15"/>
                <w:b w:val="1"/>
                <w:bCs w:val="1"/>
                <w:color w:val="auto"/>
              </w:rPr>
              <w:t>Non-U.S.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9,129</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(823)</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61,356</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34,944</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5"/>
                <w:szCs w:val="15"/>
                <w:color w:val="auto"/>
              </w:rPr>
              <w:t>2010</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135,671</w:t>
            </w: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10,162</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28,737</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33,390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5"/>
                <w:szCs w:val="15"/>
                <w:color w:val="auto"/>
              </w:rPr>
              <w:t>Non-U.S.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11,030</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(990)</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175,438</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42,562</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5"/>
                <w:szCs w:val="15"/>
                <w:color w:val="auto"/>
              </w:rPr>
              <w:t>2009</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75,231</w:t>
            </w: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2,685</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18,477</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(13,445)</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5"/>
                <w:szCs w:val="15"/>
                <w:color w:val="auto"/>
              </w:rPr>
              <w:t>Non-U.S.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8,429</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(2,377)</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102,137</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(13,137)</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94" w:name="page95"/>
    <w:bookmarkEnd w:id="94"/>
    <w:p>
      <w:pPr>
        <w:ind w:right="80"/>
        <w:spacing w:after="0" w:line="235" w:lineRule="auto"/>
        <w:rPr>
          <w:sz w:val="20"/>
          <w:szCs w:val="20"/>
          <w:color w:val="auto"/>
        </w:rPr>
      </w:pPr>
      <w:r>
        <w:rPr>
          <w:rFonts w:ascii="Arial" w:cs="Arial" w:eastAsia="Arial" w:hAnsi="Arial"/>
          <w:sz w:val="17"/>
          <w:szCs w:val="17"/>
          <w:color w:val="auto"/>
        </w:rPr>
        <w:t>The provision for income taxes on continuing operations exceeds the amount of income tax determined by applying the U.S. Federal statutory rate of income from continuing operations before taxes as a result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color w:val="auto"/>
              </w:rPr>
              <w:t>2010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50"/>
        </w:trPr>
        <w:tc>
          <w:tcPr>
            <w:tcW w:w="7900" w:type="dxa"/>
            <w:vAlign w:val="bottom"/>
          </w:tcPr>
          <w:p>
            <w:pPr>
              <w:spacing w:after="0" w:line="150" w:lineRule="exact"/>
              <w:rPr>
                <w:sz w:val="20"/>
                <w:szCs w:val="20"/>
                <w:color w:val="auto"/>
              </w:rPr>
            </w:pPr>
            <w:r>
              <w:rPr>
                <w:rFonts w:ascii="Arial" w:cs="Arial" w:eastAsia="Arial" w:hAnsi="Arial"/>
                <w:sz w:val="15"/>
                <w:szCs w:val="15"/>
                <w:color w:val="auto"/>
              </w:rPr>
              <w:t>U.S. Federal taxes at statutory rate</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76,170</w:t>
            </w: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line="150" w:lineRule="exact"/>
              <w:rPr>
                <w:sz w:val="20"/>
                <w:szCs w:val="20"/>
                <w:color w:val="auto"/>
              </w:rPr>
            </w:pPr>
            <w:r>
              <w:rPr>
                <w:rFonts w:ascii="Arial" w:cs="Arial" w:eastAsia="Arial" w:hAnsi="Arial"/>
                <w:sz w:val="15"/>
                <w:szCs w:val="15"/>
                <w:color w:val="auto"/>
              </w:rPr>
              <w:t>188,341</w:t>
            </w:r>
          </w:p>
        </w:tc>
        <w:tc>
          <w:tcPr>
            <w:tcW w:w="660" w:type="dxa"/>
            <w:vAlign w:val="bottom"/>
          </w:tcPr>
          <w:p>
            <w:pPr>
              <w:jc w:val="right"/>
              <w:ind w:right="388"/>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State and local taxes (benefit), net of U.S. Federal tax</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4,034</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26,526</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20"/>
                <w:szCs w:val="20"/>
                <w:color w:val="auto"/>
              </w:rPr>
            </w:pPr>
            <w:r>
              <w:rPr>
                <w:rFonts w:ascii="Arial" w:cs="Arial" w:eastAsia="Arial" w:hAnsi="Arial"/>
                <w:sz w:val="15"/>
                <w:szCs w:val="15"/>
                <w:color w:val="auto"/>
              </w:rPr>
              <w:t>Valuation allowances against state tax benefits, net of U.S. Federal tax</w:t>
            </w:r>
          </w:p>
        </w:tc>
        <w:tc>
          <w:tcPr>
            <w:tcW w:w="220" w:type="dxa"/>
            <w:vAlign w:val="bottom"/>
          </w:tcPr>
          <w:p>
            <w:pPr>
              <w:spacing w:after="0"/>
              <w:rPr>
                <w:sz w:val="16"/>
                <w:szCs w:val="16"/>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9,748</w:t>
            </w:r>
          </w:p>
        </w:tc>
        <w:tc>
          <w:tcPr>
            <w:tcW w:w="360" w:type="dxa"/>
            <w:vAlign w:val="bottom"/>
          </w:tcPr>
          <w:p>
            <w:pPr>
              <w:spacing w:after="0"/>
              <w:rPr>
                <w:sz w:val="16"/>
                <w:szCs w:val="16"/>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13,856</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Tax provided on non-U.S. subsidiary earnings and distributions at less</w:t>
            </w:r>
          </w:p>
        </w:tc>
        <w:tc>
          <w:tcPr>
            <w:tcW w:w="220" w:type="dxa"/>
            <w:vAlign w:val="bottom"/>
          </w:tcPr>
          <w:p>
            <w:pPr>
              <w:spacing w:after="0"/>
              <w:rPr>
                <w:sz w:val="15"/>
                <w:szCs w:val="15"/>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(6,882)</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20"/>
              <w:spacing w:after="0" w:line="156" w:lineRule="exact"/>
              <w:rPr>
                <w:sz w:val="20"/>
                <w:szCs w:val="20"/>
                <w:color w:val="auto"/>
              </w:rPr>
            </w:pPr>
            <w:r>
              <w:rPr>
                <w:rFonts w:ascii="Arial" w:cs="Arial" w:eastAsia="Arial" w:hAnsi="Arial"/>
                <w:sz w:val="15"/>
                <w:szCs w:val="15"/>
                <w:color w:val="auto"/>
              </w:rPr>
              <w:t>than the expected U.S. Federal statutory tax rate</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7"/>
              <w:spacing w:after="0" w:line="156" w:lineRule="exact"/>
              <w:rPr>
                <w:sz w:val="20"/>
                <w:szCs w:val="20"/>
                <w:color w:val="auto"/>
              </w:rPr>
            </w:pPr>
            <w:r>
              <w:rPr>
                <w:rFonts w:ascii="Arial" w:cs="Arial" w:eastAsia="Arial" w:hAnsi="Arial"/>
                <w:sz w:val="15"/>
                <w:szCs w:val="15"/>
                <w:color w:val="auto"/>
              </w:rPr>
              <w:t>(4,327)</w:t>
            </w:r>
          </w:p>
        </w:tc>
        <w:tc>
          <w:tcPr>
            <w:tcW w:w="66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Valuation allowances against non-U.S. income tax benefits</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8,072</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2,921</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Goodwill impairments</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4,173</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8,066</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U.S. Federal Manufacturing Deduction tax expense (benefit)</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1,365</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(8,419)</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(380)</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(8,964)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7900" w:type="dxa"/>
            <w:vAlign w:val="bottom"/>
          </w:tcPr>
          <w:p>
            <w:pPr>
              <w:spacing w:after="0" w:line="167" w:lineRule="exact"/>
              <w:rPr>
                <w:sz w:val="20"/>
                <w:szCs w:val="20"/>
                <w:color w:val="auto"/>
              </w:rPr>
            </w:pPr>
            <w:r>
              <w:rPr>
                <w:rFonts w:ascii="Arial" w:cs="Arial" w:eastAsia="Arial" w:hAnsi="Arial"/>
                <w:sz w:val="15"/>
                <w:szCs w:val="15"/>
                <w:color w:val="auto"/>
              </w:rPr>
              <w:t>Provision for income taxes</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96,300</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218,000</w:t>
            </w:r>
          </w:p>
        </w:tc>
        <w:tc>
          <w:tcPr>
            <w:tcW w:w="660" w:type="dxa"/>
            <w:vAlign w:val="bottom"/>
            <w:tcBorders>
              <w:bottom w:val="single" w:sz="8" w:color="auto"/>
            </w:tcBorders>
          </w:tcPr>
          <w:p>
            <w:pPr>
              <w:jc w:val="right"/>
              <w:ind w:right="388"/>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Results for 2011 include $1.4 million in income tax expense related to the U.S. Federal manufacturing deduction; this amount reflects a benefit in the c year, offset by a change in estimate for 2010.</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During 2011, 2010 and 2009, in addition to the income tax provision presented above for continuing operations, the Company also recorded tax benef discontinued operations. Losses from discontinued operations and gains or losses on sales of discontinued operations have been reclassified from previously reported income from operations and reported separately as loss from discontinued operations, net of tax. Tax benefits of $0.2 million, $10. million and $31.4 million with respect to discontinued operations were recorded in 2011,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taxes at December 31, 2011 and January 2,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2011</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Accrued postretirement benefits</w:t>
            </w:r>
          </w:p>
        </w:tc>
        <w:tc>
          <w:tcPr>
            <w:tcW w:w="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28,525</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Other benefit obligations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112,646</w:t>
            </w:r>
          </w:p>
        </w:tc>
        <w:tc>
          <w:tcPr>
            <w:tcW w:w="340" w:type="dxa"/>
            <w:vAlign w:val="bottom"/>
          </w:tcPr>
          <w:p>
            <w:pPr>
              <w:spacing w:after="0"/>
              <w:rPr>
                <w:sz w:val="15"/>
                <w:szCs w:val="15"/>
                <w:color w:val="auto"/>
              </w:rPr>
            </w:pPr>
          </w:p>
        </w:tc>
        <w:tc>
          <w:tcPr>
            <w:tcW w:w="320" w:type="dxa"/>
            <w:vAlign w:val="bottom"/>
          </w:tcPr>
          <w:p>
            <w:pPr>
              <w:jc w:val="center"/>
              <w:ind w:left="127"/>
              <w:spacing w:after="0"/>
              <w:rPr>
                <w:sz w:val="20"/>
                <w:szCs w:val="20"/>
                <w:color w:val="auto"/>
              </w:rPr>
            </w:pPr>
            <w:r>
              <w:rPr>
                <w:rFonts w:ascii="Arial" w:cs="Arial" w:eastAsia="Arial" w:hAnsi="Arial"/>
                <w:sz w:val="15"/>
                <w:szCs w:val="15"/>
                <w:color w:val="auto"/>
                <w:w w:val="95"/>
              </w:rPr>
              <w:t>1</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Accounts receivable</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28,047</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State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34,506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U.S. Federal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6,301</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Non-U.S.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14,906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60,881</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Deferred tax assets</w:t>
            </w:r>
          </w:p>
        </w:tc>
        <w:tc>
          <w:tcPr>
            <w:tcW w:w="240" w:type="dxa"/>
            <w:vAlign w:val="bottom"/>
          </w:tcPr>
          <w:p>
            <w:pPr>
              <w:spacing w:after="0"/>
              <w:rPr>
                <w:sz w:val="13"/>
                <w:szCs w:val="13"/>
                <w:color w:val="auto"/>
              </w:rPr>
            </w:pP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285,812</w:t>
            </w:r>
          </w:p>
        </w:tc>
        <w:tc>
          <w:tcPr>
            <w:tcW w:w="340" w:type="dxa"/>
            <w:vAlign w:val="bottom"/>
          </w:tcPr>
          <w:p>
            <w:pPr>
              <w:spacing w:after="0"/>
              <w:rPr>
                <w:sz w:val="13"/>
                <w:szCs w:val="13"/>
                <w:color w:val="auto"/>
              </w:rPr>
            </w:pPr>
          </w:p>
        </w:tc>
        <w:tc>
          <w:tcPr>
            <w:tcW w:w="320" w:type="dxa"/>
            <w:vAlign w:val="bottom"/>
          </w:tcPr>
          <w:p>
            <w:pPr>
              <w:jc w:val="center"/>
              <w:ind w:left="127"/>
              <w:spacing w:after="0" w:line="150" w:lineRule="exact"/>
              <w:rPr>
                <w:sz w:val="20"/>
                <w:szCs w:val="20"/>
                <w:color w:val="auto"/>
              </w:rPr>
            </w:pPr>
            <w:r>
              <w:rPr>
                <w:rFonts w:ascii="Arial" w:cs="Arial" w:eastAsia="Arial" w:hAnsi="Arial"/>
                <w:sz w:val="15"/>
                <w:szCs w:val="15"/>
                <w:color w:val="auto"/>
                <w:w w:val="95"/>
              </w:rPr>
              <w:t>2</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Valuation allowances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(59,179)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w w:val="89"/>
              </w:rPr>
              <w:t>(4</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color w:val="auto"/>
              </w:rPr>
              <w:t>Deferred tax assets, net</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226,633</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2</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13"/>
                <w:szCs w:val="13"/>
                <w:color w:val="auto"/>
              </w:rPr>
            </w:pP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200,054</w:t>
            </w:r>
          </w:p>
        </w:tc>
        <w:tc>
          <w:tcPr>
            <w:tcW w:w="340" w:type="dxa"/>
            <w:vAlign w:val="bottom"/>
          </w:tcPr>
          <w:p>
            <w:pPr>
              <w:spacing w:after="0"/>
              <w:rPr>
                <w:sz w:val="13"/>
                <w:szCs w:val="13"/>
                <w:color w:val="auto"/>
              </w:rPr>
            </w:pPr>
          </w:p>
        </w:tc>
        <w:tc>
          <w:tcPr>
            <w:tcW w:w="320" w:type="dxa"/>
            <w:vAlign w:val="bottom"/>
          </w:tcPr>
          <w:p>
            <w:pPr>
              <w:jc w:val="center"/>
              <w:ind w:left="127"/>
              <w:spacing w:after="0" w:line="150" w:lineRule="exact"/>
              <w:rPr>
                <w:sz w:val="20"/>
                <w:szCs w:val="20"/>
                <w:color w:val="auto"/>
              </w:rPr>
            </w:pPr>
            <w:r>
              <w:rPr>
                <w:rFonts w:ascii="Arial" w:cs="Arial" w:eastAsia="Arial" w:hAnsi="Arial"/>
                <w:sz w:val="15"/>
                <w:szCs w:val="15"/>
                <w:color w:val="auto"/>
                <w:w w:val="95"/>
              </w:rPr>
              <w:t>1</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Prepaid pension cost</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213,663</w:t>
            </w:r>
          </w:p>
        </w:tc>
        <w:tc>
          <w:tcPr>
            <w:tcW w:w="340" w:type="dxa"/>
            <w:vAlign w:val="bottom"/>
          </w:tcPr>
          <w:p>
            <w:pPr>
              <w:spacing w:after="0"/>
              <w:rPr>
                <w:sz w:val="15"/>
                <w:szCs w:val="15"/>
                <w:color w:val="auto"/>
              </w:rPr>
            </w:pPr>
          </w:p>
        </w:tc>
        <w:tc>
          <w:tcPr>
            <w:tcW w:w="320" w:type="dxa"/>
            <w:vAlign w:val="bottom"/>
          </w:tcPr>
          <w:p>
            <w:pPr>
              <w:jc w:val="center"/>
              <w:ind w:left="127"/>
              <w:spacing w:after="0"/>
              <w:rPr>
                <w:sz w:val="20"/>
                <w:szCs w:val="20"/>
                <w:color w:val="auto"/>
              </w:rPr>
            </w:pPr>
            <w:r>
              <w:rPr>
                <w:rFonts w:ascii="Arial" w:cs="Arial" w:eastAsia="Arial" w:hAnsi="Arial"/>
                <w:sz w:val="15"/>
                <w:szCs w:val="15"/>
                <w:color w:val="auto"/>
                <w:w w:val="95"/>
              </w:rPr>
              <w:t>2</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Unrealized gain on available-for-sale securities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53,588</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Goodwill and other intangible assets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291,346</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w w:val="95"/>
              </w:rPr>
              <w:t>2</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color w:val="auto"/>
              </w:rPr>
              <w:t>Deferred tax liabilities</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758,651</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7</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color w:val="auto"/>
              </w:rPr>
              <w:t>Deferred income tax liabilities, net</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532,018</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4</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approximately $669 million of state income tax loss carryforwards available to offset future state taxable income. State income tax l carryforwards, if unutilized, will start to expire approximately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tbl>
      <w:tblPr>
        <w:tblLayout w:type="fixed"/>
        <w:tblInd w:w="0" w:type="dxa"/>
        <w:tblCellMar>
          <w:top w:w="0" w:type="dxa"/>
          <w:left w:w="0" w:type="dxa"/>
          <w:bottom w:w="0" w:type="dxa"/>
          <w:right w:w="0" w:type="dxa"/>
        </w:tblCellMar>
      </w:tblPr>
      <w:tr>
        <w:trPr>
          <w:trHeight w:val="168"/>
        </w:trPr>
        <w:tc>
          <w:tcPr>
            <w:tcW w:w="1052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2012</w:t>
            </w:r>
          </w:p>
        </w:tc>
        <w:tc>
          <w:tcPr>
            <w:tcW w:w="420" w:type="dxa"/>
            <w:vAlign w:val="bottom"/>
            <w:tcBorders>
              <w:top w:val="single" w:sz="8" w:color="auto"/>
            </w:tcBorders>
          </w:tcPr>
          <w:p>
            <w:pPr>
              <w:jc w:val="right"/>
              <w:ind w:right="266"/>
              <w:spacing w:after="0" w:line="168" w:lineRule="exact"/>
              <w:rPr>
                <w:sz w:val="20"/>
                <w:szCs w:val="20"/>
                <w:color w:val="auto"/>
              </w:rPr>
            </w:pPr>
            <w:r>
              <w:rPr>
                <w:rFonts w:ascii="Arial" w:cs="Arial" w:eastAsia="Arial" w:hAnsi="Arial"/>
                <w:sz w:val="15"/>
                <w:szCs w:val="15"/>
                <w:color w:val="auto"/>
                <w:w w:val="71"/>
              </w:rPr>
              <w:t>$</w:t>
            </w: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2013</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2014</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2015</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2016</w:t>
            </w:r>
          </w:p>
        </w:tc>
        <w:tc>
          <w:tcPr>
            <w:tcW w:w="420" w:type="dxa"/>
            <w:vAlign w:val="bottom"/>
          </w:tcPr>
          <w:p>
            <w:pPr>
              <w:spacing w:after="0"/>
              <w:rPr>
                <w:sz w:val="15"/>
                <w:szCs w:val="15"/>
                <w:color w:val="auto"/>
              </w:rPr>
            </w:pPr>
          </w:p>
        </w:tc>
      </w:tr>
      <w:tr>
        <w:trPr>
          <w:trHeight w:val="172"/>
        </w:trPr>
        <w:tc>
          <w:tcPr>
            <w:tcW w:w="10520" w:type="dxa"/>
            <w:vAlign w:val="bottom"/>
          </w:tcPr>
          <w:p>
            <w:pPr>
              <w:spacing w:after="0"/>
              <w:rPr>
                <w:sz w:val="20"/>
                <w:szCs w:val="20"/>
                <w:color w:val="auto"/>
              </w:rPr>
            </w:pPr>
            <w:r>
              <w:rPr>
                <w:rFonts w:ascii="Arial" w:cs="Arial" w:eastAsia="Arial" w:hAnsi="Arial"/>
                <w:sz w:val="15"/>
                <w:szCs w:val="15"/>
                <w:color w:val="auto"/>
              </w:rPr>
              <w:t>2017 and after</w:t>
            </w:r>
          </w:p>
        </w:tc>
        <w:tc>
          <w:tcPr>
            <w:tcW w:w="420" w:type="dxa"/>
            <w:vAlign w:val="bottom"/>
            <w:tcBorders>
              <w:bottom w:val="single" w:sz="8" w:color="auto"/>
            </w:tcBorders>
          </w:tcPr>
          <w:p>
            <w:pPr>
              <w:spacing w:after="0"/>
              <w:rPr>
                <w:sz w:val="14"/>
                <w:szCs w:val="14"/>
                <w:color w:val="auto"/>
              </w:rPr>
            </w:pPr>
          </w:p>
        </w:tc>
      </w:tr>
      <w:tr>
        <w:trPr>
          <w:trHeight w:val="166"/>
        </w:trPr>
        <w:tc>
          <w:tcPr>
            <w:tcW w:w="1052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42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color w:val="auto"/>
                <w:w w:val="71"/>
              </w:rPr>
              <w:t>$</w:t>
            </w:r>
          </w:p>
        </w:tc>
      </w:tr>
      <w:tr>
        <w:trPr>
          <w:trHeight w:val="20"/>
        </w:trPr>
        <w:tc>
          <w:tcPr>
            <w:tcW w:w="10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has established at December 31, 2011 approximately $34.5 million in deferred state income tax assets, net of U.S. Federal income tax, respect to these state income tax loss carryforwards. The Company has also established approximately $31.9 million in valuation allowances, with res to state tax loss carryforwards, since all state tax losses may not be fully utilized in the future to reduce state taxable income.</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95" w:name="page96"/>
    <w:bookmarkEnd w:id="95"/>
    <w:p>
      <w:pPr>
        <w:ind w:right="20"/>
        <w:spacing w:after="0" w:line="235" w:lineRule="auto"/>
        <w:rPr>
          <w:sz w:val="20"/>
          <w:szCs w:val="20"/>
          <w:color w:val="auto"/>
        </w:rPr>
      </w:pPr>
      <w:r>
        <w:rPr>
          <w:rFonts w:ascii="Arial" w:cs="Arial" w:eastAsia="Arial" w:hAnsi="Arial"/>
          <w:sz w:val="17"/>
          <w:szCs w:val="17"/>
          <w:color w:val="auto"/>
        </w:rPr>
        <w:t>The Company has approximately $17.9 million of U.S. Federal income tax loss carryforwards obtained as a result of prior stock acquisitions. U.S. Fed income tax loss carryforwards are expected to be fully utilized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tbl>
      <w:tblPr>
        <w:tblLayout w:type="fixed"/>
        <w:tblInd w:w="0" w:type="dxa"/>
        <w:tblCellMar>
          <w:top w:w="0" w:type="dxa"/>
          <w:left w:w="0" w:type="dxa"/>
          <w:bottom w:w="0" w:type="dxa"/>
          <w:right w:w="0" w:type="dxa"/>
        </w:tblCellMar>
      </w:tblPr>
      <w:tr>
        <w:trPr>
          <w:trHeight w:val="168"/>
        </w:trPr>
        <w:tc>
          <w:tcPr>
            <w:tcW w:w="1062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2012</w:t>
            </w:r>
          </w:p>
        </w:tc>
        <w:tc>
          <w:tcPr>
            <w:tcW w:w="320" w:type="dxa"/>
            <w:vAlign w:val="bottom"/>
            <w:tcBorders>
              <w:top w:val="single" w:sz="8" w:color="auto"/>
            </w:tcBorders>
          </w:tcPr>
          <w:p>
            <w:pPr>
              <w:jc w:val="right"/>
              <w:ind w:right="166"/>
              <w:spacing w:after="0" w:line="168" w:lineRule="exact"/>
              <w:rPr>
                <w:sz w:val="20"/>
                <w:szCs w:val="20"/>
                <w:color w:val="auto"/>
              </w:rPr>
            </w:pPr>
            <w:r>
              <w:rPr>
                <w:rFonts w:ascii="Arial" w:cs="Arial" w:eastAsia="Arial" w:hAnsi="Arial"/>
                <w:sz w:val="15"/>
                <w:szCs w:val="15"/>
                <w:color w:val="auto"/>
                <w:w w:val="71"/>
              </w:rPr>
              <w:t>$</w:t>
            </w: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2013</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2014</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2015</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2016</w:t>
            </w:r>
          </w:p>
        </w:tc>
        <w:tc>
          <w:tcPr>
            <w:tcW w:w="320" w:type="dxa"/>
            <w:vAlign w:val="bottom"/>
          </w:tcPr>
          <w:p>
            <w:pPr>
              <w:spacing w:after="0"/>
              <w:rPr>
                <w:sz w:val="15"/>
                <w:szCs w:val="15"/>
                <w:color w:val="auto"/>
              </w:rPr>
            </w:pPr>
          </w:p>
        </w:tc>
      </w:tr>
      <w:tr>
        <w:trPr>
          <w:trHeight w:val="172"/>
        </w:trPr>
        <w:tc>
          <w:tcPr>
            <w:tcW w:w="10620" w:type="dxa"/>
            <w:vAlign w:val="bottom"/>
          </w:tcPr>
          <w:p>
            <w:pPr>
              <w:spacing w:after="0"/>
              <w:rPr>
                <w:sz w:val="20"/>
                <w:szCs w:val="20"/>
                <w:color w:val="auto"/>
              </w:rPr>
            </w:pPr>
            <w:r>
              <w:rPr>
                <w:rFonts w:ascii="Arial" w:cs="Arial" w:eastAsia="Arial" w:hAnsi="Arial"/>
                <w:sz w:val="15"/>
                <w:szCs w:val="15"/>
                <w:color w:val="auto"/>
              </w:rPr>
              <w:t>2017 and after</w:t>
            </w:r>
          </w:p>
        </w:tc>
        <w:tc>
          <w:tcPr>
            <w:tcW w:w="320" w:type="dxa"/>
            <w:vAlign w:val="bottom"/>
            <w:tcBorders>
              <w:bottom w:val="single" w:sz="8" w:color="auto"/>
            </w:tcBorders>
          </w:tcPr>
          <w:p>
            <w:pPr>
              <w:spacing w:after="0"/>
              <w:rPr>
                <w:sz w:val="14"/>
                <w:szCs w:val="14"/>
                <w:color w:val="auto"/>
              </w:rPr>
            </w:pPr>
          </w:p>
        </w:tc>
      </w:tr>
      <w:tr>
        <w:trPr>
          <w:trHeight w:val="166"/>
        </w:trPr>
        <w:tc>
          <w:tcPr>
            <w:tcW w:w="1062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color w:val="auto"/>
                <w:w w:val="71"/>
              </w:rPr>
              <w:t>$</w:t>
            </w:r>
          </w:p>
        </w:tc>
      </w:tr>
      <w:tr>
        <w:trPr>
          <w:trHeight w:val="20"/>
        </w:trPr>
        <w:tc>
          <w:tcPr>
            <w:tcW w:w="10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established at December 31, 2011 approximately $6.3 million in deferred U.S. Federal tax assets with respect to these U.S. Federa income tax loss carryforwards.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has approximately $53.9 million of non-U.S. income tax loss carryforwards, as a result of operating losses and prior stock acquisitions, that are available to offset future non-U.S. taxable income, and has recorded with respect to these losses, approximately $14.9 million in deferred non income tax assets. The Company has established approximately $13.3 million in valuation allowances against the deferred tax assets recorded for the portion of non-U.S. tax losses that may not be fully utilized to reduce future non-U.S. taxable income. The $53.9 million of non-U.S. income tax loss carryforwards consist of $46.9 million in losses that may be carried forward indefinitely; $2.7 million of losses that, if unutilized, will expire in varying am through 2015; and $4.3 million of losses that, if unutilized, will start to expire after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Deferred tax valuation allowances and changes in deferred tax valuation allowances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Arial" w:cs="Arial" w:eastAsia="Arial" w:hAnsi="Arial"/>
                <w:sz w:val="12"/>
                <w:szCs w:val="12"/>
                <w:b w:val="1"/>
                <w:bCs w:val="1"/>
                <w:color w:val="auto"/>
              </w:rPr>
              <w:t>Additions –</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7"/>
        </w:trPr>
        <w:tc>
          <w:tcPr>
            <w:tcW w:w="4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173"/>
              <w:spacing w:after="0" w:line="137" w:lineRule="exact"/>
              <w:rPr>
                <w:sz w:val="20"/>
                <w:szCs w:val="20"/>
                <w:color w:val="auto"/>
              </w:rPr>
            </w:pPr>
            <w:r>
              <w:rPr>
                <w:rFonts w:ascii="Arial" w:cs="Arial" w:eastAsia="Arial" w:hAnsi="Arial"/>
                <w:sz w:val="12"/>
                <w:szCs w:val="12"/>
                <w:b w:val="1"/>
                <w:bCs w:val="1"/>
                <w:color w:val="auto"/>
              </w:rPr>
              <w:t>Charged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7"/>
        </w:trPr>
        <w:tc>
          <w:tcPr>
            <w:tcW w:w="4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00" w:type="dxa"/>
            <w:vAlign w:val="bottom"/>
          </w:tcPr>
          <w:p>
            <w:pPr>
              <w:jc w:val="center"/>
              <w:ind w:right="132"/>
              <w:spacing w:after="0" w:line="137" w:lineRule="exact"/>
              <w:rPr>
                <w:sz w:val="20"/>
                <w:szCs w:val="20"/>
                <w:color w:val="auto"/>
              </w:rPr>
            </w:pPr>
            <w:r>
              <w:rPr>
                <w:rFonts w:ascii="Arial" w:cs="Arial" w:eastAsia="Arial" w:hAnsi="Arial"/>
                <w:sz w:val="12"/>
                <w:szCs w:val="12"/>
                <w:b w:val="1"/>
                <w:bCs w:val="1"/>
                <w:color w:val="auto"/>
              </w:rPr>
              <w:t>Balance at</w:t>
            </w:r>
          </w:p>
        </w:tc>
        <w:tc>
          <w:tcPr>
            <w:tcW w:w="280" w:type="dxa"/>
            <w:vAlign w:val="bottom"/>
          </w:tcPr>
          <w:p>
            <w:pPr>
              <w:spacing w:after="0"/>
              <w:rPr>
                <w:sz w:val="11"/>
                <w:szCs w:val="11"/>
                <w:color w:val="auto"/>
              </w:rPr>
            </w:pPr>
          </w:p>
        </w:tc>
        <w:tc>
          <w:tcPr>
            <w:tcW w:w="980" w:type="dxa"/>
            <w:vAlign w:val="bottom"/>
          </w:tcPr>
          <w:p>
            <w:pPr>
              <w:jc w:val="center"/>
              <w:ind w:right="153"/>
              <w:spacing w:after="0" w:line="137" w:lineRule="exact"/>
              <w:rPr>
                <w:sz w:val="20"/>
                <w:szCs w:val="20"/>
                <w:color w:val="auto"/>
              </w:rPr>
            </w:pPr>
            <w:r>
              <w:rPr>
                <w:rFonts w:ascii="Arial" w:cs="Arial" w:eastAsia="Arial" w:hAnsi="Arial"/>
                <w:sz w:val="12"/>
                <w:szCs w:val="12"/>
                <w:b w:val="1"/>
                <w:bCs w:val="1"/>
                <w:color w:val="auto"/>
              </w:rPr>
              <w:t>to</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Bala</w:t>
            </w:r>
          </w:p>
        </w:tc>
      </w:tr>
      <w:tr>
        <w:trPr>
          <w:trHeight w:val="137"/>
        </w:trPr>
        <w:tc>
          <w:tcPr>
            <w:tcW w:w="4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900" w:type="dxa"/>
            <w:vAlign w:val="bottom"/>
          </w:tcPr>
          <w:p>
            <w:pPr>
              <w:jc w:val="center"/>
              <w:ind w:right="152"/>
              <w:spacing w:after="0" w:line="137" w:lineRule="exact"/>
              <w:rPr>
                <w:sz w:val="20"/>
                <w:szCs w:val="20"/>
                <w:color w:val="auto"/>
              </w:rPr>
            </w:pPr>
            <w:r>
              <w:rPr>
                <w:rFonts w:ascii="Arial" w:cs="Arial" w:eastAsia="Arial" w:hAnsi="Arial"/>
                <w:sz w:val="12"/>
                <w:szCs w:val="12"/>
                <w:b w:val="1"/>
                <w:bCs w:val="1"/>
                <w:color w:val="auto"/>
              </w:rPr>
              <w:t>Beginning</w:t>
            </w:r>
          </w:p>
        </w:tc>
        <w:tc>
          <w:tcPr>
            <w:tcW w:w="280" w:type="dxa"/>
            <w:vAlign w:val="bottom"/>
          </w:tcPr>
          <w:p>
            <w:pPr>
              <w:spacing w:after="0"/>
              <w:rPr>
                <w:sz w:val="11"/>
                <w:szCs w:val="11"/>
                <w:color w:val="auto"/>
              </w:rPr>
            </w:pPr>
          </w:p>
        </w:tc>
        <w:tc>
          <w:tcPr>
            <w:tcW w:w="980" w:type="dxa"/>
            <w:vAlign w:val="bottom"/>
          </w:tcPr>
          <w:p>
            <w:pPr>
              <w:jc w:val="center"/>
              <w:ind w:right="153"/>
              <w:spacing w:after="0" w:line="137" w:lineRule="exact"/>
              <w:rPr>
                <w:sz w:val="20"/>
                <w:szCs w:val="20"/>
                <w:color w:val="auto"/>
              </w:rPr>
            </w:pPr>
            <w:r>
              <w:rPr>
                <w:rFonts w:ascii="Arial" w:cs="Arial" w:eastAsia="Arial" w:hAnsi="Arial"/>
                <w:sz w:val="12"/>
                <w:szCs w:val="12"/>
                <w:b w:val="1"/>
                <w:bCs w:val="1"/>
                <w:color w:val="auto"/>
              </w:rPr>
              <w:t>Costs and</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ind w:left="400"/>
              <w:spacing w:after="0" w:line="137" w:lineRule="exact"/>
              <w:rPr>
                <w:sz w:val="20"/>
                <w:szCs w:val="20"/>
                <w:color w:val="auto"/>
              </w:rPr>
            </w:pPr>
            <w:r>
              <w:rPr>
                <w:rFonts w:ascii="Arial" w:cs="Arial" w:eastAsia="Arial" w:hAnsi="Arial"/>
                <w:sz w:val="12"/>
                <w:szCs w:val="12"/>
                <w:b w:val="1"/>
                <w:bCs w:val="1"/>
                <w:color w:val="auto"/>
                <w:w w:val="90"/>
              </w:rPr>
              <w:t>En</w:t>
            </w:r>
          </w:p>
        </w:tc>
      </w:tr>
      <w:tr>
        <w:trPr>
          <w:trHeight w:val="151"/>
        </w:trPr>
        <w:tc>
          <w:tcPr>
            <w:tcW w:w="4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9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rPr>
              <w:t>of Period</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3"/>
              <w:spacing w:after="0"/>
              <w:rPr>
                <w:sz w:val="20"/>
                <w:szCs w:val="20"/>
                <w:color w:val="auto"/>
              </w:rPr>
            </w:pPr>
            <w:r>
              <w:rPr>
                <w:rFonts w:ascii="Arial" w:cs="Arial" w:eastAsia="Arial" w:hAnsi="Arial"/>
                <w:sz w:val="12"/>
                <w:szCs w:val="12"/>
                <w:b w:val="1"/>
                <w:bCs w:val="1"/>
                <w:color w:val="auto"/>
              </w:rPr>
              <w:t>Expenses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b w:val="1"/>
                <w:bCs w:val="1"/>
                <w:color w:val="auto"/>
              </w:rPr>
              <w:t>Deductions</w:t>
            </w: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w w:val="95"/>
              </w:rPr>
              <w:t>Pe</w:t>
            </w:r>
          </w:p>
        </w:tc>
      </w:tr>
      <w:tr>
        <w:trPr>
          <w:trHeight w:val="150"/>
        </w:trPr>
        <w:tc>
          <w:tcPr>
            <w:tcW w:w="4160" w:type="dxa"/>
            <w:vAlign w:val="bottom"/>
          </w:tcPr>
          <w:p>
            <w:pPr>
              <w:spacing w:after="0" w:line="150" w:lineRule="exact"/>
              <w:rPr>
                <w:sz w:val="20"/>
                <w:szCs w:val="20"/>
                <w:color w:val="auto"/>
              </w:rPr>
            </w:pPr>
            <w:r>
              <w:rPr>
                <w:rFonts w:ascii="Arial" w:cs="Arial" w:eastAsia="Arial" w:hAnsi="Arial"/>
                <w:sz w:val="15"/>
                <w:szCs w:val="15"/>
                <w:b w:val="1"/>
                <w:bCs w:val="1"/>
                <w:color w:val="auto"/>
              </w:rPr>
              <w:t>Year ended</w:t>
            </w:r>
          </w:p>
        </w:tc>
        <w:tc>
          <w:tcPr>
            <w:tcW w:w="2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92"/>
        </w:trPr>
        <w:tc>
          <w:tcPr>
            <w:tcW w:w="4160" w:type="dxa"/>
            <w:vAlign w:val="bottom"/>
          </w:tcPr>
          <w:p>
            <w:pPr>
              <w:spacing w:after="0"/>
              <w:rPr>
                <w:sz w:val="20"/>
                <w:szCs w:val="20"/>
                <w:color w:val="auto"/>
              </w:rPr>
            </w:pPr>
            <w:r>
              <w:rPr>
                <w:rFonts w:ascii="Arial" w:cs="Arial" w:eastAsia="Arial" w:hAnsi="Arial"/>
                <w:sz w:val="15"/>
                <w:szCs w:val="15"/>
                <w:b w:val="1"/>
                <w:bCs w:val="1"/>
                <w:color w:val="auto"/>
              </w:rPr>
              <w:t>December 31, 2011</w:t>
            </w:r>
          </w:p>
        </w:tc>
        <w:tc>
          <w:tcPr>
            <w:tcW w:w="2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72"/>
              <w:spacing w:after="0"/>
              <w:rPr>
                <w:sz w:val="20"/>
                <w:szCs w:val="20"/>
                <w:color w:val="auto"/>
              </w:rPr>
            </w:pPr>
            <w:r>
              <w:rPr>
                <w:rFonts w:ascii="Arial" w:cs="Arial" w:eastAsia="Arial" w:hAnsi="Arial"/>
                <w:sz w:val="15"/>
                <w:szCs w:val="15"/>
                <w:b w:val="1"/>
                <w:bCs w:val="1"/>
                <w:color w:val="auto"/>
              </w:rPr>
              <w:t>41,359</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73"/>
              <w:spacing w:after="0"/>
              <w:rPr>
                <w:sz w:val="20"/>
                <w:szCs w:val="20"/>
                <w:color w:val="auto"/>
              </w:rPr>
            </w:pPr>
            <w:r>
              <w:rPr>
                <w:rFonts w:ascii="Arial" w:cs="Arial" w:eastAsia="Arial" w:hAnsi="Arial"/>
                <w:sz w:val="15"/>
                <w:szCs w:val="15"/>
                <w:b w:val="1"/>
                <w:bCs w:val="1"/>
                <w:color w:val="auto"/>
              </w:rPr>
              <w:t>17,820</w:t>
            </w:r>
          </w:p>
        </w:tc>
        <w:tc>
          <w:tcPr>
            <w:tcW w:w="220" w:type="dxa"/>
            <w:vAlign w:val="bottom"/>
          </w:tcPr>
          <w:p>
            <w:pPr>
              <w:spacing w:after="0"/>
              <w:rPr>
                <w:sz w:val="16"/>
                <w:szCs w:val="16"/>
                <w:color w:val="auto"/>
              </w:rPr>
            </w:pPr>
          </w:p>
        </w:tc>
        <w:tc>
          <w:tcPr>
            <w:tcW w:w="900" w:type="dxa"/>
            <w:vAlign w:val="bottom"/>
          </w:tcPr>
          <w:p>
            <w:pPr>
              <w:jc w:val="right"/>
              <w:ind w:right="69"/>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272"/>
              <w:spacing w:after="0"/>
              <w:rPr>
                <w:sz w:val="20"/>
                <w:szCs w:val="20"/>
                <w:color w:val="auto"/>
              </w:rPr>
            </w:pPr>
            <w:r>
              <w:rPr>
                <w:rFonts w:ascii="Arial" w:cs="Arial" w:eastAsia="Arial" w:hAnsi="Arial"/>
                <w:sz w:val="15"/>
                <w:szCs w:val="15"/>
                <w:b w:val="1"/>
                <w:bCs w:val="1"/>
                <w:color w:val="auto"/>
              </w:rPr>
              <w:t>$</w:t>
            </w:r>
          </w:p>
        </w:tc>
      </w:tr>
      <w:tr>
        <w:trPr>
          <w:trHeight w:val="174"/>
        </w:trPr>
        <w:tc>
          <w:tcPr>
            <w:tcW w:w="4160" w:type="dxa"/>
            <w:vAlign w:val="bottom"/>
          </w:tcPr>
          <w:p>
            <w:pPr>
              <w:spacing w:after="0"/>
              <w:rPr>
                <w:sz w:val="20"/>
                <w:szCs w:val="20"/>
                <w:color w:val="auto"/>
              </w:rPr>
            </w:pPr>
            <w:r>
              <w:rPr>
                <w:rFonts w:ascii="Arial" w:cs="Arial" w:eastAsia="Arial" w:hAnsi="Arial"/>
                <w:sz w:val="15"/>
                <w:szCs w:val="15"/>
                <w:color w:val="auto"/>
              </w:rPr>
              <w:t>January 2, 2011</w:t>
            </w:r>
          </w:p>
        </w:tc>
        <w:tc>
          <w:tcPr>
            <w:tcW w:w="29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2"/>
              <w:spacing w:after="0"/>
              <w:rPr>
                <w:sz w:val="20"/>
                <w:szCs w:val="20"/>
                <w:color w:val="auto"/>
              </w:rPr>
            </w:pPr>
            <w:r>
              <w:rPr>
                <w:rFonts w:ascii="Arial" w:cs="Arial" w:eastAsia="Arial" w:hAnsi="Arial"/>
                <w:sz w:val="15"/>
                <w:szCs w:val="15"/>
                <w:color w:val="auto"/>
              </w:rPr>
              <w:t>26,239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3"/>
              <w:spacing w:after="0"/>
              <w:rPr>
                <w:sz w:val="20"/>
                <w:szCs w:val="20"/>
                <w:color w:val="auto"/>
              </w:rPr>
            </w:pPr>
            <w:r>
              <w:rPr>
                <w:rFonts w:ascii="Arial" w:cs="Arial" w:eastAsia="Arial" w:hAnsi="Arial"/>
                <w:sz w:val="15"/>
                <w:szCs w:val="15"/>
                <w:color w:val="auto"/>
              </w:rPr>
              <w:t>16,777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(1,657)</w:t>
            </w:r>
          </w:p>
        </w:tc>
        <w:tc>
          <w:tcPr>
            <w:tcW w:w="560" w:type="dxa"/>
            <w:vAlign w:val="bottom"/>
          </w:tcPr>
          <w:p>
            <w:pPr>
              <w:jc w:val="right"/>
              <w:ind w:right="272"/>
              <w:spacing w:after="0"/>
              <w:rPr>
                <w:sz w:val="20"/>
                <w:szCs w:val="20"/>
                <w:color w:val="auto"/>
              </w:rPr>
            </w:pPr>
            <w:r>
              <w:rPr>
                <w:rFonts w:ascii="Arial" w:cs="Arial" w:eastAsia="Arial" w:hAnsi="Arial"/>
                <w:sz w:val="15"/>
                <w:szCs w:val="15"/>
                <w:color w:val="auto"/>
              </w:rPr>
              <w:t>$</w:t>
            </w:r>
          </w:p>
        </w:tc>
      </w:tr>
      <w:tr>
        <w:trPr>
          <w:trHeight w:val="179"/>
        </w:trPr>
        <w:tc>
          <w:tcPr>
            <w:tcW w:w="4160" w:type="dxa"/>
            <w:vAlign w:val="bottom"/>
          </w:tcPr>
          <w:p>
            <w:pPr>
              <w:spacing w:after="0"/>
              <w:rPr>
                <w:sz w:val="20"/>
                <w:szCs w:val="20"/>
                <w:color w:val="auto"/>
              </w:rPr>
            </w:pPr>
            <w:r>
              <w:rPr>
                <w:rFonts w:ascii="Arial" w:cs="Arial" w:eastAsia="Arial" w:hAnsi="Arial"/>
                <w:sz w:val="15"/>
                <w:szCs w:val="15"/>
                <w:color w:val="auto"/>
              </w:rPr>
              <w:t>January 3, 2010</w:t>
            </w:r>
          </w:p>
        </w:tc>
        <w:tc>
          <w:tcPr>
            <w:tcW w:w="29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72"/>
              <w:spacing w:after="0"/>
              <w:rPr>
                <w:sz w:val="20"/>
                <w:szCs w:val="20"/>
                <w:color w:val="auto"/>
              </w:rPr>
            </w:pPr>
            <w:r>
              <w:rPr>
                <w:rFonts w:ascii="Arial" w:cs="Arial" w:eastAsia="Arial" w:hAnsi="Arial"/>
                <w:sz w:val="15"/>
                <w:szCs w:val="15"/>
                <w:color w:val="auto"/>
              </w:rPr>
              <w:t>13,197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73"/>
              <w:spacing w:after="0"/>
              <w:rPr>
                <w:sz w:val="20"/>
                <w:szCs w:val="20"/>
                <w:color w:val="auto"/>
              </w:rPr>
            </w:pPr>
            <w:r>
              <w:rPr>
                <w:rFonts w:ascii="Arial" w:cs="Arial" w:eastAsia="Arial" w:hAnsi="Arial"/>
                <w:sz w:val="15"/>
                <w:szCs w:val="15"/>
                <w:color w:val="auto"/>
              </w:rPr>
              <w:t>13,042</w:t>
            </w:r>
          </w:p>
        </w:tc>
        <w:tc>
          <w:tcPr>
            <w:tcW w:w="22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272"/>
              <w:spacing w:after="0"/>
              <w:rPr>
                <w:sz w:val="20"/>
                <w:szCs w:val="20"/>
                <w:color w:val="auto"/>
              </w:rPr>
            </w:pPr>
            <w:r>
              <w:rPr>
                <w:rFonts w:ascii="Arial" w:cs="Arial" w:eastAsia="Arial" w:hAnsi="Arial"/>
                <w:sz w:val="15"/>
                <w:szCs w:val="15"/>
                <w:color w:val="auto"/>
              </w:rPr>
              <w:t>$</w:t>
            </w:r>
          </w:p>
        </w:tc>
      </w:tr>
    </w:tbl>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Company has established $45.2 million in valuation allowances against deferred state tax assets recognized, net of U.S. Federal tax. As stated a approximately $31.9 million of the valuation allowances, net of U.S. Federal income tax, relate to state income tax loss carryforwards. The Company h established valuation allowances against state income tax assets recognized, without considering potentially offsetting deferred tax liabilities establish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state income tax assets recorded may increase or decrease within the next 12 months, based on operating results or the market v of investment holdings; as a result, the Company is unable to estimate the potential tax impact, given the uncertain operating and market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established valuation allowances against any U.S. Federal deferred tax assets.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has established $14 million in valuation allowances against non-U.S. deferred tax assets, and, as stated above, $13.3 million of the non valuation allowances relate to non-U.S. income tax loss carryforwards.</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Deferred U.S. Federal and state income taxes are recorded with respect to undistributed earnings of investments in non-U.S. subsidiaries to the exten taxable dividend income would be recognized if such earnings were distributed. Deferred income taxes recorded with respect to undistributed earning investments in non-U.S. subsidiaries are recorded net of foreign tax credits estimated to be creditable against future U.S. Federal tax liabilities. At Dec 31, 2011, about $0.7 million of net deferred U.S. Federal income tax assets were recorded since it is apparent that a portion of the temporary differenc described below reverse in the subsequent year. At January 2, 2011, no net deferred U.S. Federal or state income tax asset or liability was recorded w respect to undistributed earnings of investments in non-U.S. subsidiaries based on the year-end position.</w:t>
      </w:r>
    </w:p>
    <w:p>
      <w:pPr>
        <w:spacing w:after="0" w:line="35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96" w:name="page97"/>
    <w:bookmarkEnd w:id="96"/>
    <w:p>
      <w:pPr>
        <w:jc w:val="both"/>
        <w:spacing w:after="0" w:line="230" w:lineRule="auto"/>
        <w:rPr>
          <w:sz w:val="20"/>
          <w:szCs w:val="20"/>
          <w:color w:val="auto"/>
        </w:rPr>
      </w:pPr>
      <w:r>
        <w:rPr>
          <w:rFonts w:ascii="Arial" w:cs="Arial" w:eastAsia="Arial" w:hAnsi="Arial"/>
          <w:sz w:val="17"/>
          <w:szCs w:val="17"/>
          <w:color w:val="auto"/>
        </w:rPr>
        <w:t>Deferred U.S. Federal and state income taxes have not been recorded for the full book value and tax basis differences related to investments in non-U subsidiaries because such investments are expected to be indefinitely held. The book value exceeded the tax basis of investments in non-U.S. subsid by approximately $60.6 million and $60.7 million at December 31, 2011 and January 2, 2011, respectively; these differences would result in approxima $13.4 million and $12.7 million of net additional U.S. Federal and state deferred tax liabilities, net of foreign tax credits related to undistributed earning estimated to be creditable against future U.S. Federal tax liabilities, at December 31, 2011 and January 2, 2011, respectively. If investments in non-U. subsidiaries were held for sale instead of expected to be held indefinitely, additional U.S. Federal and state deferred tax liabilities would be required to recorded, and such deferred tax liabilities, if recorded, may exceed the above estimates.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does not currently anticipate that within the next 12 months there will be any events requiring the establishment of any valuation allowa against U.S. Federal net deferred tax assets, or any events requiring significant increases or decreases in valuation allowances established against no U.S. net deferred tax assets.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 corporate income tax returns filed through 2007, and the Internal Revenue Service is not currently examining any of the post-2007 returns filed by the Company.</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 full. The Company has taken reasonable efforts to address uncertain tax positions, and has determined that there are no material transactions or mate tax positions taken by the Company that would fail to meet the more-likely-than-not threshold for recognizing transactions or tax positions in the financ statements. Accordingly, the Company has not recorded a reserve for uncertain tax positions in the financial statements, and the Company does not e any significant tax increase or decrease to occur within the next 12 months with respect to any transactions or tax positions taken and reflected in the financial statements. In making these determinations, the Company presumes that taxing authorities pursuing examinations of the Company’s complia with tax law filing requirements will have full knowledge of all relevant information, and, if necessary, the Company will pursue resolution of disputed ta positions by appeals or litigation.</w:t>
      </w:r>
    </w:p>
    <w:p>
      <w:pPr>
        <w:spacing w:after="0" w:line="156"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6"/>
          <w:szCs w:val="16"/>
          <w:b w:val="1"/>
          <w:bCs w:val="1"/>
          <w:color w:val="auto"/>
        </w:rPr>
        <w:t>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188"/>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Januar</w:t>
            </w:r>
          </w:p>
        </w:tc>
      </w:tr>
      <w:tr>
        <w:trPr>
          <w:trHeight w:val="151"/>
        </w:trPr>
        <w:tc>
          <w:tcPr>
            <w:tcW w:w="8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8800" w:type="dxa"/>
            <w:vAlign w:val="bottom"/>
          </w:tcPr>
          <w:p>
            <w:pPr>
              <w:spacing w:after="0" w:line="150" w:lineRule="exact"/>
              <w:rPr>
                <w:sz w:val="20"/>
                <w:szCs w:val="20"/>
                <w:color w:val="auto"/>
              </w:rPr>
            </w:pPr>
            <w:r>
              <w:rPr>
                <w:rFonts w:ascii="Arial" w:cs="Arial" w:eastAsia="Arial" w:hAnsi="Arial"/>
                <w:sz w:val="15"/>
                <w:szCs w:val="15"/>
                <w:color w:val="auto"/>
              </w:rPr>
              <w:t>7.25% unsecured notes due February 1, 2019</w:t>
            </w:r>
          </w:p>
        </w:tc>
        <w:tc>
          <w:tcPr>
            <w:tcW w:w="16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108"/>
              <w:spacing w:after="0" w:line="150" w:lineRule="exact"/>
              <w:rPr>
                <w:sz w:val="20"/>
                <w:szCs w:val="20"/>
                <w:color w:val="auto"/>
              </w:rPr>
            </w:pPr>
            <w:r>
              <w:rPr>
                <w:rFonts w:ascii="Arial" w:cs="Arial" w:eastAsia="Arial" w:hAnsi="Arial"/>
                <w:sz w:val="15"/>
                <w:szCs w:val="15"/>
                <w:b w:val="1"/>
                <w:bCs w:val="1"/>
                <w:color w:val="auto"/>
              </w:rPr>
              <w:t>397,065</w:t>
            </w:r>
          </w:p>
        </w:tc>
        <w:tc>
          <w:tcPr>
            <w:tcW w:w="36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74"/>
        </w:trPr>
        <w:tc>
          <w:tcPr>
            <w:tcW w:w="8800" w:type="dxa"/>
            <w:vAlign w:val="bottom"/>
          </w:tcPr>
          <w:p>
            <w:pPr>
              <w:spacing w:after="0"/>
              <w:rPr>
                <w:sz w:val="20"/>
                <w:szCs w:val="20"/>
                <w:color w:val="auto"/>
              </w:rPr>
            </w:pPr>
            <w:r>
              <w:rPr>
                <w:rFonts w:ascii="Arial" w:cs="Arial" w:eastAsia="Arial" w:hAnsi="Arial"/>
                <w:sz w:val="15"/>
                <w:szCs w:val="15"/>
                <w:color w:val="auto"/>
              </w:rPr>
              <w:t>Commercial paper borrowings</w:t>
            </w:r>
          </w:p>
        </w:tc>
        <w:tc>
          <w:tcPr>
            <w:tcW w:w="16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5"/>
                <w:szCs w:val="15"/>
                <w:b w:val="1"/>
                <w:bCs w:val="1"/>
                <w:color w:val="auto"/>
              </w:rPr>
              <w:t>109,671</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74"/>
        </w:trPr>
        <w:tc>
          <w:tcPr>
            <w:tcW w:w="8800" w:type="dxa"/>
            <w:vAlign w:val="bottom"/>
          </w:tcPr>
          <w:p>
            <w:pPr>
              <w:spacing w:after="0"/>
              <w:rPr>
                <w:sz w:val="20"/>
                <w:szCs w:val="20"/>
                <w:color w:val="auto"/>
              </w:rPr>
            </w:pPr>
            <w:r>
              <w:rPr>
                <w:rFonts w:ascii="Arial" w:cs="Arial" w:eastAsia="Arial" w:hAnsi="Arial"/>
                <w:sz w:val="15"/>
                <w:szCs w:val="15"/>
                <w:color w:val="auto"/>
              </w:rPr>
              <w:t>AUD 50M borrowing</w:t>
            </w:r>
          </w:p>
        </w:tc>
        <w:tc>
          <w:tcPr>
            <w:tcW w:w="160" w:type="dxa"/>
            <w:vAlign w:val="bottom"/>
          </w:tcPr>
          <w:p>
            <w:pPr>
              <w:spacing w:after="0"/>
              <w:rPr>
                <w:sz w:val="15"/>
                <w:szCs w:val="15"/>
                <w:color w:val="auto"/>
              </w:rPr>
            </w:pPr>
          </w:p>
        </w:tc>
        <w:tc>
          <w:tcPr>
            <w:tcW w:w="1140" w:type="dxa"/>
            <w:vAlign w:val="bottom"/>
          </w:tcPr>
          <w:p>
            <w:pPr>
              <w:jc w:val="right"/>
              <w:ind w:right="108"/>
              <w:spacing w:after="0"/>
              <w:rPr>
                <w:sz w:val="20"/>
                <w:szCs w:val="20"/>
                <w:color w:val="auto"/>
              </w:rPr>
            </w:pPr>
            <w:r>
              <w:rPr>
                <w:rFonts w:ascii="Arial" w:cs="Arial" w:eastAsia="Arial" w:hAnsi="Arial"/>
                <w:sz w:val="15"/>
                <w:szCs w:val="15"/>
                <w:b w:val="1"/>
                <w:bCs w:val="1"/>
                <w:color w:val="auto"/>
              </w:rPr>
              <w:t>51,012</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90"/>
        </w:trPr>
        <w:tc>
          <w:tcPr>
            <w:tcW w:w="8800" w:type="dxa"/>
            <w:vAlign w:val="bottom"/>
          </w:tcPr>
          <w:p>
            <w:pPr>
              <w:spacing w:after="0"/>
              <w:rPr>
                <w:sz w:val="20"/>
                <w:szCs w:val="20"/>
                <w:color w:val="auto"/>
              </w:rPr>
            </w:pPr>
            <w:r>
              <w:rPr>
                <w:rFonts w:ascii="Arial" w:cs="Arial" w:eastAsia="Arial" w:hAnsi="Arial"/>
                <w:sz w:val="15"/>
                <w:szCs w:val="15"/>
                <w:color w:val="auto"/>
              </w:rPr>
              <w:t>Other indebtedness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rPr>
              <w:t>7,464</w:t>
            </w: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r>
      <w:tr>
        <w:trPr>
          <w:trHeight w:val="150"/>
        </w:trPr>
        <w:tc>
          <w:tcPr>
            <w:tcW w:w="8800" w:type="dxa"/>
            <w:vAlign w:val="bottom"/>
          </w:tcPr>
          <w:p>
            <w:pPr>
              <w:spacing w:after="0" w:line="150" w:lineRule="exact"/>
              <w:rPr>
                <w:sz w:val="20"/>
                <w:szCs w:val="20"/>
                <w:color w:val="auto"/>
              </w:rPr>
            </w:pPr>
            <w:r>
              <w:rPr>
                <w:rFonts w:ascii="Arial" w:cs="Arial" w:eastAsia="Arial" w:hAnsi="Arial"/>
                <w:sz w:val="15"/>
                <w:szCs w:val="15"/>
                <w:color w:val="auto"/>
              </w:rPr>
              <w:t>Total</w:t>
            </w:r>
          </w:p>
        </w:tc>
        <w:tc>
          <w:tcPr>
            <w:tcW w:w="160" w:type="dxa"/>
            <w:vAlign w:val="bottom"/>
          </w:tcPr>
          <w:p>
            <w:pPr>
              <w:spacing w:after="0"/>
              <w:rPr>
                <w:sz w:val="13"/>
                <w:szCs w:val="13"/>
                <w:color w:val="auto"/>
              </w:rPr>
            </w:pPr>
          </w:p>
        </w:tc>
        <w:tc>
          <w:tcPr>
            <w:tcW w:w="1140" w:type="dxa"/>
            <w:vAlign w:val="bottom"/>
          </w:tcPr>
          <w:p>
            <w:pPr>
              <w:jc w:val="right"/>
              <w:ind w:right="108"/>
              <w:spacing w:after="0" w:line="150" w:lineRule="exact"/>
              <w:rPr>
                <w:sz w:val="20"/>
                <w:szCs w:val="20"/>
                <w:color w:val="auto"/>
              </w:rPr>
            </w:pPr>
            <w:r>
              <w:rPr>
                <w:rFonts w:ascii="Arial" w:cs="Arial" w:eastAsia="Arial" w:hAnsi="Arial"/>
                <w:sz w:val="15"/>
                <w:szCs w:val="15"/>
                <w:b w:val="1"/>
                <w:bCs w:val="1"/>
                <w:color w:val="auto"/>
              </w:rPr>
              <w:t>565,212</w:t>
            </w:r>
          </w:p>
        </w:tc>
        <w:tc>
          <w:tcPr>
            <w:tcW w:w="360" w:type="dxa"/>
            <w:vAlign w:val="bottom"/>
          </w:tcPr>
          <w:p>
            <w:pPr>
              <w:spacing w:after="0"/>
              <w:rPr>
                <w:sz w:val="13"/>
                <w:szCs w:val="13"/>
                <w:color w:val="auto"/>
              </w:rPr>
            </w:pPr>
          </w:p>
        </w:tc>
        <w:tc>
          <w:tcPr>
            <w:tcW w:w="48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90"/>
        </w:trPr>
        <w:tc>
          <w:tcPr>
            <w:tcW w:w="8800" w:type="dxa"/>
            <w:vAlign w:val="bottom"/>
          </w:tcPr>
          <w:p>
            <w:pPr>
              <w:spacing w:after="0"/>
              <w:rPr>
                <w:sz w:val="20"/>
                <w:szCs w:val="20"/>
                <w:color w:val="auto"/>
              </w:rPr>
            </w:pPr>
            <w:r>
              <w:rPr>
                <w:rFonts w:ascii="Arial" w:cs="Arial" w:eastAsia="Arial" w:hAnsi="Arial"/>
                <w:sz w:val="15"/>
                <w:szCs w:val="15"/>
                <w:color w:val="auto"/>
              </w:rPr>
              <w:t>Less: current portion</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b w:val="1"/>
                <w:bCs w:val="1"/>
                <w:color w:val="auto"/>
              </w:rPr>
              <w:t>(112,983)</w:t>
            </w: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8800" w:type="dxa"/>
            <w:vAlign w:val="bottom"/>
          </w:tcPr>
          <w:p>
            <w:pPr>
              <w:spacing w:after="0" w:line="167" w:lineRule="exact"/>
              <w:rPr>
                <w:sz w:val="20"/>
                <w:szCs w:val="20"/>
                <w:color w:val="auto"/>
              </w:rPr>
            </w:pPr>
            <w:r>
              <w:rPr>
                <w:rFonts w:ascii="Arial" w:cs="Arial" w:eastAsia="Arial" w:hAnsi="Arial"/>
                <w:sz w:val="15"/>
                <w:szCs w:val="15"/>
                <w:color w:val="auto"/>
              </w:rPr>
              <w:t>Total long-term debt</w:t>
            </w: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ind w:right="108"/>
              <w:spacing w:after="0" w:line="167" w:lineRule="exact"/>
              <w:rPr>
                <w:sz w:val="20"/>
                <w:szCs w:val="20"/>
                <w:color w:val="auto"/>
              </w:rPr>
            </w:pPr>
            <w:r>
              <w:rPr>
                <w:rFonts w:ascii="Arial" w:cs="Arial" w:eastAsia="Arial" w:hAnsi="Arial"/>
                <w:sz w:val="15"/>
                <w:szCs w:val="15"/>
                <w:b w:val="1"/>
                <w:bCs w:val="1"/>
                <w:color w:val="auto"/>
              </w:rPr>
              <w:t>452,229</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At December 31, 2011, the average interest rate on the Company’s outstanding commercial paper borrowing was 0.5%. The Company did not borrow under its commercial paper program in 2010. The Company’s other indebtedness at December 31, 2011 is at interest rates of 0% to 6% and matures 2012 to 2016.</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January 2009, the Company issued $400 million in unsecured ten-year fixed-rate notes due February 1, 2019 (the Notes). The Notes have a coupo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 upon the occurrence of both a Change of Control and Below Investment Grade Rating Events as described in the Prospectus Supplement of January 2009.</w:t>
      </w:r>
    </w:p>
    <w:p>
      <w:pPr>
        <w:spacing w:after="0" w:line="189"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On June 17, 2011, the Company terminated its U.S. $500 million five-year revolving credit agreement, dated as of August 8, 2006, among the Compa lenders party thereto and Citibank, N.A. (the 2006 Credit Agreement), in connection with the entrance into a new revolving credit facility. No borrowing outstanding under the 2006 Credit</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97" w:name="page98"/>
    <w:bookmarkEnd w:id="97"/>
    <w:p>
      <w:pPr>
        <w:ind w:left="9"/>
        <w:spacing w:after="0" w:line="244" w:lineRule="auto"/>
        <w:rPr>
          <w:sz w:val="20"/>
          <w:szCs w:val="20"/>
          <w:color w:val="auto"/>
        </w:rPr>
      </w:pPr>
      <w:r>
        <w:rPr>
          <w:rFonts w:ascii="Arial" w:cs="Arial" w:eastAsia="Arial" w:hAnsi="Arial"/>
          <w:sz w:val="16"/>
          <w:szCs w:val="16"/>
          <w:color w:val="auto"/>
        </w:rPr>
        <w:t>Agreement at the time of termination. On June 17, 2011, the Company entered into a credit agreement (the Credit Agreement) providing for a new U.S $450 million, AUD 50 million four-year revolving credit facility (the Facility), with each of the lenders party thereto, JPMorgan Chase Bank, N.A., as Administrative Agent (JP Morgan), and J.P. Morgan Australia Limited, as Australian Sub-Agent. The Facility consists of two tranches: (a) U.S. $450 mi and (b) AUD 50 million (subject, at the Company’s option, to conversion of the unused Australian dollar commitments into U.S. dollar commitments at specified exchange rate). This agreement supports the issuance of the Company’s commercial paper, but the Company may also draw on the facility f general corporate purposes. The Credit Agreement provides for an option to increase the total U.S. dollar commitments up to an aggregate amount of $700 million. The Facility replaced the Company’s 2006 Credit Agreement. The Company is required to pay a facility fee on a quarterly basis, based o Company’s long-term debt ratings, of between 0.08% and 0.20% of the amount of the Facility. Any borrowings are made on an unsecured basis and b interest at (a) for U.S. dollar borrowings, at the Company’s option, either (i) a fluctuating interest rate equal to the highest of JPMorgan’s prime rate, 0. percent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 will expire on June 17, 2015, unless the Company and the banks agree to extend the term. Any outstanding borrowings must be repaid on or prior to t final termination date. The Credit Agreement contains terms and conditions, including remedies in the event of a default by the Company, typical of fac of this type and, among other things, requires the Company to maintain at least $1.5 billion of consolidated stockholders’ equity.</w:t>
      </w:r>
    </w:p>
    <w:p>
      <w:pPr>
        <w:spacing w:after="0" w:line="173"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 Based on the terms of the interest rate swap agreements and the underlying borrowing, these interest rate swap agreemen were determined to be effective, and thus qualify as a cash flow hedge. As such, any changes in the fair value of these interest rate swaps are recorde other comprehensive income on the accompanying condensed consolidated balance sheets until earnings are affected by the variability of cash flows.</w:t>
      </w:r>
    </w:p>
    <w:p>
      <w:pPr>
        <w:spacing w:after="0" w:line="174"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During 2011 and 2010, the Company had average borrowings outstanding of approximately $426.7 million and $ 399.5 million, respectively, at average annual interest rates of approximately 7.0% and 7.2%, respectively. The Company incurred net interest expense of $29.1 million, $27.9 million and $2 million during 2011, 2010 and 2009, respectively.</w:t>
      </w:r>
    </w:p>
    <w:p>
      <w:pPr>
        <w:spacing w:after="0" w:line="175" w:lineRule="exact"/>
        <w:rPr>
          <w:sz w:val="20"/>
          <w:szCs w:val="20"/>
          <w:color w:val="auto"/>
        </w:rPr>
      </w:pPr>
    </w:p>
    <w:p>
      <w:pPr>
        <w:jc w:val="both"/>
        <w:ind w:left="9" w:right="80"/>
        <w:spacing w:after="0" w:line="233" w:lineRule="auto"/>
        <w:rPr>
          <w:sz w:val="20"/>
          <w:szCs w:val="20"/>
          <w:color w:val="auto"/>
        </w:rPr>
      </w:pPr>
      <w:r>
        <w:rPr>
          <w:rFonts w:ascii="Arial" w:cs="Arial" w:eastAsia="Arial" w:hAnsi="Arial"/>
          <w:sz w:val="17"/>
          <w:szCs w:val="17"/>
          <w:color w:val="auto"/>
        </w:rPr>
        <w:t>At December 31, 2011 and January 2, 2011, the fair value of the Company’s 7.25% unsecured notes, based on quoted market prices, totaled $460.5 and $457.2 million, respectively, compared with the carrying amount of $397.1 million and $396.7 million. The carrying value of the Company’s other unsecured debt at December 31, 2011 approximates fair value.</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11.  REDEEMABLE PREFERRED STOCK</w:t>
      </w:r>
    </w:p>
    <w:p>
      <w:pPr>
        <w:spacing w:after="0" w:line="19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The Series A preferred stock has a par value of $ 1.00 per share and a liquidation preference of $1,000 per share; it is redeemable by the Company at time on or after October 1, 2015, at a redemption price of $1,000 per share. In addition, the holders of such stock have a right to require the Company purchase their shares at the redemption price during an annual 60-day election period. Dividends on the Series A preferred stock are payable four tim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59" w:lineRule="exact"/>
        <w:rPr>
          <w:sz w:val="20"/>
          <w:szCs w:val="20"/>
          <w:color w:val="auto"/>
        </w:rPr>
      </w:pPr>
    </w:p>
    <w:p>
      <w:pPr>
        <w:ind w:left="409" w:hanging="409"/>
        <w:spacing w:after="0"/>
        <w:tabs>
          <w:tab w:leader="none" w:pos="409"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STOCK AWARDS AND STOCK OPTIONS</w:t>
      </w:r>
    </w:p>
    <w:p>
      <w:pPr>
        <w:spacing w:after="0" w:line="177" w:lineRule="exact"/>
        <w:rPr>
          <w:sz w:val="20"/>
          <w:szCs w:val="20"/>
          <w:color w:val="auto"/>
        </w:rPr>
      </w:pPr>
    </w:p>
    <w:p>
      <w:pPr>
        <w:jc w:val="both"/>
        <w:ind w:left="9"/>
        <w:spacing w:after="0" w:line="236"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Each share of Class A common stock and Class B common stock participates equally in dividends. The Class B stock has limited voti</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as a class has the right to elect 30% of the Board of Directors; the Class A stock has unlimited voting rights, including the right to elect a ma of the Board of Directors. In 2011 and 2010, the Company’s Class A shareholders converted 11,500, or 1%, and 50,810, or 4%, respectively, of the C shares of the Company to an equal number of Class B shares. The conversions had no impact on the voting rights of the Class A and Class B commo stock.</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98" w:name="page99"/>
    <w:bookmarkEnd w:id="98"/>
    <w:p>
      <w:pPr>
        <w:spacing w:after="0" w:line="231" w:lineRule="auto"/>
        <w:rPr>
          <w:sz w:val="20"/>
          <w:szCs w:val="20"/>
          <w:color w:val="auto"/>
        </w:rPr>
      </w:pPr>
      <w:r>
        <w:rPr>
          <w:rFonts w:ascii="Arial" w:cs="Arial" w:eastAsia="Arial" w:hAnsi="Arial"/>
          <w:sz w:val="17"/>
          <w:szCs w:val="17"/>
          <w:color w:val="auto"/>
        </w:rPr>
        <w:t>During 2011, 2010 and 2009, the Company purchased a total of 644,948, 1,057,940 and 145,040 shares, respectively, of its Class B common stock at cost of approximately $248.1 million, $404.8 million and $ 61.0 million, respectively. In September 2011, the Board of Directors increased the authoriza repurchase a total of 750,000 shares of Class B common stock. The Company did not announce a ceiling price or a time limit for the purchases. The authorization included 43,573 shares that remained under the previous authorization. At December 31, 2011, the Company had authorization from the Board of Directors to purchase up to 493,474 shares of Class B common stock.</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In 1982, the Company adopted a long-term incentive compensation plan, which, among other provisions, authorizes the awarding of</w:t>
      </w:r>
      <w:r>
        <w:rPr>
          <w:rFonts w:ascii="Arial" w:cs="Arial" w:eastAsia="Arial" w:hAnsi="Arial"/>
          <w:sz w:val="16"/>
          <w:szCs w:val="16"/>
          <w:b w:val="1"/>
          <w:bCs w:val="1"/>
          <w:color w:val="auto"/>
        </w:rPr>
        <w:t xml:space="preserve"> </w:t>
      </w:r>
      <w:r>
        <w:rPr>
          <w:rFonts w:ascii="Arial" w:cs="Arial" w:eastAsia="Arial" w:hAnsi="Arial"/>
          <w:sz w:val="16"/>
          <w:szCs w:val="16"/>
          <w:color w:val="auto"/>
        </w:rPr>
        <w:t>Class B common stock to key employees. Stock awards made under this incentive compensation plan are primarily subject to the general restriction th stock awarded to a participant will be forfeited and revert to Company ownership if the participant’s employment terminates before the end of a specifi period of service to the Company. Some of the awards are also subject to performance conditions and will be forfeited and revert to Company owners the conditions are not met. At December 31, 2011, there were 316,805 shares reserved for issuance under the incentive compensation plan. Of this n 77,319 shares were subject to awards outstanding and 239,486 shares were available for future awards. Activity related to stock awards under the lon term incentive compensation plan for the years ended December 31, 2011, January 2, 2011 and January 3, 2010,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0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2010</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color w:val="auto"/>
              </w:rPr>
              <w:t>2009</w:t>
            </w:r>
          </w:p>
        </w:tc>
      </w:tr>
      <w:tr>
        <w:trPr>
          <w:trHeight w:val="114"/>
        </w:trPr>
        <w:tc>
          <w:tcPr>
            <w:tcW w:w="4800" w:type="dxa"/>
            <w:vAlign w:val="bottom"/>
          </w:tcPr>
          <w:p>
            <w:pPr>
              <w:spacing w:after="0"/>
              <w:rPr>
                <w:sz w:val="9"/>
                <w:szCs w:val="9"/>
                <w:color w:val="auto"/>
              </w:rPr>
            </w:pPr>
          </w:p>
        </w:tc>
        <w:tc>
          <w:tcPr>
            <w:tcW w:w="1180" w:type="dxa"/>
            <w:vAlign w:val="bottom"/>
          </w:tcPr>
          <w:p>
            <w:pPr>
              <w:jc w:val="center"/>
              <w:ind w:right="291"/>
              <w:spacing w:after="0" w:line="11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9"/>
                <w:szCs w:val="9"/>
                <w:color w:val="auto"/>
              </w:rPr>
            </w:pPr>
          </w:p>
        </w:tc>
        <w:tc>
          <w:tcPr>
            <w:tcW w:w="980" w:type="dxa"/>
            <w:vAlign w:val="bottom"/>
          </w:tcPr>
          <w:p>
            <w:pPr>
              <w:jc w:val="center"/>
              <w:ind w:right="370"/>
              <w:spacing w:after="0" w:line="114" w:lineRule="exact"/>
              <w:rPr>
                <w:sz w:val="20"/>
                <w:szCs w:val="20"/>
                <w:color w:val="auto"/>
              </w:rPr>
            </w:pPr>
            <w:r>
              <w:rPr>
                <w:rFonts w:ascii="Arial" w:cs="Arial" w:eastAsia="Arial" w:hAnsi="Arial"/>
                <w:sz w:val="12"/>
                <w:szCs w:val="12"/>
                <w:b w:val="1"/>
                <w:bCs w:val="1"/>
                <w:color w:val="auto"/>
              </w:rPr>
              <w:t>Average</w:t>
            </w:r>
          </w:p>
        </w:tc>
        <w:tc>
          <w:tcPr>
            <w:tcW w:w="1200" w:type="dxa"/>
            <w:vAlign w:val="bottom"/>
          </w:tcPr>
          <w:p>
            <w:pPr>
              <w:jc w:val="center"/>
              <w:ind w:right="251"/>
              <w:spacing w:after="0" w:line="114" w:lineRule="exact"/>
              <w:rPr>
                <w:sz w:val="20"/>
                <w:szCs w:val="20"/>
                <w:color w:val="auto"/>
              </w:rPr>
            </w:pPr>
            <w:r>
              <w:rPr>
                <w:rFonts w:ascii="Arial" w:cs="Arial" w:eastAsia="Arial" w:hAnsi="Arial"/>
                <w:sz w:val="12"/>
                <w:szCs w:val="12"/>
                <w:color w:val="auto"/>
              </w:rPr>
              <w:t>Number</w:t>
            </w:r>
          </w:p>
        </w:tc>
        <w:tc>
          <w:tcPr>
            <w:tcW w:w="120" w:type="dxa"/>
            <w:vAlign w:val="bottom"/>
          </w:tcPr>
          <w:p>
            <w:pPr>
              <w:spacing w:after="0"/>
              <w:rPr>
                <w:sz w:val="9"/>
                <w:szCs w:val="9"/>
                <w:color w:val="auto"/>
              </w:rPr>
            </w:pPr>
          </w:p>
        </w:tc>
        <w:tc>
          <w:tcPr>
            <w:tcW w:w="940" w:type="dxa"/>
            <w:vAlign w:val="bottom"/>
          </w:tcPr>
          <w:p>
            <w:pPr>
              <w:jc w:val="center"/>
              <w:ind w:right="370"/>
              <w:spacing w:after="0" w:line="114" w:lineRule="exact"/>
              <w:rPr>
                <w:sz w:val="20"/>
                <w:szCs w:val="20"/>
                <w:color w:val="auto"/>
              </w:rPr>
            </w:pPr>
            <w:r>
              <w:rPr>
                <w:rFonts w:ascii="Arial" w:cs="Arial" w:eastAsia="Arial" w:hAnsi="Arial"/>
                <w:sz w:val="12"/>
                <w:szCs w:val="12"/>
                <w:color w:val="auto"/>
              </w:rPr>
              <w:t>Average</w:t>
            </w:r>
          </w:p>
        </w:tc>
        <w:tc>
          <w:tcPr>
            <w:tcW w:w="860" w:type="dxa"/>
            <w:vAlign w:val="bottom"/>
          </w:tcPr>
          <w:p>
            <w:pPr>
              <w:jc w:val="center"/>
              <w:spacing w:after="0" w:line="114" w:lineRule="exact"/>
              <w:rPr>
                <w:sz w:val="20"/>
                <w:szCs w:val="20"/>
                <w:color w:val="auto"/>
              </w:rPr>
            </w:pPr>
            <w:r>
              <w:rPr>
                <w:rFonts w:ascii="Arial" w:cs="Arial" w:eastAsia="Arial" w:hAnsi="Arial"/>
                <w:sz w:val="12"/>
                <w:szCs w:val="12"/>
                <w:color w:val="auto"/>
              </w:rPr>
              <w:t>Number</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Aver</w:t>
            </w:r>
          </w:p>
        </w:tc>
      </w:tr>
      <w:tr>
        <w:trPr>
          <w:trHeight w:val="137"/>
        </w:trPr>
        <w:tc>
          <w:tcPr>
            <w:tcW w:w="4800" w:type="dxa"/>
            <w:vAlign w:val="bottom"/>
          </w:tcPr>
          <w:p>
            <w:pPr>
              <w:spacing w:after="0"/>
              <w:rPr>
                <w:sz w:val="11"/>
                <w:szCs w:val="11"/>
                <w:color w:val="auto"/>
              </w:rPr>
            </w:pPr>
          </w:p>
        </w:tc>
        <w:tc>
          <w:tcPr>
            <w:tcW w:w="1180" w:type="dxa"/>
            <w:vAlign w:val="bottom"/>
          </w:tcPr>
          <w:p>
            <w:pPr>
              <w:jc w:val="center"/>
              <w:ind w:right="291"/>
              <w:spacing w:after="0" w:line="137"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980" w:type="dxa"/>
            <w:vAlign w:val="bottom"/>
          </w:tcPr>
          <w:p>
            <w:pPr>
              <w:jc w:val="center"/>
              <w:ind w:right="370"/>
              <w:spacing w:after="0" w:line="137" w:lineRule="exact"/>
              <w:rPr>
                <w:sz w:val="20"/>
                <w:szCs w:val="20"/>
                <w:color w:val="auto"/>
              </w:rPr>
            </w:pPr>
            <w:r>
              <w:rPr>
                <w:rFonts w:ascii="Arial" w:cs="Arial" w:eastAsia="Arial" w:hAnsi="Arial"/>
                <w:sz w:val="12"/>
                <w:szCs w:val="12"/>
                <w:b w:val="1"/>
                <w:bCs w:val="1"/>
                <w:color w:val="auto"/>
              </w:rPr>
              <w:t>Award</w:t>
            </w:r>
          </w:p>
        </w:tc>
        <w:tc>
          <w:tcPr>
            <w:tcW w:w="1200" w:type="dxa"/>
            <w:vAlign w:val="bottom"/>
          </w:tcPr>
          <w:p>
            <w:pPr>
              <w:jc w:val="center"/>
              <w:ind w:right="231"/>
              <w:spacing w:after="0" w:line="137" w:lineRule="exact"/>
              <w:rPr>
                <w:sz w:val="20"/>
                <w:szCs w:val="20"/>
                <w:color w:val="auto"/>
              </w:rPr>
            </w:pPr>
            <w:r>
              <w:rPr>
                <w:rFonts w:ascii="Arial" w:cs="Arial" w:eastAsia="Arial" w:hAnsi="Arial"/>
                <w:sz w:val="12"/>
                <w:szCs w:val="12"/>
                <w:color w:val="auto"/>
                <w:w w:val="99"/>
              </w:rPr>
              <w:t>of</w:t>
            </w:r>
          </w:p>
        </w:tc>
        <w:tc>
          <w:tcPr>
            <w:tcW w:w="120" w:type="dxa"/>
            <w:vAlign w:val="bottom"/>
          </w:tcPr>
          <w:p>
            <w:pPr>
              <w:spacing w:after="0"/>
              <w:rPr>
                <w:sz w:val="11"/>
                <w:szCs w:val="11"/>
                <w:color w:val="auto"/>
              </w:rPr>
            </w:pPr>
          </w:p>
        </w:tc>
        <w:tc>
          <w:tcPr>
            <w:tcW w:w="940" w:type="dxa"/>
            <w:vAlign w:val="bottom"/>
          </w:tcPr>
          <w:p>
            <w:pPr>
              <w:jc w:val="center"/>
              <w:ind w:right="370"/>
              <w:spacing w:after="0" w:line="137" w:lineRule="exact"/>
              <w:rPr>
                <w:sz w:val="20"/>
                <w:szCs w:val="20"/>
                <w:color w:val="auto"/>
              </w:rPr>
            </w:pPr>
            <w:r>
              <w:rPr>
                <w:rFonts w:ascii="Arial" w:cs="Arial" w:eastAsia="Arial" w:hAnsi="Arial"/>
                <w:sz w:val="12"/>
                <w:szCs w:val="12"/>
                <w:color w:val="auto"/>
                <w:w w:val="99"/>
              </w:rPr>
              <w:t>Award</w:t>
            </w:r>
          </w:p>
        </w:tc>
        <w:tc>
          <w:tcPr>
            <w:tcW w:w="860" w:type="dxa"/>
            <w:vAlign w:val="bottom"/>
          </w:tcPr>
          <w:p>
            <w:pPr>
              <w:jc w:val="center"/>
              <w:spacing w:after="0" w:line="137" w:lineRule="exact"/>
              <w:rPr>
                <w:sz w:val="20"/>
                <w:szCs w:val="20"/>
                <w:color w:val="auto"/>
              </w:rPr>
            </w:pPr>
            <w:r>
              <w:rPr>
                <w:rFonts w:ascii="Arial" w:cs="Arial" w:eastAsia="Arial" w:hAnsi="Arial"/>
                <w:sz w:val="12"/>
                <w:szCs w:val="12"/>
                <w:color w:val="auto"/>
                <w:w w:val="99"/>
              </w:rPr>
              <w:t>of</w:t>
            </w: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Aw</w:t>
            </w:r>
          </w:p>
        </w:tc>
      </w:tr>
      <w:tr>
        <w:trPr>
          <w:trHeight w:val="151"/>
        </w:trPr>
        <w:tc>
          <w:tcPr>
            <w:tcW w:w="48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91"/>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70"/>
              <w:spacing w:after="0"/>
              <w:rPr>
                <w:sz w:val="20"/>
                <w:szCs w:val="20"/>
                <w:color w:val="auto"/>
              </w:rPr>
            </w:pPr>
            <w:r>
              <w:rPr>
                <w:rFonts w:ascii="Arial" w:cs="Arial" w:eastAsia="Arial" w:hAnsi="Arial"/>
                <w:sz w:val="12"/>
                <w:szCs w:val="12"/>
                <w:b w:val="1"/>
                <w:bCs w:val="1"/>
                <w:color w:val="auto"/>
              </w:rPr>
              <w:t>Price</w:t>
            </w:r>
          </w:p>
        </w:tc>
        <w:tc>
          <w:tcPr>
            <w:tcW w:w="1200" w:type="dxa"/>
            <w:vAlign w:val="bottom"/>
            <w:tcBorders>
              <w:bottom w:val="single" w:sz="8" w:color="auto"/>
            </w:tcBorders>
          </w:tcPr>
          <w:p>
            <w:pPr>
              <w:jc w:val="center"/>
              <w:ind w:right="251"/>
              <w:spacing w:after="0"/>
              <w:rPr>
                <w:sz w:val="20"/>
                <w:szCs w:val="20"/>
                <w:color w:val="auto"/>
              </w:rPr>
            </w:pPr>
            <w:r>
              <w:rPr>
                <w:rFonts w:ascii="Arial" w:cs="Arial" w:eastAsia="Arial" w:hAnsi="Arial"/>
                <w:sz w:val="12"/>
                <w:szCs w:val="12"/>
                <w:color w:val="auto"/>
              </w:rPr>
              <w:t>Shares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50"/>
              <w:spacing w:after="0"/>
              <w:rPr>
                <w:sz w:val="20"/>
                <w:szCs w:val="20"/>
                <w:color w:val="auto"/>
              </w:rPr>
            </w:pPr>
            <w:r>
              <w:rPr>
                <w:rFonts w:ascii="Arial" w:cs="Arial" w:eastAsia="Arial" w:hAnsi="Arial"/>
                <w:sz w:val="12"/>
                <w:szCs w:val="12"/>
                <w:color w:val="auto"/>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Pri</w:t>
            </w:r>
          </w:p>
        </w:tc>
      </w:tr>
      <w:tr>
        <w:trPr>
          <w:trHeight w:val="150"/>
        </w:trPr>
        <w:tc>
          <w:tcPr>
            <w:tcW w:w="4800" w:type="dxa"/>
            <w:vAlign w:val="bottom"/>
          </w:tcPr>
          <w:p>
            <w:pPr>
              <w:spacing w:after="0" w:line="150" w:lineRule="exact"/>
              <w:rPr>
                <w:sz w:val="20"/>
                <w:szCs w:val="20"/>
                <w:color w:val="auto"/>
              </w:rPr>
            </w:pPr>
            <w:r>
              <w:rPr>
                <w:rFonts w:ascii="Arial" w:cs="Arial" w:eastAsia="Arial" w:hAnsi="Arial"/>
                <w:sz w:val="15"/>
                <w:szCs w:val="15"/>
                <w:color w:val="auto"/>
              </w:rPr>
              <w:t>Beginning of year, unvested</w:t>
            </w:r>
          </w:p>
        </w:tc>
        <w:tc>
          <w:tcPr>
            <w:tcW w:w="1180" w:type="dxa"/>
            <w:vAlign w:val="bottom"/>
          </w:tcPr>
          <w:p>
            <w:pPr>
              <w:jc w:val="right"/>
              <w:ind w:right="331"/>
              <w:spacing w:after="0" w:line="150" w:lineRule="exact"/>
              <w:rPr>
                <w:sz w:val="20"/>
                <w:szCs w:val="20"/>
                <w:color w:val="auto"/>
              </w:rPr>
            </w:pPr>
            <w:r>
              <w:rPr>
                <w:rFonts w:ascii="Arial" w:cs="Arial" w:eastAsia="Arial" w:hAnsi="Arial"/>
                <w:sz w:val="15"/>
                <w:szCs w:val="15"/>
                <w:b w:val="1"/>
                <w:bCs w:val="1"/>
                <w:color w:val="auto"/>
              </w:rPr>
              <w:t>48,359</w:t>
            </w:r>
          </w:p>
        </w:tc>
        <w:tc>
          <w:tcPr>
            <w:tcW w:w="1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170"/>
              <w:spacing w:after="0" w:line="150" w:lineRule="exact"/>
              <w:rPr>
                <w:sz w:val="20"/>
                <w:szCs w:val="20"/>
                <w:color w:val="auto"/>
              </w:rPr>
            </w:pPr>
            <w:r>
              <w:rPr>
                <w:rFonts w:ascii="Arial" w:cs="Arial" w:eastAsia="Arial" w:hAnsi="Arial"/>
                <w:sz w:val="15"/>
                <w:szCs w:val="15"/>
                <w:b w:val="1"/>
                <w:bCs w:val="1"/>
                <w:color w:val="auto"/>
              </w:rPr>
              <w:t>498.95</w:t>
            </w:r>
          </w:p>
        </w:tc>
        <w:tc>
          <w:tcPr>
            <w:tcW w:w="1200" w:type="dxa"/>
            <w:vAlign w:val="bottom"/>
          </w:tcPr>
          <w:p>
            <w:pPr>
              <w:jc w:val="right"/>
              <w:ind w:right="331"/>
              <w:spacing w:after="0" w:line="150" w:lineRule="exact"/>
              <w:rPr>
                <w:sz w:val="20"/>
                <w:szCs w:val="20"/>
                <w:color w:val="auto"/>
              </w:rPr>
            </w:pPr>
            <w:r>
              <w:rPr>
                <w:rFonts w:ascii="Arial" w:cs="Arial" w:eastAsia="Arial" w:hAnsi="Arial"/>
                <w:sz w:val="15"/>
                <w:szCs w:val="15"/>
                <w:color w:val="auto"/>
              </w:rPr>
              <w:t>66,020</w:t>
            </w:r>
          </w:p>
        </w:tc>
        <w:tc>
          <w:tcPr>
            <w:tcW w:w="120" w:type="dxa"/>
            <w:vAlign w:val="bottom"/>
          </w:tcPr>
          <w:p>
            <w:pPr>
              <w:jc w:val="right"/>
              <w:spacing w:after="0" w:line="150"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150"/>
              <w:spacing w:after="0" w:line="150" w:lineRule="exact"/>
              <w:rPr>
                <w:sz w:val="20"/>
                <w:szCs w:val="20"/>
                <w:color w:val="auto"/>
              </w:rPr>
            </w:pPr>
            <w:r>
              <w:rPr>
                <w:rFonts w:ascii="Arial" w:cs="Arial" w:eastAsia="Arial" w:hAnsi="Arial"/>
                <w:sz w:val="15"/>
                <w:szCs w:val="15"/>
                <w:color w:val="auto"/>
              </w:rPr>
              <w:t>494.97</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32,785</w:t>
            </w:r>
          </w:p>
        </w:tc>
        <w:tc>
          <w:tcPr>
            <w:tcW w:w="740" w:type="dxa"/>
            <w:vAlign w:val="bottom"/>
          </w:tcPr>
          <w:p>
            <w:pPr>
              <w:jc w:val="right"/>
              <w:ind w:right="254"/>
              <w:spacing w:after="0" w:line="150" w:lineRule="exact"/>
              <w:rPr>
                <w:sz w:val="20"/>
                <w:szCs w:val="20"/>
                <w:color w:val="auto"/>
              </w:rPr>
            </w:pPr>
            <w:r>
              <w:rPr>
                <w:rFonts w:ascii="Arial" w:cs="Arial" w:eastAsia="Arial" w:hAnsi="Arial"/>
                <w:sz w:val="15"/>
                <w:szCs w:val="15"/>
                <w:color w:val="auto"/>
              </w:rPr>
              <w:t>$</w:t>
            </w:r>
          </w:p>
        </w:tc>
      </w:tr>
      <w:tr>
        <w:trPr>
          <w:trHeight w:val="174"/>
        </w:trPr>
        <w:tc>
          <w:tcPr>
            <w:tcW w:w="4800" w:type="dxa"/>
            <w:vAlign w:val="bottom"/>
          </w:tcPr>
          <w:p>
            <w:pPr>
              <w:spacing w:after="0"/>
              <w:rPr>
                <w:sz w:val="20"/>
                <w:szCs w:val="20"/>
                <w:color w:val="auto"/>
              </w:rPr>
            </w:pPr>
            <w:r>
              <w:rPr>
                <w:rFonts w:ascii="Arial" w:cs="Arial" w:eastAsia="Arial" w:hAnsi="Arial"/>
                <w:sz w:val="15"/>
                <w:szCs w:val="15"/>
                <w:color w:val="auto"/>
              </w:rPr>
              <w:t>Awarded</w:t>
            </w:r>
          </w:p>
        </w:tc>
        <w:tc>
          <w:tcPr>
            <w:tcW w:w="1180" w:type="dxa"/>
            <w:vAlign w:val="bottom"/>
          </w:tcPr>
          <w:p>
            <w:pPr>
              <w:jc w:val="right"/>
              <w:ind w:right="331"/>
              <w:spacing w:after="0"/>
              <w:rPr>
                <w:sz w:val="20"/>
                <w:szCs w:val="20"/>
                <w:color w:val="auto"/>
              </w:rPr>
            </w:pPr>
            <w:r>
              <w:rPr>
                <w:rFonts w:ascii="Arial" w:cs="Arial" w:eastAsia="Arial" w:hAnsi="Arial"/>
                <w:sz w:val="15"/>
                <w:szCs w:val="15"/>
                <w:b w:val="1"/>
                <w:bCs w:val="1"/>
                <w:color w:val="auto"/>
              </w:rPr>
              <w:t>44,030</w:t>
            </w:r>
          </w:p>
        </w:tc>
        <w:tc>
          <w:tcPr>
            <w:tcW w:w="120" w:type="dxa"/>
            <w:vAlign w:val="bottom"/>
          </w:tcPr>
          <w:p>
            <w:pPr>
              <w:spacing w:after="0"/>
              <w:rPr>
                <w:sz w:val="15"/>
                <w:szCs w:val="15"/>
                <w:color w:val="auto"/>
              </w:rPr>
            </w:pPr>
          </w:p>
        </w:tc>
        <w:tc>
          <w:tcPr>
            <w:tcW w:w="980" w:type="dxa"/>
            <w:vAlign w:val="bottom"/>
          </w:tcPr>
          <w:p>
            <w:pPr>
              <w:jc w:val="right"/>
              <w:ind w:right="170"/>
              <w:spacing w:after="0"/>
              <w:rPr>
                <w:sz w:val="20"/>
                <w:szCs w:val="20"/>
                <w:color w:val="auto"/>
              </w:rPr>
            </w:pPr>
            <w:r>
              <w:rPr>
                <w:rFonts w:ascii="Arial" w:cs="Arial" w:eastAsia="Arial" w:hAnsi="Arial"/>
                <w:sz w:val="15"/>
                <w:szCs w:val="15"/>
                <w:b w:val="1"/>
                <w:bCs w:val="1"/>
                <w:color w:val="auto"/>
              </w:rPr>
              <w:t>432.09</w:t>
            </w:r>
          </w:p>
        </w:tc>
        <w:tc>
          <w:tcPr>
            <w:tcW w:w="1200" w:type="dxa"/>
            <w:vAlign w:val="bottom"/>
          </w:tcPr>
          <w:p>
            <w:pPr>
              <w:jc w:val="right"/>
              <w:ind w:right="331"/>
              <w:spacing w:after="0"/>
              <w:rPr>
                <w:sz w:val="20"/>
                <w:szCs w:val="20"/>
                <w:color w:val="auto"/>
              </w:rPr>
            </w:pPr>
            <w:r>
              <w:rPr>
                <w:rFonts w:ascii="Arial" w:cs="Arial" w:eastAsia="Arial" w:hAnsi="Arial"/>
                <w:sz w:val="15"/>
                <w:szCs w:val="15"/>
                <w:color w:val="auto"/>
              </w:rPr>
              <w:t>1,859</w:t>
            </w:r>
          </w:p>
        </w:tc>
        <w:tc>
          <w:tcPr>
            <w:tcW w:w="12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442.29</w:t>
            </w:r>
          </w:p>
        </w:tc>
        <w:tc>
          <w:tcPr>
            <w:tcW w:w="860" w:type="dxa"/>
            <w:vAlign w:val="bottom"/>
          </w:tcPr>
          <w:p>
            <w:pPr>
              <w:jc w:val="right"/>
              <w:spacing w:after="0"/>
              <w:rPr>
                <w:sz w:val="20"/>
                <w:szCs w:val="20"/>
                <w:color w:val="auto"/>
              </w:rPr>
            </w:pPr>
            <w:r>
              <w:rPr>
                <w:rFonts w:ascii="Arial" w:cs="Arial" w:eastAsia="Arial" w:hAnsi="Arial"/>
                <w:sz w:val="15"/>
                <w:szCs w:val="15"/>
                <w:color w:val="auto"/>
              </w:rPr>
              <w:t>48,440</w:t>
            </w:r>
          </w:p>
        </w:tc>
        <w:tc>
          <w:tcPr>
            <w:tcW w:w="740" w:type="dxa"/>
            <w:vAlign w:val="bottom"/>
          </w:tcPr>
          <w:p>
            <w:pPr>
              <w:spacing w:after="0"/>
              <w:rPr>
                <w:sz w:val="15"/>
                <w:szCs w:val="15"/>
                <w:color w:val="auto"/>
              </w:rPr>
            </w:pPr>
          </w:p>
        </w:tc>
      </w:tr>
      <w:tr>
        <w:trPr>
          <w:trHeight w:val="174"/>
        </w:trPr>
        <w:tc>
          <w:tcPr>
            <w:tcW w:w="4800" w:type="dxa"/>
            <w:vAlign w:val="bottom"/>
          </w:tcPr>
          <w:p>
            <w:pPr>
              <w:spacing w:after="0"/>
              <w:rPr>
                <w:sz w:val="20"/>
                <w:szCs w:val="20"/>
                <w:color w:val="auto"/>
              </w:rPr>
            </w:pPr>
            <w:r>
              <w:rPr>
                <w:rFonts w:ascii="Arial" w:cs="Arial" w:eastAsia="Arial" w:hAnsi="Arial"/>
                <w:sz w:val="15"/>
                <w:szCs w:val="15"/>
                <w:color w:val="auto"/>
              </w:rPr>
              <w:t>Vested</w:t>
            </w:r>
          </w:p>
        </w:tc>
        <w:tc>
          <w:tcPr>
            <w:tcW w:w="1180" w:type="dxa"/>
            <w:vAlign w:val="bottom"/>
          </w:tcPr>
          <w:p>
            <w:pPr>
              <w:jc w:val="right"/>
              <w:ind w:right="331"/>
              <w:spacing w:after="0"/>
              <w:rPr>
                <w:sz w:val="20"/>
                <w:szCs w:val="20"/>
                <w:color w:val="auto"/>
              </w:rPr>
            </w:pPr>
            <w:r>
              <w:rPr>
                <w:rFonts w:ascii="Arial" w:cs="Arial" w:eastAsia="Arial" w:hAnsi="Arial"/>
                <w:sz w:val="15"/>
                <w:szCs w:val="15"/>
                <w:b w:val="1"/>
                <w:bCs w:val="1"/>
                <w:color w:val="auto"/>
              </w:rPr>
              <w:t>(13,132)</w:t>
            </w:r>
          </w:p>
        </w:tc>
        <w:tc>
          <w:tcPr>
            <w:tcW w:w="120" w:type="dxa"/>
            <w:vAlign w:val="bottom"/>
          </w:tcPr>
          <w:p>
            <w:pPr>
              <w:spacing w:after="0"/>
              <w:rPr>
                <w:sz w:val="15"/>
                <w:szCs w:val="15"/>
                <w:color w:val="auto"/>
              </w:rPr>
            </w:pPr>
          </w:p>
        </w:tc>
        <w:tc>
          <w:tcPr>
            <w:tcW w:w="980" w:type="dxa"/>
            <w:vAlign w:val="bottom"/>
          </w:tcPr>
          <w:p>
            <w:pPr>
              <w:jc w:val="right"/>
              <w:ind w:right="170"/>
              <w:spacing w:after="0"/>
              <w:rPr>
                <w:sz w:val="20"/>
                <w:szCs w:val="20"/>
                <w:color w:val="auto"/>
              </w:rPr>
            </w:pPr>
            <w:r>
              <w:rPr>
                <w:rFonts w:ascii="Arial" w:cs="Arial" w:eastAsia="Arial" w:hAnsi="Arial"/>
                <w:sz w:val="15"/>
                <w:szCs w:val="15"/>
                <w:b w:val="1"/>
                <w:bCs w:val="1"/>
                <w:color w:val="auto"/>
              </w:rPr>
              <w:t>722.67</w:t>
            </w:r>
          </w:p>
        </w:tc>
        <w:tc>
          <w:tcPr>
            <w:tcW w:w="1200" w:type="dxa"/>
            <w:vAlign w:val="bottom"/>
          </w:tcPr>
          <w:p>
            <w:pPr>
              <w:jc w:val="right"/>
              <w:ind w:right="331"/>
              <w:spacing w:after="0"/>
              <w:rPr>
                <w:sz w:val="20"/>
                <w:szCs w:val="20"/>
                <w:color w:val="auto"/>
              </w:rPr>
            </w:pPr>
            <w:r>
              <w:rPr>
                <w:rFonts w:ascii="Arial" w:cs="Arial" w:eastAsia="Arial" w:hAnsi="Arial"/>
                <w:sz w:val="15"/>
                <w:szCs w:val="15"/>
                <w:color w:val="auto"/>
              </w:rPr>
              <w:t>(2,644)</w:t>
            </w:r>
          </w:p>
        </w:tc>
        <w:tc>
          <w:tcPr>
            <w:tcW w:w="120" w:type="dxa"/>
            <w:vAlign w:val="bottom"/>
          </w:tcPr>
          <w:p>
            <w:pPr>
              <w:spacing w:after="0"/>
              <w:rPr>
                <w:sz w:val="15"/>
                <w:szCs w:val="15"/>
                <w:color w:val="auto"/>
              </w:rPr>
            </w:pPr>
          </w:p>
        </w:tc>
        <w:tc>
          <w:tcPr>
            <w:tcW w:w="940" w:type="dxa"/>
            <w:vAlign w:val="bottom"/>
          </w:tcPr>
          <w:p>
            <w:pPr>
              <w:jc w:val="right"/>
              <w:ind w:right="150"/>
              <w:spacing w:after="0"/>
              <w:rPr>
                <w:sz w:val="20"/>
                <w:szCs w:val="20"/>
                <w:color w:val="auto"/>
              </w:rPr>
            </w:pPr>
            <w:r>
              <w:rPr>
                <w:rFonts w:ascii="Arial" w:cs="Arial" w:eastAsia="Arial" w:hAnsi="Arial"/>
                <w:sz w:val="15"/>
                <w:szCs w:val="15"/>
                <w:color w:val="auto"/>
              </w:rPr>
              <w:t>754.81</w:t>
            </w:r>
          </w:p>
        </w:tc>
        <w:tc>
          <w:tcPr>
            <w:tcW w:w="860" w:type="dxa"/>
            <w:vAlign w:val="bottom"/>
          </w:tcPr>
          <w:p>
            <w:pPr>
              <w:jc w:val="right"/>
              <w:spacing w:after="0"/>
              <w:rPr>
                <w:sz w:val="20"/>
                <w:szCs w:val="20"/>
                <w:color w:val="auto"/>
              </w:rPr>
            </w:pPr>
            <w:r>
              <w:rPr>
                <w:rFonts w:ascii="Arial" w:cs="Arial" w:eastAsia="Arial" w:hAnsi="Arial"/>
                <w:sz w:val="15"/>
                <w:szCs w:val="15"/>
                <w:color w:val="auto"/>
              </w:rPr>
              <w:t>(13,386)</w:t>
            </w:r>
          </w:p>
        </w:tc>
        <w:tc>
          <w:tcPr>
            <w:tcW w:w="740" w:type="dxa"/>
            <w:vAlign w:val="bottom"/>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5"/>
                <w:szCs w:val="15"/>
                <w:color w:val="auto"/>
              </w:rPr>
              <w:t>Forfeited</w:t>
            </w: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b w:val="1"/>
                <w:bCs w:val="1"/>
                <w:color w:val="auto"/>
              </w:rPr>
              <w:t>(1,938)</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5"/>
                <w:szCs w:val="15"/>
                <w:b w:val="1"/>
                <w:bCs w:val="1"/>
                <w:color w:val="auto"/>
              </w:rPr>
              <w:t>436.31</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color w:val="auto"/>
              </w:rPr>
              <w:t>(16,876)</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5"/>
                <w:szCs w:val="15"/>
                <w:color w:val="auto"/>
              </w:rPr>
              <w:t>437.06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(1,819)</w:t>
            </w:r>
          </w:p>
        </w:tc>
        <w:tc>
          <w:tcPr>
            <w:tcW w:w="740" w:type="dxa"/>
            <w:vAlign w:val="bottom"/>
            <w:tcBorders>
              <w:bottom w:val="single" w:sz="8" w:color="auto"/>
            </w:tcBorders>
          </w:tcPr>
          <w:p>
            <w:pPr>
              <w:spacing w:after="0"/>
              <w:rPr>
                <w:sz w:val="16"/>
                <w:szCs w:val="16"/>
                <w:color w:val="auto"/>
              </w:rPr>
            </w:pPr>
          </w:p>
        </w:tc>
      </w:tr>
      <w:tr>
        <w:trPr>
          <w:trHeight w:val="166"/>
        </w:trPr>
        <w:tc>
          <w:tcPr>
            <w:tcW w:w="4800" w:type="dxa"/>
            <w:vAlign w:val="bottom"/>
          </w:tcPr>
          <w:p>
            <w:pPr>
              <w:spacing w:after="0" w:line="167" w:lineRule="exact"/>
              <w:rPr>
                <w:sz w:val="20"/>
                <w:szCs w:val="20"/>
                <w:color w:val="auto"/>
              </w:rPr>
            </w:pPr>
            <w:r>
              <w:rPr>
                <w:rFonts w:ascii="Arial" w:cs="Arial" w:eastAsia="Arial" w:hAnsi="Arial"/>
                <w:sz w:val="15"/>
                <w:szCs w:val="15"/>
                <w:color w:val="auto"/>
              </w:rPr>
              <w:t>End of year, unvested</w:t>
            </w:r>
          </w:p>
        </w:tc>
        <w:tc>
          <w:tcPr>
            <w:tcW w:w="1180" w:type="dxa"/>
            <w:vAlign w:val="bottom"/>
            <w:tcBorders>
              <w:bottom w:val="single" w:sz="8" w:color="auto"/>
            </w:tcBorders>
          </w:tcPr>
          <w:p>
            <w:pPr>
              <w:jc w:val="right"/>
              <w:ind w:right="331"/>
              <w:spacing w:after="0" w:line="167" w:lineRule="exact"/>
              <w:rPr>
                <w:sz w:val="20"/>
                <w:szCs w:val="20"/>
                <w:color w:val="auto"/>
              </w:rPr>
            </w:pPr>
            <w:r>
              <w:rPr>
                <w:rFonts w:ascii="Arial" w:cs="Arial" w:eastAsia="Arial" w:hAnsi="Arial"/>
                <w:sz w:val="15"/>
                <w:szCs w:val="15"/>
                <w:b w:val="1"/>
                <w:bCs w:val="1"/>
                <w:color w:val="auto"/>
              </w:rPr>
              <w:t>77,319</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170"/>
              <w:spacing w:after="0" w:line="167" w:lineRule="exact"/>
              <w:rPr>
                <w:sz w:val="20"/>
                <w:szCs w:val="20"/>
                <w:color w:val="auto"/>
              </w:rPr>
            </w:pPr>
            <w:r>
              <w:rPr>
                <w:rFonts w:ascii="Arial" w:cs="Arial" w:eastAsia="Arial" w:hAnsi="Arial"/>
                <w:sz w:val="15"/>
                <w:szCs w:val="15"/>
                <w:b w:val="1"/>
                <w:bCs w:val="1"/>
                <w:color w:val="auto"/>
              </w:rPr>
              <w:t>424.45</w:t>
            </w:r>
          </w:p>
        </w:tc>
        <w:tc>
          <w:tcPr>
            <w:tcW w:w="1200" w:type="dxa"/>
            <w:vAlign w:val="bottom"/>
            <w:tcBorders>
              <w:bottom w:val="single" w:sz="8" w:color="auto"/>
            </w:tcBorders>
          </w:tcPr>
          <w:p>
            <w:pPr>
              <w:jc w:val="right"/>
              <w:ind w:right="331"/>
              <w:spacing w:after="0" w:line="167" w:lineRule="exact"/>
              <w:rPr>
                <w:sz w:val="20"/>
                <w:szCs w:val="20"/>
                <w:color w:val="auto"/>
              </w:rPr>
            </w:pPr>
            <w:r>
              <w:rPr>
                <w:rFonts w:ascii="Arial" w:cs="Arial" w:eastAsia="Arial" w:hAnsi="Arial"/>
                <w:sz w:val="15"/>
                <w:szCs w:val="15"/>
                <w:color w:val="auto"/>
              </w:rPr>
              <w:t>48,359</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50"/>
              <w:spacing w:after="0" w:line="167" w:lineRule="exact"/>
              <w:rPr>
                <w:sz w:val="20"/>
                <w:szCs w:val="20"/>
                <w:color w:val="auto"/>
              </w:rPr>
            </w:pPr>
            <w:r>
              <w:rPr>
                <w:rFonts w:ascii="Arial" w:cs="Arial" w:eastAsia="Arial" w:hAnsi="Arial"/>
                <w:sz w:val="15"/>
                <w:szCs w:val="15"/>
                <w:color w:val="auto"/>
              </w:rPr>
              <w:t>498.95</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66,020</w:t>
            </w:r>
          </w:p>
        </w:tc>
        <w:tc>
          <w:tcPr>
            <w:tcW w:w="740" w:type="dxa"/>
            <w:vAlign w:val="bottom"/>
            <w:tcBorders>
              <w:bottom w:val="single" w:sz="8" w:color="auto"/>
            </w:tcBorders>
          </w:tcPr>
          <w:p>
            <w:pPr>
              <w:jc w:val="right"/>
              <w:ind w:right="254"/>
              <w:spacing w:after="0" w:line="167" w:lineRule="exact"/>
              <w:rPr>
                <w:sz w:val="20"/>
                <w:szCs w:val="20"/>
                <w:color w:val="auto"/>
              </w:rPr>
            </w:pPr>
            <w:r>
              <w:rPr>
                <w:rFonts w:ascii="Arial" w:cs="Arial" w:eastAsia="Arial" w:hAnsi="Arial"/>
                <w:sz w:val="15"/>
                <w:szCs w:val="15"/>
                <w:color w:val="auto"/>
              </w:rPr>
              <w:t>$</w:t>
            </w: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share awards outstanding at December 31, 2011, the aforementioned restriction will lapse in 2012 for 3,200 shares, in 2013 for 31,555 shares 2014 for 674 shares and in 2015 for 41,890 shares. Also, in early 2012, the Company made stock awards of 26,675 shares. Stock-based compensatio costs resulting from Company stock awards were $5.3 million, $2.9 million and $4.6 million in 2011, 2010 and 2009, respectively.</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As of December 31, 2011, there was $18.7 million of total unrecognized compensation expense related to this plan. That cost is expected to be recog on a straight-line basis over a weighted average period of 1.8 years.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Company’s employee stock option plan reserves 1,900,000 shares of the Company’s Class B common stock for options to be gr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The purchase price of the shares covered by an option cannot be less than the fair value on the granting date. Options generally vest four years and have a maximum term of ten years. At December 31, 2011, there were 362,525 shares reserved for issuance under the stock option pl which 129,044 shares were subject to options outstanding and 233,481 shares were available for future grants.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options outstanding for the years ended December 31, 2011, January 2, 2011 and January 3, 2010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0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2011</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2010</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color w:val="auto"/>
              </w:rPr>
              <w:t>2009</w:t>
            </w:r>
          </w:p>
        </w:tc>
      </w:tr>
      <w:tr>
        <w:trPr>
          <w:trHeight w:val="114"/>
        </w:trPr>
        <w:tc>
          <w:tcPr>
            <w:tcW w:w="4800" w:type="dxa"/>
            <w:vAlign w:val="bottom"/>
          </w:tcPr>
          <w:p>
            <w:pPr>
              <w:spacing w:after="0"/>
              <w:rPr>
                <w:sz w:val="9"/>
                <w:szCs w:val="9"/>
                <w:color w:val="auto"/>
              </w:rPr>
            </w:pPr>
          </w:p>
        </w:tc>
        <w:tc>
          <w:tcPr>
            <w:tcW w:w="1180" w:type="dxa"/>
            <w:vAlign w:val="bottom"/>
          </w:tcPr>
          <w:p>
            <w:pPr>
              <w:jc w:val="center"/>
              <w:ind w:right="292"/>
              <w:spacing w:after="0" w:line="11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9"/>
                <w:szCs w:val="9"/>
                <w:color w:val="auto"/>
              </w:rPr>
            </w:pPr>
          </w:p>
        </w:tc>
        <w:tc>
          <w:tcPr>
            <w:tcW w:w="980" w:type="dxa"/>
            <w:vAlign w:val="bottom"/>
          </w:tcPr>
          <w:p>
            <w:pPr>
              <w:jc w:val="center"/>
              <w:ind w:right="371"/>
              <w:spacing w:after="0" w:line="114" w:lineRule="exact"/>
              <w:rPr>
                <w:sz w:val="20"/>
                <w:szCs w:val="20"/>
                <w:color w:val="auto"/>
              </w:rPr>
            </w:pPr>
            <w:r>
              <w:rPr>
                <w:rFonts w:ascii="Arial" w:cs="Arial" w:eastAsia="Arial" w:hAnsi="Arial"/>
                <w:sz w:val="12"/>
                <w:szCs w:val="12"/>
                <w:b w:val="1"/>
                <w:bCs w:val="1"/>
                <w:color w:val="auto"/>
              </w:rPr>
              <w:t>Average</w:t>
            </w:r>
          </w:p>
        </w:tc>
        <w:tc>
          <w:tcPr>
            <w:tcW w:w="1200" w:type="dxa"/>
            <w:vAlign w:val="bottom"/>
          </w:tcPr>
          <w:p>
            <w:pPr>
              <w:jc w:val="center"/>
              <w:ind w:right="252"/>
              <w:spacing w:after="0" w:line="114" w:lineRule="exact"/>
              <w:rPr>
                <w:sz w:val="20"/>
                <w:szCs w:val="20"/>
                <w:color w:val="auto"/>
              </w:rPr>
            </w:pPr>
            <w:r>
              <w:rPr>
                <w:rFonts w:ascii="Arial" w:cs="Arial" w:eastAsia="Arial" w:hAnsi="Arial"/>
                <w:sz w:val="12"/>
                <w:szCs w:val="12"/>
                <w:color w:val="auto"/>
              </w:rPr>
              <w:t>Number</w:t>
            </w:r>
          </w:p>
        </w:tc>
        <w:tc>
          <w:tcPr>
            <w:tcW w:w="120" w:type="dxa"/>
            <w:vAlign w:val="bottom"/>
          </w:tcPr>
          <w:p>
            <w:pPr>
              <w:spacing w:after="0"/>
              <w:rPr>
                <w:sz w:val="9"/>
                <w:szCs w:val="9"/>
                <w:color w:val="auto"/>
              </w:rPr>
            </w:pPr>
          </w:p>
        </w:tc>
        <w:tc>
          <w:tcPr>
            <w:tcW w:w="940" w:type="dxa"/>
            <w:vAlign w:val="bottom"/>
          </w:tcPr>
          <w:p>
            <w:pPr>
              <w:jc w:val="center"/>
              <w:ind w:right="371"/>
              <w:spacing w:after="0" w:line="114" w:lineRule="exact"/>
              <w:rPr>
                <w:sz w:val="20"/>
                <w:szCs w:val="20"/>
                <w:color w:val="auto"/>
              </w:rPr>
            </w:pPr>
            <w:r>
              <w:rPr>
                <w:rFonts w:ascii="Arial" w:cs="Arial" w:eastAsia="Arial" w:hAnsi="Arial"/>
                <w:sz w:val="12"/>
                <w:szCs w:val="12"/>
                <w:color w:val="auto"/>
              </w:rPr>
              <w:t>Average</w:t>
            </w:r>
          </w:p>
        </w:tc>
        <w:tc>
          <w:tcPr>
            <w:tcW w:w="860" w:type="dxa"/>
            <w:vAlign w:val="bottom"/>
          </w:tcPr>
          <w:p>
            <w:pPr>
              <w:jc w:val="center"/>
              <w:spacing w:after="0" w:line="114" w:lineRule="exact"/>
              <w:rPr>
                <w:sz w:val="20"/>
                <w:szCs w:val="20"/>
                <w:color w:val="auto"/>
              </w:rPr>
            </w:pPr>
            <w:r>
              <w:rPr>
                <w:rFonts w:ascii="Arial" w:cs="Arial" w:eastAsia="Arial" w:hAnsi="Arial"/>
                <w:sz w:val="12"/>
                <w:szCs w:val="12"/>
                <w:color w:val="auto"/>
              </w:rPr>
              <w:t>Number</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Aver</w:t>
            </w:r>
          </w:p>
        </w:tc>
      </w:tr>
      <w:tr>
        <w:trPr>
          <w:trHeight w:val="137"/>
        </w:trPr>
        <w:tc>
          <w:tcPr>
            <w:tcW w:w="4800" w:type="dxa"/>
            <w:vAlign w:val="bottom"/>
          </w:tcPr>
          <w:p>
            <w:pPr>
              <w:spacing w:after="0"/>
              <w:rPr>
                <w:sz w:val="11"/>
                <w:szCs w:val="11"/>
                <w:color w:val="auto"/>
              </w:rPr>
            </w:pPr>
          </w:p>
        </w:tc>
        <w:tc>
          <w:tcPr>
            <w:tcW w:w="1180" w:type="dxa"/>
            <w:vAlign w:val="bottom"/>
          </w:tcPr>
          <w:p>
            <w:pPr>
              <w:jc w:val="center"/>
              <w:ind w:right="292"/>
              <w:spacing w:after="0" w:line="137"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980" w:type="dxa"/>
            <w:vAlign w:val="bottom"/>
          </w:tcPr>
          <w:p>
            <w:pPr>
              <w:jc w:val="center"/>
              <w:ind w:right="391"/>
              <w:spacing w:after="0" w:line="137" w:lineRule="exact"/>
              <w:rPr>
                <w:sz w:val="20"/>
                <w:szCs w:val="20"/>
                <w:color w:val="auto"/>
              </w:rPr>
            </w:pPr>
            <w:r>
              <w:rPr>
                <w:rFonts w:ascii="Arial" w:cs="Arial" w:eastAsia="Arial" w:hAnsi="Arial"/>
                <w:sz w:val="12"/>
                <w:szCs w:val="12"/>
                <w:b w:val="1"/>
                <w:bCs w:val="1"/>
                <w:color w:val="auto"/>
              </w:rPr>
              <w:t>Option</w:t>
            </w:r>
          </w:p>
        </w:tc>
        <w:tc>
          <w:tcPr>
            <w:tcW w:w="1200" w:type="dxa"/>
            <w:vAlign w:val="bottom"/>
          </w:tcPr>
          <w:p>
            <w:pPr>
              <w:jc w:val="center"/>
              <w:ind w:right="232"/>
              <w:spacing w:after="0" w:line="137" w:lineRule="exact"/>
              <w:rPr>
                <w:sz w:val="20"/>
                <w:szCs w:val="20"/>
                <w:color w:val="auto"/>
              </w:rPr>
            </w:pPr>
            <w:r>
              <w:rPr>
                <w:rFonts w:ascii="Arial" w:cs="Arial" w:eastAsia="Arial" w:hAnsi="Arial"/>
                <w:sz w:val="12"/>
                <w:szCs w:val="12"/>
                <w:color w:val="auto"/>
                <w:w w:val="99"/>
              </w:rPr>
              <w:t>of</w:t>
            </w:r>
          </w:p>
        </w:tc>
        <w:tc>
          <w:tcPr>
            <w:tcW w:w="120" w:type="dxa"/>
            <w:vAlign w:val="bottom"/>
          </w:tcPr>
          <w:p>
            <w:pPr>
              <w:spacing w:after="0"/>
              <w:rPr>
                <w:sz w:val="11"/>
                <w:szCs w:val="11"/>
                <w:color w:val="auto"/>
              </w:rPr>
            </w:pPr>
          </w:p>
        </w:tc>
        <w:tc>
          <w:tcPr>
            <w:tcW w:w="940" w:type="dxa"/>
            <w:vAlign w:val="bottom"/>
          </w:tcPr>
          <w:p>
            <w:pPr>
              <w:jc w:val="center"/>
              <w:ind w:right="351"/>
              <w:spacing w:after="0" w:line="137" w:lineRule="exact"/>
              <w:rPr>
                <w:sz w:val="20"/>
                <w:szCs w:val="20"/>
                <w:color w:val="auto"/>
              </w:rPr>
            </w:pPr>
            <w:r>
              <w:rPr>
                <w:rFonts w:ascii="Arial" w:cs="Arial" w:eastAsia="Arial" w:hAnsi="Arial"/>
                <w:sz w:val="12"/>
                <w:szCs w:val="12"/>
                <w:color w:val="auto"/>
              </w:rPr>
              <w:t>Option</w:t>
            </w:r>
          </w:p>
        </w:tc>
        <w:tc>
          <w:tcPr>
            <w:tcW w:w="860" w:type="dxa"/>
            <w:vAlign w:val="bottom"/>
          </w:tcPr>
          <w:p>
            <w:pPr>
              <w:jc w:val="center"/>
              <w:spacing w:after="0" w:line="137" w:lineRule="exact"/>
              <w:rPr>
                <w:sz w:val="20"/>
                <w:szCs w:val="20"/>
                <w:color w:val="auto"/>
              </w:rPr>
            </w:pPr>
            <w:r>
              <w:rPr>
                <w:rFonts w:ascii="Arial" w:cs="Arial" w:eastAsia="Arial" w:hAnsi="Arial"/>
                <w:sz w:val="12"/>
                <w:szCs w:val="12"/>
                <w:color w:val="auto"/>
                <w:w w:val="99"/>
              </w:rPr>
              <w:t>of</w:t>
            </w: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Opt</w:t>
            </w:r>
          </w:p>
        </w:tc>
      </w:tr>
      <w:tr>
        <w:trPr>
          <w:trHeight w:val="151"/>
        </w:trPr>
        <w:tc>
          <w:tcPr>
            <w:tcW w:w="48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9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71"/>
              <w:spacing w:after="0"/>
              <w:rPr>
                <w:sz w:val="20"/>
                <w:szCs w:val="20"/>
                <w:color w:val="auto"/>
              </w:rPr>
            </w:pPr>
            <w:r>
              <w:rPr>
                <w:rFonts w:ascii="Arial" w:cs="Arial" w:eastAsia="Arial" w:hAnsi="Arial"/>
                <w:sz w:val="12"/>
                <w:szCs w:val="12"/>
                <w:b w:val="1"/>
                <w:bCs w:val="1"/>
                <w:color w:val="auto"/>
              </w:rPr>
              <w:t>Price</w:t>
            </w:r>
          </w:p>
        </w:tc>
        <w:tc>
          <w:tcPr>
            <w:tcW w:w="1200" w:type="dxa"/>
            <w:vAlign w:val="bottom"/>
            <w:tcBorders>
              <w:bottom w:val="single" w:sz="8" w:color="auto"/>
            </w:tcBorders>
          </w:tcPr>
          <w:p>
            <w:pPr>
              <w:jc w:val="center"/>
              <w:ind w:right="252"/>
              <w:spacing w:after="0"/>
              <w:rPr>
                <w:sz w:val="20"/>
                <w:szCs w:val="20"/>
                <w:color w:val="auto"/>
              </w:rPr>
            </w:pPr>
            <w:r>
              <w:rPr>
                <w:rFonts w:ascii="Arial" w:cs="Arial" w:eastAsia="Arial" w:hAnsi="Arial"/>
                <w:sz w:val="12"/>
                <w:szCs w:val="12"/>
                <w:color w:val="auto"/>
              </w:rPr>
              <w:t>Shares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51"/>
              <w:spacing w:after="0"/>
              <w:rPr>
                <w:sz w:val="20"/>
                <w:szCs w:val="20"/>
                <w:color w:val="auto"/>
              </w:rPr>
            </w:pPr>
            <w:r>
              <w:rPr>
                <w:rFonts w:ascii="Arial" w:cs="Arial" w:eastAsia="Arial" w:hAnsi="Arial"/>
                <w:sz w:val="12"/>
                <w:szCs w:val="12"/>
                <w:color w:val="auto"/>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Pri</w:t>
            </w:r>
          </w:p>
        </w:tc>
      </w:tr>
      <w:tr>
        <w:trPr>
          <w:trHeight w:val="150"/>
        </w:trPr>
        <w:tc>
          <w:tcPr>
            <w:tcW w:w="4800" w:type="dxa"/>
            <w:vAlign w:val="bottom"/>
          </w:tcPr>
          <w:p>
            <w:pPr>
              <w:spacing w:after="0" w:line="150" w:lineRule="exact"/>
              <w:rPr>
                <w:sz w:val="20"/>
                <w:szCs w:val="20"/>
                <w:color w:val="auto"/>
              </w:rPr>
            </w:pPr>
            <w:r>
              <w:rPr>
                <w:rFonts w:ascii="Arial" w:cs="Arial" w:eastAsia="Arial" w:hAnsi="Arial"/>
                <w:sz w:val="15"/>
                <w:szCs w:val="15"/>
                <w:color w:val="auto"/>
              </w:rPr>
              <w:t>Beginning of year</w:t>
            </w:r>
          </w:p>
        </w:tc>
        <w:tc>
          <w:tcPr>
            <w:tcW w:w="1180" w:type="dxa"/>
            <w:vAlign w:val="bottom"/>
          </w:tcPr>
          <w:p>
            <w:pPr>
              <w:jc w:val="right"/>
              <w:ind w:right="332"/>
              <w:spacing w:after="0" w:line="150" w:lineRule="exact"/>
              <w:rPr>
                <w:sz w:val="20"/>
                <w:szCs w:val="20"/>
                <w:color w:val="auto"/>
              </w:rPr>
            </w:pPr>
            <w:r>
              <w:rPr>
                <w:rFonts w:ascii="Arial" w:cs="Arial" w:eastAsia="Arial" w:hAnsi="Arial"/>
                <w:sz w:val="15"/>
                <w:szCs w:val="15"/>
                <w:b w:val="1"/>
                <w:bCs w:val="1"/>
                <w:color w:val="auto"/>
              </w:rPr>
              <w:t>87,919</w:t>
            </w:r>
          </w:p>
        </w:tc>
        <w:tc>
          <w:tcPr>
            <w:tcW w:w="1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495.05</w:t>
            </w:r>
          </w:p>
        </w:tc>
        <w:tc>
          <w:tcPr>
            <w:tcW w:w="1200" w:type="dxa"/>
            <w:vAlign w:val="bottom"/>
          </w:tcPr>
          <w:p>
            <w:pPr>
              <w:jc w:val="right"/>
              <w:ind w:right="332"/>
              <w:spacing w:after="0" w:line="150" w:lineRule="exact"/>
              <w:rPr>
                <w:sz w:val="20"/>
                <w:szCs w:val="20"/>
                <w:color w:val="auto"/>
              </w:rPr>
            </w:pPr>
            <w:r>
              <w:rPr>
                <w:rFonts w:ascii="Arial" w:cs="Arial" w:eastAsia="Arial" w:hAnsi="Arial"/>
                <w:sz w:val="15"/>
                <w:szCs w:val="15"/>
                <w:color w:val="auto"/>
              </w:rPr>
              <w:t>90,569</w:t>
            </w:r>
          </w:p>
        </w:tc>
        <w:tc>
          <w:tcPr>
            <w:tcW w:w="120" w:type="dxa"/>
            <w:vAlign w:val="bottom"/>
          </w:tcPr>
          <w:p>
            <w:pPr>
              <w:jc w:val="right"/>
              <w:spacing w:after="0" w:line="150"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151"/>
              <w:spacing w:after="0" w:line="150" w:lineRule="exact"/>
              <w:rPr>
                <w:sz w:val="20"/>
                <w:szCs w:val="20"/>
                <w:color w:val="auto"/>
              </w:rPr>
            </w:pPr>
            <w:r>
              <w:rPr>
                <w:rFonts w:ascii="Arial" w:cs="Arial" w:eastAsia="Arial" w:hAnsi="Arial"/>
                <w:sz w:val="15"/>
                <w:szCs w:val="15"/>
                <w:color w:val="auto"/>
              </w:rPr>
              <w:t>525.44</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87,025</w:t>
            </w:r>
          </w:p>
        </w:tc>
        <w:tc>
          <w:tcPr>
            <w:tcW w:w="740" w:type="dxa"/>
            <w:vAlign w:val="bottom"/>
          </w:tcPr>
          <w:p>
            <w:pPr>
              <w:jc w:val="right"/>
              <w:ind w:right="254"/>
              <w:spacing w:after="0" w:line="150" w:lineRule="exact"/>
              <w:rPr>
                <w:sz w:val="20"/>
                <w:szCs w:val="20"/>
                <w:color w:val="auto"/>
              </w:rPr>
            </w:pPr>
            <w:r>
              <w:rPr>
                <w:rFonts w:ascii="Arial" w:cs="Arial" w:eastAsia="Arial" w:hAnsi="Arial"/>
                <w:sz w:val="15"/>
                <w:szCs w:val="15"/>
                <w:color w:val="auto"/>
              </w:rPr>
              <w:t>$</w:t>
            </w:r>
          </w:p>
        </w:tc>
      </w:tr>
      <w:tr>
        <w:trPr>
          <w:trHeight w:val="174"/>
        </w:trPr>
        <w:tc>
          <w:tcPr>
            <w:tcW w:w="4800" w:type="dxa"/>
            <w:vAlign w:val="bottom"/>
          </w:tcPr>
          <w:p>
            <w:pPr>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ind w:right="332"/>
              <w:spacing w:after="0"/>
              <w:rPr>
                <w:sz w:val="20"/>
                <w:szCs w:val="20"/>
                <w:color w:val="auto"/>
              </w:rPr>
            </w:pPr>
            <w:r>
              <w:rPr>
                <w:rFonts w:ascii="Arial" w:cs="Arial" w:eastAsia="Arial" w:hAnsi="Arial"/>
                <w:sz w:val="15"/>
                <w:szCs w:val="15"/>
                <w:b w:val="1"/>
                <w:bCs w:val="1"/>
                <w:color w:val="auto"/>
              </w:rPr>
              <w:t>51,000</w:t>
            </w:r>
          </w:p>
        </w:tc>
        <w:tc>
          <w:tcPr>
            <w:tcW w:w="120" w:type="dxa"/>
            <w:vAlign w:val="bottom"/>
          </w:tcPr>
          <w:p>
            <w:pPr>
              <w:spacing w:after="0"/>
              <w:rPr>
                <w:sz w:val="15"/>
                <w:szCs w:val="15"/>
                <w:color w:val="auto"/>
              </w:rPr>
            </w:pPr>
          </w:p>
        </w:tc>
        <w:tc>
          <w:tcPr>
            <w:tcW w:w="980" w:type="dxa"/>
            <w:vAlign w:val="bottom"/>
          </w:tcPr>
          <w:p>
            <w:pPr>
              <w:jc w:val="right"/>
              <w:ind w:right="171"/>
              <w:spacing w:after="0"/>
              <w:rPr>
                <w:sz w:val="20"/>
                <w:szCs w:val="20"/>
                <w:color w:val="auto"/>
              </w:rPr>
            </w:pPr>
            <w:r>
              <w:rPr>
                <w:rFonts w:ascii="Arial" w:cs="Arial" w:eastAsia="Arial" w:hAnsi="Arial"/>
                <w:sz w:val="15"/>
                <w:szCs w:val="15"/>
                <w:b w:val="1"/>
                <w:bCs w:val="1"/>
                <w:color w:val="auto"/>
              </w:rPr>
              <w:t>499.45</w:t>
            </w:r>
          </w:p>
        </w:tc>
        <w:tc>
          <w:tcPr>
            <w:tcW w:w="1200" w:type="dxa"/>
            <w:vAlign w:val="bottom"/>
          </w:tcPr>
          <w:p>
            <w:pPr>
              <w:jc w:val="right"/>
              <w:ind w:right="332"/>
              <w:spacing w:after="0"/>
              <w:rPr>
                <w:sz w:val="20"/>
                <w:szCs w:val="20"/>
                <w:color w:val="auto"/>
              </w:rPr>
            </w:pPr>
            <w:r>
              <w:rPr>
                <w:rFonts w:ascii="Arial" w:cs="Arial" w:eastAsia="Arial" w:hAnsi="Arial"/>
                <w:sz w:val="15"/>
                <w:szCs w:val="15"/>
                <w:color w:val="auto"/>
              </w:rPr>
              <w:t>22,500</w:t>
            </w:r>
          </w:p>
        </w:tc>
        <w:tc>
          <w:tcPr>
            <w:tcW w:w="120" w:type="dxa"/>
            <w:vAlign w:val="bottom"/>
          </w:tcPr>
          <w:p>
            <w:pPr>
              <w:spacing w:after="0"/>
              <w:rPr>
                <w:sz w:val="15"/>
                <w:szCs w:val="15"/>
                <w:color w:val="auto"/>
              </w:rPr>
            </w:pPr>
          </w:p>
        </w:tc>
        <w:tc>
          <w:tcPr>
            <w:tcW w:w="940" w:type="dxa"/>
            <w:vAlign w:val="bottom"/>
          </w:tcPr>
          <w:p>
            <w:pPr>
              <w:jc w:val="right"/>
              <w:ind w:right="151"/>
              <w:spacing w:after="0"/>
              <w:rPr>
                <w:sz w:val="20"/>
                <w:szCs w:val="20"/>
                <w:color w:val="auto"/>
              </w:rPr>
            </w:pPr>
            <w:r>
              <w:rPr>
                <w:rFonts w:ascii="Arial" w:cs="Arial" w:eastAsia="Arial" w:hAnsi="Arial"/>
                <w:sz w:val="15"/>
                <w:szCs w:val="15"/>
                <w:color w:val="auto"/>
              </w:rPr>
              <w:t>395.68</w:t>
            </w:r>
          </w:p>
        </w:tc>
        <w:tc>
          <w:tcPr>
            <w:tcW w:w="860" w:type="dxa"/>
            <w:vAlign w:val="bottom"/>
          </w:tcPr>
          <w:p>
            <w:pPr>
              <w:jc w:val="right"/>
              <w:spacing w:after="0"/>
              <w:rPr>
                <w:sz w:val="20"/>
                <w:szCs w:val="20"/>
                <w:color w:val="auto"/>
              </w:rPr>
            </w:pPr>
            <w:r>
              <w:rPr>
                <w:rFonts w:ascii="Arial" w:cs="Arial" w:eastAsia="Arial" w:hAnsi="Arial"/>
                <w:sz w:val="15"/>
                <w:szCs w:val="15"/>
                <w:color w:val="auto"/>
              </w:rPr>
              <w:t>24,294</w:t>
            </w:r>
          </w:p>
        </w:tc>
        <w:tc>
          <w:tcPr>
            <w:tcW w:w="740" w:type="dxa"/>
            <w:vAlign w:val="bottom"/>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5"/>
                <w:szCs w:val="15"/>
                <w:color w:val="auto"/>
              </w:rPr>
              <w:t>Expired or forfeited</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5"/>
                <w:szCs w:val="15"/>
                <w:b w:val="1"/>
                <w:bCs w:val="1"/>
                <w:color w:val="auto"/>
              </w:rPr>
              <w:t>(9,875)</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519.04</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5"/>
                <w:szCs w:val="15"/>
                <w:color w:val="auto"/>
              </w:rPr>
              <w:t>(25,150)</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5"/>
                <w:szCs w:val="15"/>
                <w:color w:val="auto"/>
              </w:rPr>
              <w:t>515.59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(20,750)</w:t>
            </w:r>
          </w:p>
        </w:tc>
        <w:tc>
          <w:tcPr>
            <w:tcW w:w="740" w:type="dxa"/>
            <w:vAlign w:val="bottom"/>
            <w:tcBorders>
              <w:bottom w:val="single" w:sz="8" w:color="auto"/>
            </w:tcBorders>
          </w:tcPr>
          <w:p>
            <w:pPr>
              <w:spacing w:after="0"/>
              <w:rPr>
                <w:sz w:val="16"/>
                <w:szCs w:val="16"/>
                <w:color w:val="auto"/>
              </w:rPr>
            </w:pPr>
          </w:p>
        </w:tc>
      </w:tr>
      <w:tr>
        <w:trPr>
          <w:trHeight w:val="166"/>
        </w:trPr>
        <w:tc>
          <w:tcPr>
            <w:tcW w:w="4800" w:type="dxa"/>
            <w:vAlign w:val="bottom"/>
          </w:tcPr>
          <w:p>
            <w:pPr>
              <w:spacing w:after="0" w:line="167" w:lineRule="exact"/>
              <w:rPr>
                <w:sz w:val="20"/>
                <w:szCs w:val="20"/>
                <w:color w:val="auto"/>
              </w:rPr>
            </w:pPr>
            <w:r>
              <w:rPr>
                <w:rFonts w:ascii="Arial" w:cs="Arial" w:eastAsia="Arial" w:hAnsi="Arial"/>
                <w:sz w:val="15"/>
                <w:szCs w:val="15"/>
                <w:color w:val="auto"/>
              </w:rPr>
              <w:t>End of year</w:t>
            </w:r>
          </w:p>
        </w:tc>
        <w:tc>
          <w:tcPr>
            <w:tcW w:w="1180" w:type="dxa"/>
            <w:vAlign w:val="bottom"/>
            <w:tcBorders>
              <w:bottom w:val="single" w:sz="8" w:color="auto"/>
            </w:tcBorders>
          </w:tcPr>
          <w:p>
            <w:pPr>
              <w:jc w:val="right"/>
              <w:ind w:right="332"/>
              <w:spacing w:after="0" w:line="167" w:lineRule="exact"/>
              <w:rPr>
                <w:sz w:val="20"/>
                <w:szCs w:val="20"/>
                <w:color w:val="auto"/>
              </w:rPr>
            </w:pPr>
            <w:r>
              <w:rPr>
                <w:rFonts w:ascii="Arial" w:cs="Arial" w:eastAsia="Arial" w:hAnsi="Arial"/>
                <w:sz w:val="15"/>
                <w:szCs w:val="15"/>
                <w:b w:val="1"/>
                <w:bCs w:val="1"/>
                <w:color w:val="auto"/>
              </w:rPr>
              <w:t>129,044</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494.95</w:t>
            </w:r>
          </w:p>
        </w:tc>
        <w:tc>
          <w:tcPr>
            <w:tcW w:w="1200" w:type="dxa"/>
            <w:vAlign w:val="bottom"/>
            <w:tcBorders>
              <w:bottom w:val="single" w:sz="8" w:color="auto"/>
            </w:tcBorders>
          </w:tcPr>
          <w:p>
            <w:pPr>
              <w:jc w:val="right"/>
              <w:ind w:right="332"/>
              <w:spacing w:after="0" w:line="167" w:lineRule="exact"/>
              <w:rPr>
                <w:sz w:val="20"/>
                <w:szCs w:val="20"/>
                <w:color w:val="auto"/>
              </w:rPr>
            </w:pPr>
            <w:r>
              <w:rPr>
                <w:rFonts w:ascii="Arial" w:cs="Arial" w:eastAsia="Arial" w:hAnsi="Arial"/>
                <w:sz w:val="15"/>
                <w:szCs w:val="15"/>
                <w:color w:val="auto"/>
              </w:rPr>
              <w:t>87,919</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51"/>
              <w:spacing w:after="0" w:line="167" w:lineRule="exact"/>
              <w:rPr>
                <w:sz w:val="20"/>
                <w:szCs w:val="20"/>
                <w:color w:val="auto"/>
              </w:rPr>
            </w:pPr>
            <w:r>
              <w:rPr>
                <w:rFonts w:ascii="Arial" w:cs="Arial" w:eastAsia="Arial" w:hAnsi="Arial"/>
                <w:sz w:val="15"/>
                <w:szCs w:val="15"/>
                <w:color w:val="auto"/>
              </w:rPr>
              <w:t>495.05</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90,569</w:t>
            </w:r>
          </w:p>
        </w:tc>
        <w:tc>
          <w:tcPr>
            <w:tcW w:w="740" w:type="dxa"/>
            <w:vAlign w:val="bottom"/>
            <w:tcBorders>
              <w:bottom w:val="single" w:sz="8" w:color="auto"/>
            </w:tcBorders>
          </w:tcPr>
          <w:p>
            <w:pPr>
              <w:jc w:val="right"/>
              <w:ind w:right="254"/>
              <w:spacing w:after="0" w:line="167" w:lineRule="exact"/>
              <w:rPr>
                <w:sz w:val="20"/>
                <w:szCs w:val="20"/>
                <w:color w:val="auto"/>
              </w:rPr>
            </w:pPr>
            <w:r>
              <w:rPr>
                <w:rFonts w:ascii="Arial" w:cs="Arial" w:eastAsia="Arial" w:hAnsi="Arial"/>
                <w:sz w:val="15"/>
                <w:szCs w:val="15"/>
                <w:color w:val="auto"/>
              </w:rPr>
              <w:t>$</w:t>
            </w: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99" w:name="page100"/>
    <w:bookmarkEnd w:id="99"/>
    <w:p>
      <w:pPr>
        <w:jc w:val="both"/>
        <w:spacing w:after="0" w:line="232" w:lineRule="auto"/>
        <w:rPr>
          <w:sz w:val="20"/>
          <w:szCs w:val="20"/>
          <w:color w:val="auto"/>
        </w:rPr>
      </w:pPr>
      <w:r>
        <w:rPr>
          <w:rFonts w:ascii="Arial" w:cs="Arial" w:eastAsia="Arial" w:hAnsi="Arial"/>
          <w:sz w:val="17"/>
          <w:szCs w:val="17"/>
          <w:color w:val="auto"/>
        </w:rPr>
        <w:t>Of the shares covered by options outstanding at the end of 2011, 45,585 are now exercisable; 27,886 will become exercisable in 2012; 24,448 will bec exercisable in 2013; 18,375 will become exercisable in 2014; and 12,750 will become exercisable in 2015. For 2011, 2010 and 2009, the Company re expense of $2.7 million, $ 1.4 million and $1.3 million related to this plan, respectively. Information related to stock options outstanding and exercisable December 31, 2011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Options Outstanding</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 Exercisable</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14"/>
        </w:trPr>
        <w:tc>
          <w:tcPr>
            <w:tcW w:w="3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60" w:type="dxa"/>
            <w:vAlign w:val="bottom"/>
          </w:tcPr>
          <w:p>
            <w:pPr>
              <w:jc w:val="center"/>
              <w:ind w:right="91"/>
              <w:spacing w:after="0" w:line="114" w:lineRule="exact"/>
              <w:rPr>
                <w:sz w:val="20"/>
                <w:szCs w:val="20"/>
                <w:color w:val="auto"/>
              </w:rPr>
            </w:pPr>
            <w:r>
              <w:rPr>
                <w:rFonts w:ascii="Arial" w:cs="Arial" w:eastAsia="Arial" w:hAnsi="Arial"/>
                <w:sz w:val="12"/>
                <w:szCs w:val="12"/>
                <w:b w:val="1"/>
                <w:bCs w:val="1"/>
                <w:color w:val="auto"/>
                <w:w w:val="99"/>
              </w:rPr>
              <w:t>Weighted</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Weighted</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37"/>
        </w:trPr>
        <w:tc>
          <w:tcPr>
            <w:tcW w:w="3900" w:type="dxa"/>
            <w:vAlign w:val="bottom"/>
          </w:tcPr>
          <w:p>
            <w:pPr>
              <w:spacing w:after="0"/>
              <w:rPr>
                <w:sz w:val="11"/>
                <w:szCs w:val="11"/>
                <w:color w:val="auto"/>
              </w:rPr>
            </w:pP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w w:val="99"/>
              </w:rPr>
              <w:t>Shares</w:t>
            </w:r>
          </w:p>
        </w:tc>
        <w:tc>
          <w:tcPr>
            <w:tcW w:w="146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rPr>
              <w:t>Average</w:t>
            </w:r>
          </w:p>
        </w:tc>
        <w:tc>
          <w:tcPr>
            <w:tcW w:w="200" w:type="dxa"/>
            <w:vAlign w:val="bottom"/>
          </w:tcPr>
          <w:p>
            <w:pPr>
              <w:spacing w:after="0"/>
              <w:rPr>
                <w:sz w:val="11"/>
                <w:szCs w:val="11"/>
                <w:color w:val="auto"/>
              </w:rPr>
            </w:pPr>
          </w:p>
        </w:tc>
        <w:tc>
          <w:tcPr>
            <w:tcW w:w="92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Weighted</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rPr>
              <w:t>Shares</w:t>
            </w:r>
          </w:p>
        </w:tc>
        <w:tc>
          <w:tcPr>
            <w:tcW w:w="14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Weigh</w:t>
            </w:r>
          </w:p>
        </w:tc>
      </w:tr>
      <w:tr>
        <w:trPr>
          <w:trHeight w:val="137"/>
        </w:trPr>
        <w:tc>
          <w:tcPr>
            <w:tcW w:w="3900" w:type="dxa"/>
            <w:vAlign w:val="bottom"/>
          </w:tcPr>
          <w:p>
            <w:pPr>
              <w:jc w:val="center"/>
              <w:ind w:right="2809"/>
              <w:spacing w:after="0" w:line="137" w:lineRule="exact"/>
              <w:rPr>
                <w:sz w:val="20"/>
                <w:szCs w:val="20"/>
                <w:color w:val="auto"/>
              </w:rPr>
            </w:pPr>
            <w:r>
              <w:rPr>
                <w:rFonts w:ascii="Arial" w:cs="Arial" w:eastAsia="Arial" w:hAnsi="Arial"/>
                <w:sz w:val="12"/>
                <w:szCs w:val="12"/>
                <w:b w:val="1"/>
                <w:bCs w:val="1"/>
                <w:color w:val="auto"/>
              </w:rPr>
              <w:t>Range of</w:t>
            </w: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rPr>
              <w:t>Outstanding</w:t>
            </w:r>
          </w:p>
        </w:tc>
        <w:tc>
          <w:tcPr>
            <w:tcW w:w="146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rPr>
              <w:t>Remaining</w:t>
            </w:r>
          </w:p>
        </w:tc>
        <w:tc>
          <w:tcPr>
            <w:tcW w:w="200" w:type="dxa"/>
            <w:vAlign w:val="bottom"/>
          </w:tcPr>
          <w:p>
            <w:pPr>
              <w:spacing w:after="0"/>
              <w:rPr>
                <w:sz w:val="11"/>
                <w:szCs w:val="11"/>
                <w:color w:val="auto"/>
              </w:rPr>
            </w:pPr>
          </w:p>
        </w:tc>
        <w:tc>
          <w:tcPr>
            <w:tcW w:w="92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Average</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rPr>
              <w:t>Exercisable</w:t>
            </w:r>
          </w:p>
        </w:tc>
        <w:tc>
          <w:tcPr>
            <w:tcW w:w="14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Remaining</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Avera</w:t>
            </w:r>
          </w:p>
        </w:tc>
      </w:tr>
      <w:tr>
        <w:trPr>
          <w:trHeight w:val="137"/>
        </w:trPr>
        <w:tc>
          <w:tcPr>
            <w:tcW w:w="3900" w:type="dxa"/>
            <w:vAlign w:val="bottom"/>
          </w:tcPr>
          <w:p>
            <w:pPr>
              <w:jc w:val="center"/>
              <w:ind w:right="2809"/>
              <w:spacing w:after="0" w:line="137" w:lineRule="exact"/>
              <w:rPr>
                <w:sz w:val="20"/>
                <w:szCs w:val="20"/>
                <w:color w:val="auto"/>
              </w:rPr>
            </w:pPr>
            <w:r>
              <w:rPr>
                <w:rFonts w:ascii="Arial" w:cs="Arial" w:eastAsia="Arial" w:hAnsi="Arial"/>
                <w:sz w:val="12"/>
                <w:szCs w:val="12"/>
                <w:b w:val="1"/>
                <w:bCs w:val="1"/>
                <w:color w:val="auto"/>
              </w:rPr>
              <w:t>Exercise</w:t>
            </w: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rPr>
              <w:t>at</w:t>
            </w:r>
          </w:p>
        </w:tc>
        <w:tc>
          <w:tcPr>
            <w:tcW w:w="146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rPr>
              <w:t>Contractual</w:t>
            </w:r>
          </w:p>
        </w:tc>
        <w:tc>
          <w:tcPr>
            <w:tcW w:w="200" w:type="dxa"/>
            <w:vAlign w:val="bottom"/>
          </w:tcPr>
          <w:p>
            <w:pPr>
              <w:spacing w:after="0"/>
              <w:rPr>
                <w:sz w:val="11"/>
                <w:szCs w:val="11"/>
                <w:color w:val="auto"/>
              </w:rPr>
            </w:pPr>
          </w:p>
        </w:tc>
        <w:tc>
          <w:tcPr>
            <w:tcW w:w="920" w:type="dxa"/>
            <w:vAlign w:val="bottom"/>
          </w:tcPr>
          <w:p>
            <w:pPr>
              <w:jc w:val="center"/>
              <w:ind w:right="230"/>
              <w:spacing w:after="0" w:line="137" w:lineRule="exact"/>
              <w:rPr>
                <w:sz w:val="20"/>
                <w:szCs w:val="20"/>
                <w:color w:val="auto"/>
              </w:rPr>
            </w:pPr>
            <w:r>
              <w:rPr>
                <w:rFonts w:ascii="Arial" w:cs="Arial" w:eastAsia="Arial" w:hAnsi="Arial"/>
                <w:sz w:val="12"/>
                <w:szCs w:val="12"/>
                <w:b w:val="1"/>
                <w:bCs w:val="1"/>
                <w:color w:val="auto"/>
              </w:rPr>
              <w:t>Exercise</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w w:val="93"/>
              </w:rPr>
              <w:t>at</w:t>
            </w:r>
          </w:p>
        </w:tc>
        <w:tc>
          <w:tcPr>
            <w:tcW w:w="14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Contractual</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Exerc</w:t>
            </w:r>
          </w:p>
        </w:tc>
      </w:tr>
      <w:tr>
        <w:trPr>
          <w:trHeight w:val="151"/>
        </w:trPr>
        <w:tc>
          <w:tcPr>
            <w:tcW w:w="3900" w:type="dxa"/>
            <w:vAlign w:val="bottom"/>
            <w:tcBorders>
              <w:bottom w:val="single" w:sz="8" w:color="auto"/>
            </w:tcBorders>
          </w:tcPr>
          <w:p>
            <w:pPr>
              <w:jc w:val="center"/>
              <w:ind w:right="2809"/>
              <w:spacing w:after="0"/>
              <w:rPr>
                <w:sz w:val="20"/>
                <w:szCs w:val="20"/>
                <w:color w:val="auto"/>
              </w:rPr>
            </w:pPr>
            <w:r>
              <w:rPr>
                <w:rFonts w:ascii="Arial" w:cs="Arial" w:eastAsia="Arial" w:hAnsi="Arial"/>
                <w:sz w:val="12"/>
                <w:szCs w:val="12"/>
                <w:b w:val="1"/>
                <w:bCs w:val="1"/>
                <w:color w:val="auto"/>
              </w:rPr>
              <w:t>Prices</w:t>
            </w: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12/31/2011</w:t>
            </w:r>
          </w:p>
        </w:tc>
        <w:tc>
          <w:tcPr>
            <w:tcW w:w="14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rPr>
              <w:t>Life (yrs.)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Price</w:t>
            </w: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2"/>
                <w:szCs w:val="12"/>
                <w:b w:val="1"/>
                <w:bCs w:val="1"/>
                <w:color w:val="auto"/>
              </w:rPr>
              <w:t>12/31/2011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Life (yrs.)</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w:t>
            </w:r>
          </w:p>
        </w:tc>
      </w:tr>
      <w:tr>
        <w:trPr>
          <w:trHeight w:val="168"/>
        </w:trPr>
        <w:tc>
          <w:tcPr>
            <w:tcW w:w="3900" w:type="dxa"/>
            <w:vAlign w:val="bottom"/>
          </w:tcPr>
          <w:p>
            <w:pPr>
              <w:jc w:val="right"/>
              <w:ind w:right="2809"/>
              <w:spacing w:after="0" w:line="168" w:lineRule="exact"/>
              <w:rPr>
                <w:sz w:val="20"/>
                <w:szCs w:val="20"/>
                <w:color w:val="auto"/>
              </w:rPr>
            </w:pPr>
            <w:r>
              <w:rPr>
                <w:rFonts w:ascii="Arial" w:cs="Arial" w:eastAsia="Arial" w:hAnsi="Arial"/>
                <w:sz w:val="15"/>
                <w:szCs w:val="15"/>
                <w:color w:val="auto"/>
              </w:rPr>
              <w:t>$343–396</w:t>
            </w:r>
          </w:p>
        </w:tc>
        <w:tc>
          <w:tcPr>
            <w:tcW w:w="1260" w:type="dxa"/>
            <w:vAlign w:val="bottom"/>
          </w:tcPr>
          <w:p>
            <w:pPr>
              <w:jc w:val="right"/>
              <w:ind w:right="70"/>
              <w:spacing w:after="0" w:line="168" w:lineRule="exact"/>
              <w:rPr>
                <w:sz w:val="20"/>
                <w:szCs w:val="20"/>
                <w:color w:val="auto"/>
              </w:rPr>
            </w:pPr>
            <w:r>
              <w:rPr>
                <w:rFonts w:ascii="Arial" w:cs="Arial" w:eastAsia="Arial" w:hAnsi="Arial"/>
                <w:sz w:val="15"/>
                <w:szCs w:val="15"/>
                <w:color w:val="auto"/>
              </w:rPr>
              <w:t>36,250</w:t>
            </w:r>
          </w:p>
        </w:tc>
        <w:tc>
          <w:tcPr>
            <w:tcW w:w="1460" w:type="dxa"/>
            <w:vAlign w:val="bottom"/>
          </w:tcPr>
          <w:p>
            <w:pPr>
              <w:jc w:val="right"/>
              <w:ind w:right="491"/>
              <w:spacing w:after="0" w:line="168" w:lineRule="exact"/>
              <w:rPr>
                <w:sz w:val="20"/>
                <w:szCs w:val="20"/>
                <w:color w:val="auto"/>
              </w:rPr>
            </w:pPr>
            <w:r>
              <w:rPr>
                <w:rFonts w:ascii="Arial" w:cs="Arial" w:eastAsia="Arial" w:hAnsi="Arial"/>
                <w:sz w:val="15"/>
                <w:szCs w:val="15"/>
                <w:color w:val="auto"/>
              </w:rPr>
              <w:t>8.4</w:t>
            </w:r>
          </w:p>
        </w:tc>
        <w:tc>
          <w:tcPr>
            <w:tcW w:w="2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920" w:type="dxa"/>
            <w:vAlign w:val="bottom"/>
          </w:tcPr>
          <w:p>
            <w:pPr>
              <w:ind w:left="160"/>
              <w:spacing w:after="0" w:line="168" w:lineRule="exact"/>
              <w:rPr>
                <w:sz w:val="20"/>
                <w:szCs w:val="20"/>
                <w:color w:val="auto"/>
              </w:rPr>
            </w:pPr>
            <w:r>
              <w:rPr>
                <w:rFonts w:ascii="Arial" w:cs="Arial" w:eastAsia="Arial" w:hAnsi="Arial"/>
                <w:sz w:val="15"/>
                <w:szCs w:val="15"/>
                <w:color w:val="auto"/>
              </w:rPr>
              <w:t>385.62</w:t>
            </w:r>
          </w:p>
        </w:tc>
        <w:tc>
          <w:tcPr>
            <w:tcW w:w="1140" w:type="dxa"/>
            <w:vAlign w:val="bottom"/>
          </w:tcPr>
          <w:p>
            <w:pPr>
              <w:jc w:val="right"/>
              <w:ind w:right="30"/>
              <w:spacing w:after="0" w:line="168" w:lineRule="exact"/>
              <w:rPr>
                <w:sz w:val="20"/>
                <w:szCs w:val="20"/>
                <w:color w:val="auto"/>
              </w:rPr>
            </w:pPr>
            <w:r>
              <w:rPr>
                <w:rFonts w:ascii="Arial" w:cs="Arial" w:eastAsia="Arial" w:hAnsi="Arial"/>
                <w:sz w:val="15"/>
                <w:szCs w:val="15"/>
                <w:color w:val="auto"/>
              </w:rPr>
              <w:t>14,938</w:t>
            </w:r>
          </w:p>
        </w:tc>
        <w:tc>
          <w:tcPr>
            <w:tcW w:w="1420" w:type="dxa"/>
            <w:vAlign w:val="bottom"/>
          </w:tcPr>
          <w:p>
            <w:pPr>
              <w:jc w:val="right"/>
              <w:ind w:right="431"/>
              <w:spacing w:after="0" w:line="168" w:lineRule="exact"/>
              <w:rPr>
                <w:sz w:val="20"/>
                <w:szCs w:val="20"/>
                <w:color w:val="auto"/>
              </w:rPr>
            </w:pPr>
            <w:r>
              <w:rPr>
                <w:rFonts w:ascii="Arial" w:cs="Arial" w:eastAsia="Arial" w:hAnsi="Arial"/>
                <w:sz w:val="15"/>
                <w:szCs w:val="15"/>
                <w:color w:val="auto"/>
              </w:rPr>
              <w:t>7.8</w:t>
            </w:r>
          </w:p>
        </w:tc>
        <w:tc>
          <w:tcPr>
            <w:tcW w:w="2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8" w:lineRule="exact"/>
              <w:rPr>
                <w:sz w:val="20"/>
                <w:szCs w:val="20"/>
                <w:color w:val="auto"/>
              </w:rPr>
            </w:pPr>
            <w:r>
              <w:rPr>
                <w:rFonts w:ascii="Arial" w:cs="Arial" w:eastAsia="Arial" w:hAnsi="Arial"/>
                <w:sz w:val="15"/>
                <w:szCs w:val="15"/>
                <w:color w:val="auto"/>
              </w:rPr>
              <w:t>380</w:t>
            </w:r>
          </w:p>
        </w:tc>
      </w:tr>
      <w:tr>
        <w:trPr>
          <w:trHeight w:val="174"/>
        </w:trPr>
        <w:tc>
          <w:tcPr>
            <w:tcW w:w="3900" w:type="dxa"/>
            <w:vAlign w:val="bottom"/>
          </w:tcPr>
          <w:p>
            <w:pPr>
              <w:jc w:val="right"/>
              <w:ind w:right="2809"/>
              <w:spacing w:after="0"/>
              <w:rPr>
                <w:sz w:val="20"/>
                <w:szCs w:val="20"/>
                <w:color w:val="auto"/>
              </w:rPr>
            </w:pPr>
            <w:r>
              <w:rPr>
                <w:rFonts w:ascii="Arial" w:cs="Arial" w:eastAsia="Arial" w:hAnsi="Arial"/>
                <w:sz w:val="15"/>
                <w:szCs w:val="15"/>
                <w:color w:val="auto"/>
              </w:rPr>
              <w:t>419–439</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23,294</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8.0</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423.25</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11,647</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8.0</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423</w:t>
            </w: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503</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50,000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10.0</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502.58</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652</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2,000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7.0</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651.91</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1,500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7.0</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651</w:t>
            </w:r>
          </w:p>
        </w:tc>
      </w:tr>
      <w:tr>
        <w:trPr>
          <w:trHeight w:val="174"/>
        </w:trPr>
        <w:tc>
          <w:tcPr>
            <w:tcW w:w="3900" w:type="dxa"/>
            <w:vAlign w:val="bottom"/>
          </w:tcPr>
          <w:p>
            <w:pPr>
              <w:jc w:val="right"/>
              <w:ind w:right="2809"/>
              <w:spacing w:after="0"/>
              <w:rPr>
                <w:sz w:val="20"/>
                <w:szCs w:val="20"/>
                <w:color w:val="auto"/>
              </w:rPr>
            </w:pPr>
            <w:r>
              <w:rPr>
                <w:rFonts w:ascii="Arial" w:cs="Arial" w:eastAsia="Arial" w:hAnsi="Arial"/>
                <w:sz w:val="15"/>
                <w:szCs w:val="15"/>
                <w:color w:val="auto"/>
              </w:rPr>
              <w:t>729–763</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13,000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3.4</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731.94</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13,000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3.4</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731</w:t>
            </w: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816</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1,500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2.0</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816.05</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1,500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2.0</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816</w:t>
            </w:r>
          </w:p>
        </w:tc>
      </w:tr>
      <w:tr>
        <w:trPr>
          <w:trHeight w:val="172"/>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954</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3,000</w:t>
            </w: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5"/>
                <w:szCs w:val="15"/>
                <w:color w:val="auto"/>
              </w:rPr>
              <w:t>3.0</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953.50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3,000</w:t>
            </w: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5"/>
                <w:szCs w:val="15"/>
                <w:color w:val="auto"/>
              </w:rPr>
              <w:t>3.0</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w:t>
            </w:r>
          </w:p>
        </w:tc>
      </w:tr>
      <w:tr>
        <w:trPr>
          <w:trHeight w:val="166"/>
        </w:trPr>
        <w:tc>
          <w:tcPr>
            <w:tcW w:w="3900" w:type="dxa"/>
            <w:vAlign w:val="bottom"/>
          </w:tcPr>
          <w:p>
            <w:pPr>
              <w:spacing w:after="0"/>
              <w:rPr>
                <w:sz w:val="14"/>
                <w:szCs w:val="14"/>
                <w:color w:val="auto"/>
              </w:rPr>
            </w:pPr>
          </w:p>
        </w:tc>
        <w:tc>
          <w:tcPr>
            <w:tcW w:w="126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color w:val="auto"/>
              </w:rPr>
              <w:t>129,044</w:t>
            </w:r>
          </w:p>
        </w:tc>
        <w:tc>
          <w:tcPr>
            <w:tcW w:w="1460" w:type="dxa"/>
            <w:vAlign w:val="bottom"/>
            <w:tcBorders>
              <w:bottom w:val="single" w:sz="8" w:color="auto"/>
            </w:tcBorders>
          </w:tcPr>
          <w:p>
            <w:pPr>
              <w:jc w:val="right"/>
              <w:ind w:right="491"/>
              <w:spacing w:after="0" w:line="167" w:lineRule="exact"/>
              <w:rPr>
                <w:sz w:val="20"/>
                <w:szCs w:val="20"/>
                <w:color w:val="auto"/>
              </w:rPr>
            </w:pPr>
            <w:r>
              <w:rPr>
                <w:rFonts w:ascii="Arial" w:cs="Arial" w:eastAsia="Arial" w:hAnsi="Arial"/>
                <w:sz w:val="15"/>
                <w:szCs w:val="15"/>
                <w:color w:val="auto"/>
              </w:rPr>
              <w:t>8.2</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160"/>
              <w:spacing w:after="0" w:line="167" w:lineRule="exact"/>
              <w:rPr>
                <w:sz w:val="20"/>
                <w:szCs w:val="20"/>
                <w:color w:val="auto"/>
              </w:rPr>
            </w:pPr>
            <w:r>
              <w:rPr>
                <w:rFonts w:ascii="Arial" w:cs="Arial" w:eastAsia="Arial" w:hAnsi="Arial"/>
                <w:sz w:val="15"/>
                <w:szCs w:val="15"/>
                <w:color w:val="auto"/>
              </w:rPr>
              <w:t>494.95</w:t>
            </w:r>
          </w:p>
        </w:tc>
        <w:tc>
          <w:tcPr>
            <w:tcW w:w="1140" w:type="dxa"/>
            <w:vAlign w:val="bottom"/>
            <w:tcBorders>
              <w:bottom w:val="single" w:sz="8" w:color="auto"/>
            </w:tcBorders>
          </w:tcPr>
          <w:p>
            <w:pPr>
              <w:jc w:val="right"/>
              <w:ind w:right="30"/>
              <w:spacing w:after="0" w:line="167" w:lineRule="exact"/>
              <w:rPr>
                <w:sz w:val="20"/>
                <w:szCs w:val="20"/>
                <w:color w:val="auto"/>
              </w:rPr>
            </w:pPr>
            <w:r>
              <w:rPr>
                <w:rFonts w:ascii="Arial" w:cs="Arial" w:eastAsia="Arial" w:hAnsi="Arial"/>
                <w:sz w:val="15"/>
                <w:szCs w:val="15"/>
                <w:color w:val="auto"/>
              </w:rPr>
              <w:t>45,585</w:t>
            </w:r>
          </w:p>
        </w:tc>
        <w:tc>
          <w:tcPr>
            <w:tcW w:w="1420" w:type="dxa"/>
            <w:vAlign w:val="bottom"/>
            <w:tcBorders>
              <w:bottom w:val="single" w:sz="8" w:color="auto"/>
            </w:tcBorders>
          </w:tcPr>
          <w:p>
            <w:pPr>
              <w:jc w:val="right"/>
              <w:ind w:right="431"/>
              <w:spacing w:after="0" w:line="167" w:lineRule="exact"/>
              <w:rPr>
                <w:sz w:val="20"/>
                <w:szCs w:val="20"/>
                <w:color w:val="auto"/>
              </w:rPr>
            </w:pPr>
            <w:r>
              <w:rPr>
                <w:rFonts w:ascii="Arial" w:cs="Arial" w:eastAsia="Arial" w:hAnsi="Arial"/>
                <w:sz w:val="15"/>
                <w:szCs w:val="15"/>
                <w:color w:val="auto"/>
              </w:rPr>
              <w:t>6.1</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552</w:t>
            </w:r>
          </w:p>
        </w:tc>
      </w:tr>
      <w:tr>
        <w:trPr>
          <w:trHeight w:val="20"/>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At December 31, 2011, the intrinsic value for all options outstanding, exercisable and unvested was $0.1 million, $0.1 million and $0.1 million, respecti The intrinsic value of a stock option is the amount by which the market value of the underlying stock exceeds the exercise price of the option. The mar value of the Company’s stock was $376.81 at December 31, 2011. At December 31, 2011, there were 83,459 unvested options related to this plan wit average exercise price of $463.53 and a weighted average remaining contractual term of 9.4 years. At January 2, 2011, there were 47,845 unvested o with an average exercise price of $407.68.</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2011, total unrecognized stock-based compensation expense related to this plan was $7.5 million, which is expected to be recogn on a straight-line basis over a weighted average period of approximately 1.9 years. There were no options exercised during 2011, 2010 and 2009.</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During 2011, the Company granted 50,000 options at an exercise price above the fair market value of its common stock at the date of grant. All other options granted during 2011, and all options granted during 2010 and 2009, were at an exercise price equal to the fair market value of the Company’s common stock at the date of grant. The weighted average grant-date fair value of options granted during 2011, 2010, and 2009 was $110.67, $106.70 $108.92, respectively. Also, in early 2012, an additional 1,000 stock options were granted.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at date of grant was estimated using the Black-Scholes method utilizing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16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jc w:val="right"/>
              <w:ind w:right="708"/>
              <w:spacing w:after="0"/>
              <w:rPr>
                <w:sz w:val="20"/>
                <w:szCs w:val="20"/>
                <w:color w:val="auto"/>
              </w:rPr>
            </w:pPr>
            <w:r>
              <w:rPr>
                <w:rFonts w:ascii="Arial" w:cs="Arial" w:eastAsia="Arial" w:hAnsi="Arial"/>
                <w:sz w:val="12"/>
                <w:szCs w:val="12"/>
                <w:b w:val="1"/>
                <w:bCs w:val="1"/>
                <w:color w:val="auto"/>
              </w:rPr>
              <w:t>2011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50"/>
        </w:trPr>
        <w:tc>
          <w:tcPr>
            <w:tcW w:w="5160" w:type="dxa"/>
            <w:vAlign w:val="bottom"/>
          </w:tcPr>
          <w:p>
            <w:pPr>
              <w:spacing w:after="0" w:line="150" w:lineRule="exact"/>
              <w:rPr>
                <w:sz w:val="20"/>
                <w:szCs w:val="20"/>
                <w:color w:val="auto"/>
              </w:rPr>
            </w:pPr>
            <w:r>
              <w:rPr>
                <w:rFonts w:ascii="Arial" w:cs="Arial" w:eastAsia="Arial" w:hAnsi="Arial"/>
                <w:sz w:val="15"/>
                <w:szCs w:val="15"/>
                <w:color w:val="auto"/>
              </w:rPr>
              <w:t>Expected life (years)</w:t>
            </w:r>
          </w:p>
        </w:tc>
        <w:tc>
          <w:tcPr>
            <w:tcW w:w="5280" w:type="dxa"/>
            <w:vAlign w:val="bottom"/>
          </w:tcPr>
          <w:p>
            <w:pPr>
              <w:jc w:val="right"/>
              <w:ind w:right="808"/>
              <w:spacing w:after="0" w:line="150" w:lineRule="exact"/>
              <w:rPr>
                <w:sz w:val="20"/>
                <w:szCs w:val="20"/>
                <w:color w:val="auto"/>
              </w:rPr>
            </w:pPr>
            <w:r>
              <w:rPr>
                <w:rFonts w:ascii="Arial" w:cs="Arial" w:eastAsia="Arial" w:hAnsi="Arial"/>
                <w:sz w:val="15"/>
                <w:szCs w:val="15"/>
                <w:b w:val="1"/>
                <w:bCs w:val="1"/>
                <w:color w:val="auto"/>
              </w:rPr>
              <w:t>7</w:t>
            </w:r>
          </w:p>
        </w:tc>
        <w:tc>
          <w:tcPr>
            <w:tcW w:w="500" w:type="dxa"/>
            <w:vAlign w:val="bottom"/>
          </w:tcPr>
          <w:p>
            <w:pPr>
              <w:spacing w:after="0"/>
              <w:rPr>
                <w:sz w:val="13"/>
                <w:szCs w:val="13"/>
                <w:color w:val="auto"/>
              </w:rPr>
            </w:pPr>
          </w:p>
        </w:tc>
      </w:tr>
      <w:tr>
        <w:trPr>
          <w:trHeight w:val="174"/>
        </w:trPr>
        <w:tc>
          <w:tcPr>
            <w:tcW w:w="5160" w:type="dxa"/>
            <w:vAlign w:val="bottom"/>
          </w:tcPr>
          <w:p>
            <w:pPr>
              <w:spacing w:after="0"/>
              <w:rPr>
                <w:sz w:val="20"/>
                <w:szCs w:val="20"/>
                <w:color w:val="auto"/>
              </w:rPr>
            </w:pPr>
            <w:r>
              <w:rPr>
                <w:rFonts w:ascii="Arial" w:cs="Arial" w:eastAsia="Arial" w:hAnsi="Arial"/>
                <w:sz w:val="15"/>
                <w:szCs w:val="15"/>
                <w:color w:val="auto"/>
              </w:rPr>
              <w:t>Interest rate</w:t>
            </w:r>
          </w:p>
        </w:tc>
        <w:tc>
          <w:tcPr>
            <w:tcW w:w="5280" w:type="dxa"/>
            <w:vAlign w:val="bottom"/>
          </w:tcPr>
          <w:p>
            <w:pPr>
              <w:jc w:val="center"/>
              <w:ind w:left="3408"/>
              <w:spacing w:after="0"/>
              <w:rPr>
                <w:sz w:val="20"/>
                <w:szCs w:val="20"/>
                <w:color w:val="auto"/>
              </w:rPr>
            </w:pPr>
            <w:r>
              <w:rPr>
                <w:rFonts w:ascii="Arial" w:cs="Arial" w:eastAsia="Arial" w:hAnsi="Arial"/>
                <w:sz w:val="15"/>
                <w:szCs w:val="15"/>
                <w:b w:val="1"/>
                <w:bCs w:val="1"/>
                <w:color w:val="auto"/>
                <w:w w:val="99"/>
              </w:rPr>
              <w:t>1.49%―2.85%</w:t>
            </w:r>
          </w:p>
        </w:tc>
        <w:tc>
          <w:tcPr>
            <w:tcW w:w="50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174"/>
        </w:trPr>
        <w:tc>
          <w:tcPr>
            <w:tcW w:w="5160" w:type="dxa"/>
            <w:vAlign w:val="bottom"/>
          </w:tcPr>
          <w:p>
            <w:pPr>
              <w:spacing w:after="0"/>
              <w:rPr>
                <w:sz w:val="20"/>
                <w:szCs w:val="20"/>
                <w:color w:val="auto"/>
              </w:rPr>
            </w:pPr>
            <w:r>
              <w:rPr>
                <w:rFonts w:ascii="Arial" w:cs="Arial" w:eastAsia="Arial" w:hAnsi="Arial"/>
                <w:sz w:val="15"/>
                <w:szCs w:val="15"/>
                <w:color w:val="auto"/>
              </w:rPr>
              <w:t>Volatility</w:t>
            </w:r>
          </w:p>
        </w:tc>
        <w:tc>
          <w:tcPr>
            <w:tcW w:w="5280" w:type="dxa"/>
            <w:vAlign w:val="bottom"/>
          </w:tcPr>
          <w:p>
            <w:pPr>
              <w:jc w:val="center"/>
              <w:ind w:left="3408"/>
              <w:spacing w:after="0"/>
              <w:rPr>
                <w:sz w:val="20"/>
                <w:szCs w:val="20"/>
                <w:color w:val="auto"/>
              </w:rPr>
            </w:pPr>
            <w:r>
              <w:rPr>
                <w:rFonts w:ascii="Arial" w:cs="Arial" w:eastAsia="Arial" w:hAnsi="Arial"/>
                <w:sz w:val="15"/>
                <w:szCs w:val="15"/>
                <w:b w:val="1"/>
                <w:bCs w:val="1"/>
                <w:color w:val="auto"/>
                <w:w w:val="99"/>
              </w:rPr>
              <w:t>30.35%―31.24%</w:t>
            </w:r>
          </w:p>
        </w:tc>
        <w:tc>
          <w:tcPr>
            <w:tcW w:w="50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Dividend yield</w:t>
            </w:r>
          </w:p>
        </w:tc>
        <w:tc>
          <w:tcPr>
            <w:tcW w:w="5280" w:type="dxa"/>
            <w:vAlign w:val="bottom"/>
          </w:tcPr>
          <w:p>
            <w:pPr>
              <w:jc w:val="center"/>
              <w:ind w:left="3408"/>
              <w:spacing w:after="0"/>
              <w:rPr>
                <w:sz w:val="20"/>
                <w:szCs w:val="20"/>
                <w:color w:val="auto"/>
              </w:rPr>
            </w:pPr>
            <w:r>
              <w:rPr>
                <w:rFonts w:ascii="Arial" w:cs="Arial" w:eastAsia="Arial" w:hAnsi="Arial"/>
                <w:sz w:val="15"/>
                <w:szCs w:val="15"/>
                <w:b w:val="1"/>
                <w:bCs w:val="1"/>
                <w:color w:val="auto"/>
                <w:w w:val="99"/>
              </w:rPr>
              <w:t>2.11%―2.74%</w:t>
            </w:r>
          </w:p>
        </w:tc>
        <w:tc>
          <w:tcPr>
            <w:tcW w:w="500" w:type="dxa"/>
            <w:vAlign w:val="bottom"/>
          </w:tcPr>
          <w:p>
            <w:pPr>
              <w:jc w:val="right"/>
              <w:spacing w:after="0"/>
              <w:rPr>
                <w:sz w:val="20"/>
                <w:szCs w:val="20"/>
                <w:color w:val="auto"/>
              </w:rPr>
            </w:pPr>
            <w:r>
              <w:rPr>
                <w:rFonts w:ascii="Arial" w:cs="Arial" w:eastAsia="Arial" w:hAnsi="Arial"/>
                <w:sz w:val="15"/>
                <w:szCs w:val="15"/>
                <w:color w:val="auto"/>
              </w:rPr>
              <w:t>2.</w:t>
            </w:r>
          </w:p>
        </w:tc>
      </w:tr>
    </w:tbl>
    <w:p>
      <w:pPr>
        <w:spacing w:after="0" w:line="17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also maintains a stock option plan at Kaplan. Under the provisions of this plan, options were issued with an exercise price equal to the estimated fair value of Kaplan’s common stock, and options vested ratably over the number of years specified (generally four to five years) at the time grant. Upon exercise, an option holder may receive Kaplan shares or cash equal to the difference between the exercise price and the then fair value.</w:t>
      </w:r>
    </w:p>
    <w:p>
      <w:pPr>
        <w:spacing w:after="0" w:line="16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In December 2011, a Kaplan senior manager exercised 2,000 Kaplan stock options at an option price of $652 per option. At December 31, 2011, this individual holds 3,750 Kaplan restricted shares, as well as 3,456 Kaplan restricted shares issued in 2009 and 2010 that vest over a three -year period. fair value of Kaplan’s common stock is determined by the Company’s compensation committee of the Board of Directors, and in January 2012, the committee set the fair value price at $1,165 per share. No options were awarded during 2011, 2010 or 2009, no options were exercised during 2010 o and there are no options outstanding at December 31, 2011.</w:t>
      </w:r>
    </w:p>
    <w:p>
      <w:pPr>
        <w:spacing w:after="0" w:line="36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100" w:name="page101"/>
    <w:bookmarkEnd w:id="100"/>
    <w:p>
      <w:pPr>
        <w:jc w:val="both"/>
        <w:ind w:left="9"/>
        <w:spacing w:after="0" w:line="233" w:lineRule="auto"/>
        <w:rPr>
          <w:sz w:val="20"/>
          <w:szCs w:val="20"/>
          <w:color w:val="auto"/>
        </w:rPr>
      </w:pPr>
      <w:r>
        <w:rPr>
          <w:rFonts w:ascii="Arial" w:cs="Arial" w:eastAsia="Arial" w:hAnsi="Arial"/>
          <w:sz w:val="17"/>
          <w:szCs w:val="17"/>
          <w:color w:val="auto"/>
        </w:rPr>
        <w:t>Kaplan recorded a stock compensation credit of $1.3 million and $1.2 million in 2011 and 2010, respectively, compared to stock compensation expens $0.9 million in 2009. At December 31, 2011, the Company’s accrual balance related to Kaplan stock-based compensation totaled $8.1 million. There w no payouts in 2011, 2010 or 2009. The total intrinsic value of options exercised during 2011 was $1.0 million.</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The Company’s earnings per share from continuing operations (basic and diluted) for 2011, 2010 and 2009 are presented belo</w:t>
      </w:r>
    </w:p>
    <w:p>
      <w:pPr>
        <w:spacing w:after="0" w:line="194"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2"/>
                <w:szCs w:val="12"/>
                <w:b w:val="1"/>
                <w:bCs w:val="1"/>
                <w:color w:val="auto"/>
              </w:rPr>
              <w:t>Fiscal Year Ended</w:t>
            </w: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ind w:right="88"/>
              <w:spacing w:after="0" w:line="114" w:lineRule="exact"/>
              <w:rPr>
                <w:sz w:val="20"/>
                <w:szCs w:val="20"/>
                <w:color w:val="auto"/>
              </w:rPr>
            </w:pPr>
            <w:r>
              <w:rPr>
                <w:rFonts w:ascii="Arial" w:cs="Arial" w:eastAsia="Arial" w:hAnsi="Arial"/>
                <w:sz w:val="12"/>
                <w:szCs w:val="12"/>
                <w:b w:val="1"/>
                <w:bCs w:val="1"/>
                <w:color w:val="auto"/>
              </w:rPr>
              <w:t>December 31,</w:t>
            </w:r>
          </w:p>
        </w:tc>
        <w:tc>
          <w:tcPr>
            <w:tcW w:w="380" w:type="dxa"/>
            <w:vAlign w:val="bottom"/>
          </w:tcPr>
          <w:p>
            <w:pPr>
              <w:spacing w:after="0"/>
              <w:rPr>
                <w:sz w:val="9"/>
                <w:szCs w:val="9"/>
                <w:color w:val="auto"/>
              </w:rPr>
            </w:pPr>
          </w:p>
        </w:tc>
        <w:tc>
          <w:tcPr>
            <w:tcW w:w="960" w:type="dxa"/>
            <w:vAlign w:val="bottom"/>
          </w:tcPr>
          <w:p>
            <w:pPr>
              <w:jc w:val="right"/>
              <w:ind w:right="248"/>
              <w:spacing w:after="0" w:line="114" w:lineRule="exact"/>
              <w:rPr>
                <w:sz w:val="20"/>
                <w:szCs w:val="20"/>
                <w:color w:val="auto"/>
              </w:rPr>
            </w:pPr>
            <w:r>
              <w:rPr>
                <w:rFonts w:ascii="Arial" w:cs="Arial" w:eastAsia="Arial" w:hAnsi="Arial"/>
                <w:sz w:val="12"/>
                <w:szCs w:val="12"/>
                <w:color w:val="auto"/>
              </w:rPr>
              <w:t>January 2,</w:t>
            </w:r>
          </w:p>
        </w:tc>
        <w:tc>
          <w:tcPr>
            <w:tcW w:w="280" w:type="dxa"/>
            <w:vAlign w:val="bottom"/>
          </w:tcPr>
          <w:p>
            <w:pPr>
              <w:spacing w:after="0"/>
              <w:rPr>
                <w:sz w:val="9"/>
                <w:szCs w:val="9"/>
                <w:color w:val="auto"/>
              </w:rPr>
            </w:pPr>
          </w:p>
        </w:tc>
        <w:tc>
          <w:tcPr>
            <w:tcW w:w="380" w:type="dxa"/>
            <w:vAlign w:val="bottom"/>
          </w:tcPr>
          <w:p>
            <w:pPr>
              <w:jc w:val="right"/>
              <w:spacing w:after="0" w:line="114" w:lineRule="exact"/>
              <w:rPr>
                <w:sz w:val="20"/>
                <w:szCs w:val="20"/>
                <w:color w:val="auto"/>
              </w:rPr>
            </w:pPr>
            <w:r>
              <w:rPr>
                <w:rFonts w:ascii="Arial" w:cs="Arial" w:eastAsia="Arial" w:hAnsi="Arial"/>
                <w:sz w:val="12"/>
                <w:szCs w:val="12"/>
                <w:color w:val="auto"/>
              </w:rPr>
              <w:t>Janua</w:t>
            </w:r>
          </w:p>
        </w:tc>
        <w:tc>
          <w:tcPr>
            <w:tcW w:w="0" w:type="dxa"/>
            <w:vAlign w:val="bottom"/>
          </w:tcPr>
          <w:p>
            <w:pPr>
              <w:spacing w:after="0"/>
              <w:rPr>
                <w:sz w:val="1"/>
                <w:szCs w:val="1"/>
                <w:color w:val="auto"/>
              </w:rPr>
            </w:pPr>
          </w:p>
        </w:tc>
      </w:tr>
      <w:tr>
        <w:trPr>
          <w:trHeight w:val="151"/>
        </w:trPr>
        <w:tc>
          <w:tcPr>
            <w:tcW w:w="7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2011</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2"/>
                <w:szCs w:val="12"/>
                <w:color w:val="auto"/>
              </w:rPr>
              <w:t>2011</w:t>
            </w:r>
          </w:p>
        </w:tc>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8"/>
        </w:trPr>
        <w:tc>
          <w:tcPr>
            <w:tcW w:w="780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w:t>
            </w:r>
          </w:p>
        </w:tc>
        <w:tc>
          <w:tcPr>
            <w:tcW w:w="120" w:type="dxa"/>
            <w:vAlign w:val="bottom"/>
          </w:tcPr>
          <w:p>
            <w:pPr>
              <w:spacing w:after="0"/>
              <w:rPr>
                <w:sz w:val="14"/>
                <w:szCs w:val="14"/>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120,404</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220"/>
              <w:spacing w:after="0" w:line="156" w:lineRule="exact"/>
              <w:rPr>
                <w:sz w:val="20"/>
                <w:szCs w:val="20"/>
                <w:color w:val="auto"/>
              </w:rPr>
            </w:pPr>
            <w:r>
              <w:rPr>
                <w:rFonts w:ascii="Arial" w:cs="Arial" w:eastAsia="Arial" w:hAnsi="Arial"/>
                <w:sz w:val="15"/>
                <w:szCs w:val="15"/>
                <w:color w:val="auto"/>
              </w:rPr>
              <w:t>The Washington Post Company common stockholders</w:t>
            </w: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1020" w:type="dxa"/>
            <w:vAlign w:val="bottom"/>
            <w:vMerge w:val="continue"/>
          </w:tcPr>
          <w:p>
            <w:pPr>
              <w:spacing w:after="0"/>
              <w:rPr>
                <w:sz w:val="13"/>
                <w:szCs w:val="13"/>
                <w:color w:val="auto"/>
              </w:rPr>
            </w:pPr>
          </w:p>
        </w:tc>
        <w:tc>
          <w:tcPr>
            <w:tcW w:w="380" w:type="dxa"/>
            <w:vAlign w:val="bottom"/>
          </w:tcPr>
          <w:p>
            <w:pPr>
              <w:jc w:val="right"/>
              <w:ind w:right="8"/>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68"/>
              <w:spacing w:after="0" w:line="156" w:lineRule="exact"/>
              <w:rPr>
                <w:sz w:val="20"/>
                <w:szCs w:val="20"/>
                <w:color w:val="auto"/>
              </w:rPr>
            </w:pPr>
            <w:r>
              <w:rPr>
                <w:rFonts w:ascii="Arial" w:cs="Arial" w:eastAsia="Arial" w:hAnsi="Arial"/>
                <w:sz w:val="15"/>
                <w:szCs w:val="15"/>
                <w:color w:val="auto"/>
              </w:rPr>
              <w:t>319,289</w:t>
            </w:r>
          </w:p>
        </w:tc>
        <w:tc>
          <w:tcPr>
            <w:tcW w:w="2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780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(1,211)</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(1,970)</w:t>
            </w: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3"/>
        </w:trPr>
        <w:tc>
          <w:tcPr>
            <w:tcW w:w="780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119,193</w:t>
            </w:r>
          </w:p>
        </w:tc>
        <w:tc>
          <w:tcPr>
            <w:tcW w:w="38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5"/>
                <w:szCs w:val="15"/>
                <w:color w:val="auto"/>
              </w:rPr>
              <w:t>317,319</w:t>
            </w:r>
          </w:p>
        </w:tc>
        <w:tc>
          <w:tcPr>
            <w:tcW w:w="2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780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1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780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1,211</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1,970</w:t>
            </w: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80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120,404</w:t>
            </w:r>
          </w:p>
        </w:tc>
        <w:tc>
          <w:tcPr>
            <w:tcW w:w="38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5"/>
                <w:szCs w:val="15"/>
                <w:color w:val="auto"/>
              </w:rPr>
              <w:t>319,289</w:t>
            </w:r>
          </w:p>
        </w:tc>
        <w:tc>
          <w:tcPr>
            <w:tcW w:w="2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2"/>
        </w:trPr>
        <w:tc>
          <w:tcPr>
            <w:tcW w:w="7800" w:type="dxa"/>
            <w:vAlign w:val="bottom"/>
          </w:tcPr>
          <w:p>
            <w:pPr>
              <w:ind w:left="22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1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80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12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Arial" w:cs="Arial" w:eastAsia="Arial" w:hAnsi="Arial"/>
                <w:sz w:val="15"/>
                <w:szCs w:val="15"/>
                <w:b w:val="1"/>
                <w:bCs w:val="1"/>
                <w:color w:val="auto"/>
              </w:rPr>
              <w:t>7,826</w:t>
            </w:r>
          </w:p>
        </w:tc>
        <w:tc>
          <w:tcPr>
            <w:tcW w:w="38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5"/>
                <w:szCs w:val="15"/>
                <w:color w:val="auto"/>
              </w:rPr>
              <w:t>8,869</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800" w:type="dxa"/>
            <w:vAlign w:val="bottom"/>
          </w:tcPr>
          <w:p>
            <w:pPr>
              <w:spacing w:after="0"/>
              <w:rPr>
                <w:sz w:val="20"/>
                <w:szCs w:val="20"/>
                <w:color w:val="auto"/>
              </w:rPr>
            </w:pPr>
            <w:r>
              <w:rPr>
                <w:rFonts w:ascii="Arial" w:cs="Arial" w:eastAsia="Arial" w:hAnsi="Arial"/>
                <w:sz w:val="15"/>
                <w:szCs w:val="15"/>
                <w:color w:val="auto"/>
              </w:rPr>
              <w:t>Effect of dilutive shares:</w:t>
            </w:r>
          </w:p>
        </w:tc>
        <w:tc>
          <w:tcPr>
            <w:tcW w:w="120" w:type="dxa"/>
            <w:vAlign w:val="bottom"/>
          </w:tcPr>
          <w:p>
            <w:pPr>
              <w:spacing w:after="0"/>
              <w:rPr>
                <w:sz w:val="15"/>
                <w:szCs w:val="15"/>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79</w:t>
            </w: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800" w:type="dxa"/>
            <w:vAlign w:val="bottom"/>
          </w:tcPr>
          <w:p>
            <w:pPr>
              <w:ind w:left="220"/>
              <w:spacing w:after="0"/>
              <w:rPr>
                <w:sz w:val="20"/>
                <w:szCs w:val="20"/>
                <w:color w:val="auto"/>
              </w:rPr>
            </w:pPr>
            <w:r>
              <w:rPr>
                <w:rFonts w:ascii="Arial" w:cs="Arial" w:eastAsia="Arial" w:hAnsi="Arial"/>
                <w:sz w:val="15"/>
                <w:szCs w:val="15"/>
                <w:color w:val="auto"/>
              </w:rPr>
              <w:t>Stock options and restricted stock</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62</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0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7,905</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color w:val="auto"/>
              </w:rPr>
              <w:t>8,931</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5"/>
                <w:szCs w:val="15"/>
                <w:color w:val="auto"/>
              </w:rPr>
              <w:t>Income per share from continuing operations attributable to</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800" w:type="dxa"/>
            <w:vAlign w:val="bottom"/>
          </w:tcPr>
          <w:p>
            <w:pPr>
              <w:ind w:left="220"/>
              <w:spacing w:after="0"/>
              <w:rPr>
                <w:sz w:val="20"/>
                <w:szCs w:val="20"/>
                <w:color w:val="auto"/>
              </w:rPr>
            </w:pPr>
            <w:r>
              <w:rPr>
                <w:rFonts w:ascii="Arial" w:cs="Arial" w:eastAsia="Arial" w:hAnsi="Arial"/>
                <w:sz w:val="15"/>
                <w:szCs w:val="15"/>
                <w:color w:val="auto"/>
              </w:rPr>
              <w:t>The Washington Post Company common stockholders</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15.23</w:t>
            </w:r>
          </w:p>
        </w:tc>
        <w:tc>
          <w:tcPr>
            <w:tcW w:w="380" w:type="dxa"/>
            <w:vAlign w:val="bottom"/>
            <w:vMerge w:val="restart"/>
          </w:tcPr>
          <w:p>
            <w:pPr>
              <w:jc w:val="right"/>
              <w:ind w:right="8"/>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8"/>
              <w:spacing w:after="0"/>
              <w:rPr>
                <w:sz w:val="20"/>
                <w:szCs w:val="20"/>
                <w:color w:val="auto"/>
              </w:rPr>
            </w:pPr>
            <w:r>
              <w:rPr>
                <w:rFonts w:ascii="Arial" w:cs="Arial" w:eastAsia="Arial" w:hAnsi="Arial"/>
                <w:sz w:val="15"/>
                <w:szCs w:val="15"/>
                <w:color w:val="auto"/>
              </w:rPr>
              <w:t>35.77</w:t>
            </w:r>
          </w:p>
        </w:tc>
        <w:tc>
          <w:tcPr>
            <w:tcW w:w="2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800" w:type="dxa"/>
            <w:vAlign w:val="bottom"/>
          </w:tcPr>
          <w:p>
            <w:pPr>
              <w:spacing w:after="0" w:line="167" w:lineRule="exact"/>
              <w:rPr>
                <w:sz w:val="20"/>
                <w:szCs w:val="20"/>
                <w:color w:val="auto"/>
              </w:rPr>
            </w:pPr>
            <w:r>
              <w:rPr>
                <w:rFonts w:ascii="Arial" w:cs="Arial" w:eastAsia="Arial" w:hAnsi="Arial"/>
                <w:sz w:val="15"/>
                <w:szCs w:val="15"/>
                <w:color w:val="auto"/>
              </w:rPr>
              <w:t>Basic</w:t>
            </w:r>
          </w:p>
        </w:tc>
        <w:tc>
          <w:tcPr>
            <w:tcW w:w="1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00" w:type="dxa"/>
            <w:vAlign w:val="bottom"/>
          </w:tcPr>
          <w:p>
            <w:pPr>
              <w:spacing w:after="0" w:line="151" w:lineRule="exact"/>
              <w:rPr>
                <w:sz w:val="20"/>
                <w:szCs w:val="20"/>
                <w:color w:val="auto"/>
              </w:rPr>
            </w:pPr>
            <w:r>
              <w:rPr>
                <w:rFonts w:ascii="Arial" w:cs="Arial" w:eastAsia="Arial" w:hAnsi="Arial"/>
                <w:sz w:val="15"/>
                <w:szCs w:val="15"/>
                <w:color w:val="auto"/>
              </w:rPr>
              <w:t>Diluted</w:t>
            </w:r>
          </w:p>
        </w:tc>
        <w:tc>
          <w:tcPr>
            <w:tcW w:w="1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88"/>
              <w:spacing w:after="0" w:line="151" w:lineRule="exact"/>
              <w:rPr>
                <w:sz w:val="20"/>
                <w:szCs w:val="20"/>
                <w:color w:val="auto"/>
              </w:rPr>
            </w:pPr>
            <w:r>
              <w:rPr>
                <w:rFonts w:ascii="Arial" w:cs="Arial" w:eastAsia="Arial" w:hAnsi="Arial"/>
                <w:sz w:val="15"/>
                <w:szCs w:val="15"/>
                <w:b w:val="1"/>
                <w:bCs w:val="1"/>
                <w:color w:val="auto"/>
              </w:rPr>
              <w:t>15.23</w:t>
            </w:r>
          </w:p>
        </w:tc>
        <w:tc>
          <w:tcPr>
            <w:tcW w:w="380" w:type="dxa"/>
            <w:vAlign w:val="bottom"/>
            <w:tcBorders>
              <w:bottom w:val="single" w:sz="8" w:color="auto"/>
            </w:tcBorders>
          </w:tcPr>
          <w:p>
            <w:pPr>
              <w:jc w:val="right"/>
              <w:ind w:right="8"/>
              <w:spacing w:after="0" w:line="151"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color w:val="auto"/>
              </w:rPr>
              <w:t>35.75</w:t>
            </w:r>
          </w:p>
        </w:tc>
        <w:tc>
          <w:tcPr>
            <w:tcW w:w="280" w:type="dxa"/>
            <w:vAlign w:val="bottom"/>
            <w:tcBorders>
              <w:bottom w:val="single" w:sz="8" w:color="auto"/>
            </w:tcBorders>
          </w:tcPr>
          <w:p>
            <w:pPr>
              <w:jc w:val="right"/>
              <w:ind w:right="6"/>
              <w:spacing w:after="0" w:line="151"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The 2011, 2010 and 2009 diluted earnings per share amounts exclude the effects of 115,294, 30,225 and 74,569 stock options outstanding, respectiv their inclusion would have been antidilutive.</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In 2011, 2010 and 2009, the Company declared regular dividends totaling $9.40, $9.00 and $8.60 per share, respectively.</w:t>
      </w:r>
    </w:p>
    <w:p>
      <w:pPr>
        <w:spacing w:after="0" w:line="157" w:lineRule="exact"/>
        <w:rPr>
          <w:sz w:val="20"/>
          <w:szCs w:val="20"/>
          <w:color w:val="auto"/>
        </w:rPr>
      </w:pPr>
    </w:p>
    <w:p>
      <w:pPr>
        <w:ind w:left="409" w:hanging="409"/>
        <w:spacing w:after="0"/>
        <w:tabs>
          <w:tab w:leader="none" w:pos="409"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PENSIONS AND OTHER POSTRETIREMENT PLANS</w:t>
      </w:r>
    </w:p>
    <w:p>
      <w:pPr>
        <w:spacing w:after="0" w:line="197"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The Company maintains various pension and incentive savings plans and contributes to several multiemployer plans on behalf of certain union-repres employee groups. Most of the Company’s employees are covered by these plans.</w:t>
      </w:r>
    </w:p>
    <w:p>
      <w:pPr>
        <w:spacing w:after="0" w:line="176" w:lineRule="exact"/>
        <w:rPr>
          <w:sz w:val="20"/>
          <w:szCs w:val="20"/>
          <w:color w:val="auto"/>
        </w:rPr>
      </w:pPr>
    </w:p>
    <w:p>
      <w:pPr>
        <w:ind w:left="9" w:right="140"/>
        <w:spacing w:after="0" w:line="235" w:lineRule="auto"/>
        <w:rPr>
          <w:sz w:val="20"/>
          <w:szCs w:val="20"/>
          <w:color w:val="auto"/>
        </w:rPr>
      </w:pPr>
      <w:r>
        <w:rPr>
          <w:rFonts w:ascii="Arial" w:cs="Arial" w:eastAsia="Arial" w:hAnsi="Arial"/>
          <w:sz w:val="17"/>
          <w:szCs w:val="17"/>
          <w:color w:val="auto"/>
        </w:rPr>
        <w:t>The Company also provides health care and life insurance benefits to certain retired employees. These employees become eligible for benefits after meeting age and service requirements.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 uses a measurement date of December 31 for its pension and other postretirement benefit plans.</w:t>
      </w:r>
    </w:p>
    <w:p>
      <w:pPr>
        <w:spacing w:after="0" w:line="157" w:lineRule="exact"/>
        <w:rPr>
          <w:sz w:val="20"/>
          <w:szCs w:val="20"/>
          <w:color w:val="auto"/>
        </w:rPr>
      </w:pPr>
    </w:p>
    <w:p>
      <w:pPr>
        <w:ind w:left="9" w:right="40"/>
        <w:spacing w:after="0" w:line="255" w:lineRule="auto"/>
        <w:rPr>
          <w:sz w:val="20"/>
          <w:szCs w:val="20"/>
          <w:color w:val="auto"/>
        </w:rPr>
      </w:pPr>
      <w:r>
        <w:rPr>
          <w:rFonts w:ascii="Arial" w:cs="Arial" w:eastAsia="Arial" w:hAnsi="Arial"/>
          <w:sz w:val="17"/>
          <w:szCs w:val="17"/>
          <w:b w:val="1"/>
          <w:bCs w:val="1"/>
          <w:color w:val="auto"/>
        </w:rPr>
        <w:t xml:space="preserve">Defined Benefit Plans. </w:t>
      </w:r>
      <w:r>
        <w:rPr>
          <w:rFonts w:ascii="Arial" w:cs="Arial" w:eastAsia="Arial" w:hAnsi="Arial"/>
          <w:sz w:val="17"/>
          <w:szCs w:val="17"/>
          <w:color w:val="auto"/>
        </w:rPr>
        <w:t>The Company’s defined benefit pension plans consist of various pension plans and a Supplemental Executive Retirement Pl</w:t>
      </w:r>
      <w:r>
        <w:rPr>
          <w:rFonts w:ascii="Arial" w:cs="Arial" w:eastAsia="Arial" w:hAnsi="Arial"/>
          <w:sz w:val="17"/>
          <w:szCs w:val="17"/>
          <w:b w:val="1"/>
          <w:bCs w:val="1"/>
          <w:color w:val="auto"/>
        </w:rPr>
        <w:t xml:space="preserve"> </w:t>
      </w:r>
      <w:r>
        <w:rPr>
          <w:rFonts w:ascii="Arial" w:cs="Arial" w:eastAsia="Arial" w:hAnsi="Arial"/>
          <w:sz w:val="17"/>
          <w:szCs w:val="17"/>
          <w:color w:val="auto"/>
        </w:rPr>
        <w:t>(SERP) offered to certain executives of the Company.</w:t>
      </w:r>
    </w:p>
    <w:p>
      <w:pPr>
        <w:spacing w:after="0" w:line="163"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2011, the Company offered a Voluntary Retirement Incentive Program to certain employees of Robinson Terminal Warehouse Corporation and the and recorded early retirement expense of $0.6 million. The early retirement program expense for these programs is funded mostly from the assets of t Company’s pension plans.</w:t>
      </w:r>
    </w:p>
    <w:p>
      <w:pPr>
        <w:spacing w:after="0" w:line="175"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In connection with the Newsweek sale in 2010, the Company recorded $5.3 million in special termination benefits expense and $2.4 million in prior ser cost expense; these amounts are included in discontinued operations.</w:t>
      </w:r>
    </w:p>
    <w:p>
      <w:pPr>
        <w:spacing w:after="0" w:line="176"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2009, 44 Newsweek employees accepted a Voluntary Retirement Incentive Program. Early retirement program expense of $6.6 million was recorde 2009 and is included in discontinued operations. The early retirement program expense for this program is funded mostly from the assets of the Comp pension plans.</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101" w:name="page102"/>
    <w:bookmarkEnd w:id="101"/>
    <w:p>
      <w:pPr>
        <w:spacing w:after="0" w:line="232" w:lineRule="auto"/>
        <w:rPr>
          <w:sz w:val="20"/>
          <w:szCs w:val="20"/>
          <w:color w:val="auto"/>
        </w:rPr>
      </w:pPr>
      <w:r>
        <w:rPr>
          <w:rFonts w:ascii="Arial" w:cs="Arial" w:eastAsia="Arial" w:hAnsi="Arial"/>
          <w:sz w:val="17"/>
          <w:szCs w:val="17"/>
          <w:color w:val="auto"/>
        </w:rPr>
        <w:t>In 2009, a total of 221 employees of The Washington Post newspaper accepted a Voluntary Retirement Incentive Program, and early retirement progr expense of $56.8 million was recorded, funded mostly from the assets of the Company’s pension plans. In 2009, the Company offered a Voluntary Retirement Incentive Program to certain employees at Robinson Terminal Warehouse Corporation; $1.1 million in early retirement program expense w recorded, also funded mostly from the assets of the Company’s pension plans.</w:t>
      </w:r>
    </w:p>
    <w:p>
      <w:pPr>
        <w:spacing w:after="0" w:line="17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following table sets forth obligation, asset and funding information for the Company’s defined benefit pension plans at December 31, 2011 and Ja 2, 2011: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rPr>
              <w:t>Pension Plans</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7"/>
              <w:spacing w:after="0" w:line="129" w:lineRule="exact"/>
              <w:rPr>
                <w:sz w:val="20"/>
                <w:szCs w:val="20"/>
                <w:color w:val="auto"/>
              </w:rPr>
            </w:pPr>
            <w:r>
              <w:rPr>
                <w:rFonts w:ascii="Arial" w:cs="Arial" w:eastAsia="Arial" w:hAnsi="Arial"/>
                <w:sz w:val="12"/>
                <w:szCs w:val="12"/>
                <w:b w:val="1"/>
                <w:bCs w:val="1"/>
                <w:color w:val="auto"/>
              </w:rPr>
              <w:t>2011</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2010</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1,113,205</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Service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27,619</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Interest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60,033</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Amendments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2,776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Actuarial loss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140,126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(64,444)</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1,279,315</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1,651,958</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Actual return on plan assets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229,063</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(64,444)</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1,816,577</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537,262</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7"/>
              <w:spacing w:after="0" w:line="129" w:lineRule="exact"/>
              <w:rPr>
                <w:sz w:val="20"/>
                <w:szCs w:val="20"/>
                <w:color w:val="auto"/>
              </w:rPr>
            </w:pPr>
            <w:r>
              <w:rPr>
                <w:rFonts w:ascii="Arial" w:cs="Arial" w:eastAsia="Arial" w:hAnsi="Arial"/>
                <w:sz w:val="12"/>
                <w:szCs w:val="12"/>
                <w:b w:val="1"/>
                <w:bCs w:val="1"/>
                <w:color w:val="auto"/>
              </w:rPr>
              <w:t>2011</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2010</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79,403</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Service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1,655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Interest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4,342</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Amendments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369</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Actuarial loss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9,059</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(1,965)</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92,863</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320" w:type="dxa"/>
            <w:vAlign w:val="bottom"/>
            <w:vMerge w:val="continue"/>
          </w:tcPr>
          <w:p>
            <w:pPr>
              <w:spacing w:after="0"/>
              <w:rPr>
                <w:sz w:val="13"/>
                <w:szCs w:val="13"/>
                <w:color w:val="auto"/>
              </w:rPr>
            </w:pPr>
          </w:p>
        </w:tc>
        <w:tc>
          <w:tcPr>
            <w:tcW w:w="1240" w:type="dxa"/>
            <w:vAlign w:val="bottom"/>
          </w:tcPr>
          <w:p>
            <w:pPr>
              <w:jc w:val="right"/>
              <w:ind w:right="247"/>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Employer contributions and other</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3,114</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(3,114)</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(92,863)</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accumulated benefit obligation for the Company’s pension plans at December 31, 2011 and January 2, 2011, was $1,191.9 million and $1,040.5 respectively. The accumulated benefit obligation for the Company’s SERP at December 31, 2011 and January 2, 2011, was $ 86.6 million and $72.0 m respectively. The amounts recognized in the Company’s Consolidated Balance Sheets for its defined benefit pension plans at December 31, 2011 and January 2, 2011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20" w:type="dxa"/>
            <w:vAlign w:val="bottom"/>
            <w:vMerge w:val="restart"/>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8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62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50"/>
              <w:spacing w:after="0" w:line="129" w:lineRule="exact"/>
              <w:rPr>
                <w:sz w:val="20"/>
                <w:szCs w:val="20"/>
                <w:color w:val="auto"/>
              </w:rPr>
            </w:pPr>
            <w:r>
              <w:rPr>
                <w:rFonts w:ascii="Arial" w:cs="Arial" w:eastAsia="Arial" w:hAnsi="Arial"/>
                <w:sz w:val="12"/>
                <w:szCs w:val="12"/>
                <w:b w:val="1"/>
                <w:bCs w:val="1"/>
                <w:color w:val="auto"/>
              </w:rPr>
              <w:t>2011</w:t>
            </w: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8"/>
              <w:spacing w:after="0" w:line="129" w:lineRule="exact"/>
              <w:rPr>
                <w:sz w:val="20"/>
                <w:szCs w:val="20"/>
                <w:color w:val="auto"/>
              </w:rPr>
            </w:pPr>
            <w:r>
              <w:rPr>
                <w:rFonts w:ascii="Arial" w:cs="Arial" w:eastAsia="Arial" w:hAnsi="Arial"/>
                <w:sz w:val="12"/>
                <w:szCs w:val="12"/>
                <w:color w:val="auto"/>
              </w:rPr>
              <w:t>2010</w:t>
            </w: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90"/>
              <w:spacing w:after="0" w:line="129" w:lineRule="exact"/>
              <w:rPr>
                <w:sz w:val="20"/>
                <w:szCs w:val="20"/>
                <w:color w:val="auto"/>
              </w:rPr>
            </w:pPr>
            <w:r>
              <w:rPr>
                <w:rFonts w:ascii="Arial" w:cs="Arial" w:eastAsia="Arial" w:hAnsi="Arial"/>
                <w:sz w:val="12"/>
                <w:szCs w:val="12"/>
                <w:b w:val="1"/>
                <w:bCs w:val="1"/>
                <w:color w:val="auto"/>
              </w:rPr>
              <w:t>2011</w:t>
            </w:r>
          </w:p>
        </w:tc>
        <w:tc>
          <w:tcPr>
            <w:tcW w:w="2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50"/>
        </w:trPr>
        <w:tc>
          <w:tcPr>
            <w:tcW w:w="6620" w:type="dxa"/>
            <w:vAlign w:val="bottom"/>
          </w:tcPr>
          <w:p>
            <w:pPr>
              <w:spacing w:after="0" w:line="150" w:lineRule="exact"/>
              <w:rPr>
                <w:sz w:val="20"/>
                <w:szCs w:val="20"/>
                <w:color w:val="auto"/>
              </w:rPr>
            </w:pPr>
            <w:r>
              <w:rPr>
                <w:rFonts w:ascii="Arial" w:cs="Arial" w:eastAsia="Arial" w:hAnsi="Arial"/>
                <w:sz w:val="15"/>
                <w:szCs w:val="15"/>
                <w:color w:val="auto"/>
              </w:rPr>
              <w:t>Noncurrent asset</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90"/>
              <w:spacing w:after="0" w:line="150" w:lineRule="exact"/>
              <w:rPr>
                <w:sz w:val="20"/>
                <w:szCs w:val="20"/>
                <w:color w:val="auto"/>
              </w:rPr>
            </w:pPr>
            <w:r>
              <w:rPr>
                <w:rFonts w:ascii="Arial" w:cs="Arial" w:eastAsia="Arial" w:hAnsi="Arial"/>
                <w:sz w:val="15"/>
                <w:szCs w:val="15"/>
                <w:b w:val="1"/>
                <w:bCs w:val="1"/>
                <w:color w:val="auto"/>
              </w:rPr>
              <w:t>537,262</w:t>
            </w:r>
          </w:p>
        </w:tc>
        <w:tc>
          <w:tcPr>
            <w:tcW w:w="44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538,753</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250"/>
              <w:spacing w:after="0" w:line="15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jc w:val="right"/>
              <w:ind w:right="26"/>
              <w:spacing w:after="0" w:line="150" w:lineRule="exact"/>
              <w:rPr>
                <w:sz w:val="20"/>
                <w:szCs w:val="20"/>
                <w:color w:val="auto"/>
              </w:rPr>
            </w:pPr>
            <w:r>
              <w:rPr>
                <w:rFonts w:ascii="Arial" w:cs="Arial" w:eastAsia="Arial" w:hAnsi="Arial"/>
                <w:sz w:val="15"/>
                <w:szCs w:val="15"/>
                <w:color w:val="auto"/>
                <w:w w:val="95"/>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620" w:type="dxa"/>
            <w:vAlign w:val="bottom"/>
          </w:tcPr>
          <w:p>
            <w:pPr>
              <w:spacing w:after="0"/>
              <w:rPr>
                <w:sz w:val="20"/>
                <w:szCs w:val="20"/>
                <w:color w:val="auto"/>
              </w:rPr>
            </w:pPr>
            <w:r>
              <w:rPr>
                <w:rFonts w:ascii="Arial" w:cs="Arial" w:eastAsia="Arial" w:hAnsi="Arial"/>
                <w:sz w:val="15"/>
                <w:szCs w:val="15"/>
                <w:color w:val="auto"/>
              </w:rPr>
              <w:t>Current liability</w:t>
            </w:r>
          </w:p>
        </w:tc>
        <w:tc>
          <w:tcPr>
            <w:tcW w:w="28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1040" w:type="dxa"/>
            <w:vAlign w:val="bottom"/>
          </w:tcPr>
          <w:p>
            <w:pPr>
              <w:jc w:val="right"/>
              <w:ind w:right="250"/>
              <w:spacing w:after="0"/>
              <w:rPr>
                <w:sz w:val="20"/>
                <w:szCs w:val="20"/>
                <w:color w:val="auto"/>
              </w:rPr>
            </w:pPr>
            <w:r>
              <w:rPr>
                <w:rFonts w:ascii="Arial" w:cs="Arial" w:eastAsia="Arial" w:hAnsi="Arial"/>
                <w:sz w:val="15"/>
                <w:szCs w:val="15"/>
                <w:b w:val="1"/>
                <w:bCs w:val="1"/>
                <w:color w:val="auto"/>
              </w:rPr>
              <w:t>(4,002)</w:t>
            </w:r>
          </w:p>
        </w:tc>
        <w:tc>
          <w:tcPr>
            <w:tcW w:w="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6620" w:type="dxa"/>
            <w:vAlign w:val="bottom"/>
          </w:tcPr>
          <w:p>
            <w:pPr>
              <w:spacing w:after="0"/>
              <w:rPr>
                <w:sz w:val="20"/>
                <w:szCs w:val="20"/>
                <w:color w:val="auto"/>
              </w:rPr>
            </w:pPr>
            <w:r>
              <w:rPr>
                <w:rFonts w:ascii="Arial" w:cs="Arial" w:eastAsia="Arial" w:hAnsi="Arial"/>
                <w:sz w:val="15"/>
                <w:szCs w:val="15"/>
                <w:color w:val="auto"/>
              </w:rPr>
              <w:t>Noncurrent liability</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5"/>
                <w:szCs w:val="15"/>
                <w:b w:val="1"/>
                <w:bCs w:val="1"/>
                <w:color w:val="auto"/>
              </w:rPr>
              <w:t>(88,861)</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6"/>
        </w:trPr>
        <w:tc>
          <w:tcPr>
            <w:tcW w:w="6620" w:type="dxa"/>
            <w:vAlign w:val="bottom"/>
          </w:tcPr>
          <w:p>
            <w:pPr>
              <w:spacing w:after="0" w:line="167" w:lineRule="exact"/>
              <w:rPr>
                <w:sz w:val="20"/>
                <w:szCs w:val="20"/>
                <w:color w:val="auto"/>
              </w:rPr>
            </w:pPr>
            <w:r>
              <w:rPr>
                <w:rFonts w:ascii="Arial" w:cs="Arial" w:eastAsia="Arial" w:hAnsi="Arial"/>
                <w:sz w:val="15"/>
                <w:szCs w:val="15"/>
                <w:color w:val="auto"/>
              </w:rPr>
              <w:t>Recognized asset (liability)</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b w:val="1"/>
                <w:bCs w:val="1"/>
                <w:color w:val="auto"/>
              </w:rPr>
              <w:t>537,262</w:t>
            </w:r>
          </w:p>
        </w:tc>
        <w:tc>
          <w:tcPr>
            <w:tcW w:w="4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color w:val="auto"/>
              </w:rPr>
              <w:t>538,753</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250"/>
              <w:spacing w:after="0" w:line="167" w:lineRule="exact"/>
              <w:rPr>
                <w:sz w:val="20"/>
                <w:szCs w:val="20"/>
                <w:color w:val="auto"/>
              </w:rPr>
            </w:pPr>
            <w:r>
              <w:rPr>
                <w:rFonts w:ascii="Arial" w:cs="Arial" w:eastAsia="Arial" w:hAnsi="Arial"/>
                <w:sz w:val="15"/>
                <w:szCs w:val="15"/>
                <w:b w:val="1"/>
                <w:bCs w:val="1"/>
                <w:color w:val="auto"/>
              </w:rPr>
              <w:t>(92,863)</w:t>
            </w:r>
          </w:p>
        </w:tc>
        <w:tc>
          <w:tcPr>
            <w:tcW w:w="2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Key assumptions utilized for determining the benefit obligation at December 31, 2011 and January 2, 2011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1660" w:type="dxa"/>
            <w:vAlign w:val="bottom"/>
            <w:tcBorders>
              <w:bottom w:val="single" w:sz="8" w:color="auto"/>
            </w:tcBorders>
            <w:gridSpan w:val="2"/>
          </w:tcPr>
          <w:p>
            <w:pPr>
              <w:ind w:left="260"/>
              <w:spacing w:after="0"/>
              <w:rPr>
                <w:sz w:val="20"/>
                <w:szCs w:val="20"/>
                <w:color w:val="auto"/>
              </w:rPr>
            </w:pPr>
            <w:r>
              <w:rPr>
                <w:rFonts w:ascii="Arial" w:cs="Arial" w:eastAsia="Arial" w:hAnsi="Arial"/>
                <w:sz w:val="12"/>
                <w:szCs w:val="12"/>
                <w:b w:val="1"/>
                <w:bCs w:val="1"/>
                <w:color w:val="auto"/>
              </w:rPr>
              <w:t>Pension Plans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r>
      <w:tr>
        <w:trPr>
          <w:trHeight w:val="129"/>
        </w:trPr>
        <w:tc>
          <w:tcPr>
            <w:tcW w:w="8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92"/>
              <w:spacing w:after="0" w:line="129" w:lineRule="exact"/>
              <w:rPr>
                <w:sz w:val="20"/>
                <w:szCs w:val="20"/>
                <w:color w:val="auto"/>
              </w:rPr>
            </w:pPr>
            <w:r>
              <w:rPr>
                <w:rFonts w:ascii="Arial" w:cs="Arial" w:eastAsia="Arial" w:hAnsi="Arial"/>
                <w:sz w:val="12"/>
                <w:szCs w:val="12"/>
                <w:b w:val="1"/>
                <w:bCs w:val="1"/>
                <w:color w:val="auto"/>
              </w:rPr>
              <w:t>2011</w:t>
            </w:r>
          </w:p>
        </w:tc>
        <w:tc>
          <w:tcPr>
            <w:tcW w:w="900" w:type="dxa"/>
            <w:vAlign w:val="bottom"/>
            <w:tcBorders>
              <w:bottom w:val="single" w:sz="8" w:color="auto"/>
            </w:tcBorders>
          </w:tcPr>
          <w:p>
            <w:pPr>
              <w:jc w:val="right"/>
              <w:ind w:right="390"/>
              <w:spacing w:after="0" w:line="129" w:lineRule="exact"/>
              <w:rPr>
                <w:sz w:val="20"/>
                <w:szCs w:val="20"/>
                <w:color w:val="auto"/>
              </w:rPr>
            </w:pPr>
            <w:r>
              <w:rPr>
                <w:rFonts w:ascii="Arial" w:cs="Arial" w:eastAsia="Arial" w:hAnsi="Arial"/>
                <w:sz w:val="12"/>
                <w:szCs w:val="12"/>
                <w:color w:val="auto"/>
              </w:rPr>
              <w:t>2010</w:t>
            </w:r>
          </w:p>
        </w:tc>
        <w:tc>
          <w:tcPr>
            <w:tcW w:w="104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2"/>
                <w:szCs w:val="12"/>
                <w:b w:val="1"/>
                <w:bCs w:val="1"/>
                <w:color w:val="auto"/>
              </w:rPr>
              <w:t>2011</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Discount rate</w:t>
            </w:r>
          </w:p>
        </w:tc>
        <w:tc>
          <w:tcPr>
            <w:tcW w:w="760" w:type="dxa"/>
            <w:vAlign w:val="bottom"/>
          </w:tcPr>
          <w:p>
            <w:pPr>
              <w:ind w:left="240"/>
              <w:spacing w:after="0" w:line="150" w:lineRule="exact"/>
              <w:rPr>
                <w:sz w:val="20"/>
                <w:szCs w:val="20"/>
                <w:color w:val="auto"/>
              </w:rPr>
            </w:pPr>
            <w:r>
              <w:rPr>
                <w:rFonts w:ascii="Arial" w:cs="Arial" w:eastAsia="Arial" w:hAnsi="Arial"/>
                <w:sz w:val="15"/>
                <w:szCs w:val="15"/>
                <w:b w:val="1"/>
                <w:bCs w:val="1"/>
                <w:color w:val="auto"/>
              </w:rPr>
              <w:t>4.7%</w:t>
            </w:r>
          </w:p>
        </w:tc>
        <w:tc>
          <w:tcPr>
            <w:tcW w:w="900" w:type="dxa"/>
            <w:vAlign w:val="bottom"/>
          </w:tcPr>
          <w:p>
            <w:pPr>
              <w:jc w:val="right"/>
              <w:ind w:right="230"/>
              <w:spacing w:after="0" w:line="150" w:lineRule="exact"/>
              <w:rPr>
                <w:sz w:val="20"/>
                <w:szCs w:val="20"/>
                <w:color w:val="auto"/>
              </w:rPr>
            </w:pPr>
            <w:r>
              <w:rPr>
                <w:rFonts w:ascii="Arial" w:cs="Arial" w:eastAsia="Arial" w:hAnsi="Arial"/>
                <w:sz w:val="15"/>
                <w:szCs w:val="15"/>
                <w:color w:val="auto"/>
              </w:rPr>
              <w:t>5.6%</w:t>
            </w:r>
          </w:p>
        </w:tc>
        <w:tc>
          <w:tcPr>
            <w:tcW w:w="1040" w:type="dxa"/>
            <w:vAlign w:val="bottom"/>
          </w:tcPr>
          <w:p>
            <w:pPr>
              <w:jc w:val="right"/>
              <w:ind w:right="252"/>
              <w:spacing w:after="0" w:line="150" w:lineRule="exact"/>
              <w:rPr>
                <w:sz w:val="20"/>
                <w:szCs w:val="20"/>
                <w:color w:val="auto"/>
              </w:rPr>
            </w:pPr>
            <w:r>
              <w:rPr>
                <w:rFonts w:ascii="Arial" w:cs="Arial" w:eastAsia="Arial" w:hAnsi="Arial"/>
                <w:sz w:val="15"/>
                <w:szCs w:val="15"/>
                <w:b w:val="1"/>
                <w:bCs w:val="1"/>
                <w:color w:val="auto"/>
              </w:rPr>
              <w:t>4.7%</w:t>
            </w:r>
          </w:p>
        </w:tc>
      </w:tr>
      <w:tr>
        <w:trPr>
          <w:trHeight w:val="197"/>
        </w:trPr>
        <w:tc>
          <w:tcPr>
            <w:tcW w:w="8240" w:type="dxa"/>
            <w:vAlign w:val="bottom"/>
          </w:tcPr>
          <w:p>
            <w:pPr>
              <w:spacing w:after="0"/>
              <w:rPr>
                <w:sz w:val="20"/>
                <w:szCs w:val="20"/>
                <w:color w:val="auto"/>
              </w:rPr>
            </w:pPr>
            <w:r>
              <w:rPr>
                <w:rFonts w:ascii="Arial" w:cs="Arial" w:eastAsia="Arial" w:hAnsi="Arial"/>
                <w:sz w:val="15"/>
                <w:szCs w:val="15"/>
                <w:color w:val="auto"/>
              </w:rPr>
              <w:t>Rate of compensation increase</w:t>
            </w:r>
          </w:p>
        </w:tc>
        <w:tc>
          <w:tcPr>
            <w:tcW w:w="760" w:type="dxa"/>
            <w:vAlign w:val="bottom"/>
          </w:tcPr>
          <w:p>
            <w:pPr>
              <w:ind w:left="240"/>
              <w:spacing w:after="0"/>
              <w:rPr>
                <w:sz w:val="20"/>
                <w:szCs w:val="20"/>
                <w:color w:val="auto"/>
              </w:rPr>
            </w:pPr>
            <w:r>
              <w:rPr>
                <w:rFonts w:ascii="Arial" w:cs="Arial" w:eastAsia="Arial" w:hAnsi="Arial"/>
                <w:sz w:val="15"/>
                <w:szCs w:val="15"/>
                <w:b w:val="1"/>
                <w:bCs w:val="1"/>
                <w:color w:val="auto"/>
              </w:rPr>
              <w:t>4.0%</w:t>
            </w:r>
          </w:p>
        </w:tc>
        <w:tc>
          <w:tcPr>
            <w:tcW w:w="900" w:type="dxa"/>
            <w:vAlign w:val="bottom"/>
          </w:tcPr>
          <w:p>
            <w:pPr>
              <w:jc w:val="right"/>
              <w:ind w:right="230"/>
              <w:spacing w:after="0"/>
              <w:rPr>
                <w:sz w:val="20"/>
                <w:szCs w:val="20"/>
                <w:color w:val="auto"/>
              </w:rPr>
            </w:pPr>
            <w:r>
              <w:rPr>
                <w:rFonts w:ascii="Arial" w:cs="Arial" w:eastAsia="Arial" w:hAnsi="Arial"/>
                <w:sz w:val="15"/>
                <w:szCs w:val="15"/>
                <w:color w:val="auto"/>
              </w:rPr>
              <w:t>4.0%</w:t>
            </w:r>
          </w:p>
        </w:tc>
        <w:tc>
          <w:tcPr>
            <w:tcW w:w="1040" w:type="dxa"/>
            <w:vAlign w:val="bottom"/>
          </w:tcPr>
          <w:p>
            <w:pPr>
              <w:jc w:val="right"/>
              <w:ind w:right="252"/>
              <w:spacing w:after="0"/>
              <w:rPr>
                <w:sz w:val="20"/>
                <w:szCs w:val="20"/>
                <w:color w:val="auto"/>
              </w:rPr>
            </w:pPr>
            <w:r>
              <w:rPr>
                <w:rFonts w:ascii="Arial" w:cs="Arial" w:eastAsia="Arial" w:hAnsi="Arial"/>
                <w:sz w:val="15"/>
                <w:szCs w:val="15"/>
                <w:b w:val="1"/>
                <w:bCs w:val="1"/>
                <w:color w:val="auto"/>
              </w:rPr>
              <w:t>4.0%</w:t>
            </w:r>
          </w:p>
        </w:tc>
      </w:tr>
    </w:tbl>
    <w:p>
      <w:pPr>
        <w:spacing w:after="0" w:line="1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02" w:name="page103"/>
    <w:bookmarkEnd w:id="102"/>
    <w:p>
      <w:pPr>
        <w:jc w:val="both"/>
        <w:ind w:right="20"/>
        <w:spacing w:after="0" w:line="233" w:lineRule="auto"/>
        <w:rPr>
          <w:sz w:val="20"/>
          <w:szCs w:val="20"/>
          <w:color w:val="auto"/>
        </w:rPr>
      </w:pPr>
      <w:r>
        <w:rPr>
          <w:rFonts w:ascii="Arial" w:cs="Arial" w:eastAsia="Arial" w:hAnsi="Arial"/>
          <w:sz w:val="17"/>
          <w:szCs w:val="17"/>
          <w:color w:val="auto"/>
        </w:rPr>
        <w:t>The Company made no contributions to its pension plans in 2011, 2010 and 2009, and the Company does not expect to make any contributions in 20 The Company made contributions to its SERP of $3.1 million and $2.9 million for the years ended December 31, 2011 and January 2, 2011, respectiv the plan is unfunded, the Company makes contributions to the SERP based on actual benefit payments.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2011, future estimated benefit payments, excluding charges for early retirement programs,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544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2"/>
                <w:szCs w:val="12"/>
                <w:b w:val="1"/>
                <w:bCs w:val="1"/>
                <w:color w:val="auto"/>
              </w:rPr>
              <w:t>Pension Plans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w:t>
            </w:r>
          </w:p>
        </w:tc>
      </w:tr>
      <w:tr>
        <w:trPr>
          <w:trHeight w:val="168"/>
        </w:trPr>
        <w:tc>
          <w:tcPr>
            <w:tcW w:w="5080" w:type="dxa"/>
            <w:vAlign w:val="bottom"/>
          </w:tcPr>
          <w:p>
            <w:pPr>
              <w:spacing w:after="0" w:line="168" w:lineRule="exact"/>
              <w:rPr>
                <w:sz w:val="20"/>
                <w:szCs w:val="20"/>
                <w:color w:val="auto"/>
              </w:rPr>
            </w:pPr>
            <w:r>
              <w:rPr>
                <w:rFonts w:ascii="Arial" w:cs="Arial" w:eastAsia="Arial" w:hAnsi="Arial"/>
                <w:sz w:val="15"/>
                <w:szCs w:val="15"/>
                <w:color w:val="auto"/>
              </w:rPr>
              <w:t>2012</w:t>
            </w:r>
          </w:p>
        </w:tc>
        <w:tc>
          <w:tcPr>
            <w:tcW w:w="4660" w:type="dxa"/>
            <w:vAlign w:val="bottom"/>
          </w:tcPr>
          <w:p>
            <w:pPr>
              <w:jc w:val="right"/>
              <w:ind w:right="67"/>
              <w:spacing w:after="0" w:line="168"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line="168" w:lineRule="exact"/>
              <w:rPr>
                <w:sz w:val="20"/>
                <w:szCs w:val="20"/>
                <w:color w:val="auto"/>
              </w:rPr>
            </w:pPr>
            <w:r>
              <w:rPr>
                <w:rFonts w:ascii="Arial" w:cs="Arial" w:eastAsia="Arial" w:hAnsi="Arial"/>
                <w:sz w:val="15"/>
                <w:szCs w:val="15"/>
                <w:color w:val="auto"/>
              </w:rPr>
              <w:t>70.9</w:t>
            </w:r>
          </w:p>
        </w:tc>
        <w:tc>
          <w:tcPr>
            <w:tcW w:w="420" w:type="dxa"/>
            <w:vAlign w:val="bottom"/>
          </w:tcPr>
          <w:p>
            <w:pPr>
              <w:jc w:val="right"/>
              <w:ind w:right="27"/>
              <w:spacing w:after="0" w:line="168" w:lineRule="exact"/>
              <w:rPr>
                <w:sz w:val="20"/>
                <w:szCs w:val="20"/>
                <w:color w:val="auto"/>
              </w:rPr>
            </w:pPr>
            <w:r>
              <w:rPr>
                <w:rFonts w:ascii="Arial" w:cs="Arial" w:eastAsia="Arial" w:hAnsi="Arial"/>
                <w:sz w:val="15"/>
                <w:szCs w:val="15"/>
                <w:color w:val="auto"/>
              </w:rPr>
              <w:t>$</w:t>
            </w:r>
          </w:p>
        </w:tc>
      </w:tr>
      <w:tr>
        <w:trPr>
          <w:trHeight w:val="174"/>
        </w:trPr>
        <w:tc>
          <w:tcPr>
            <w:tcW w:w="5080" w:type="dxa"/>
            <w:vAlign w:val="bottom"/>
          </w:tcPr>
          <w:p>
            <w:pPr>
              <w:spacing w:after="0"/>
              <w:rPr>
                <w:sz w:val="20"/>
                <w:szCs w:val="20"/>
                <w:color w:val="auto"/>
              </w:rPr>
            </w:pPr>
            <w:r>
              <w:rPr>
                <w:rFonts w:ascii="Arial" w:cs="Arial" w:eastAsia="Arial" w:hAnsi="Arial"/>
                <w:sz w:val="15"/>
                <w:szCs w:val="15"/>
                <w:color w:val="auto"/>
              </w:rPr>
              <w:t>2013</w:t>
            </w:r>
          </w:p>
        </w:tc>
        <w:tc>
          <w:tcPr>
            <w:tcW w:w="46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69.2</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74"/>
        </w:trPr>
        <w:tc>
          <w:tcPr>
            <w:tcW w:w="5080" w:type="dxa"/>
            <w:vAlign w:val="bottom"/>
          </w:tcPr>
          <w:p>
            <w:pPr>
              <w:spacing w:after="0"/>
              <w:rPr>
                <w:sz w:val="20"/>
                <w:szCs w:val="20"/>
                <w:color w:val="auto"/>
              </w:rPr>
            </w:pPr>
            <w:r>
              <w:rPr>
                <w:rFonts w:ascii="Arial" w:cs="Arial" w:eastAsia="Arial" w:hAnsi="Arial"/>
                <w:sz w:val="15"/>
                <w:szCs w:val="15"/>
                <w:color w:val="auto"/>
              </w:rPr>
              <w:t>2014</w:t>
            </w:r>
          </w:p>
        </w:tc>
        <w:tc>
          <w:tcPr>
            <w:tcW w:w="46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69.2</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74"/>
        </w:trPr>
        <w:tc>
          <w:tcPr>
            <w:tcW w:w="5080" w:type="dxa"/>
            <w:vAlign w:val="bottom"/>
          </w:tcPr>
          <w:p>
            <w:pPr>
              <w:spacing w:after="0"/>
              <w:rPr>
                <w:sz w:val="20"/>
                <w:szCs w:val="20"/>
                <w:color w:val="auto"/>
              </w:rPr>
            </w:pPr>
            <w:r>
              <w:rPr>
                <w:rFonts w:ascii="Arial" w:cs="Arial" w:eastAsia="Arial" w:hAnsi="Arial"/>
                <w:sz w:val="15"/>
                <w:szCs w:val="15"/>
                <w:color w:val="auto"/>
              </w:rPr>
              <w:t>2015</w:t>
            </w:r>
          </w:p>
        </w:tc>
        <w:tc>
          <w:tcPr>
            <w:tcW w:w="46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69.1</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74"/>
        </w:trPr>
        <w:tc>
          <w:tcPr>
            <w:tcW w:w="5080" w:type="dxa"/>
            <w:vAlign w:val="bottom"/>
          </w:tcPr>
          <w:p>
            <w:pPr>
              <w:spacing w:after="0"/>
              <w:rPr>
                <w:sz w:val="20"/>
                <w:szCs w:val="20"/>
                <w:color w:val="auto"/>
              </w:rPr>
            </w:pPr>
            <w:r>
              <w:rPr>
                <w:rFonts w:ascii="Arial" w:cs="Arial" w:eastAsia="Arial" w:hAnsi="Arial"/>
                <w:sz w:val="15"/>
                <w:szCs w:val="15"/>
                <w:color w:val="auto"/>
              </w:rPr>
              <w:t>2016</w:t>
            </w:r>
          </w:p>
        </w:tc>
        <w:tc>
          <w:tcPr>
            <w:tcW w:w="46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70.1</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r>
      <w:tr>
        <w:trPr>
          <w:trHeight w:val="179"/>
        </w:trPr>
        <w:tc>
          <w:tcPr>
            <w:tcW w:w="5080" w:type="dxa"/>
            <w:vAlign w:val="bottom"/>
          </w:tcPr>
          <w:p>
            <w:pPr>
              <w:spacing w:after="0"/>
              <w:rPr>
                <w:sz w:val="20"/>
                <w:szCs w:val="20"/>
                <w:color w:val="auto"/>
              </w:rPr>
            </w:pPr>
            <w:r>
              <w:rPr>
                <w:rFonts w:ascii="Arial" w:cs="Arial" w:eastAsia="Arial" w:hAnsi="Arial"/>
                <w:sz w:val="15"/>
                <w:szCs w:val="15"/>
                <w:color w:val="auto"/>
              </w:rPr>
              <w:t>2017–2021</w:t>
            </w:r>
          </w:p>
        </w:tc>
        <w:tc>
          <w:tcPr>
            <w:tcW w:w="466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206"/>
              <w:spacing w:after="0"/>
              <w:rPr>
                <w:sz w:val="20"/>
                <w:szCs w:val="20"/>
                <w:color w:val="auto"/>
              </w:rPr>
            </w:pPr>
            <w:r>
              <w:rPr>
                <w:rFonts w:ascii="Arial" w:cs="Arial" w:eastAsia="Arial" w:hAnsi="Arial"/>
                <w:sz w:val="15"/>
                <w:szCs w:val="15"/>
                <w:color w:val="auto"/>
              </w:rPr>
              <w:t>375.2</w:t>
            </w:r>
          </w:p>
        </w:tc>
        <w:tc>
          <w:tcPr>
            <w:tcW w:w="420" w:type="dxa"/>
            <w:vAlign w:val="bottom"/>
          </w:tcPr>
          <w:p>
            <w:pPr>
              <w:jc w:val="right"/>
              <w:ind w:right="27"/>
              <w:spacing w:after="0"/>
              <w:rPr>
                <w:sz w:val="20"/>
                <w:szCs w:val="20"/>
                <w:color w:val="auto"/>
              </w:rPr>
            </w:pPr>
            <w:r>
              <w:rPr>
                <w:rFonts w:ascii="Arial" w:cs="Arial" w:eastAsia="Arial" w:hAnsi="Arial"/>
                <w:sz w:val="15"/>
                <w:szCs w:val="15"/>
                <w:color w:val="auto"/>
              </w:rPr>
              <w:t>$</w:t>
            </w:r>
          </w:p>
        </w:tc>
      </w:tr>
    </w:tbl>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total (benefit) cost arising from the Company’s defined benefit pension plans for the years ended December 31, 2011, January 2, 2011 and Janua 2010, including a portion included in discontinued operations, consists of the following components: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b w:val="1"/>
                <w:bCs w:val="1"/>
                <w:color w:val="auto"/>
              </w:rPr>
              <w:t>Pension Plans</w:t>
            </w:r>
          </w:p>
        </w:tc>
        <w:tc>
          <w:tcPr>
            <w:tcW w:w="840" w:type="dxa"/>
            <w:vAlign w:val="bottom"/>
            <w:tcBorders>
              <w:bottom w:val="single" w:sz="8" w:color="auto"/>
            </w:tcBorders>
          </w:tcPr>
          <w:p>
            <w:pPr>
              <w:spacing w:after="0"/>
              <w:rPr>
                <w:sz w:val="13"/>
                <w:szCs w:val="13"/>
                <w:color w:val="auto"/>
              </w:rPr>
            </w:pPr>
          </w:p>
        </w:tc>
      </w:tr>
      <w:tr>
        <w:trPr>
          <w:trHeight w:val="203"/>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b w:val="1"/>
                <w:bCs w:val="1"/>
                <w:color w:val="auto"/>
              </w:rPr>
              <w:t>2011</w:t>
            </w:r>
          </w:p>
        </w:tc>
        <w:tc>
          <w:tcPr>
            <w:tcW w:w="1760" w:type="dxa"/>
            <w:vAlign w:val="bottom"/>
            <w:tcBorders>
              <w:bottom w:val="single" w:sz="8" w:color="auto"/>
            </w:tcBorders>
          </w:tcPr>
          <w:p>
            <w:pPr>
              <w:jc w:val="right"/>
              <w:ind w:right="798"/>
              <w:spacing w:after="0"/>
              <w:rPr>
                <w:sz w:val="20"/>
                <w:szCs w:val="20"/>
                <w:color w:val="auto"/>
              </w:rPr>
            </w:pPr>
            <w:r>
              <w:rPr>
                <w:rFonts w:ascii="Arial" w:cs="Arial" w:eastAsia="Arial" w:hAnsi="Arial"/>
                <w:sz w:val="12"/>
                <w:szCs w:val="12"/>
                <w:color w:val="auto"/>
              </w:rPr>
              <w:t>2010</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2009</w:t>
            </w:r>
          </w:p>
        </w:tc>
      </w:tr>
    </w:tbl>
    <w:p>
      <w:pPr>
        <w:spacing w:after="0" w:line="21" w:lineRule="exact"/>
        <w:rPr>
          <w:sz w:val="20"/>
          <w:szCs w:val="20"/>
          <w:color w:val="auto"/>
        </w:rPr>
      </w:pPr>
    </w:p>
    <w:p>
      <w:pPr>
        <w:sectPr>
          <w:pgSz w:w="11900" w:h="16838" w:orient="portrait"/>
          <w:cols w:equalWidth="0" w:num="1">
            <w:col w:w="10940"/>
          </w:cols>
          <w:pgMar w:left="820" w:top="635" w:right="139" w:bottom="1440" w:gutter="0" w:footer="0" w:header="0"/>
        </w:sectPr>
      </w:pP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Service cost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Interest cost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Expected return on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transition asset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prior service cost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Recognized actuarial loss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Net periodic benefit for the year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Early retirement programs expense</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Special termination benefits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Recognition of prior service cost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(benefit) cost for the year</w:t>
      </w:r>
    </w:p>
    <w:p>
      <w:pPr>
        <w:spacing w:after="0" w:line="51" w:lineRule="exact"/>
        <w:rPr>
          <w:sz w:val="20"/>
          <w:szCs w:val="20"/>
          <w:color w:val="auto"/>
        </w:rPr>
      </w:pPr>
    </w:p>
    <w:p>
      <w:pPr>
        <w:ind w:left="220" w:right="2420" w:hanging="235"/>
        <w:spacing w:after="0" w:line="346" w:lineRule="auto"/>
        <w:rPr>
          <w:sz w:val="20"/>
          <w:szCs w:val="20"/>
          <w:color w:val="auto"/>
        </w:rPr>
      </w:pPr>
      <w:r>
        <w:rPr>
          <w:rFonts w:ascii="Arial" w:cs="Arial" w:eastAsia="Arial" w:hAnsi="Arial"/>
          <w:sz w:val="14"/>
          <w:szCs w:val="14"/>
          <w:b w:val="1"/>
          <w:bCs w:val="1"/>
          <w:color w:val="auto"/>
        </w:rPr>
        <w:t>Other Changes in Plan Assets and Benefit Obligations Recognized in Other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Current year actuarial loss (gain)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transition asset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prior service cost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Recognized actuarial loss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recognized in other comprehensive income (before tax effects)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recognized in total cost (benefit) and other</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comprehensive income (before tax effects)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27,619</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26,976</w:t>
            </w:r>
          </w:p>
        </w:tc>
        <w:tc>
          <w:tcPr>
            <w:tcW w:w="5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60,033</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60,329</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56</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(95,983)</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(95,340)</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(98</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(29)</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3,605</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4,201</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17"/>
        </w:trPr>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(4,726)</w:t>
            </w:r>
          </w:p>
        </w:tc>
        <w:tc>
          <w:tcPr>
            <w:tcW w:w="400" w:type="dxa"/>
            <w:vAlign w:val="bottom"/>
          </w:tcPr>
          <w:p>
            <w:pPr>
              <w:spacing w:after="0"/>
              <w:rPr>
                <w:sz w:val="18"/>
                <w:szCs w:val="18"/>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(3,863)</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(8</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634</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5,295</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17"/>
        </w:trPr>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2,369</w:t>
            </w: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(4,092)</w:t>
            </w: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3,801</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w:t>
            </w:r>
          </w:p>
        </w:tc>
      </w:tr>
      <w:tr>
        <w:trPr>
          <w:trHeight w:val="657"/>
        </w:trPr>
        <w:tc>
          <w:tcPr>
            <w:tcW w:w="5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7,046</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(126,568)</w:t>
            </w:r>
          </w:p>
        </w:tc>
        <w:tc>
          <w:tcPr>
            <w:tcW w:w="5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(141</w:t>
            </w: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29</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3"/>
        </w:trPr>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(1,463)</w:t>
            </w:r>
          </w:p>
        </w:tc>
        <w:tc>
          <w:tcPr>
            <w:tcW w:w="400" w:type="dxa"/>
            <w:vAlign w:val="bottom"/>
          </w:tcPr>
          <w:p>
            <w:pPr>
              <w:spacing w:after="0"/>
              <w:rPr>
                <w:sz w:val="19"/>
                <w:szCs w:val="19"/>
                <w:color w:val="auto"/>
              </w:rPr>
            </w:pP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(6,570)</w:t>
            </w:r>
          </w:p>
        </w:tc>
        <w:tc>
          <w:tcPr>
            <w:tcW w:w="5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17"/>
        </w:trPr>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203"/>
        </w:trPr>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5,583</w:t>
            </w:r>
          </w:p>
        </w:tc>
        <w:tc>
          <w:tcPr>
            <w:tcW w:w="4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rPr>
              <w:t>(133,109)</w:t>
            </w:r>
          </w:p>
        </w:tc>
        <w:tc>
          <w:tcPr>
            <w:tcW w:w="5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w:t>
            </w:r>
          </w:p>
        </w:tc>
      </w:tr>
      <w:tr>
        <w:trPr>
          <w:trHeight w:val="414"/>
        </w:trPr>
        <w:tc>
          <w:tcPr>
            <w:tcW w:w="5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1,491</w:t>
            </w:r>
          </w:p>
        </w:tc>
        <w:tc>
          <w:tcPr>
            <w:tcW w:w="4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27"/>
              <w:spacing w:after="0"/>
              <w:rPr>
                <w:sz w:val="20"/>
                <w:szCs w:val="20"/>
                <w:color w:val="auto"/>
              </w:rPr>
            </w:pPr>
            <w:r>
              <w:rPr>
                <w:rFonts w:ascii="Arial" w:cs="Arial" w:eastAsia="Arial" w:hAnsi="Arial"/>
                <w:sz w:val="15"/>
                <w:szCs w:val="15"/>
                <w:color w:val="auto"/>
              </w:rPr>
              <w:t>(129,308)</w:t>
            </w:r>
          </w:p>
        </w:tc>
        <w:tc>
          <w:tcPr>
            <w:tcW w:w="5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
        </w:trPr>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SERP</w:t>
            </w: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129"/>
        </w:trPr>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ind w:right="506"/>
              <w:spacing w:after="0" w:line="129" w:lineRule="exact"/>
              <w:rPr>
                <w:sz w:val="20"/>
                <w:szCs w:val="20"/>
                <w:color w:val="auto"/>
              </w:rPr>
            </w:pPr>
            <w:r>
              <w:rPr>
                <w:rFonts w:ascii="Arial" w:cs="Arial" w:eastAsia="Arial" w:hAnsi="Arial"/>
                <w:sz w:val="12"/>
                <w:szCs w:val="12"/>
                <w:b w:val="1"/>
                <w:bCs w:val="1"/>
                <w:color w:val="auto"/>
              </w:rPr>
              <w:t>2011</w:t>
            </w:r>
          </w:p>
        </w:tc>
        <w:tc>
          <w:tcPr>
            <w:tcW w:w="400" w:type="dxa"/>
            <w:vAlign w:val="bottom"/>
          </w:tcPr>
          <w:p>
            <w:pPr>
              <w:spacing w:after="0"/>
              <w:rPr>
                <w:sz w:val="11"/>
                <w:szCs w:val="11"/>
                <w:color w:val="auto"/>
              </w:rPr>
            </w:pPr>
          </w:p>
        </w:tc>
        <w:tc>
          <w:tcPr>
            <w:tcW w:w="1040" w:type="dxa"/>
            <w:vAlign w:val="bottom"/>
          </w:tcPr>
          <w:p>
            <w:pPr>
              <w:jc w:val="right"/>
              <w:ind w:right="527"/>
              <w:spacing w:after="0" w:line="129" w:lineRule="exact"/>
              <w:rPr>
                <w:sz w:val="20"/>
                <w:szCs w:val="20"/>
                <w:color w:val="auto"/>
              </w:rPr>
            </w:pPr>
            <w:r>
              <w:rPr>
                <w:rFonts w:ascii="Arial" w:cs="Arial" w:eastAsia="Arial" w:hAnsi="Arial"/>
                <w:sz w:val="12"/>
                <w:szCs w:val="12"/>
                <w:color w:val="auto"/>
              </w:rPr>
              <w:t>2010</w:t>
            </w:r>
          </w:p>
        </w:tc>
        <w:tc>
          <w:tcPr>
            <w:tcW w:w="58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2"/>
                <w:szCs w:val="12"/>
                <w:color w:val="auto"/>
              </w:rPr>
              <w:t>2009</w:t>
            </w:r>
          </w:p>
        </w:tc>
      </w:tr>
    </w:tbl>
    <w:p>
      <w:pPr>
        <w:spacing w:after="0" w:line="1" w:lineRule="exact"/>
        <w:rPr>
          <w:sz w:val="20"/>
          <w:szCs w:val="20"/>
          <w:color w:val="auto"/>
        </w:rPr>
      </w:pPr>
    </w:p>
    <w:p>
      <w:pPr>
        <w:sectPr>
          <w:pgSz w:w="11900" w:h="16838" w:orient="portrait"/>
          <w:cols w:equalWidth="0" w:num="2">
            <w:col w:w="6260" w:space="720"/>
            <w:col w:w="3960"/>
          </w:cols>
          <w:pgMar w:left="820" w:top="635" w:right="1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7220" w:type="dxa"/>
            <w:vAlign w:val="bottom"/>
            <w:tcBorders>
              <w:top w:val="single" w:sz="8" w:color="auto"/>
            </w:tcBorders>
          </w:tcPr>
          <w:p>
            <w:pPr>
              <w:spacing w:after="0" w:line="150" w:lineRule="exact"/>
              <w:rPr>
                <w:sz w:val="20"/>
                <w:szCs w:val="20"/>
                <w:color w:val="auto"/>
              </w:rPr>
            </w:pPr>
            <w:r>
              <w:rPr>
                <w:rFonts w:ascii="Arial" w:cs="Arial" w:eastAsia="Arial" w:hAnsi="Arial"/>
                <w:sz w:val="15"/>
                <w:szCs w:val="15"/>
                <w:color w:val="auto"/>
              </w:rPr>
              <w:t>Service cost</w:t>
            </w:r>
          </w:p>
        </w:tc>
        <w:tc>
          <w:tcPr>
            <w:tcW w:w="340" w:type="dxa"/>
            <w:vAlign w:val="bottom"/>
            <w:tcBorders>
              <w:top w:val="single" w:sz="8" w:color="auto"/>
            </w:tcBorders>
          </w:tcPr>
          <w:p>
            <w:pPr>
              <w:jc w:val="right"/>
              <w:ind w:right="106"/>
              <w:spacing w:after="0" w:line="150" w:lineRule="exact"/>
              <w:rPr>
                <w:sz w:val="20"/>
                <w:szCs w:val="20"/>
                <w:color w:val="auto"/>
              </w:rPr>
            </w:pPr>
            <w:r>
              <w:rPr>
                <w:rFonts w:ascii="Arial" w:cs="Arial" w:eastAsia="Arial" w:hAnsi="Arial"/>
                <w:sz w:val="15"/>
                <w:szCs w:val="15"/>
                <w:b w:val="1"/>
                <w:bCs w:val="1"/>
                <w:color w:val="auto"/>
              </w:rPr>
              <w:t>$</w:t>
            </w:r>
          </w:p>
        </w:tc>
        <w:tc>
          <w:tcPr>
            <w:tcW w:w="880" w:type="dxa"/>
            <w:vAlign w:val="bottom"/>
            <w:tcBorders>
              <w:top w:val="single" w:sz="8" w:color="auto"/>
            </w:tcBorders>
          </w:tcPr>
          <w:p>
            <w:pPr>
              <w:jc w:val="right"/>
              <w:ind w:right="146"/>
              <w:spacing w:after="0" w:line="150" w:lineRule="exact"/>
              <w:rPr>
                <w:sz w:val="20"/>
                <w:szCs w:val="20"/>
                <w:color w:val="auto"/>
              </w:rPr>
            </w:pPr>
            <w:r>
              <w:rPr>
                <w:rFonts w:ascii="Arial" w:cs="Arial" w:eastAsia="Arial" w:hAnsi="Arial"/>
                <w:sz w:val="15"/>
                <w:szCs w:val="15"/>
                <w:b w:val="1"/>
                <w:bCs w:val="1"/>
                <w:color w:val="auto"/>
              </w:rPr>
              <w:t>1,655</w:t>
            </w:r>
          </w:p>
        </w:tc>
        <w:tc>
          <w:tcPr>
            <w:tcW w:w="600" w:type="dxa"/>
            <w:vAlign w:val="bottom"/>
            <w:tcBorders>
              <w:top w:val="single" w:sz="8" w:color="auto"/>
            </w:tcBorders>
          </w:tcPr>
          <w:p>
            <w:pPr>
              <w:jc w:val="right"/>
              <w:ind w:right="206"/>
              <w:spacing w:after="0" w:line="150" w:lineRule="exact"/>
              <w:rPr>
                <w:sz w:val="20"/>
                <w:szCs w:val="20"/>
                <w:color w:val="auto"/>
              </w:rPr>
            </w:pPr>
            <w:r>
              <w:rPr>
                <w:rFonts w:ascii="Arial" w:cs="Arial" w:eastAsia="Arial" w:hAnsi="Arial"/>
                <w:sz w:val="15"/>
                <w:szCs w:val="15"/>
                <w:color w:val="auto"/>
              </w:rPr>
              <w:t>$</w:t>
            </w:r>
          </w:p>
        </w:tc>
        <w:tc>
          <w:tcPr>
            <w:tcW w:w="960" w:type="dxa"/>
            <w:vAlign w:val="bottom"/>
            <w:tcBorders>
              <w:top w:val="single" w:sz="8" w:color="auto"/>
            </w:tcBorders>
          </w:tcPr>
          <w:p>
            <w:pPr>
              <w:jc w:val="right"/>
              <w:ind w:right="226"/>
              <w:spacing w:after="0" w:line="150" w:lineRule="exact"/>
              <w:rPr>
                <w:sz w:val="20"/>
                <w:szCs w:val="20"/>
                <w:color w:val="auto"/>
              </w:rPr>
            </w:pPr>
            <w:r>
              <w:rPr>
                <w:rFonts w:ascii="Arial" w:cs="Arial" w:eastAsia="Arial" w:hAnsi="Arial"/>
                <w:sz w:val="15"/>
                <w:szCs w:val="15"/>
                <w:color w:val="auto"/>
              </w:rPr>
              <w:t>1,381</w:t>
            </w:r>
          </w:p>
        </w:tc>
        <w:tc>
          <w:tcPr>
            <w:tcW w:w="940" w:type="dxa"/>
            <w:vAlign w:val="bottom"/>
            <w:tcBorders>
              <w:top w:val="single" w:sz="8" w:color="auto"/>
            </w:tcBorders>
          </w:tcPr>
          <w:p>
            <w:pPr>
              <w:jc w:val="right"/>
              <w:ind w:right="486"/>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Interest cost</w:t>
            </w:r>
          </w:p>
        </w:tc>
        <w:tc>
          <w:tcPr>
            <w:tcW w:w="34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4,342</w:t>
            </w:r>
          </w:p>
        </w:tc>
        <w:tc>
          <w:tcPr>
            <w:tcW w:w="600" w:type="dxa"/>
            <w:vAlign w:val="bottom"/>
          </w:tcPr>
          <w:p>
            <w:pPr>
              <w:spacing w:after="0"/>
              <w:rPr>
                <w:sz w:val="15"/>
                <w:szCs w:val="15"/>
                <w:color w:val="auto"/>
              </w:rPr>
            </w:pPr>
          </w:p>
        </w:tc>
        <w:tc>
          <w:tcPr>
            <w:tcW w:w="960" w:type="dxa"/>
            <w:vAlign w:val="bottom"/>
          </w:tcPr>
          <w:p>
            <w:pPr>
              <w:jc w:val="right"/>
              <w:ind w:right="226"/>
              <w:spacing w:after="0"/>
              <w:rPr>
                <w:sz w:val="20"/>
                <w:szCs w:val="20"/>
                <w:color w:val="auto"/>
              </w:rPr>
            </w:pPr>
            <w:r>
              <w:rPr>
                <w:rFonts w:ascii="Arial" w:cs="Arial" w:eastAsia="Arial" w:hAnsi="Arial"/>
                <w:sz w:val="15"/>
                <w:szCs w:val="15"/>
                <w:color w:val="auto"/>
              </w:rPr>
              <w:t>4,244</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Plan amendment</w:t>
            </w:r>
          </w:p>
        </w:tc>
        <w:tc>
          <w:tcPr>
            <w:tcW w:w="34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369</w:t>
            </w:r>
          </w:p>
        </w:tc>
        <w:tc>
          <w:tcPr>
            <w:tcW w:w="600" w:type="dxa"/>
            <w:vAlign w:val="bottom"/>
          </w:tcPr>
          <w:p>
            <w:pPr>
              <w:spacing w:after="0"/>
              <w:rPr>
                <w:sz w:val="15"/>
                <w:szCs w:val="15"/>
                <w:color w:val="auto"/>
              </w:rPr>
            </w:pPr>
          </w:p>
        </w:tc>
        <w:tc>
          <w:tcPr>
            <w:tcW w:w="96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34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260</w:t>
            </w:r>
          </w:p>
        </w:tc>
        <w:tc>
          <w:tcPr>
            <w:tcW w:w="600" w:type="dxa"/>
            <w:vAlign w:val="bottom"/>
          </w:tcPr>
          <w:p>
            <w:pPr>
              <w:spacing w:after="0"/>
              <w:rPr>
                <w:sz w:val="15"/>
                <w:szCs w:val="15"/>
                <w:color w:val="auto"/>
              </w:rPr>
            </w:pPr>
          </w:p>
        </w:tc>
        <w:tc>
          <w:tcPr>
            <w:tcW w:w="960" w:type="dxa"/>
            <w:vAlign w:val="bottom"/>
          </w:tcPr>
          <w:p>
            <w:pPr>
              <w:jc w:val="right"/>
              <w:ind w:right="226"/>
              <w:spacing w:after="0"/>
              <w:rPr>
                <w:sz w:val="20"/>
                <w:szCs w:val="20"/>
                <w:color w:val="auto"/>
              </w:rPr>
            </w:pPr>
            <w:r>
              <w:rPr>
                <w:rFonts w:ascii="Arial" w:cs="Arial" w:eastAsia="Arial" w:hAnsi="Arial"/>
                <w:sz w:val="15"/>
                <w:szCs w:val="15"/>
                <w:color w:val="auto"/>
              </w:rPr>
              <w:t>406</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1,411</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1,068</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 for the year</w:t>
            </w:r>
          </w:p>
        </w:tc>
        <w:tc>
          <w:tcPr>
            <w:tcW w:w="3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8,037</w:t>
            </w:r>
          </w:p>
        </w:tc>
        <w:tc>
          <w:tcPr>
            <w:tcW w:w="60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7,099</w:t>
            </w:r>
          </w:p>
        </w:tc>
        <w:tc>
          <w:tcPr>
            <w:tcW w:w="940" w:type="dxa"/>
            <w:vAlign w:val="bottom"/>
            <w:tcBorders>
              <w:bottom w:val="single" w:sz="8" w:color="auto"/>
            </w:tcBorders>
          </w:tcPr>
          <w:p>
            <w:pPr>
              <w:jc w:val="right"/>
              <w:ind w:right="486"/>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7220" w:type="dxa"/>
            <w:vAlign w:val="bottom"/>
          </w:tcPr>
          <w:p>
            <w:pPr>
              <w:spacing w:after="0" w:line="150" w:lineRule="exact"/>
              <w:rPr>
                <w:sz w:val="20"/>
                <w:szCs w:val="20"/>
                <w:color w:val="auto"/>
              </w:rPr>
            </w:pPr>
            <w:r>
              <w:rPr>
                <w:rFonts w:ascii="Arial" w:cs="Arial" w:eastAsia="Arial" w:hAnsi="Arial"/>
                <w:sz w:val="15"/>
                <w:szCs w:val="15"/>
                <w:b w:val="1"/>
                <w:bCs w:val="1"/>
                <w:color w:val="auto"/>
              </w:rPr>
              <w:t>Other Changes in Benefit Obligations Recognized in</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Other Comprehensive Income</w:t>
            </w:r>
          </w:p>
        </w:tc>
        <w:tc>
          <w:tcPr>
            <w:tcW w:w="34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w:t>
            </w:r>
          </w:p>
        </w:tc>
        <w:tc>
          <w:tcPr>
            <w:tcW w:w="88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9,059</w:t>
            </w: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20" w:type="dxa"/>
            <w:vAlign w:val="bottom"/>
          </w:tcPr>
          <w:p>
            <w:pPr>
              <w:spacing w:after="0" w:line="156" w:lineRule="exact"/>
              <w:rPr>
                <w:sz w:val="20"/>
                <w:szCs w:val="20"/>
                <w:color w:val="auto"/>
              </w:rPr>
            </w:pPr>
            <w:r>
              <w:rPr>
                <w:rFonts w:ascii="Arial" w:cs="Arial" w:eastAsia="Arial" w:hAnsi="Arial"/>
                <w:sz w:val="15"/>
                <w:szCs w:val="15"/>
                <w:color w:val="auto"/>
              </w:rPr>
              <w:t>Current year actuarial loss</w:t>
            </w:r>
          </w:p>
        </w:tc>
        <w:tc>
          <w:tcPr>
            <w:tcW w:w="3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600" w:type="dxa"/>
            <w:vAlign w:val="bottom"/>
          </w:tcPr>
          <w:p>
            <w:pPr>
              <w:jc w:val="right"/>
              <w:ind w:right="206"/>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2,656</w:t>
            </w:r>
          </w:p>
        </w:tc>
        <w:tc>
          <w:tcPr>
            <w:tcW w:w="940" w:type="dxa"/>
            <w:vAlign w:val="bottom"/>
          </w:tcPr>
          <w:p>
            <w:pPr>
              <w:jc w:val="right"/>
              <w:ind w:right="48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340" w:type="dxa"/>
            <w:vAlign w:val="bottom"/>
          </w:tcPr>
          <w:p>
            <w:pPr>
              <w:spacing w:after="0"/>
              <w:rPr>
                <w:sz w:val="15"/>
                <w:szCs w:val="15"/>
                <w:color w:val="auto"/>
              </w:rPr>
            </w:pPr>
          </w:p>
        </w:tc>
        <w:tc>
          <w:tcPr>
            <w:tcW w:w="880" w:type="dxa"/>
            <w:vAlign w:val="bottom"/>
          </w:tcPr>
          <w:p>
            <w:pPr>
              <w:jc w:val="right"/>
              <w:ind w:right="146"/>
              <w:spacing w:after="0"/>
              <w:rPr>
                <w:sz w:val="20"/>
                <w:szCs w:val="20"/>
                <w:color w:val="auto"/>
              </w:rPr>
            </w:pPr>
            <w:r>
              <w:rPr>
                <w:rFonts w:ascii="Arial" w:cs="Arial" w:eastAsia="Arial" w:hAnsi="Arial"/>
                <w:sz w:val="15"/>
                <w:szCs w:val="15"/>
                <w:b w:val="1"/>
                <w:bCs w:val="1"/>
                <w:color w:val="auto"/>
              </w:rPr>
              <w:t>(260)</w:t>
            </w:r>
          </w:p>
        </w:tc>
        <w:tc>
          <w:tcPr>
            <w:tcW w:w="600" w:type="dxa"/>
            <w:vAlign w:val="bottom"/>
          </w:tcPr>
          <w:p>
            <w:pPr>
              <w:spacing w:after="0"/>
              <w:rPr>
                <w:sz w:val="15"/>
                <w:szCs w:val="15"/>
                <w:color w:val="auto"/>
              </w:rPr>
            </w:pPr>
          </w:p>
        </w:tc>
        <w:tc>
          <w:tcPr>
            <w:tcW w:w="960" w:type="dxa"/>
            <w:vAlign w:val="bottom"/>
          </w:tcPr>
          <w:p>
            <w:pPr>
              <w:jc w:val="right"/>
              <w:ind w:right="226"/>
              <w:spacing w:after="0"/>
              <w:rPr>
                <w:sz w:val="20"/>
                <w:szCs w:val="20"/>
                <w:color w:val="auto"/>
              </w:rPr>
            </w:pPr>
            <w:r>
              <w:rPr>
                <w:rFonts w:ascii="Arial" w:cs="Arial" w:eastAsia="Arial" w:hAnsi="Arial"/>
                <w:sz w:val="15"/>
                <w:szCs w:val="15"/>
                <w:color w:val="auto"/>
              </w:rPr>
              <w:t>(406)</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Pr>
          <w:p>
            <w:pPr>
              <w:spacing w:after="0"/>
              <w:rPr>
                <w:sz w:val="20"/>
                <w:szCs w:val="20"/>
                <w:color w:val="auto"/>
              </w:rPr>
            </w:pPr>
            <w:r>
              <w:rPr>
                <w:rFonts w:ascii="Arial" w:cs="Arial" w:eastAsia="Arial" w:hAnsi="Arial"/>
                <w:sz w:val="15"/>
                <w:szCs w:val="15"/>
                <w:color w:val="auto"/>
              </w:rPr>
              <w:t>Recognized net actuarial loss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(1,411)</w:t>
            </w: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(877)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 recognized in other comprehensive income (before tax effects)</w:t>
            </w:r>
          </w:p>
        </w:tc>
        <w:tc>
          <w:tcPr>
            <w:tcW w:w="3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7,388</w:t>
            </w:r>
          </w:p>
        </w:tc>
        <w:tc>
          <w:tcPr>
            <w:tcW w:w="60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1,373</w:t>
            </w:r>
          </w:p>
        </w:tc>
        <w:tc>
          <w:tcPr>
            <w:tcW w:w="940" w:type="dxa"/>
            <w:vAlign w:val="bottom"/>
            <w:tcBorders>
              <w:bottom w:val="single" w:sz="8" w:color="auto"/>
            </w:tcBorders>
          </w:tcPr>
          <w:p>
            <w:pPr>
              <w:jc w:val="right"/>
              <w:ind w:right="486"/>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220" w:type="dxa"/>
            <w:vAlign w:val="bottom"/>
          </w:tcPr>
          <w:p>
            <w:pPr>
              <w:spacing w:after="0" w:line="162" w:lineRule="exact"/>
              <w:rPr>
                <w:sz w:val="20"/>
                <w:szCs w:val="20"/>
                <w:color w:val="auto"/>
              </w:rPr>
            </w:pPr>
            <w:r>
              <w:rPr>
                <w:rFonts w:ascii="Arial" w:cs="Arial" w:eastAsia="Arial" w:hAnsi="Arial"/>
                <w:sz w:val="15"/>
                <w:szCs w:val="15"/>
                <w:b w:val="1"/>
                <w:bCs w:val="1"/>
                <w:color w:val="auto"/>
              </w:rPr>
              <w:t>Total recognized in total cost and other comprehensive</w:t>
            </w:r>
          </w:p>
        </w:tc>
        <w:tc>
          <w:tcPr>
            <w:tcW w:w="34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w:t>
            </w:r>
          </w:p>
        </w:tc>
        <w:tc>
          <w:tcPr>
            <w:tcW w:w="88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15,425</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income (before tax effects)</w:t>
            </w:r>
          </w:p>
        </w:tc>
        <w:tc>
          <w:tcPr>
            <w:tcW w:w="3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8,472</w:t>
            </w: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type w:val="continuous"/>
        </w:sectPr>
      </w:pPr>
    </w:p>
    <w:bookmarkStart w:id="103" w:name="page104"/>
    <w:bookmarkEnd w:id="103"/>
    <w:p>
      <w:pPr>
        <w:ind w:right="40"/>
        <w:spacing w:after="0" w:line="235" w:lineRule="auto"/>
        <w:rPr>
          <w:sz w:val="20"/>
          <w:szCs w:val="20"/>
          <w:color w:val="auto"/>
        </w:rPr>
      </w:pPr>
      <w:r>
        <w:rPr>
          <w:rFonts w:ascii="Arial" w:cs="Arial" w:eastAsia="Arial" w:hAnsi="Arial"/>
          <w:sz w:val="17"/>
          <w:szCs w:val="17"/>
          <w:color w:val="auto"/>
        </w:rPr>
        <w:t>The costs for the Company’s defined benefit pension plans are actuarially determined. Below are the key assumptions utilized to determine periodic c the years ended December 31, 2011, January 2, 2011 and January 3,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6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Pension Plans</w:t>
            </w: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SERP</w:t>
            </w:r>
          </w:p>
        </w:tc>
      </w:tr>
      <w:tr>
        <w:trPr>
          <w:trHeight w:val="129"/>
        </w:trPr>
        <w:tc>
          <w:tcPr>
            <w:tcW w:w="68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69"/>
              <w:spacing w:after="0" w:line="129" w:lineRule="exact"/>
              <w:rPr>
                <w:sz w:val="20"/>
                <w:szCs w:val="20"/>
                <w:color w:val="auto"/>
              </w:rPr>
            </w:pPr>
            <w:r>
              <w:rPr>
                <w:rFonts w:ascii="Arial" w:cs="Arial" w:eastAsia="Arial" w:hAnsi="Arial"/>
                <w:sz w:val="12"/>
                <w:szCs w:val="12"/>
                <w:b w:val="1"/>
                <w:bCs w:val="1"/>
                <w:color w:val="auto"/>
              </w:rPr>
              <w:t>2011</w:t>
            </w:r>
          </w:p>
        </w:tc>
        <w:tc>
          <w:tcPr>
            <w:tcW w:w="960" w:type="dxa"/>
            <w:vAlign w:val="bottom"/>
            <w:tcBorders>
              <w:bottom w:val="single" w:sz="8" w:color="auto"/>
            </w:tcBorders>
          </w:tcPr>
          <w:p>
            <w:pPr>
              <w:jc w:val="right"/>
              <w:ind w:right="331"/>
              <w:spacing w:after="0" w:line="129" w:lineRule="exact"/>
              <w:rPr>
                <w:sz w:val="20"/>
                <w:szCs w:val="20"/>
                <w:color w:val="auto"/>
              </w:rPr>
            </w:pPr>
            <w:r>
              <w:rPr>
                <w:rFonts w:ascii="Arial" w:cs="Arial" w:eastAsia="Arial" w:hAnsi="Arial"/>
                <w:sz w:val="12"/>
                <w:szCs w:val="12"/>
                <w:color w:val="auto"/>
              </w:rPr>
              <w:t>2010</w:t>
            </w:r>
          </w:p>
        </w:tc>
        <w:tc>
          <w:tcPr>
            <w:tcW w:w="760" w:type="dxa"/>
            <w:vAlign w:val="bottom"/>
            <w:tcBorders>
              <w:bottom w:val="single" w:sz="8" w:color="auto"/>
            </w:tcBorders>
          </w:tcPr>
          <w:p>
            <w:pPr>
              <w:jc w:val="right"/>
              <w:ind w:right="309"/>
              <w:spacing w:after="0" w:line="129" w:lineRule="exact"/>
              <w:rPr>
                <w:sz w:val="20"/>
                <w:szCs w:val="20"/>
                <w:color w:val="auto"/>
              </w:rPr>
            </w:pPr>
            <w:r>
              <w:rPr>
                <w:rFonts w:ascii="Arial" w:cs="Arial" w:eastAsia="Arial" w:hAnsi="Arial"/>
                <w:sz w:val="12"/>
                <w:szCs w:val="12"/>
                <w:color w:val="auto"/>
              </w:rPr>
              <w:t>2009</w:t>
            </w:r>
          </w:p>
        </w:tc>
        <w:tc>
          <w:tcPr>
            <w:tcW w:w="760" w:type="dxa"/>
            <w:vAlign w:val="bottom"/>
            <w:tcBorders>
              <w:bottom w:val="single" w:sz="8" w:color="auto"/>
            </w:tcBorders>
          </w:tcPr>
          <w:p>
            <w:pPr>
              <w:jc w:val="right"/>
              <w:ind w:right="269"/>
              <w:spacing w:after="0" w:line="129" w:lineRule="exact"/>
              <w:rPr>
                <w:sz w:val="20"/>
                <w:szCs w:val="20"/>
                <w:color w:val="auto"/>
              </w:rPr>
            </w:pPr>
            <w:r>
              <w:rPr>
                <w:rFonts w:ascii="Arial" w:cs="Arial" w:eastAsia="Arial" w:hAnsi="Arial"/>
                <w:sz w:val="12"/>
                <w:szCs w:val="12"/>
                <w:b w:val="1"/>
                <w:bCs w:val="1"/>
                <w:color w:val="auto"/>
              </w:rPr>
              <w:t>2011</w:t>
            </w:r>
          </w:p>
        </w:tc>
        <w:tc>
          <w:tcPr>
            <w:tcW w:w="880" w:type="dxa"/>
            <w:vAlign w:val="bottom"/>
            <w:tcBorders>
              <w:bottom w:val="single" w:sz="8" w:color="auto"/>
            </w:tcBorders>
          </w:tcPr>
          <w:p>
            <w:pPr>
              <w:jc w:val="right"/>
              <w:ind w:right="351"/>
              <w:spacing w:after="0" w:line="129" w:lineRule="exact"/>
              <w:rPr>
                <w:sz w:val="20"/>
                <w:szCs w:val="20"/>
                <w:color w:val="auto"/>
              </w:rPr>
            </w:pPr>
            <w:r>
              <w:rPr>
                <w:rFonts w:ascii="Arial" w:cs="Arial" w:eastAsia="Arial" w:hAnsi="Arial"/>
                <w:sz w:val="12"/>
                <w:szCs w:val="12"/>
                <w:color w:val="auto"/>
              </w:rPr>
              <w:t>2010</w:t>
            </w:r>
          </w:p>
        </w:tc>
      </w:tr>
      <w:tr>
        <w:trPr>
          <w:trHeight w:val="150"/>
        </w:trPr>
        <w:tc>
          <w:tcPr>
            <w:tcW w:w="6860" w:type="dxa"/>
            <w:vAlign w:val="bottom"/>
          </w:tcPr>
          <w:p>
            <w:pPr>
              <w:spacing w:after="0" w:line="150" w:lineRule="exact"/>
              <w:rPr>
                <w:sz w:val="20"/>
                <w:szCs w:val="20"/>
                <w:color w:val="auto"/>
              </w:rPr>
            </w:pPr>
            <w:r>
              <w:rPr>
                <w:rFonts w:ascii="Arial" w:cs="Arial" w:eastAsia="Arial" w:hAnsi="Arial"/>
                <w:sz w:val="15"/>
                <w:szCs w:val="15"/>
                <w:color w:val="auto"/>
              </w:rPr>
              <w:t>Discount rate</w:t>
            </w:r>
          </w:p>
        </w:tc>
        <w:tc>
          <w:tcPr>
            <w:tcW w:w="7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5.6%</w:t>
            </w:r>
          </w:p>
        </w:tc>
        <w:tc>
          <w:tcPr>
            <w:tcW w:w="960" w:type="dxa"/>
            <w:vAlign w:val="bottom"/>
          </w:tcPr>
          <w:p>
            <w:pPr>
              <w:jc w:val="right"/>
              <w:ind w:right="111"/>
              <w:spacing w:after="0" w:line="150" w:lineRule="exact"/>
              <w:rPr>
                <w:sz w:val="20"/>
                <w:szCs w:val="20"/>
                <w:color w:val="auto"/>
              </w:rPr>
            </w:pPr>
            <w:r>
              <w:rPr>
                <w:rFonts w:ascii="Arial" w:cs="Arial" w:eastAsia="Arial" w:hAnsi="Arial"/>
                <w:sz w:val="15"/>
                <w:szCs w:val="15"/>
                <w:color w:val="auto"/>
              </w:rPr>
              <w:t>6.0%</w:t>
            </w:r>
          </w:p>
        </w:tc>
        <w:tc>
          <w:tcPr>
            <w:tcW w:w="760" w:type="dxa"/>
            <w:vAlign w:val="bottom"/>
          </w:tcPr>
          <w:p>
            <w:pPr>
              <w:jc w:val="right"/>
              <w:ind w:right="89"/>
              <w:spacing w:after="0" w:line="150" w:lineRule="exact"/>
              <w:rPr>
                <w:sz w:val="20"/>
                <w:szCs w:val="20"/>
                <w:color w:val="auto"/>
              </w:rPr>
            </w:pPr>
            <w:r>
              <w:rPr>
                <w:rFonts w:ascii="Arial" w:cs="Arial" w:eastAsia="Arial" w:hAnsi="Arial"/>
                <w:sz w:val="15"/>
                <w:szCs w:val="15"/>
                <w:color w:val="auto"/>
              </w:rPr>
              <w:t>5.75%</w:t>
            </w:r>
          </w:p>
        </w:tc>
        <w:tc>
          <w:tcPr>
            <w:tcW w:w="760" w:type="dxa"/>
            <w:vAlign w:val="bottom"/>
          </w:tcPr>
          <w:p>
            <w:pPr>
              <w:jc w:val="right"/>
              <w:ind w:right="49"/>
              <w:spacing w:after="0" w:line="150" w:lineRule="exact"/>
              <w:rPr>
                <w:sz w:val="20"/>
                <w:szCs w:val="20"/>
                <w:color w:val="auto"/>
              </w:rPr>
            </w:pPr>
            <w:r>
              <w:rPr>
                <w:rFonts w:ascii="Arial" w:cs="Arial" w:eastAsia="Arial" w:hAnsi="Arial"/>
                <w:sz w:val="15"/>
                <w:szCs w:val="15"/>
                <w:b w:val="1"/>
                <w:bCs w:val="1"/>
                <w:color w:val="auto"/>
              </w:rPr>
              <w:t>5.6%</w:t>
            </w:r>
          </w:p>
        </w:tc>
        <w:tc>
          <w:tcPr>
            <w:tcW w:w="880" w:type="dxa"/>
            <w:vAlign w:val="bottom"/>
          </w:tcPr>
          <w:p>
            <w:pPr>
              <w:jc w:val="right"/>
              <w:ind w:right="131"/>
              <w:spacing w:after="0" w:line="150" w:lineRule="exact"/>
              <w:rPr>
                <w:sz w:val="20"/>
                <w:szCs w:val="20"/>
                <w:color w:val="auto"/>
              </w:rPr>
            </w:pPr>
            <w:r>
              <w:rPr>
                <w:rFonts w:ascii="Arial" w:cs="Arial" w:eastAsia="Arial" w:hAnsi="Arial"/>
                <w:sz w:val="15"/>
                <w:szCs w:val="15"/>
                <w:color w:val="auto"/>
              </w:rPr>
              <w:t>6.0%</w:t>
            </w:r>
          </w:p>
        </w:tc>
      </w:tr>
      <w:tr>
        <w:trPr>
          <w:trHeight w:val="174"/>
        </w:trPr>
        <w:tc>
          <w:tcPr>
            <w:tcW w:w="6860" w:type="dxa"/>
            <w:vAlign w:val="bottom"/>
          </w:tcPr>
          <w:p>
            <w:pPr>
              <w:spacing w:after="0"/>
              <w:rPr>
                <w:sz w:val="20"/>
                <w:szCs w:val="20"/>
                <w:color w:val="auto"/>
              </w:rPr>
            </w:pPr>
            <w:r>
              <w:rPr>
                <w:rFonts w:ascii="Arial" w:cs="Arial" w:eastAsia="Arial" w:hAnsi="Arial"/>
                <w:sz w:val="15"/>
                <w:szCs w:val="15"/>
                <w:color w:val="auto"/>
              </w:rPr>
              <w:t>Expected return on plan assets</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960" w:type="dxa"/>
            <w:vAlign w:val="bottom"/>
          </w:tcPr>
          <w:p>
            <w:pPr>
              <w:jc w:val="right"/>
              <w:ind w:right="111"/>
              <w:spacing w:after="0"/>
              <w:rPr>
                <w:sz w:val="20"/>
                <w:szCs w:val="20"/>
                <w:color w:val="auto"/>
              </w:rPr>
            </w:pPr>
            <w:r>
              <w:rPr>
                <w:rFonts w:ascii="Arial" w:cs="Arial" w:eastAsia="Arial" w:hAnsi="Arial"/>
                <w:sz w:val="15"/>
                <w:szCs w:val="15"/>
                <w:color w:val="auto"/>
              </w:rPr>
              <w:t>6.5%</w:t>
            </w:r>
          </w:p>
        </w:tc>
        <w:tc>
          <w:tcPr>
            <w:tcW w:w="760" w:type="dxa"/>
            <w:vAlign w:val="bottom"/>
          </w:tcPr>
          <w:p>
            <w:pPr>
              <w:jc w:val="right"/>
              <w:ind w:right="89"/>
              <w:spacing w:after="0"/>
              <w:rPr>
                <w:sz w:val="20"/>
                <w:szCs w:val="20"/>
                <w:color w:val="auto"/>
              </w:rPr>
            </w:pPr>
            <w:r>
              <w:rPr>
                <w:rFonts w:ascii="Arial" w:cs="Arial" w:eastAsia="Arial" w:hAnsi="Arial"/>
                <w:sz w:val="15"/>
                <w:szCs w:val="15"/>
                <w:color w:val="auto"/>
              </w:rPr>
              <w:t>6.5%</w:t>
            </w:r>
          </w:p>
        </w:tc>
        <w:tc>
          <w:tcPr>
            <w:tcW w:w="760" w:type="dxa"/>
            <w:vAlign w:val="bottom"/>
          </w:tcPr>
          <w:p>
            <w:pPr>
              <w:jc w:val="right"/>
              <w:ind w:right="89"/>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171"/>
              <w:spacing w:after="0"/>
              <w:rPr>
                <w:sz w:val="20"/>
                <w:szCs w:val="20"/>
                <w:color w:val="auto"/>
              </w:rPr>
            </w:pPr>
            <w:r>
              <w:rPr>
                <w:rFonts w:ascii="Arial" w:cs="Arial" w:eastAsia="Arial" w:hAnsi="Arial"/>
                <w:sz w:val="15"/>
                <w:szCs w:val="15"/>
                <w:color w:val="auto"/>
              </w:rPr>
              <w:t>―</w:t>
            </w:r>
          </w:p>
        </w:tc>
      </w:tr>
      <w:tr>
        <w:trPr>
          <w:trHeight w:val="197"/>
        </w:trPr>
        <w:tc>
          <w:tcPr>
            <w:tcW w:w="6860" w:type="dxa"/>
            <w:vAlign w:val="bottom"/>
          </w:tcPr>
          <w:p>
            <w:pPr>
              <w:spacing w:after="0"/>
              <w:rPr>
                <w:sz w:val="20"/>
                <w:szCs w:val="20"/>
                <w:color w:val="auto"/>
              </w:rPr>
            </w:pPr>
            <w:r>
              <w:rPr>
                <w:rFonts w:ascii="Arial" w:cs="Arial" w:eastAsia="Arial" w:hAnsi="Arial"/>
                <w:sz w:val="15"/>
                <w:szCs w:val="15"/>
                <w:color w:val="auto"/>
              </w:rPr>
              <w:t>Rate of compensation increase</w:t>
            </w:r>
          </w:p>
        </w:tc>
        <w:tc>
          <w:tcPr>
            <w:tcW w:w="72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960" w:type="dxa"/>
            <w:vAlign w:val="bottom"/>
          </w:tcPr>
          <w:p>
            <w:pPr>
              <w:jc w:val="right"/>
              <w:ind w:right="111"/>
              <w:spacing w:after="0"/>
              <w:rPr>
                <w:sz w:val="20"/>
                <w:szCs w:val="20"/>
                <w:color w:val="auto"/>
              </w:rPr>
            </w:pPr>
            <w:r>
              <w:rPr>
                <w:rFonts w:ascii="Arial" w:cs="Arial" w:eastAsia="Arial" w:hAnsi="Arial"/>
                <w:sz w:val="15"/>
                <w:szCs w:val="15"/>
                <w:color w:val="auto"/>
              </w:rPr>
              <w:t>4.0%</w:t>
            </w:r>
          </w:p>
        </w:tc>
        <w:tc>
          <w:tcPr>
            <w:tcW w:w="760" w:type="dxa"/>
            <w:vAlign w:val="bottom"/>
          </w:tcPr>
          <w:p>
            <w:pPr>
              <w:jc w:val="right"/>
              <w:ind w:right="89"/>
              <w:spacing w:after="0"/>
              <w:rPr>
                <w:sz w:val="20"/>
                <w:szCs w:val="20"/>
                <w:color w:val="auto"/>
              </w:rPr>
            </w:pPr>
            <w:r>
              <w:rPr>
                <w:rFonts w:ascii="Arial" w:cs="Arial" w:eastAsia="Arial" w:hAnsi="Arial"/>
                <w:sz w:val="15"/>
                <w:szCs w:val="15"/>
                <w:color w:val="auto"/>
              </w:rPr>
              <w:t>4.0%</w:t>
            </w:r>
          </w:p>
        </w:tc>
        <w:tc>
          <w:tcPr>
            <w:tcW w:w="760" w:type="dxa"/>
            <w:vAlign w:val="bottom"/>
          </w:tcPr>
          <w:p>
            <w:pPr>
              <w:jc w:val="right"/>
              <w:ind w:right="49"/>
              <w:spacing w:after="0"/>
              <w:rPr>
                <w:sz w:val="20"/>
                <w:szCs w:val="20"/>
                <w:color w:val="auto"/>
              </w:rPr>
            </w:pPr>
            <w:r>
              <w:rPr>
                <w:rFonts w:ascii="Arial" w:cs="Arial" w:eastAsia="Arial" w:hAnsi="Arial"/>
                <w:sz w:val="15"/>
                <w:szCs w:val="15"/>
                <w:b w:val="1"/>
                <w:bCs w:val="1"/>
                <w:color w:val="auto"/>
              </w:rPr>
              <w:t>4.0%</w:t>
            </w:r>
          </w:p>
        </w:tc>
        <w:tc>
          <w:tcPr>
            <w:tcW w:w="880" w:type="dxa"/>
            <w:vAlign w:val="bottom"/>
          </w:tcPr>
          <w:p>
            <w:pPr>
              <w:jc w:val="right"/>
              <w:ind w:right="131"/>
              <w:spacing w:after="0"/>
              <w:rPr>
                <w:sz w:val="20"/>
                <w:szCs w:val="20"/>
                <w:color w:val="auto"/>
              </w:rPr>
            </w:pPr>
            <w:r>
              <w:rPr>
                <w:rFonts w:ascii="Arial" w:cs="Arial" w:eastAsia="Arial" w:hAnsi="Arial"/>
                <w:sz w:val="15"/>
                <w:szCs w:val="15"/>
                <w:color w:val="auto"/>
              </w:rPr>
              <w:t>4.0%</w:t>
            </w:r>
          </w:p>
        </w:tc>
      </w:tr>
    </w:tbl>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December 31, 2011 and January 2, 2011, accumulated other comprehensive income (AOCI) includes the following components of unrecognized ne periodic cost for the defined benefit plans: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580" w:type="dxa"/>
            <w:vAlign w:val="bottom"/>
            <w:tcBorders>
              <w:bottom w:val="single" w:sz="8" w:color="auto"/>
            </w:tcBorders>
          </w:tcPr>
          <w:p>
            <w:pPr>
              <w:spacing w:after="0"/>
              <w:rPr>
                <w:sz w:val="13"/>
                <w:szCs w:val="13"/>
                <w:color w:val="auto"/>
              </w:rPr>
            </w:pPr>
          </w:p>
        </w:tc>
      </w:tr>
      <w:tr>
        <w:trPr>
          <w:trHeight w:val="129"/>
        </w:trPr>
        <w:tc>
          <w:tcPr>
            <w:tcW w:w="61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29"/>
              <w:spacing w:after="0" w:line="129" w:lineRule="exact"/>
              <w:rPr>
                <w:sz w:val="20"/>
                <w:szCs w:val="20"/>
                <w:color w:val="auto"/>
              </w:rPr>
            </w:pPr>
            <w:r>
              <w:rPr>
                <w:rFonts w:ascii="Arial" w:cs="Arial" w:eastAsia="Arial" w:hAnsi="Arial"/>
                <w:sz w:val="12"/>
                <w:szCs w:val="12"/>
                <w:b w:val="1"/>
                <w:bCs w:val="1"/>
                <w:color w:val="auto"/>
              </w:rPr>
              <w:t>2011</w:t>
            </w: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8"/>
              <w:spacing w:after="0" w:line="129" w:lineRule="exact"/>
              <w:rPr>
                <w:sz w:val="20"/>
                <w:szCs w:val="20"/>
                <w:color w:val="auto"/>
              </w:rPr>
            </w:pPr>
            <w:r>
              <w:rPr>
                <w:rFonts w:ascii="Arial" w:cs="Arial" w:eastAsia="Arial" w:hAnsi="Arial"/>
                <w:sz w:val="12"/>
                <w:szCs w:val="12"/>
                <w:color w:val="auto"/>
              </w:rPr>
              <w:t>2010</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69"/>
              <w:spacing w:after="0" w:line="129" w:lineRule="exact"/>
              <w:rPr>
                <w:sz w:val="20"/>
                <w:szCs w:val="20"/>
                <w:color w:val="auto"/>
              </w:rPr>
            </w:pPr>
            <w:r>
              <w:rPr>
                <w:rFonts w:ascii="Arial" w:cs="Arial" w:eastAsia="Arial" w:hAnsi="Arial"/>
                <w:sz w:val="12"/>
                <w:szCs w:val="12"/>
                <w:b w:val="1"/>
                <w:bCs w:val="1"/>
                <w:color w:val="auto"/>
              </w:rPr>
              <w:t>2011</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color w:val="auto"/>
              </w:rPr>
              <w:t>Unrecognized actuarial (gain) loss</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9"/>
              <w:spacing w:after="0" w:line="150" w:lineRule="exact"/>
              <w:rPr>
                <w:sz w:val="20"/>
                <w:szCs w:val="20"/>
                <w:color w:val="auto"/>
              </w:rPr>
            </w:pPr>
            <w:r>
              <w:rPr>
                <w:rFonts w:ascii="Arial" w:cs="Arial" w:eastAsia="Arial" w:hAnsi="Arial"/>
                <w:sz w:val="15"/>
                <w:szCs w:val="15"/>
                <w:b w:val="1"/>
                <w:bCs w:val="1"/>
                <w:color w:val="auto"/>
              </w:rPr>
              <w:t>(105,051)</w:t>
            </w:r>
          </w:p>
        </w:tc>
        <w:tc>
          <w:tcPr>
            <w:tcW w:w="4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(112,096)</w:t>
            </w:r>
          </w:p>
        </w:tc>
        <w:tc>
          <w:tcPr>
            <w:tcW w:w="3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269"/>
              <w:spacing w:after="0" w:line="150" w:lineRule="exact"/>
              <w:rPr>
                <w:sz w:val="20"/>
                <w:szCs w:val="20"/>
                <w:color w:val="auto"/>
              </w:rPr>
            </w:pPr>
            <w:r>
              <w:rPr>
                <w:rFonts w:ascii="Arial" w:cs="Arial" w:eastAsia="Arial" w:hAnsi="Arial"/>
                <w:sz w:val="15"/>
                <w:szCs w:val="15"/>
                <w:b w:val="1"/>
                <w:bCs w:val="1"/>
                <w:color w:val="auto"/>
              </w:rPr>
              <w:t>26,385</w:t>
            </w:r>
          </w:p>
        </w:tc>
        <w:tc>
          <w:tcPr>
            <w:tcW w:w="580" w:type="dxa"/>
            <w:vAlign w:val="bottom"/>
          </w:tcPr>
          <w:p>
            <w:pPr>
              <w:jc w:val="right"/>
              <w:ind w:right="429"/>
              <w:spacing w:after="0" w:line="150" w:lineRule="exact"/>
              <w:rPr>
                <w:sz w:val="20"/>
                <w:szCs w:val="20"/>
                <w:color w:val="auto"/>
              </w:rPr>
            </w:pPr>
            <w:r>
              <w:rPr>
                <w:rFonts w:ascii="Arial" w:cs="Arial" w:eastAsia="Arial" w:hAnsi="Arial"/>
                <w:sz w:val="15"/>
                <w:szCs w:val="15"/>
                <w:color w:val="auto"/>
                <w:w w:val="71"/>
              </w:rPr>
              <w:t>$</w:t>
            </w:r>
          </w:p>
        </w:tc>
      </w:tr>
      <w:tr>
        <w:trPr>
          <w:trHeight w:val="190"/>
        </w:trPr>
        <w:tc>
          <w:tcPr>
            <w:tcW w:w="6180" w:type="dxa"/>
            <w:vAlign w:val="bottom"/>
          </w:tcPr>
          <w:p>
            <w:pPr>
              <w:spacing w:after="0"/>
              <w:rPr>
                <w:sz w:val="20"/>
                <w:szCs w:val="20"/>
                <w:color w:val="auto"/>
              </w:rPr>
            </w:pPr>
            <w:r>
              <w:rPr>
                <w:rFonts w:ascii="Arial" w:cs="Arial" w:eastAsia="Arial" w:hAnsi="Arial"/>
                <w:sz w:val="15"/>
                <w:szCs w:val="15"/>
                <w:color w:val="auto"/>
              </w:rPr>
              <w:t>Unrecognized prior service cost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rPr>
              <w:t>19,626</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21,089</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245</w:t>
            </w:r>
          </w:p>
        </w:tc>
        <w:tc>
          <w:tcPr>
            <w:tcW w:w="580" w:type="dxa"/>
            <w:vAlign w:val="bottom"/>
            <w:tcBorders>
              <w:bottom w:val="single" w:sz="8" w:color="auto"/>
            </w:tcBorders>
          </w:tcPr>
          <w:p>
            <w:pPr>
              <w:spacing w:after="0"/>
              <w:rPr>
                <w:sz w:val="16"/>
                <w:szCs w:val="16"/>
                <w:color w:val="auto"/>
              </w:rPr>
            </w:pP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color w:val="auto"/>
              </w:rPr>
              <w:t>Gross amount</w:t>
            </w:r>
          </w:p>
        </w:tc>
        <w:tc>
          <w:tcPr>
            <w:tcW w:w="280" w:type="dxa"/>
            <w:vAlign w:val="bottom"/>
          </w:tcPr>
          <w:p>
            <w:pPr>
              <w:spacing w:after="0"/>
              <w:rPr>
                <w:sz w:val="13"/>
                <w:szCs w:val="13"/>
                <w:color w:val="auto"/>
              </w:rPr>
            </w:pPr>
          </w:p>
        </w:tc>
        <w:tc>
          <w:tcPr>
            <w:tcW w:w="1000" w:type="dxa"/>
            <w:vAlign w:val="bottom"/>
          </w:tcPr>
          <w:p>
            <w:pPr>
              <w:jc w:val="right"/>
              <w:ind w:right="109"/>
              <w:spacing w:after="0" w:line="150" w:lineRule="exact"/>
              <w:rPr>
                <w:sz w:val="20"/>
                <w:szCs w:val="20"/>
                <w:color w:val="auto"/>
              </w:rPr>
            </w:pPr>
            <w:r>
              <w:rPr>
                <w:rFonts w:ascii="Arial" w:cs="Arial" w:eastAsia="Arial" w:hAnsi="Arial"/>
                <w:sz w:val="15"/>
                <w:szCs w:val="15"/>
                <w:b w:val="1"/>
                <w:bCs w:val="1"/>
                <w:color w:val="auto"/>
              </w:rPr>
              <w:t>(85,425)</w:t>
            </w:r>
          </w:p>
        </w:tc>
        <w:tc>
          <w:tcPr>
            <w:tcW w:w="460" w:type="dxa"/>
            <w:vAlign w:val="bottom"/>
          </w:tcPr>
          <w:p>
            <w:pPr>
              <w:spacing w:after="0"/>
              <w:rPr>
                <w:sz w:val="13"/>
                <w:szCs w:val="13"/>
                <w:color w:val="auto"/>
              </w:rPr>
            </w:pP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(91,007)</w:t>
            </w:r>
          </w:p>
        </w:tc>
        <w:tc>
          <w:tcPr>
            <w:tcW w:w="380" w:type="dxa"/>
            <w:vAlign w:val="bottom"/>
          </w:tcPr>
          <w:p>
            <w:pPr>
              <w:spacing w:after="0"/>
              <w:rPr>
                <w:sz w:val="13"/>
                <w:szCs w:val="13"/>
                <w:color w:val="auto"/>
              </w:rPr>
            </w:pPr>
          </w:p>
        </w:tc>
        <w:tc>
          <w:tcPr>
            <w:tcW w:w="1140" w:type="dxa"/>
            <w:vAlign w:val="bottom"/>
          </w:tcPr>
          <w:p>
            <w:pPr>
              <w:jc w:val="right"/>
              <w:ind w:right="269"/>
              <w:spacing w:after="0" w:line="150" w:lineRule="exact"/>
              <w:rPr>
                <w:sz w:val="20"/>
                <w:szCs w:val="20"/>
                <w:color w:val="auto"/>
              </w:rPr>
            </w:pPr>
            <w:r>
              <w:rPr>
                <w:rFonts w:ascii="Arial" w:cs="Arial" w:eastAsia="Arial" w:hAnsi="Arial"/>
                <w:sz w:val="15"/>
                <w:szCs w:val="15"/>
                <w:b w:val="1"/>
                <w:bCs w:val="1"/>
                <w:color w:val="auto"/>
              </w:rPr>
              <w:t>26,630</w:t>
            </w:r>
          </w:p>
        </w:tc>
        <w:tc>
          <w:tcPr>
            <w:tcW w:w="580" w:type="dxa"/>
            <w:vAlign w:val="bottom"/>
          </w:tcPr>
          <w:p>
            <w:pPr>
              <w:spacing w:after="0"/>
              <w:rPr>
                <w:sz w:val="13"/>
                <w:szCs w:val="13"/>
                <w:color w:val="auto"/>
              </w:rPr>
            </w:pPr>
          </w:p>
        </w:tc>
      </w:tr>
      <w:tr>
        <w:trPr>
          <w:trHeight w:val="190"/>
        </w:trPr>
        <w:tc>
          <w:tcPr>
            <w:tcW w:w="6180" w:type="dxa"/>
            <w:vAlign w:val="bottom"/>
          </w:tcPr>
          <w:p>
            <w:pPr>
              <w:spacing w:after="0"/>
              <w:rPr>
                <w:sz w:val="20"/>
                <w:szCs w:val="20"/>
                <w:color w:val="auto"/>
              </w:rPr>
            </w:pPr>
            <w:r>
              <w:rPr>
                <w:rFonts w:ascii="Arial" w:cs="Arial" w:eastAsia="Arial" w:hAnsi="Arial"/>
                <w:sz w:val="15"/>
                <w:szCs w:val="15"/>
                <w:color w:val="auto"/>
              </w:rPr>
              <w:t>Deferred tax liability (asset)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rPr>
              <w:t>34,170</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36,403</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(10,652)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6180" w:type="dxa"/>
            <w:vAlign w:val="bottom"/>
          </w:tcPr>
          <w:p>
            <w:pPr>
              <w:spacing w:after="0" w:line="167" w:lineRule="exact"/>
              <w:rPr>
                <w:sz w:val="20"/>
                <w:szCs w:val="20"/>
                <w:color w:val="auto"/>
              </w:rPr>
            </w:pPr>
            <w:r>
              <w:rPr>
                <w:rFonts w:ascii="Arial" w:cs="Arial" w:eastAsia="Arial" w:hAnsi="Arial"/>
                <w:sz w:val="15"/>
                <w:szCs w:val="15"/>
                <w:color w:val="auto"/>
              </w:rPr>
              <w:t>Net amount</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09"/>
              <w:spacing w:after="0" w:line="167" w:lineRule="exact"/>
              <w:rPr>
                <w:sz w:val="20"/>
                <w:szCs w:val="20"/>
                <w:color w:val="auto"/>
              </w:rPr>
            </w:pPr>
            <w:r>
              <w:rPr>
                <w:rFonts w:ascii="Arial" w:cs="Arial" w:eastAsia="Arial" w:hAnsi="Arial"/>
                <w:sz w:val="15"/>
                <w:szCs w:val="15"/>
                <w:b w:val="1"/>
                <w:bCs w:val="1"/>
                <w:color w:val="auto"/>
              </w:rPr>
              <w:t>(51,255)</w:t>
            </w:r>
          </w:p>
        </w:tc>
        <w:tc>
          <w:tcPr>
            <w:tcW w:w="4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color w:val="auto"/>
              </w:rPr>
              <w:t>(54,604)</w:t>
            </w:r>
          </w:p>
        </w:tc>
        <w:tc>
          <w:tcPr>
            <w:tcW w:w="3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b w:val="1"/>
                <w:bCs w:val="1"/>
                <w:color w:val="auto"/>
              </w:rPr>
              <w:t>15,978</w:t>
            </w:r>
          </w:p>
        </w:tc>
        <w:tc>
          <w:tcPr>
            <w:tcW w:w="580" w:type="dxa"/>
            <w:vAlign w:val="bottom"/>
            <w:tcBorders>
              <w:bottom w:val="single" w:sz="8" w:color="auto"/>
            </w:tcBorders>
          </w:tcPr>
          <w:p>
            <w:pPr>
              <w:jc w:val="right"/>
              <w:ind w:right="429"/>
              <w:spacing w:after="0" w:line="167" w:lineRule="exact"/>
              <w:rPr>
                <w:sz w:val="20"/>
                <w:szCs w:val="20"/>
                <w:color w:val="auto"/>
              </w:rPr>
            </w:pPr>
            <w:r>
              <w:rPr>
                <w:rFonts w:ascii="Arial" w:cs="Arial" w:eastAsia="Arial" w:hAnsi="Arial"/>
                <w:sz w:val="15"/>
                <w:szCs w:val="15"/>
                <w:color w:val="auto"/>
                <w:w w:val="71"/>
              </w:rPr>
              <w:t>$</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2012, the Company expects to recognize the following amortization components of net periodic cost for the defined benefit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9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2012</w:t>
            </w:r>
          </w:p>
        </w:tc>
      </w:tr>
      <w:tr>
        <w:trPr>
          <w:trHeight w:val="129"/>
        </w:trPr>
        <w:tc>
          <w:tcPr>
            <w:tcW w:w="89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11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2"/>
                <w:szCs w:val="12"/>
                <w:b w:val="1"/>
                <w:bCs w:val="1"/>
                <w:color w:val="auto"/>
              </w:rPr>
              <w:t>Pension Plans</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SE</w:t>
            </w:r>
          </w:p>
        </w:tc>
      </w:tr>
      <w:tr>
        <w:trPr>
          <w:trHeight w:val="168"/>
        </w:trPr>
        <w:tc>
          <w:tcPr>
            <w:tcW w:w="8920" w:type="dxa"/>
            <w:vAlign w:val="bottom"/>
          </w:tcPr>
          <w:p>
            <w:pPr>
              <w:spacing w:after="0" w:line="168" w:lineRule="exact"/>
              <w:rPr>
                <w:sz w:val="20"/>
                <w:szCs w:val="20"/>
                <w:color w:val="auto"/>
              </w:rPr>
            </w:pPr>
            <w:r>
              <w:rPr>
                <w:rFonts w:ascii="Arial" w:cs="Arial" w:eastAsia="Arial" w:hAnsi="Arial"/>
                <w:sz w:val="15"/>
                <w:szCs w:val="15"/>
                <w:color w:val="auto"/>
              </w:rPr>
              <w:t>Actuarial loss recognition</w:t>
            </w:r>
          </w:p>
        </w:tc>
        <w:tc>
          <w:tcPr>
            <w:tcW w:w="600" w:type="dxa"/>
            <w:vAlign w:val="bottom"/>
          </w:tcPr>
          <w:p>
            <w:pPr>
              <w:jc w:val="right"/>
              <w:ind w:right="70"/>
              <w:spacing w:after="0" w:line="168"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8" w:lineRule="exact"/>
              <w:rPr>
                <w:sz w:val="20"/>
                <w:szCs w:val="20"/>
                <w:color w:val="auto"/>
              </w:rPr>
            </w:pPr>
            <w:r>
              <w:rPr>
                <w:rFonts w:ascii="Arial" w:cs="Arial" w:eastAsia="Arial" w:hAnsi="Arial"/>
                <w:sz w:val="15"/>
                <w:szCs w:val="15"/>
                <w:color w:val="auto"/>
              </w:rPr>
              <w:t>6,281</w:t>
            </w:r>
          </w:p>
        </w:tc>
        <w:tc>
          <w:tcPr>
            <w:tcW w:w="860" w:type="dxa"/>
            <w:vAlign w:val="bottom"/>
          </w:tcPr>
          <w:p>
            <w:pPr>
              <w:jc w:val="right"/>
              <w:ind w:right="132"/>
              <w:spacing w:after="0" w:line="168" w:lineRule="exact"/>
              <w:rPr>
                <w:sz w:val="20"/>
                <w:szCs w:val="20"/>
                <w:color w:val="auto"/>
              </w:rPr>
            </w:pPr>
            <w:r>
              <w:rPr>
                <w:rFonts w:ascii="Arial" w:cs="Arial" w:eastAsia="Arial" w:hAnsi="Arial"/>
                <w:sz w:val="15"/>
                <w:szCs w:val="15"/>
                <w:color w:val="auto"/>
              </w:rPr>
              <w:t>$</w:t>
            </w:r>
          </w:p>
        </w:tc>
      </w:tr>
      <w:tr>
        <w:trPr>
          <w:trHeight w:val="179"/>
        </w:trPr>
        <w:tc>
          <w:tcPr>
            <w:tcW w:w="8920" w:type="dxa"/>
            <w:vAlign w:val="bottom"/>
          </w:tcPr>
          <w:p>
            <w:pPr>
              <w:spacing w:after="0"/>
              <w:rPr>
                <w:sz w:val="20"/>
                <w:szCs w:val="20"/>
                <w:color w:val="auto"/>
              </w:rPr>
            </w:pPr>
            <w:r>
              <w:rPr>
                <w:rFonts w:ascii="Arial" w:cs="Arial" w:eastAsia="Arial" w:hAnsi="Arial"/>
                <w:sz w:val="15"/>
                <w:szCs w:val="15"/>
                <w:color w:val="auto"/>
              </w:rPr>
              <w:t>Prior service cost recognition</w:t>
            </w:r>
          </w:p>
        </w:tc>
        <w:tc>
          <w:tcPr>
            <w:tcW w:w="6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3,695</w:t>
            </w:r>
          </w:p>
        </w:tc>
        <w:tc>
          <w:tcPr>
            <w:tcW w:w="860" w:type="dxa"/>
            <w:vAlign w:val="bottom"/>
          </w:tcPr>
          <w:p>
            <w:pPr>
              <w:jc w:val="right"/>
              <w:ind w:right="132"/>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color w:val="auto"/>
        </w:rPr>
        <w:t xml:space="preserve">Defined Benefit Plan Assets. </w:t>
      </w:r>
      <w:r>
        <w:rPr>
          <w:rFonts w:ascii="Arial" w:cs="Arial" w:eastAsia="Arial" w:hAnsi="Arial"/>
          <w:sz w:val="17"/>
          <w:szCs w:val="17"/>
          <w:color w:val="auto"/>
        </w:rPr>
        <w:t>The Company’s defined benefit pension obligations are funded by a portfolio made up of a relatively small number of s</w:t>
      </w:r>
      <w:r>
        <w:rPr>
          <w:rFonts w:ascii="Arial" w:cs="Arial" w:eastAsia="Arial" w:hAnsi="Arial"/>
          <w:sz w:val="17"/>
          <w:szCs w:val="17"/>
          <w:b w:val="1"/>
          <w:bCs w:val="1"/>
          <w:color w:val="auto"/>
        </w:rPr>
        <w:t xml:space="preserve"> </w:t>
      </w:r>
      <w:r>
        <w:rPr>
          <w:rFonts w:ascii="Arial" w:cs="Arial" w:eastAsia="Arial" w:hAnsi="Arial"/>
          <w:sz w:val="17"/>
          <w:szCs w:val="17"/>
          <w:color w:val="auto"/>
        </w:rPr>
        <w:t>and high-quality fixed-income securities that are held by a third-party trustee. As of December 31, 2011 and December 31, 2010, the assets of the Company’s pension plans were allocated as follows:</w:t>
      </w:r>
    </w:p>
    <w:p>
      <w:pPr>
        <w:spacing w:after="0" w:line="159" w:lineRule="exact"/>
        <w:rPr>
          <w:sz w:val="20"/>
          <w:szCs w:val="20"/>
          <w:color w:val="auto"/>
        </w:rPr>
      </w:pPr>
    </w:p>
    <w:p>
      <w:pPr>
        <w:ind w:left="9120"/>
        <w:spacing w:after="0"/>
        <w:rPr>
          <w:sz w:val="20"/>
          <w:szCs w:val="20"/>
          <w:color w:val="auto"/>
        </w:rPr>
      </w:pPr>
      <w:r>
        <w:rPr>
          <w:rFonts w:ascii="Arial" w:cs="Arial" w:eastAsia="Arial" w:hAnsi="Arial"/>
          <w:sz w:val="12"/>
          <w:szCs w:val="12"/>
          <w:b w:val="1"/>
          <w:bCs w:val="1"/>
          <w:color w:val="auto"/>
        </w:rPr>
        <w:t>Pension Plan Asset Allocation</w:t>
      </w:r>
    </w:p>
    <w:p>
      <w:pPr>
        <w:spacing w:after="0" w:line="13" w:lineRule="exact"/>
        <w:rPr>
          <w:sz w:val="20"/>
          <w:szCs w:val="20"/>
          <w:color w:val="auto"/>
        </w:rPr>
      </w:pPr>
    </w:p>
    <w:tbl>
      <w:tblPr>
        <w:tblLayout w:type="fixed"/>
        <w:tblInd w:w="8680" w:type="dxa"/>
        <w:tblCellMar>
          <w:top w:w="0" w:type="dxa"/>
          <w:left w:w="0" w:type="dxa"/>
          <w:bottom w:w="0" w:type="dxa"/>
          <w:right w:w="0" w:type="dxa"/>
        </w:tblCellMar>
      </w:tblPr>
      <w:tr>
        <w:trPr>
          <w:trHeight w:val="114"/>
        </w:trPr>
        <w:tc>
          <w:tcPr>
            <w:tcW w:w="1420" w:type="dxa"/>
            <w:vAlign w:val="bottom"/>
            <w:tcBorders>
              <w:top w:val="single" w:sz="8" w:color="auto"/>
            </w:tcBorders>
          </w:tcPr>
          <w:p>
            <w:pPr>
              <w:jc w:val="right"/>
              <w:ind w:right="258"/>
              <w:spacing w:after="0" w:line="114" w:lineRule="exact"/>
              <w:rPr>
                <w:sz w:val="20"/>
                <w:szCs w:val="20"/>
                <w:color w:val="auto"/>
              </w:rPr>
            </w:pPr>
            <w:r>
              <w:rPr>
                <w:rFonts w:ascii="Arial" w:cs="Arial" w:eastAsia="Arial" w:hAnsi="Arial"/>
                <w:sz w:val="12"/>
                <w:szCs w:val="12"/>
                <w:b w:val="1"/>
                <w:bCs w:val="1"/>
                <w:color w:val="auto"/>
              </w:rPr>
              <w:t>December 31,</w:t>
            </w:r>
          </w:p>
        </w:tc>
        <w:tc>
          <w:tcPr>
            <w:tcW w:w="8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rPr>
              <w:t>Decembe</w:t>
            </w:r>
          </w:p>
        </w:tc>
      </w:tr>
      <w:tr>
        <w:trPr>
          <w:trHeight w:val="162"/>
        </w:trPr>
        <w:tc>
          <w:tcPr>
            <w:tcW w:w="1420" w:type="dxa"/>
            <w:vAlign w:val="bottom"/>
          </w:tcPr>
          <w:p>
            <w:pPr>
              <w:jc w:val="right"/>
              <w:ind w:right="658"/>
              <w:spacing w:after="0"/>
              <w:rPr>
                <w:sz w:val="20"/>
                <w:szCs w:val="20"/>
                <w:color w:val="auto"/>
              </w:rPr>
            </w:pPr>
            <w:r>
              <w:rPr>
                <w:rFonts w:ascii="Arial" w:cs="Arial" w:eastAsia="Arial" w:hAnsi="Arial"/>
                <w:sz w:val="12"/>
                <w:szCs w:val="12"/>
                <w:b w:val="1"/>
                <w:bCs w:val="1"/>
                <w:color w:val="auto"/>
              </w:rPr>
              <w:t>2011</w:t>
            </w:r>
          </w:p>
        </w:tc>
        <w:tc>
          <w:tcPr>
            <w:tcW w:w="840" w:type="dxa"/>
            <w:vAlign w:val="bottom"/>
          </w:tcPr>
          <w:p>
            <w:pPr>
              <w:jc w:val="right"/>
              <w:spacing w:after="0"/>
              <w:rPr>
                <w:sz w:val="20"/>
                <w:szCs w:val="20"/>
                <w:color w:val="auto"/>
              </w:rPr>
            </w:pPr>
            <w:r>
              <w:rPr>
                <w:rFonts w:ascii="Arial" w:cs="Arial" w:eastAsia="Arial" w:hAnsi="Arial"/>
                <w:sz w:val="12"/>
                <w:szCs w:val="12"/>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9532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U.S. equities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U.S. fixed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equities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1540" w:type="dxa"/>
            <w:vAlign w:val="bottom"/>
          </w:tcPr>
          <w:p>
            <w:pPr>
              <w:jc w:val="right"/>
              <w:ind w:right="506"/>
              <w:spacing w:after="0" w:line="159" w:lineRule="exact"/>
              <w:rPr>
                <w:sz w:val="20"/>
                <w:szCs w:val="20"/>
                <w:color w:val="auto"/>
              </w:rPr>
            </w:pPr>
            <w:r>
              <w:rPr>
                <w:rFonts w:ascii="Arial" w:cs="Arial" w:eastAsia="Arial" w:hAnsi="Arial"/>
                <w:sz w:val="15"/>
                <w:szCs w:val="15"/>
                <w:b w:val="1"/>
                <w:bCs w:val="1"/>
                <w:color w:val="auto"/>
              </w:rPr>
              <w:t>69 %</w:t>
            </w:r>
          </w:p>
        </w:tc>
        <w:tc>
          <w:tcPr>
            <w:tcW w:w="720" w:type="dxa"/>
            <w:vAlign w:val="bottom"/>
          </w:tcPr>
          <w:p>
            <w:pPr>
              <w:jc w:val="right"/>
              <w:spacing w:after="0" w:line="159" w:lineRule="exact"/>
              <w:rPr>
                <w:sz w:val="20"/>
                <w:szCs w:val="20"/>
                <w:color w:val="auto"/>
              </w:rPr>
            </w:pPr>
            <w:r>
              <w:rPr>
                <w:rFonts w:ascii="Arial" w:cs="Arial" w:eastAsia="Arial" w:hAnsi="Arial"/>
                <w:sz w:val="15"/>
                <w:szCs w:val="15"/>
                <w:color w:val="auto"/>
              </w:rPr>
              <w:t>6</w:t>
            </w:r>
          </w:p>
        </w:tc>
      </w:tr>
      <w:tr>
        <w:trPr>
          <w:trHeight w:val="174"/>
        </w:trPr>
        <w:tc>
          <w:tcPr>
            <w:tcW w:w="1540" w:type="dxa"/>
            <w:vAlign w:val="bottom"/>
          </w:tcPr>
          <w:p>
            <w:pPr>
              <w:jc w:val="right"/>
              <w:ind w:right="506"/>
              <w:spacing w:after="0"/>
              <w:rPr>
                <w:sz w:val="20"/>
                <w:szCs w:val="20"/>
                <w:color w:val="auto"/>
              </w:rPr>
            </w:pPr>
            <w:r>
              <w:rPr>
                <w:rFonts w:ascii="Arial" w:cs="Arial" w:eastAsia="Arial" w:hAnsi="Arial"/>
                <w:sz w:val="15"/>
                <w:szCs w:val="15"/>
                <w:b w:val="1"/>
                <w:bCs w:val="1"/>
                <w:color w:val="auto"/>
              </w:rPr>
              <w:t>10 %</w:t>
            </w: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1540" w:type="dxa"/>
            <w:vAlign w:val="bottom"/>
            <w:tcBorders>
              <w:bottom w:val="single" w:sz="8" w:color="auto"/>
            </w:tcBorders>
          </w:tcPr>
          <w:p>
            <w:pPr>
              <w:jc w:val="right"/>
              <w:ind w:right="506"/>
              <w:spacing w:after="0"/>
              <w:rPr>
                <w:sz w:val="20"/>
                <w:szCs w:val="20"/>
                <w:color w:val="auto"/>
              </w:rPr>
            </w:pPr>
            <w:r>
              <w:rPr>
                <w:rFonts w:ascii="Arial" w:cs="Arial" w:eastAsia="Arial" w:hAnsi="Arial"/>
                <w:sz w:val="15"/>
                <w:szCs w:val="15"/>
                <w:b w:val="1"/>
                <w:bCs w:val="1"/>
                <w:color w:val="auto"/>
              </w:rPr>
              <w:t>21 %</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1540" w:type="dxa"/>
            <w:vAlign w:val="bottom"/>
            <w:tcBorders>
              <w:bottom w:val="single" w:sz="8" w:color="auto"/>
            </w:tcBorders>
          </w:tcPr>
          <w:p>
            <w:pPr>
              <w:jc w:val="right"/>
              <w:ind w:right="506"/>
              <w:spacing w:after="0" w:line="167" w:lineRule="exact"/>
              <w:rPr>
                <w:sz w:val="20"/>
                <w:szCs w:val="20"/>
                <w:color w:val="auto"/>
              </w:rPr>
            </w:pPr>
            <w:r>
              <w:rPr>
                <w:rFonts w:ascii="Arial" w:cs="Arial" w:eastAsia="Arial" w:hAnsi="Arial"/>
                <w:sz w:val="15"/>
                <w:szCs w:val="15"/>
                <w:b w:val="1"/>
                <w:bCs w:val="1"/>
                <w:color w:val="auto"/>
              </w:rPr>
              <w:t>100 %</w:t>
            </w:r>
          </w:p>
        </w:tc>
        <w:tc>
          <w:tcPr>
            <w:tcW w:w="7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960" w:space="720"/>
            <w:col w:w="2260"/>
          </w:cols>
          <w:pgMar w:left="820" w:top="585" w:right="139" w:bottom="1440" w:gutter="0" w:footer="0" w:header="0"/>
          <w:type w:val="continuous"/>
        </w:sectPr>
      </w:pPr>
    </w:p>
    <w:p>
      <w:pPr>
        <w:spacing w:after="0" w:line="245"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 growth in the value of these assets, while protecting them against large decreases in value. Both of these managers may invest in a combination of eq and fixed-income securities and cash. The managers are not permitted to invest in securities of the Company or in alternative investments. The invest managers cannot invest more than 20% of the assets at the time of purchase in the stock of Berkshire Hathaway or more than 10% of the assets in th securities of any other single issuer, except for obligations of the U.S. Government, without receiving prior approval by the Plan administrator. As of December 31, 2011, the managers can invest no more than 24% of the assets in international stocks at the time the investment is made, and no less t 10% of the assets could be invested in fixed-income securities. None of the assets is managed internally by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 plan assets and individual asset classes and economic and other indicators of future performance. In addition, the Company may consult with and con the input of financial and other professionals in developing appropriate return benchmarks.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assets) of credit risk as of December 31, 2011. Types of concentrations that were evaluated include, but are not limited to, investment concentrations i single entity, type of industry, foreign country and individual fund. At December 31, 2011 the pension plan held common stock in one investment which exceeded 10% of total plan assets. This investment was valued at $222.4 million and $134.8 million at December 31, 2011 and December 31, 2010, respectively, or approximately 12% and 8%, respectively, of total plan assets. Assets also included $ 154.0 million and $161.6 million of Berkshire Hath Class A and Class B common stock at December 31, 2011 and December 31, 2010, respectively. At December 31, 2011 the pension plan held invest in one foreign country which</w:t>
      </w:r>
    </w:p>
    <w:p>
      <w:pPr>
        <w:spacing w:after="0" w:line="17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type w:val="continuous"/>
        </w:sectPr>
      </w:pPr>
    </w:p>
    <w:bookmarkStart w:id="104" w:name="page105"/>
    <w:bookmarkEnd w:id="104"/>
    <w:p>
      <w:pPr>
        <w:ind w:left="9"/>
        <w:spacing w:after="0" w:line="235" w:lineRule="auto"/>
        <w:rPr>
          <w:sz w:val="20"/>
          <w:szCs w:val="20"/>
          <w:color w:val="auto"/>
        </w:rPr>
      </w:pPr>
      <w:r>
        <w:rPr>
          <w:rFonts w:ascii="Arial" w:cs="Arial" w:eastAsia="Arial" w:hAnsi="Arial"/>
          <w:sz w:val="17"/>
          <w:szCs w:val="17"/>
          <w:color w:val="auto"/>
        </w:rPr>
        <w:t>exceeded 10% of total plan assets. These investments were valued at $241.4 million and $155.0 million at December 31, 2011 and December 31, 201 respectively, or approximately 13% and 9%, respectively, of total plan assets.</w:t>
      </w:r>
    </w:p>
    <w:p>
      <w:pPr>
        <w:spacing w:after="0" w:line="176"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Fair value measurements are determined based on the assumption that a market participant would use in pricing an asset or liability based on a three hierarchy that draws a distinction between market participant assumptions based on (i) observable inputs, such as quoted prices in active markets (Le</w:t>
      </w:r>
    </w:p>
    <w:p>
      <w:pPr>
        <w:spacing w:after="0" w:line="1" w:lineRule="exact"/>
        <w:rPr>
          <w:sz w:val="20"/>
          <w:szCs w:val="20"/>
          <w:color w:val="auto"/>
        </w:rPr>
      </w:pPr>
    </w:p>
    <w:p>
      <w:pPr>
        <w:ind w:left="9" w:hanging="9"/>
        <w:spacing w:after="0" w:line="231" w:lineRule="auto"/>
        <w:tabs>
          <w:tab w:leader="none" w:pos="239"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inputs other than quoted prices in active markets that are observable either directly or indirectly (Level 2); and (iii) unobservable inputs that require Company to use present value and other valuation techniques in the determination of fair value (Level 3). Financial assets and liabilities are classified their entirety based on the lowest level of input that is significant to the fair value measure. The Company’s assessment of the significance of a particu input to the fair value measurements requires judgment and may affect the valuation of the assets and liabilities being measured and their placement the fair value hierarchy.</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Company’s pension plan assets measured at fair value on a recurring basis were as follows:</w:t>
      </w:r>
    </w:p>
    <w:p>
      <w:pPr>
        <w:spacing w:after="0" w:line="126"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7220" w:type="dxa"/>
            <w:vAlign w:val="bottom"/>
          </w:tcPr>
          <w:p>
            <w:pPr>
              <w:spacing w:after="0" w:line="150" w:lineRule="exact"/>
              <w:rPr>
                <w:sz w:val="20"/>
                <w:szCs w:val="20"/>
                <w:color w:val="auto"/>
              </w:rPr>
            </w:pPr>
            <w:r>
              <w:rPr>
                <w:rFonts w:ascii="Arial" w:cs="Arial" w:eastAsia="Arial" w:hAnsi="Arial"/>
                <w:sz w:val="15"/>
                <w:szCs w:val="15"/>
                <w:b w:val="1"/>
                <w:bCs w:val="1"/>
                <w:color w:val="auto"/>
              </w:rPr>
              <w:t>At December 31, 2011</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Cash equivalents and other short-term investments</w:t>
            </w:r>
          </w:p>
        </w:tc>
        <w:tc>
          <w:tcPr>
            <w:tcW w:w="28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120,101</w:t>
            </w:r>
          </w:p>
        </w:tc>
        <w:tc>
          <w:tcPr>
            <w:tcW w:w="4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43,166</w:t>
            </w:r>
          </w:p>
        </w:tc>
        <w:tc>
          <w:tcPr>
            <w:tcW w:w="3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Equity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U.S. equities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1,249,079</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1,2</w:t>
            </w: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International equities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381,924</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Fixed-income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U.S. Federal agency mortgage-backed securities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1,071</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Corporate debt securities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9,203</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Other fixed income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2,531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8,121</w:t>
            </w: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 investments</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1,753,635</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61,561</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Receivables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5"/>
                <w:szCs w:val="15"/>
                <w:color w:val="auto"/>
              </w:rPr>
              <w:t>At January 2, 2011</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Cash equivalents and other short-term investments</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207,929</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86"/>
              <w:spacing w:after="0"/>
              <w:rPr>
                <w:sz w:val="20"/>
                <w:szCs w:val="20"/>
                <w:color w:val="auto"/>
              </w:rPr>
            </w:pPr>
            <w:r>
              <w:rPr>
                <w:rFonts w:ascii="Arial" w:cs="Arial" w:eastAsia="Arial" w:hAnsi="Arial"/>
                <w:sz w:val="15"/>
                <w:szCs w:val="15"/>
                <w:color w:val="auto"/>
              </w:rPr>
              <w:t>68,091</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Equity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220" w:type="dxa"/>
            <w:vAlign w:val="bottom"/>
          </w:tcPr>
          <w:p>
            <w:pPr>
              <w:ind w:left="220"/>
              <w:spacing w:after="0" w:line="156" w:lineRule="exact"/>
              <w:rPr>
                <w:sz w:val="20"/>
                <w:szCs w:val="20"/>
                <w:color w:val="auto"/>
              </w:rPr>
            </w:pPr>
            <w:r>
              <w:rPr>
                <w:rFonts w:ascii="Arial" w:cs="Arial" w:eastAsia="Arial" w:hAnsi="Arial"/>
                <w:sz w:val="15"/>
                <w:szCs w:val="15"/>
                <w:color w:val="auto"/>
              </w:rPr>
              <w:t>U.S. equities</w:t>
            </w:r>
          </w:p>
        </w:tc>
        <w:tc>
          <w:tcPr>
            <w:tcW w:w="280" w:type="dxa"/>
            <w:vAlign w:val="bottom"/>
          </w:tcPr>
          <w:p>
            <w:pPr>
              <w:spacing w:after="0"/>
              <w:rPr>
                <w:sz w:val="13"/>
                <w:szCs w:val="13"/>
                <w:color w:val="auto"/>
              </w:rPr>
            </w:pPr>
          </w:p>
        </w:tc>
        <w:tc>
          <w:tcPr>
            <w:tcW w:w="114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1,090,693</w:t>
            </w:r>
          </w:p>
        </w:tc>
        <w:tc>
          <w:tcPr>
            <w:tcW w:w="4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2"/>
        </w:trPr>
        <w:tc>
          <w:tcPr>
            <w:tcW w:w="7220" w:type="dxa"/>
            <w:vAlign w:val="bottom"/>
          </w:tcPr>
          <w:p>
            <w:pPr>
              <w:ind w:left="220"/>
              <w:spacing w:after="0"/>
              <w:rPr>
                <w:sz w:val="20"/>
                <w:szCs w:val="20"/>
                <w:color w:val="auto"/>
              </w:rPr>
            </w:pPr>
            <w:r>
              <w:rPr>
                <w:rFonts w:ascii="Arial" w:cs="Arial" w:eastAsia="Arial" w:hAnsi="Arial"/>
                <w:sz w:val="15"/>
                <w:szCs w:val="15"/>
                <w:color w:val="auto"/>
              </w:rPr>
              <w:t>International equities</w:t>
            </w: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250,604</w:t>
            </w:r>
          </w:p>
        </w:tc>
        <w:tc>
          <w:tcPr>
            <w:tcW w:w="400" w:type="dxa"/>
            <w:vAlign w:val="bottom"/>
          </w:tcPr>
          <w:p>
            <w:pPr>
              <w:spacing w:after="0"/>
              <w:rPr>
                <w:sz w:val="16"/>
                <w:szCs w:val="16"/>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Fixed-income securities</w:t>
            </w:r>
          </w:p>
        </w:tc>
        <w:tc>
          <w:tcPr>
            <w:tcW w:w="280" w:type="dxa"/>
            <w:vAlign w:val="bottom"/>
          </w:tcPr>
          <w:p>
            <w:pPr>
              <w:spacing w:after="0"/>
              <w:rPr>
                <w:sz w:val="15"/>
                <w:szCs w:val="15"/>
                <w:color w:val="auto"/>
              </w:rPr>
            </w:pPr>
          </w:p>
        </w:tc>
        <w:tc>
          <w:tcPr>
            <w:tcW w:w="11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220" w:type="dxa"/>
            <w:vAlign w:val="bottom"/>
          </w:tcPr>
          <w:p>
            <w:pPr>
              <w:ind w:left="220"/>
              <w:spacing w:after="0" w:line="156" w:lineRule="exact"/>
              <w:rPr>
                <w:sz w:val="20"/>
                <w:szCs w:val="20"/>
                <w:color w:val="auto"/>
              </w:rPr>
            </w:pPr>
            <w:r>
              <w:rPr>
                <w:rFonts w:ascii="Arial" w:cs="Arial" w:eastAsia="Arial" w:hAnsi="Arial"/>
                <w:sz w:val="15"/>
                <w:szCs w:val="15"/>
                <w:color w:val="auto"/>
              </w:rPr>
              <w:t>U.S. Federal agency mortgage-backed securities</w:t>
            </w:r>
          </w:p>
        </w:tc>
        <w:tc>
          <w:tcPr>
            <w:tcW w:w="2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1,699</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20" w:type="dxa"/>
            <w:vAlign w:val="bottom"/>
          </w:tcPr>
          <w:p>
            <w:pPr>
              <w:ind w:left="220"/>
              <w:spacing w:after="0"/>
              <w:rPr>
                <w:sz w:val="20"/>
                <w:szCs w:val="20"/>
                <w:color w:val="auto"/>
              </w:rPr>
            </w:pPr>
            <w:r>
              <w:rPr>
                <w:rFonts w:ascii="Arial" w:cs="Arial" w:eastAsia="Arial" w:hAnsi="Arial"/>
                <w:sz w:val="15"/>
                <w:szCs w:val="15"/>
                <w:color w:val="auto"/>
              </w:rPr>
              <w:t>Corporate debt securities</w:t>
            </w: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6"/>
                <w:szCs w:val="16"/>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color w:val="auto"/>
              </w:rPr>
              <w:t>15,854</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20" w:type="dxa"/>
            <w:vAlign w:val="bottom"/>
          </w:tcPr>
          <w:p>
            <w:pPr>
              <w:ind w:left="220"/>
              <w:spacing w:after="0"/>
              <w:rPr>
                <w:sz w:val="20"/>
                <w:szCs w:val="20"/>
                <w:color w:val="auto"/>
              </w:rPr>
            </w:pPr>
            <w:r>
              <w:rPr>
                <w:rFonts w:ascii="Arial" w:cs="Arial" w:eastAsia="Arial" w:hAnsi="Arial"/>
                <w:sz w:val="15"/>
                <w:szCs w:val="15"/>
                <w:color w:val="auto"/>
              </w:rPr>
              <w:t>Other fixed income</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7,106</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8,338</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Total investments</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1,556,332</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93,982</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Receivables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left="9"/>
        <w:spacing w:after="0"/>
        <w:rPr>
          <w:sz w:val="20"/>
          <w:szCs w:val="20"/>
          <w:color w:val="auto"/>
        </w:rPr>
      </w:pPr>
      <w:r>
        <w:rPr>
          <w:rFonts w:ascii="Arial" w:cs="Arial" w:eastAsia="Arial" w:hAnsi="Arial"/>
          <w:sz w:val="17"/>
          <w:szCs w:val="17"/>
          <w:i w:val="1"/>
          <w:iCs w:val="1"/>
          <w:color w:val="auto"/>
        </w:rPr>
        <w:t xml:space="preserve">Cash equivalents and other short-term investments. </w:t>
      </w:r>
      <w:r>
        <w:rPr>
          <w:rFonts w:ascii="Arial" w:cs="Arial" w:eastAsia="Arial" w:hAnsi="Arial"/>
          <w:sz w:val="17"/>
          <w:szCs w:val="17"/>
          <w:color w:val="auto"/>
        </w:rPr>
        <w:t>These investments are primarily held in U.S. Treasury securities and registered money market fu</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investments are valued using a market approach based on the quoted market prices of the security, or inputs that include quoted market prices similar instruments, and are classified as either Level 1 or Level 2 in the valuation hierarchy.</w:t>
      </w:r>
    </w:p>
    <w:p>
      <w:pPr>
        <w:spacing w:after="0" w:line="158" w:lineRule="exact"/>
        <w:rPr>
          <w:sz w:val="20"/>
          <w:szCs w:val="20"/>
          <w:color w:val="auto"/>
        </w:rPr>
      </w:pPr>
    </w:p>
    <w:p>
      <w:pPr>
        <w:jc w:val="both"/>
        <w:ind w:left="9"/>
        <w:spacing w:after="0"/>
        <w:rPr>
          <w:sz w:val="20"/>
          <w:szCs w:val="20"/>
          <w:color w:val="auto"/>
        </w:rPr>
      </w:pPr>
      <w:r>
        <w:rPr>
          <w:rFonts w:ascii="Arial" w:cs="Arial" w:eastAsia="Arial" w:hAnsi="Arial"/>
          <w:sz w:val="17"/>
          <w:szCs w:val="17"/>
          <w:i w:val="1"/>
          <w:iCs w:val="1"/>
          <w:color w:val="auto"/>
        </w:rPr>
        <w:t xml:space="preserve">U.S. equities. </w:t>
      </w:r>
      <w:r>
        <w:rPr>
          <w:rFonts w:ascii="Arial" w:cs="Arial" w:eastAsia="Arial" w:hAnsi="Arial"/>
          <w:sz w:val="17"/>
          <w:szCs w:val="17"/>
          <w:color w:val="auto"/>
        </w:rPr>
        <w:t>These investments are held in common and preferred stock of U.S. corporations and American Depositary Receipts (ADRs) traded on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Common and preferred shares and ADRs are traded actively on exchanges, and price quotes for these shares are readily available. Thes investments are classified as Level 1 in the valuation hierarchy.</w:t>
      </w:r>
    </w:p>
    <w:p>
      <w:pPr>
        <w:spacing w:after="0" w:line="158" w:lineRule="exact"/>
        <w:rPr>
          <w:sz w:val="20"/>
          <w:szCs w:val="20"/>
          <w:color w:val="auto"/>
        </w:rPr>
      </w:pPr>
    </w:p>
    <w:p>
      <w:pPr>
        <w:jc w:val="both"/>
        <w:ind w:left="9"/>
        <w:spacing w:after="0" w:line="284" w:lineRule="auto"/>
        <w:rPr>
          <w:sz w:val="20"/>
          <w:szCs w:val="20"/>
          <w:color w:val="auto"/>
        </w:rPr>
      </w:pPr>
      <w:r>
        <w:rPr>
          <w:rFonts w:ascii="Arial" w:cs="Arial" w:eastAsia="Arial" w:hAnsi="Arial"/>
          <w:sz w:val="16"/>
          <w:szCs w:val="16"/>
          <w:i w:val="1"/>
          <w:iCs w:val="1"/>
          <w:color w:val="auto"/>
        </w:rPr>
        <w:t xml:space="preserve">International equities. </w:t>
      </w:r>
      <w:r>
        <w:rPr>
          <w:rFonts w:ascii="Arial" w:cs="Arial" w:eastAsia="Arial" w:hAnsi="Arial"/>
          <w:sz w:val="16"/>
          <w:szCs w:val="16"/>
          <w:color w:val="auto"/>
        </w:rPr>
        <w:t>These investments are held in common and preferred stock issued by non-U.S. corporations. Common and preferred shares ar</w:t>
      </w:r>
      <w:r>
        <w:rPr>
          <w:rFonts w:ascii="Arial" w:cs="Arial" w:eastAsia="Arial" w:hAnsi="Arial"/>
          <w:sz w:val="16"/>
          <w:szCs w:val="16"/>
          <w:i w:val="1"/>
          <w:iCs w:val="1"/>
          <w:color w:val="auto"/>
        </w:rPr>
        <w:t xml:space="preserve"> </w:t>
      </w:r>
      <w:r>
        <w:rPr>
          <w:rFonts w:ascii="Arial" w:cs="Arial" w:eastAsia="Arial" w:hAnsi="Arial"/>
          <w:sz w:val="16"/>
          <w:szCs w:val="16"/>
          <w:color w:val="auto"/>
        </w:rPr>
        <w:t>traded actively on exchanges, and price quotes for these shares are readily available. These investments are classified as Level 1 in the valuation hie</w:t>
      </w:r>
    </w:p>
    <w:p>
      <w:pPr>
        <w:spacing w:after="0" w:line="123" w:lineRule="exact"/>
        <w:rPr>
          <w:sz w:val="20"/>
          <w:szCs w:val="20"/>
          <w:color w:val="auto"/>
        </w:rPr>
      </w:pPr>
    </w:p>
    <w:p>
      <w:pPr>
        <w:jc w:val="both"/>
        <w:ind w:left="9"/>
        <w:spacing w:after="0" w:line="284" w:lineRule="auto"/>
        <w:rPr>
          <w:sz w:val="20"/>
          <w:szCs w:val="20"/>
          <w:color w:val="auto"/>
        </w:rPr>
      </w:pPr>
      <w:r>
        <w:rPr>
          <w:rFonts w:ascii="Arial" w:cs="Arial" w:eastAsia="Arial" w:hAnsi="Arial"/>
          <w:sz w:val="16"/>
          <w:szCs w:val="16"/>
          <w:i w:val="1"/>
          <w:iCs w:val="1"/>
          <w:color w:val="auto"/>
        </w:rPr>
        <w:t xml:space="preserve">U.S. Federal agency mortgage-backed securities. </w:t>
      </w:r>
      <w:r>
        <w:rPr>
          <w:rFonts w:ascii="Arial" w:cs="Arial" w:eastAsia="Arial" w:hAnsi="Arial"/>
          <w:sz w:val="16"/>
          <w:szCs w:val="16"/>
          <w:color w:val="auto"/>
        </w:rPr>
        <w:t>These investments consist of fixed-income securities issued by Federal Agencies and are valued u</w:t>
      </w:r>
      <w:r>
        <w:rPr>
          <w:rFonts w:ascii="Arial" w:cs="Arial" w:eastAsia="Arial" w:hAnsi="Arial"/>
          <w:sz w:val="16"/>
          <w:szCs w:val="16"/>
          <w:i w:val="1"/>
          <w:iCs w:val="1"/>
          <w:color w:val="auto"/>
        </w:rPr>
        <w:t xml:space="preserve"> </w:t>
      </w:r>
      <w:r>
        <w:rPr>
          <w:rFonts w:ascii="Arial" w:cs="Arial" w:eastAsia="Arial" w:hAnsi="Arial"/>
          <w:sz w:val="16"/>
          <w:szCs w:val="16"/>
          <w:color w:val="auto"/>
        </w:rPr>
        <w:t>bid evaluation process, with bid data provided by independent pricing sources. These investments are classified as Level 2 in the valuation hierarchy.</w:t>
      </w:r>
    </w:p>
    <w:p>
      <w:pPr>
        <w:spacing w:after="0" w:line="32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105" w:name="page106"/>
    <w:bookmarkEnd w:id="105"/>
    <w:p>
      <w:pPr>
        <w:jc w:val="both"/>
        <w:spacing w:after="0" w:line="253" w:lineRule="auto"/>
        <w:rPr>
          <w:sz w:val="20"/>
          <w:szCs w:val="20"/>
          <w:color w:val="auto"/>
        </w:rPr>
      </w:pPr>
      <w:r>
        <w:rPr>
          <w:rFonts w:ascii="Arial" w:cs="Arial" w:eastAsia="Arial" w:hAnsi="Arial"/>
          <w:sz w:val="17"/>
          <w:szCs w:val="17"/>
          <w:i w:val="1"/>
          <w:iCs w:val="1"/>
          <w:color w:val="auto"/>
        </w:rPr>
        <w:t xml:space="preserve">Corporate debt securities. </w:t>
      </w:r>
      <w:r>
        <w:rPr>
          <w:rFonts w:ascii="Arial" w:cs="Arial" w:eastAsia="Arial" w:hAnsi="Arial"/>
          <w:sz w:val="17"/>
          <w:szCs w:val="17"/>
          <w:color w:val="auto"/>
        </w:rPr>
        <w:t>These investments consist of fixed-income securities issued by U.S. corporations and are valued using a bid evaluation pro</w:t>
      </w:r>
      <w:r>
        <w:rPr>
          <w:rFonts w:ascii="Arial" w:cs="Arial" w:eastAsia="Arial" w:hAnsi="Arial"/>
          <w:sz w:val="17"/>
          <w:szCs w:val="17"/>
          <w:i w:val="1"/>
          <w:iCs w:val="1"/>
          <w:color w:val="auto"/>
        </w:rPr>
        <w:t xml:space="preserve"> </w:t>
      </w:r>
      <w:r>
        <w:rPr>
          <w:rFonts w:ascii="Arial" w:cs="Arial" w:eastAsia="Arial" w:hAnsi="Arial"/>
          <w:sz w:val="17"/>
          <w:szCs w:val="17"/>
          <w:color w:val="auto"/>
        </w:rPr>
        <w:t>with bid data provided by independent pricing sources. These investments are classified as Level 2 in the valuation hierarchy.</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Other fixed income. </w:t>
      </w:r>
      <w:r>
        <w:rPr>
          <w:rFonts w:ascii="Arial" w:cs="Arial" w:eastAsia="Arial" w:hAnsi="Arial"/>
          <w:sz w:val="17"/>
          <w:szCs w:val="17"/>
          <w:color w:val="auto"/>
        </w:rPr>
        <w:t>These investments consist of fixed-income securities issued by the U.S. Treasury and in private placements and are valued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quoted market price or bid evaluation process, with bid data provided by independent pricing sources. These investments are classified as Level 1 or 2 in the valuation hierarchy.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Postretirement Plans. </w:t>
      </w:r>
      <w:r>
        <w:rPr>
          <w:rFonts w:ascii="Arial" w:cs="Arial" w:eastAsia="Arial" w:hAnsi="Arial"/>
          <w:sz w:val="16"/>
          <w:szCs w:val="16"/>
          <w:color w:val="auto"/>
        </w:rPr>
        <w:t>The following table sets forth obligation, asset and funding information for the Company’s other postretirement plans at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2011 and January 2, 2011: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Postretirement Plans</w:t>
            </w:r>
          </w:p>
        </w:tc>
        <w:tc>
          <w:tcPr>
            <w:tcW w:w="0" w:type="dxa"/>
            <w:vAlign w:val="bottom"/>
          </w:tcPr>
          <w:p>
            <w:pPr>
              <w:spacing w:after="0"/>
              <w:rPr>
                <w:sz w:val="1"/>
                <w:szCs w:val="1"/>
                <w:color w:val="auto"/>
              </w:rPr>
            </w:pPr>
          </w:p>
        </w:tc>
      </w:tr>
      <w:tr>
        <w:trPr>
          <w:trHeight w:val="129"/>
        </w:trPr>
        <w:tc>
          <w:tcPr>
            <w:tcW w:w="91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7"/>
              <w:spacing w:after="0" w:line="129" w:lineRule="exact"/>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2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68,818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2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Service cost</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2,872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Interest cost</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3,063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Amendments</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Actuarial gain</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(55)</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Curtailment gain</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Benefits paid, net of Medicare subsidy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(2,286)</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72,412</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2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2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Employer contributions</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2,286</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Benefits paid, net of Medicare subsidy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(2,286)</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(72,412)</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amounts recognized in the Company’s Consolidated Balance Sheets for its other postretirement plans at December 31, 2011 and January 2, 201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Postretirement Plans</w:t>
            </w:r>
          </w:p>
        </w:tc>
      </w:tr>
      <w:tr>
        <w:trPr>
          <w:trHeight w:val="129"/>
        </w:trPr>
        <w:tc>
          <w:tcPr>
            <w:tcW w:w="91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51"/>
              <w:spacing w:after="0" w:line="129" w:lineRule="exact"/>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Current liability</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91"/>
              <w:spacing w:after="0" w:line="150" w:lineRule="exact"/>
              <w:rPr>
                <w:sz w:val="20"/>
                <w:szCs w:val="20"/>
                <w:color w:val="auto"/>
              </w:rPr>
            </w:pPr>
            <w:r>
              <w:rPr>
                <w:rFonts w:ascii="Arial" w:cs="Arial" w:eastAsia="Arial" w:hAnsi="Arial"/>
                <w:sz w:val="15"/>
                <w:szCs w:val="15"/>
                <w:b w:val="1"/>
                <w:bCs w:val="1"/>
                <w:color w:val="auto"/>
              </w:rPr>
              <w:t>(4,548)</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Noncurrent liability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5"/>
                <w:szCs w:val="15"/>
                <w:b w:val="1"/>
                <w:bCs w:val="1"/>
                <w:color w:val="auto"/>
              </w:rPr>
              <w:t>(67,864)</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color w:val="auto"/>
              </w:rPr>
              <w:t>Recognized liability</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91"/>
              <w:spacing w:after="0" w:line="167" w:lineRule="exact"/>
              <w:rPr>
                <w:sz w:val="20"/>
                <w:szCs w:val="20"/>
                <w:color w:val="auto"/>
              </w:rPr>
            </w:pPr>
            <w:r>
              <w:rPr>
                <w:rFonts w:ascii="Arial" w:cs="Arial" w:eastAsia="Arial" w:hAnsi="Arial"/>
                <w:sz w:val="15"/>
                <w:szCs w:val="15"/>
                <w:b w:val="1"/>
                <w:bCs w:val="1"/>
                <w:color w:val="auto"/>
              </w:rPr>
              <w:t>(72,412)</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 curtailment gain of $8.5 million in 2010 due to the sale of Newsweek; the gain is included in discontinued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2009, the Company made changes to the cable television division’s retiree health care benefits program, resulting in a $7.7 million curtailment gain.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 2009, the Company eliminated life insurance benefits for new retirees on or after January 1, 2009, resulting in a $0.7 million curtailment gain.</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discount rates utilized for determining the benefit obligation at December 31, 2011 and January 2, 2011 for the postretirement plans were 3.90% 4.60%, respectively. The assumed health care cost trend rate used in measuring the postretirement benefit obligation at December 31, 2011 was 8.5% pre-age 65, decreasing to 5.0% in the year 2019 and thereafter. The assumed health care cost trend rate used in measuring the postretirement benefi obligation at December 31, 2011 was 20.4% for the post-age 65 Medicare Advantage Prescription Drug (MA-PD) plan, decreasing to 5.0% in the year and thereafter, and was 7.5% for the post-age 65 non MA-PD plan, decreasing to 5.0% in the year 2017 and thereafter.</w:t>
      </w:r>
    </w:p>
    <w:p>
      <w:pPr>
        <w:spacing w:after="0" w:line="1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Assumed health care cost trend rates have a significant effect on the amounts reported for the health care plans. A change of one percentage point in assumed health care cost trend rates would have the following effects: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jc w:val="right"/>
              <w:ind w:right="470"/>
              <w:spacing w:after="0"/>
              <w:rPr>
                <w:sz w:val="20"/>
                <w:szCs w:val="20"/>
                <w:color w:val="auto"/>
              </w:rPr>
            </w:pPr>
            <w:r>
              <w:rPr>
                <w:rFonts w:ascii="Arial" w:cs="Arial" w:eastAsia="Arial" w:hAnsi="Arial"/>
                <w:sz w:val="12"/>
                <w:szCs w:val="12"/>
                <w:b w:val="1"/>
                <w:bCs w:val="1"/>
                <w:color w:val="auto"/>
              </w:rPr>
              <w:t>1%</w:t>
            </w:r>
          </w:p>
        </w:tc>
        <w:tc>
          <w:tcPr>
            <w:tcW w:w="3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2"/>
                <w:szCs w:val="12"/>
                <w:b w:val="1"/>
                <w:bCs w:val="1"/>
                <w:color w:val="auto"/>
              </w:rPr>
              <w:t>Increase</w:t>
            </w: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Decr</w:t>
            </w: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color w:val="auto"/>
              </w:rPr>
              <w:t>Benefit obligation at end of year</w:t>
            </w:r>
          </w:p>
        </w:tc>
        <w:tc>
          <w:tcPr>
            <w:tcW w:w="38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5,934</w:t>
            </w:r>
          </w:p>
        </w:tc>
        <w:tc>
          <w:tcPr>
            <w:tcW w:w="3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79"/>
        </w:trPr>
        <w:tc>
          <w:tcPr>
            <w:tcW w:w="5740" w:type="dxa"/>
            <w:vAlign w:val="bottom"/>
          </w:tcPr>
          <w:p>
            <w:pPr>
              <w:spacing w:after="0"/>
              <w:rPr>
                <w:sz w:val="20"/>
                <w:szCs w:val="20"/>
                <w:color w:val="auto"/>
              </w:rPr>
            </w:pPr>
            <w:r>
              <w:rPr>
                <w:rFonts w:ascii="Arial" w:cs="Arial" w:eastAsia="Arial" w:hAnsi="Arial"/>
                <w:sz w:val="15"/>
                <w:szCs w:val="15"/>
                <w:color w:val="auto"/>
              </w:rPr>
              <w:t>Service cost plus interest cost</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30"/>
              <w:spacing w:after="0"/>
              <w:rPr>
                <w:sz w:val="20"/>
                <w:szCs w:val="20"/>
                <w:color w:val="auto"/>
              </w:rPr>
            </w:pPr>
            <w:r>
              <w:rPr>
                <w:rFonts w:ascii="Arial" w:cs="Arial" w:eastAsia="Arial" w:hAnsi="Arial"/>
                <w:sz w:val="15"/>
                <w:szCs w:val="15"/>
                <w:color w:val="auto"/>
              </w:rPr>
              <w:t>728</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r>
    </w:tbl>
    <w:p>
      <w:pPr>
        <w:spacing w:after="0" w:line="36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7" w:right="139" w:bottom="1440" w:gutter="0" w:footer="0" w:header="0"/>
        </w:sectPr>
      </w:pPr>
    </w:p>
    <w:bookmarkStart w:id="106" w:name="page107"/>
    <w:bookmarkEnd w:id="106"/>
    <w:p>
      <w:pPr>
        <w:ind w:left="580" w:right="20"/>
        <w:spacing w:after="0" w:line="260" w:lineRule="auto"/>
        <w:rPr>
          <w:sz w:val="20"/>
          <w:szCs w:val="20"/>
          <w:color w:val="auto"/>
        </w:rPr>
      </w:pPr>
      <w:r>
        <w:rPr>
          <w:rFonts w:ascii="Arial" w:cs="Arial" w:eastAsia="Arial" w:hAnsi="Arial"/>
          <w:sz w:val="16"/>
          <w:szCs w:val="16"/>
          <w:color w:val="auto"/>
        </w:rPr>
        <w:t>The Company made contributions to its postretirement benefit plans of $2.3 million and $4.4 million for the years ended December 31, 2011 and Janu 2011, respectively. As the plans are unfunded, the Company makes contributions to its postretirement plans based on actual benefit payments.</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December 31, 2011, future estimated benefit payments are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540" w:type="dxa"/>
            <w:vAlign w:val="bottom"/>
          </w:tcPr>
          <w:p>
            <w:pPr>
              <w:spacing w:after="0"/>
              <w:rPr>
                <w:sz w:val="12"/>
                <w:szCs w:val="12"/>
                <w:color w:val="auto"/>
              </w:rPr>
            </w:pPr>
          </w:p>
        </w:tc>
        <w:tc>
          <w:tcPr>
            <w:tcW w:w="5400" w:type="dxa"/>
            <w:vAlign w:val="bottom"/>
            <w:gridSpan w:val="2"/>
          </w:tcPr>
          <w:p>
            <w:pPr>
              <w:jc w:val="right"/>
              <w:spacing w:after="0"/>
              <w:rPr>
                <w:sz w:val="20"/>
                <w:szCs w:val="20"/>
                <w:color w:val="auto"/>
              </w:rPr>
            </w:pPr>
            <w:r>
              <w:rPr>
                <w:rFonts w:ascii="Arial" w:cs="Arial" w:eastAsia="Arial" w:hAnsi="Arial"/>
                <w:sz w:val="12"/>
                <w:szCs w:val="12"/>
                <w:b w:val="1"/>
                <w:bCs w:val="1"/>
                <w:color w:val="auto"/>
              </w:rPr>
              <w:t>Postretire</w:t>
            </w:r>
          </w:p>
        </w:tc>
      </w:tr>
      <w:tr>
        <w:trPr>
          <w:trHeight w:val="151"/>
        </w:trPr>
        <w:tc>
          <w:tcPr>
            <w:tcW w:w="5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5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Plans</w:t>
            </w:r>
          </w:p>
        </w:tc>
      </w:tr>
      <w:tr>
        <w:trPr>
          <w:trHeight w:val="168"/>
        </w:trPr>
        <w:tc>
          <w:tcPr>
            <w:tcW w:w="5540" w:type="dxa"/>
            <w:vAlign w:val="bottom"/>
          </w:tcPr>
          <w:p>
            <w:pPr>
              <w:spacing w:after="0" w:line="168" w:lineRule="exact"/>
              <w:rPr>
                <w:sz w:val="20"/>
                <w:szCs w:val="20"/>
                <w:color w:val="auto"/>
              </w:rPr>
            </w:pPr>
            <w:r>
              <w:rPr>
                <w:rFonts w:ascii="Arial" w:cs="Arial" w:eastAsia="Arial" w:hAnsi="Arial"/>
                <w:sz w:val="15"/>
                <w:szCs w:val="15"/>
                <w:color w:val="auto"/>
              </w:rPr>
              <w:t>2012</w:t>
            </w:r>
          </w:p>
        </w:tc>
        <w:tc>
          <w:tcPr>
            <w:tcW w:w="50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r>
      <w:tr>
        <w:trPr>
          <w:trHeight w:val="174"/>
        </w:trPr>
        <w:tc>
          <w:tcPr>
            <w:tcW w:w="5540" w:type="dxa"/>
            <w:vAlign w:val="bottom"/>
          </w:tcPr>
          <w:p>
            <w:pPr>
              <w:spacing w:after="0"/>
              <w:rPr>
                <w:sz w:val="20"/>
                <w:szCs w:val="20"/>
                <w:color w:val="auto"/>
              </w:rPr>
            </w:pPr>
            <w:r>
              <w:rPr>
                <w:rFonts w:ascii="Arial" w:cs="Arial" w:eastAsia="Arial" w:hAnsi="Arial"/>
                <w:sz w:val="15"/>
                <w:szCs w:val="15"/>
                <w:color w:val="auto"/>
              </w:rPr>
              <w:t>2013</w:t>
            </w:r>
          </w:p>
        </w:tc>
        <w:tc>
          <w:tcPr>
            <w:tcW w:w="50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r>
      <w:tr>
        <w:trPr>
          <w:trHeight w:val="174"/>
        </w:trPr>
        <w:tc>
          <w:tcPr>
            <w:tcW w:w="5540" w:type="dxa"/>
            <w:vAlign w:val="bottom"/>
          </w:tcPr>
          <w:p>
            <w:pPr>
              <w:spacing w:after="0"/>
              <w:rPr>
                <w:sz w:val="20"/>
                <w:szCs w:val="20"/>
                <w:color w:val="auto"/>
              </w:rPr>
            </w:pPr>
            <w:r>
              <w:rPr>
                <w:rFonts w:ascii="Arial" w:cs="Arial" w:eastAsia="Arial" w:hAnsi="Arial"/>
                <w:sz w:val="15"/>
                <w:szCs w:val="15"/>
                <w:color w:val="auto"/>
              </w:rPr>
              <w:t>2014</w:t>
            </w:r>
          </w:p>
        </w:tc>
        <w:tc>
          <w:tcPr>
            <w:tcW w:w="50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r>
      <w:tr>
        <w:trPr>
          <w:trHeight w:val="174"/>
        </w:trPr>
        <w:tc>
          <w:tcPr>
            <w:tcW w:w="5540" w:type="dxa"/>
            <w:vAlign w:val="bottom"/>
          </w:tcPr>
          <w:p>
            <w:pPr>
              <w:spacing w:after="0"/>
              <w:rPr>
                <w:sz w:val="20"/>
                <w:szCs w:val="20"/>
                <w:color w:val="auto"/>
              </w:rPr>
            </w:pPr>
            <w:r>
              <w:rPr>
                <w:rFonts w:ascii="Arial" w:cs="Arial" w:eastAsia="Arial" w:hAnsi="Arial"/>
                <w:sz w:val="15"/>
                <w:szCs w:val="15"/>
                <w:color w:val="auto"/>
              </w:rPr>
              <w:t>2015</w:t>
            </w:r>
          </w:p>
        </w:tc>
        <w:tc>
          <w:tcPr>
            <w:tcW w:w="50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r>
      <w:tr>
        <w:trPr>
          <w:trHeight w:val="174"/>
        </w:trPr>
        <w:tc>
          <w:tcPr>
            <w:tcW w:w="5540" w:type="dxa"/>
            <w:vAlign w:val="bottom"/>
          </w:tcPr>
          <w:p>
            <w:pPr>
              <w:spacing w:after="0"/>
              <w:rPr>
                <w:sz w:val="20"/>
                <w:szCs w:val="20"/>
                <w:color w:val="auto"/>
              </w:rPr>
            </w:pPr>
            <w:r>
              <w:rPr>
                <w:rFonts w:ascii="Arial" w:cs="Arial" w:eastAsia="Arial" w:hAnsi="Arial"/>
                <w:sz w:val="15"/>
                <w:szCs w:val="15"/>
                <w:color w:val="auto"/>
              </w:rPr>
              <w:t>2016</w:t>
            </w:r>
          </w:p>
        </w:tc>
        <w:tc>
          <w:tcPr>
            <w:tcW w:w="50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r>
      <w:tr>
        <w:trPr>
          <w:trHeight w:val="179"/>
        </w:trPr>
        <w:tc>
          <w:tcPr>
            <w:tcW w:w="5540" w:type="dxa"/>
            <w:vAlign w:val="bottom"/>
          </w:tcPr>
          <w:p>
            <w:pPr>
              <w:spacing w:after="0"/>
              <w:rPr>
                <w:sz w:val="20"/>
                <w:szCs w:val="20"/>
                <w:color w:val="auto"/>
              </w:rPr>
            </w:pPr>
            <w:r>
              <w:rPr>
                <w:rFonts w:ascii="Arial" w:cs="Arial" w:eastAsia="Arial" w:hAnsi="Arial"/>
                <w:sz w:val="15"/>
                <w:szCs w:val="15"/>
                <w:color w:val="auto"/>
              </w:rPr>
              <w:t>2017–2021</w:t>
            </w:r>
          </w:p>
        </w:tc>
        <w:tc>
          <w:tcPr>
            <w:tcW w:w="5080" w:type="dxa"/>
            <w:vAlign w:val="bottom"/>
          </w:tcPr>
          <w:p>
            <w:pPr>
              <w:jc w:val="right"/>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r>
    </w:tbl>
    <w:p>
      <w:pPr>
        <w:spacing w:after="0" w:line="179" w:lineRule="exact"/>
        <w:rPr>
          <w:sz w:val="20"/>
          <w:szCs w:val="20"/>
          <w:color w:val="auto"/>
        </w:rPr>
      </w:pPr>
    </w:p>
    <w:p>
      <w:pPr>
        <w:ind w:left="580" w:right="80"/>
        <w:spacing w:after="0" w:line="235" w:lineRule="auto"/>
        <w:rPr>
          <w:sz w:val="20"/>
          <w:szCs w:val="20"/>
          <w:color w:val="auto"/>
        </w:rPr>
      </w:pPr>
      <w:r>
        <w:rPr>
          <w:rFonts w:ascii="Arial" w:cs="Arial" w:eastAsia="Arial" w:hAnsi="Arial"/>
          <w:sz w:val="17"/>
          <w:szCs w:val="17"/>
          <w:color w:val="auto"/>
        </w:rPr>
        <w:t>The total cost (benefit) arising from the Company’s other postretirement plans for the years ended December 31, 2011, January 2, 2011 and January 2010, including a portion included in discontinued operations, consists of the following components:</w:t>
      </w:r>
    </w:p>
    <w:p>
      <w:pPr>
        <w:spacing w:after="0" w:line="162" w:lineRule="exact"/>
        <w:rPr>
          <w:sz w:val="20"/>
          <w:szCs w:val="20"/>
          <w:color w:val="auto"/>
        </w:rPr>
      </w:pPr>
    </w:p>
    <w:tbl>
      <w:tblPr>
        <w:tblLayout w:type="fixed"/>
        <w:tblInd w:w="800" w:type="dxa"/>
        <w:tblCellMar>
          <w:top w:w="0" w:type="dxa"/>
          <w:left w:w="0" w:type="dxa"/>
          <w:bottom w:w="0" w:type="dxa"/>
          <w:right w:w="0" w:type="dxa"/>
        </w:tblCellMar>
      </w:tblPr>
      <w:tr>
        <w:trPr>
          <w:trHeight w:val="151"/>
        </w:trPr>
        <w:tc>
          <w:tcPr>
            <w:tcW w:w="79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Postretirement Plans</w:t>
            </w:r>
          </w:p>
        </w:tc>
        <w:tc>
          <w:tcPr>
            <w:tcW w:w="340" w:type="dxa"/>
            <w:vAlign w:val="bottom"/>
            <w:tcBorders>
              <w:bottom w:val="single" w:sz="8" w:color="auto"/>
            </w:tcBorders>
          </w:tcPr>
          <w:p>
            <w:pPr>
              <w:spacing w:after="0"/>
              <w:rPr>
                <w:sz w:val="13"/>
                <w:szCs w:val="13"/>
                <w:color w:val="auto"/>
              </w:rPr>
            </w:pPr>
          </w:p>
        </w:tc>
      </w:tr>
      <w:tr>
        <w:trPr>
          <w:trHeight w:val="143"/>
        </w:trPr>
        <w:tc>
          <w:tcPr>
            <w:tcW w:w="7920" w:type="dxa"/>
            <w:vAlign w:val="bottom"/>
          </w:tcPr>
          <w:p>
            <w:pPr>
              <w:spacing w:after="0"/>
              <w:rPr>
                <w:sz w:val="20"/>
                <w:szCs w:val="20"/>
                <w:color w:val="auto"/>
              </w:rPr>
            </w:pPr>
            <w:r>
              <w:rPr>
                <w:rFonts w:ascii="Arial" w:cs="Arial" w:eastAsia="Arial" w:hAnsi="Arial"/>
                <w:sz w:val="12"/>
                <w:szCs w:val="12"/>
                <w:color w:val="auto"/>
              </w:rPr>
              <w:t>(in thousands)</w:t>
            </w:r>
          </w:p>
        </w:tc>
        <w:tc>
          <w:tcPr>
            <w:tcW w:w="800" w:type="dxa"/>
            <w:vAlign w:val="bottom"/>
          </w:tcPr>
          <w:p>
            <w:pPr>
              <w:jc w:val="right"/>
              <w:ind w:right="158"/>
              <w:spacing w:after="0"/>
              <w:rPr>
                <w:sz w:val="20"/>
                <w:szCs w:val="20"/>
                <w:color w:val="auto"/>
              </w:rPr>
            </w:pPr>
            <w:r>
              <w:rPr>
                <w:rFonts w:ascii="Arial" w:cs="Arial" w:eastAsia="Arial" w:hAnsi="Arial"/>
                <w:sz w:val="12"/>
                <w:szCs w:val="12"/>
                <w:b w:val="1"/>
                <w:bCs w:val="1"/>
                <w:color w:val="auto"/>
              </w:rPr>
              <w:t>2011</w:t>
            </w:r>
          </w:p>
        </w:tc>
        <w:tc>
          <w:tcPr>
            <w:tcW w:w="1660" w:type="dxa"/>
            <w:vAlign w:val="bottom"/>
          </w:tcPr>
          <w:p>
            <w:pPr>
              <w:jc w:val="right"/>
              <w:ind w:right="638"/>
              <w:spacing w:after="0"/>
              <w:rPr>
                <w:sz w:val="20"/>
                <w:szCs w:val="20"/>
                <w:color w:val="auto"/>
              </w:rPr>
            </w:pPr>
            <w:r>
              <w:rPr>
                <w:rFonts w:ascii="Arial" w:cs="Arial" w:eastAsia="Arial" w:hAnsi="Arial"/>
                <w:sz w:val="12"/>
                <w:szCs w:val="12"/>
                <w:color w:val="auto"/>
              </w:rPr>
              <w:t>2010</w:t>
            </w:r>
          </w:p>
        </w:tc>
        <w:tc>
          <w:tcPr>
            <w:tcW w:w="340" w:type="dxa"/>
            <w:vAlign w:val="bottom"/>
          </w:tcPr>
          <w:p>
            <w:pPr>
              <w:jc w:val="right"/>
              <w:spacing w:after="0"/>
              <w:rPr>
                <w:sz w:val="20"/>
                <w:szCs w:val="20"/>
                <w:color w:val="auto"/>
              </w:rPr>
            </w:pPr>
            <w:r>
              <w:rPr>
                <w:rFonts w:ascii="Arial" w:cs="Arial" w:eastAsia="Arial" w:hAnsi="Arial"/>
                <w:sz w:val="12"/>
                <w:szCs w:val="12"/>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-8255</wp:posOffset>
            </wp:positionV>
            <wp:extent cx="680339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3390" cy="7620"/>
                    </a:xfrm>
                    <a:prstGeom prst="rect">
                      <a:avLst/>
                    </a:prstGeom>
                    <a:noFill/>
                  </pic:spPr>
                </pic:pic>
              </a:graphicData>
            </a:graphic>
          </wp:anchor>
        </w:drawing>
      </w:r>
    </w:p>
    <w:p>
      <w:pPr>
        <w:sectPr>
          <w:pgSz w:w="11900" w:h="16838" w:orient="portrait"/>
          <w:cols w:equalWidth="0" w:num="1">
            <w:col w:w="11520"/>
          </w:cols>
          <w:pgMar w:left="240" w:top="586" w:right="139" w:bottom="1440" w:gutter="0" w:footer="0" w:header="0"/>
        </w:sectPr>
      </w:pPr>
    </w:p>
    <w:p>
      <w:pPr>
        <w:ind w:left="580"/>
        <w:spacing w:after="0"/>
        <w:rPr>
          <w:sz w:val="20"/>
          <w:szCs w:val="20"/>
          <w:color w:val="auto"/>
        </w:rPr>
      </w:pPr>
      <w:r>
        <w:rPr>
          <w:rFonts w:ascii="Arial" w:cs="Arial" w:eastAsia="Arial" w:hAnsi="Arial"/>
          <w:sz w:val="15"/>
          <w:szCs w:val="15"/>
          <w:color w:val="auto"/>
        </w:rPr>
        <w:t>Service cost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Interest cost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Amortization of prior service credit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Recognized actuarial gain</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Net periodic (benefit) cost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Curtailment gain</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Total benefit for the year</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Other changes in plan assets and benefit obligations in other comprehensive income:</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Current year actuarial (gain) loss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Current year prior service credit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Amortization of prior service credit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Recognized actuarial gain</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5"/>
          <w:szCs w:val="15"/>
          <w:color w:val="auto"/>
        </w:rPr>
        <w:t>Curtailment loss (gain)</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5"/>
          <w:szCs w:val="15"/>
          <w:b w:val="1"/>
          <w:bCs w:val="1"/>
          <w:color w:val="auto"/>
        </w:rPr>
        <w:t>Total recognized in other comprehensive income (before tax effect)</w:t>
      </w:r>
    </w:p>
    <w:p>
      <w:pPr>
        <w:spacing w:after="0" w:line="14" w:lineRule="exact"/>
        <w:rPr>
          <w:sz w:val="20"/>
          <w:szCs w:val="20"/>
          <w:color w:val="auto"/>
        </w:rPr>
      </w:pPr>
    </w:p>
    <w:p>
      <w:pPr>
        <w:ind w:left="840" w:right="1800" w:hanging="276"/>
        <w:spacing w:after="0" w:line="278" w:lineRule="auto"/>
        <w:rPr>
          <w:sz w:val="20"/>
          <w:szCs w:val="20"/>
          <w:color w:val="auto"/>
        </w:rPr>
      </w:pPr>
      <w:r>
        <w:rPr>
          <w:rFonts w:ascii="Arial" w:cs="Arial" w:eastAsia="Arial" w:hAnsi="Arial"/>
          <w:sz w:val="15"/>
          <w:szCs w:val="15"/>
          <w:b w:val="1"/>
          <w:bCs w:val="1"/>
          <w:color w:val="auto"/>
        </w:rPr>
        <w:t>Total recognized in net periodic cost (benefit) and other comprehensive income (before tax effect)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280" w:type="dxa"/>
            <w:vAlign w:val="bottom"/>
          </w:tcPr>
          <w:p>
            <w:pPr>
              <w:jc w:val="right"/>
              <w:ind w:right="46"/>
              <w:spacing w:after="0" w:line="156" w:lineRule="exact"/>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106"/>
              <w:spacing w:after="0" w:line="156" w:lineRule="exact"/>
              <w:rPr>
                <w:sz w:val="20"/>
                <w:szCs w:val="20"/>
                <w:color w:val="auto"/>
              </w:rPr>
            </w:pPr>
            <w:r>
              <w:rPr>
                <w:rFonts w:ascii="Arial" w:cs="Arial" w:eastAsia="Arial" w:hAnsi="Arial"/>
                <w:sz w:val="15"/>
                <w:szCs w:val="15"/>
                <w:b w:val="1"/>
                <w:bCs w:val="1"/>
                <w:color w:val="auto"/>
              </w:rPr>
              <w:t>2,872</w:t>
            </w:r>
          </w:p>
        </w:tc>
        <w:tc>
          <w:tcPr>
            <w:tcW w:w="4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3,275</w:t>
            </w:r>
          </w:p>
        </w:tc>
        <w:tc>
          <w:tcPr>
            <w:tcW w:w="36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r>
      <w:tr>
        <w:trPr>
          <w:trHeight w:val="174"/>
        </w:trPr>
        <w:tc>
          <w:tcPr>
            <w:tcW w:w="28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3,063</w:t>
            </w:r>
          </w:p>
        </w:tc>
        <w:tc>
          <w:tcPr>
            <w:tcW w:w="42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3,934</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(5,650)</w:t>
            </w:r>
          </w:p>
        </w:tc>
        <w:tc>
          <w:tcPr>
            <w:tcW w:w="42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(5,026)</w:t>
            </w: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(1,921)</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(2,032)</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50"/>
        </w:trPr>
        <w:tc>
          <w:tcPr>
            <w:tcW w:w="280" w:type="dxa"/>
            <w:vAlign w:val="bottom"/>
          </w:tcPr>
          <w:p>
            <w:pPr>
              <w:spacing w:after="0"/>
              <w:rPr>
                <w:sz w:val="13"/>
                <w:szCs w:val="13"/>
                <w:color w:val="auto"/>
              </w:rPr>
            </w:pPr>
          </w:p>
        </w:tc>
        <w:tc>
          <w:tcPr>
            <w:tcW w:w="76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rPr>
              <w:t>(1,636)</w:t>
            </w:r>
          </w:p>
        </w:tc>
        <w:tc>
          <w:tcPr>
            <w:tcW w:w="420" w:type="dxa"/>
            <w:vAlign w:val="bottom"/>
          </w:tcPr>
          <w:p>
            <w:pPr>
              <w:spacing w:after="0"/>
              <w:rPr>
                <w:sz w:val="13"/>
                <w:szCs w:val="13"/>
                <w:color w:val="auto"/>
              </w:rPr>
            </w:pPr>
          </w:p>
        </w:tc>
        <w:tc>
          <w:tcPr>
            <w:tcW w:w="82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151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(8,583)</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66"/>
        </w:trPr>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(1,636)</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(8,432)</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r>
      <w:tr>
        <w:trPr>
          <w:trHeight w:val="324"/>
        </w:trPr>
        <w:tc>
          <w:tcPr>
            <w:tcW w:w="28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(55)</w:t>
            </w:r>
          </w:p>
        </w:tc>
        <w:tc>
          <w:tcPr>
            <w:tcW w:w="42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(3,073)</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(6,336)</w:t>
            </w:r>
          </w:p>
        </w:tc>
        <w:tc>
          <w:tcPr>
            <w:tcW w:w="3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4"/>
        </w:trPr>
        <w:tc>
          <w:tcPr>
            <w:tcW w:w="28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5,650</w:t>
            </w:r>
          </w:p>
        </w:tc>
        <w:tc>
          <w:tcPr>
            <w:tcW w:w="42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5,026</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760" w:type="dxa"/>
            <w:vAlign w:val="bottom"/>
          </w:tcPr>
          <w:p>
            <w:pPr>
              <w:jc w:val="right"/>
              <w:ind w:right="106"/>
              <w:spacing w:after="0"/>
              <w:rPr>
                <w:sz w:val="20"/>
                <w:szCs w:val="20"/>
                <w:color w:val="auto"/>
              </w:rPr>
            </w:pPr>
            <w:r>
              <w:rPr>
                <w:rFonts w:ascii="Arial" w:cs="Arial" w:eastAsia="Arial" w:hAnsi="Arial"/>
                <w:sz w:val="15"/>
                <w:szCs w:val="15"/>
                <w:b w:val="1"/>
                <w:bCs w:val="1"/>
                <w:color w:val="auto"/>
              </w:rPr>
              <w:t>1,921</w:t>
            </w:r>
          </w:p>
        </w:tc>
        <w:tc>
          <w:tcPr>
            <w:tcW w:w="420" w:type="dxa"/>
            <w:vAlign w:val="bottom"/>
          </w:tcPr>
          <w:p>
            <w:pPr>
              <w:spacing w:after="0"/>
              <w:rPr>
                <w:sz w:val="15"/>
                <w:szCs w:val="15"/>
                <w:color w:val="auto"/>
              </w:rPr>
            </w:pPr>
          </w:p>
        </w:tc>
        <w:tc>
          <w:tcPr>
            <w:tcW w:w="820" w:type="dxa"/>
            <w:vAlign w:val="bottom"/>
          </w:tcPr>
          <w:p>
            <w:pPr>
              <w:jc w:val="right"/>
              <w:ind w:right="106"/>
              <w:spacing w:after="0"/>
              <w:rPr>
                <w:sz w:val="20"/>
                <w:szCs w:val="20"/>
                <w:color w:val="auto"/>
              </w:rPr>
            </w:pPr>
            <w:r>
              <w:rPr>
                <w:rFonts w:ascii="Arial" w:cs="Arial" w:eastAsia="Arial" w:hAnsi="Arial"/>
                <w:sz w:val="15"/>
                <w:szCs w:val="15"/>
                <w:color w:val="auto"/>
              </w:rPr>
              <w:t>2,032</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0"/>
        </w:trPr>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4,953</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166"/>
        </w:trPr>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7,516</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2,602</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4"/>
                <w:szCs w:val="14"/>
                <w:color w:val="auto"/>
              </w:rPr>
            </w:pPr>
          </w:p>
        </w:tc>
      </w:tr>
      <w:tr>
        <w:trPr>
          <w:trHeight w:val="340"/>
        </w:trPr>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5,880</w:t>
            </w:r>
          </w:p>
        </w:tc>
        <w:tc>
          <w:tcPr>
            <w:tcW w:w="4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(5,830)</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24"/>
                <w:szCs w:val="24"/>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8000" w:space="720"/>
            <w:col w:w="2800"/>
          </w:cols>
          <w:pgMar w:left="240" w:top="586" w:right="139" w:bottom="1440" w:gutter="0" w:footer="0" w:header="0"/>
          <w:type w:val="continuous"/>
        </w:sectPr>
      </w:pPr>
    </w:p>
    <w:p>
      <w:pPr>
        <w:ind w:left="580" w:right="20"/>
        <w:spacing w:after="0" w:line="235" w:lineRule="auto"/>
        <w:rPr>
          <w:sz w:val="20"/>
          <w:szCs w:val="20"/>
          <w:color w:val="auto"/>
        </w:rPr>
      </w:pPr>
      <w:r>
        <w:rPr>
          <w:rFonts w:ascii="Arial" w:cs="Arial" w:eastAsia="Arial" w:hAnsi="Arial"/>
          <w:sz w:val="17"/>
          <w:szCs w:val="17"/>
          <w:color w:val="auto"/>
        </w:rPr>
        <w:t>The costs for the Company’s postretirement plans are actuarially determined. The discount rates utilized to determine periodic cost for the years ende December 31, 2011, January 2, 2011 and January 3, 2010 were 4.60%, 5.25% and 5.75%, respectively.</w:t>
      </w:r>
    </w:p>
    <w:p>
      <w:pPr>
        <w:spacing w:after="0" w:line="176" w:lineRule="exact"/>
        <w:rPr>
          <w:sz w:val="20"/>
          <w:szCs w:val="20"/>
          <w:color w:val="auto"/>
        </w:rPr>
      </w:pPr>
    </w:p>
    <w:p>
      <w:pPr>
        <w:ind w:left="580" w:right="40"/>
        <w:spacing w:after="0" w:line="235" w:lineRule="auto"/>
        <w:rPr>
          <w:sz w:val="20"/>
          <w:szCs w:val="20"/>
          <w:color w:val="auto"/>
        </w:rPr>
      </w:pPr>
      <w:r>
        <w:rPr>
          <w:rFonts w:ascii="Arial" w:cs="Arial" w:eastAsia="Arial" w:hAnsi="Arial"/>
          <w:sz w:val="17"/>
          <w:szCs w:val="17"/>
          <w:color w:val="auto"/>
        </w:rPr>
        <w:t>At December 31, 2011 and January 2, 2011, accumulated other comprehensive income (AOCI) included the following components of unrecognized n periodic benefit for the postretirement plans, respectively:</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2011</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Unrecognized actuarial gain</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(15,510)</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Unrecognized prior service credit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(31,736)</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Gross amount</w:t>
            </w:r>
          </w:p>
        </w:tc>
        <w:tc>
          <w:tcPr>
            <w:tcW w:w="260" w:type="dxa"/>
            <w:vAlign w:val="bottom"/>
          </w:tcPr>
          <w:p>
            <w:pPr>
              <w:spacing w:after="0"/>
              <w:rPr>
                <w:sz w:val="13"/>
                <w:szCs w:val="13"/>
                <w:color w:val="auto"/>
              </w:rPr>
            </w:pPr>
          </w:p>
        </w:tc>
        <w:tc>
          <w:tcPr>
            <w:tcW w:w="9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(47,246)</w:t>
            </w:r>
          </w:p>
        </w:tc>
        <w:tc>
          <w:tcPr>
            <w:tcW w:w="360" w:type="dxa"/>
            <w:vAlign w:val="bottom"/>
          </w:tcPr>
          <w:p>
            <w:pPr>
              <w:spacing w:after="0"/>
              <w:rPr>
                <w:sz w:val="13"/>
                <w:szCs w:val="13"/>
                <w:color w:val="auto"/>
              </w:rPr>
            </w:pP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Deferred tax liability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18,898</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color w:val="auto"/>
              </w:rPr>
              <w:t>Net amount</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(28,348)</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During 2012, the Company expects to recognize the following amortization components of net periodic cost for the other postretirement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6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w:t>
            </w:r>
          </w:p>
        </w:tc>
      </w:tr>
      <w:tr>
        <w:trPr>
          <w:trHeight w:val="168"/>
        </w:trPr>
        <w:tc>
          <w:tcPr>
            <w:tcW w:w="580" w:type="dxa"/>
            <w:vAlign w:val="bottom"/>
          </w:tcPr>
          <w:p>
            <w:pPr>
              <w:spacing w:after="0"/>
              <w:rPr>
                <w:sz w:val="14"/>
                <w:szCs w:val="14"/>
                <w:color w:val="auto"/>
              </w:rPr>
            </w:pPr>
          </w:p>
        </w:tc>
        <w:tc>
          <w:tcPr>
            <w:tcW w:w="3780" w:type="dxa"/>
            <w:vAlign w:val="bottom"/>
          </w:tcPr>
          <w:p>
            <w:pPr>
              <w:spacing w:after="0" w:line="168" w:lineRule="exact"/>
              <w:rPr>
                <w:sz w:val="20"/>
                <w:szCs w:val="20"/>
                <w:color w:val="auto"/>
              </w:rPr>
            </w:pPr>
            <w:r>
              <w:rPr>
                <w:rFonts w:ascii="Arial" w:cs="Arial" w:eastAsia="Arial" w:hAnsi="Arial"/>
                <w:sz w:val="15"/>
                <w:szCs w:val="15"/>
                <w:color w:val="auto"/>
              </w:rPr>
              <w:t>Actuarial gain recognition</w:t>
            </w:r>
          </w:p>
        </w:tc>
        <w:tc>
          <w:tcPr>
            <w:tcW w:w="6920" w:type="dxa"/>
            <w:vAlign w:val="bottom"/>
          </w:tcPr>
          <w:p>
            <w:pPr>
              <w:jc w:val="right"/>
              <w:ind w:right="3"/>
              <w:spacing w:after="0" w:line="168" w:lineRule="exact"/>
              <w:rPr>
                <w:sz w:val="20"/>
                <w:szCs w:val="20"/>
                <w:color w:val="auto"/>
              </w:rPr>
            </w:pPr>
            <w:r>
              <w:rPr>
                <w:rFonts w:ascii="Arial" w:cs="Arial" w:eastAsia="Arial" w:hAnsi="Arial"/>
                <w:sz w:val="15"/>
                <w:szCs w:val="15"/>
                <w:color w:val="auto"/>
              </w:rPr>
              <w:t>$</w:t>
            </w:r>
          </w:p>
        </w:tc>
        <w:tc>
          <w:tcPr>
            <w:tcW w:w="24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w:t>
            </w:r>
          </w:p>
        </w:tc>
      </w:tr>
      <w:tr>
        <w:trPr>
          <w:trHeight w:val="179"/>
        </w:trPr>
        <w:tc>
          <w:tcPr>
            <w:tcW w:w="580" w:type="dxa"/>
            <w:vAlign w:val="bottom"/>
          </w:tcPr>
          <w:p>
            <w:pPr>
              <w:spacing w:after="0"/>
              <w:rPr>
                <w:sz w:val="15"/>
                <w:szCs w:val="15"/>
                <w:color w:val="auto"/>
              </w:rPr>
            </w:pPr>
          </w:p>
        </w:tc>
        <w:tc>
          <w:tcPr>
            <w:tcW w:w="3780" w:type="dxa"/>
            <w:vAlign w:val="bottom"/>
          </w:tcPr>
          <w:p>
            <w:pPr>
              <w:spacing w:after="0"/>
              <w:rPr>
                <w:sz w:val="20"/>
                <w:szCs w:val="20"/>
                <w:color w:val="auto"/>
              </w:rPr>
            </w:pPr>
            <w:r>
              <w:rPr>
                <w:rFonts w:ascii="Arial" w:cs="Arial" w:eastAsia="Arial" w:hAnsi="Arial"/>
                <w:sz w:val="15"/>
                <w:szCs w:val="15"/>
                <w:color w:val="auto"/>
              </w:rPr>
              <w:t>Prior service credit recognition</w:t>
            </w:r>
          </w:p>
        </w:tc>
        <w:tc>
          <w:tcPr>
            <w:tcW w:w="69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376"/>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920" w:type="dxa"/>
            <w:vAlign w:val="bottom"/>
          </w:tcPr>
          <w:p>
            <w:pPr>
              <w:jc w:val="right"/>
              <w:ind w:right="4783"/>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69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86" w:right="139" w:bottom="1440" w:gutter="0" w:footer="0" w:header="0"/>
          <w:type w:val="continuous"/>
        </w:sectPr>
      </w:pPr>
    </w:p>
    <w:bookmarkStart w:id="107" w:name="page108"/>
    <w:bookmarkEnd w:id="107"/>
    <w:p>
      <w:pPr>
        <w:jc w:val="both"/>
        <w:ind w:left="9"/>
        <w:spacing w:after="0" w:line="242" w:lineRule="auto"/>
        <w:rPr>
          <w:sz w:val="20"/>
          <w:szCs w:val="20"/>
          <w:color w:val="auto"/>
        </w:rPr>
      </w:pPr>
      <w:r>
        <w:rPr>
          <w:rFonts w:ascii="Arial" w:cs="Arial" w:eastAsia="Arial" w:hAnsi="Arial"/>
          <w:sz w:val="17"/>
          <w:szCs w:val="17"/>
          <w:b w:val="1"/>
          <w:bCs w:val="1"/>
          <w:color w:val="auto"/>
        </w:rPr>
        <w:t>Multiemployer Pension Plans</w:t>
      </w:r>
      <w:r>
        <w:rPr>
          <w:rFonts w:ascii="Arial" w:cs="Arial" w:eastAsia="Arial" w:hAnsi="Arial"/>
          <w:sz w:val="17"/>
          <w:szCs w:val="17"/>
          <w:color w:val="auto"/>
        </w:rPr>
        <w:t>. The Company contributes to a number of multiemployer defined benefit pension plans under the terms of collective-bargaining agreements that cover certain union-represented employees. The risks of participating in these multiemployer pension plans are different fr single-employer plans as follows:</w:t>
      </w:r>
    </w:p>
    <w:p>
      <w:pPr>
        <w:spacing w:after="0" w:line="37" w:lineRule="exact"/>
        <w:rPr>
          <w:sz w:val="20"/>
          <w:szCs w:val="20"/>
          <w:color w:val="auto"/>
        </w:rPr>
      </w:pPr>
    </w:p>
    <w:p>
      <w:pPr>
        <w:ind w:left="269" w:hanging="269"/>
        <w:spacing w:after="0"/>
        <w:tabs>
          <w:tab w:leader="none" w:pos="2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Assets contributed to the multiemployer pension plan by one employer may be used to provide benefits to employees of other participating employ</w:t>
      </w:r>
    </w:p>
    <w:p>
      <w:pPr>
        <w:spacing w:after="0" w:line="51" w:lineRule="exact"/>
        <w:rPr>
          <w:rFonts w:ascii="Arial" w:cs="Arial" w:eastAsia="Arial" w:hAnsi="Arial"/>
          <w:sz w:val="16"/>
          <w:szCs w:val="16"/>
          <w:color w:val="auto"/>
        </w:rPr>
      </w:pPr>
    </w:p>
    <w:p>
      <w:pPr>
        <w:ind w:left="269" w:hanging="269"/>
        <w:spacing w:after="0"/>
        <w:tabs>
          <w:tab w:leader="none" w:pos="26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the plan, the unfunded obligations of the plan may be borne by the remaining participating employe</w:t>
      </w:r>
    </w:p>
    <w:p>
      <w:pPr>
        <w:spacing w:after="0" w:line="51" w:lineRule="exact"/>
        <w:rPr>
          <w:rFonts w:ascii="Arial" w:cs="Arial" w:eastAsia="Arial" w:hAnsi="Arial"/>
          <w:sz w:val="16"/>
          <w:szCs w:val="16"/>
          <w:color w:val="auto"/>
        </w:rPr>
      </w:pPr>
    </w:p>
    <w:p>
      <w:pPr>
        <w:ind w:left="289" w:hanging="289"/>
        <w:spacing w:after="0" w:line="235" w:lineRule="auto"/>
        <w:tabs>
          <w:tab w:leader="none" w:pos="2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the Company chooses to stop participating in some of its multiemployer pension plans, the Company may be required to pay those plans an amo based on the underfunded status of the plan, referred to as a withdrawal liability.</w:t>
      </w:r>
    </w:p>
    <w:p>
      <w:pPr>
        <w:spacing w:after="0" w:line="176"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The Company, through The Washington Post and The Daily Herald newspapers, contributed to the CWA/ITU Negotiated Pension Plan (Employer Identification Number – 13-6212879, Plan Number 001) on behalf of mailers, helpers and utility mailers. As of December 31, 2010 and 2009, the CWA Negotiated Pension Plan (the Plan) was in critical (red) status as currently defined by the Pension Protection Act of 2006, and a rehabilitation plan was effect. There are no surcharges for employers who have adopted the rehabilitation plan, and there is no minimum contribution requirement other than normal requirement to contribute as provided in the collective bargaining agreement. The Company’s collective bargaining agreement expired on May 2003. The Company’s contributions to the Plan amounted to $0.1 million in 2011, $0.6 million in 2010 and $0.7 million in 2009. The Washington Post listed in the Plan’s Form 5500 as providing more than 5% of the total contribution to the Plan for the years ended December 31, 2010 and 2009.</w:t>
      </w:r>
    </w:p>
    <w:p>
      <w:pPr>
        <w:spacing w:after="0" w:line="174"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In 2010, The Washington Post notified the union and the Plan of its unilateral withdrawal from the Plan effective November 30, 2010. In connection wit action, The Washington Post recorded a $20.4 million charge in 2010 based on an estimate of the withdrawal liability. In 2011, the Daily Herald notifie union and the Plan of its unilateral withdrawal from the Plan effective December 18, 2011. In connection with this action, The Daily Herald recorded a million charge in 2011 based on an estimate of the withdrawal liability. Payment of the actual withdrawal liability will relieve The Washington Post and Daily Herald of further liability to the Plan absent certain circumstances prescribed by law.</w:t>
      </w:r>
    </w:p>
    <w:p>
      <w:pPr>
        <w:spacing w:after="0" w:line="176"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Company’s total contributions to multiemployer pension plans that are not individually significant amounted to $0.3 million in 2011, $0.4 million in and $0.4 million in 2009. The Company’s total contributions to all multiemployer pension plans amounted to $0.4 million in 2011, $1.0 million in 2010 a $1.1 million in 2009.</w:t>
      </w:r>
    </w:p>
    <w:p>
      <w:pPr>
        <w:spacing w:after="0" w:line="155" w:lineRule="exact"/>
        <w:rPr>
          <w:sz w:val="20"/>
          <w:szCs w:val="20"/>
          <w:color w:val="auto"/>
        </w:rPr>
      </w:pPr>
    </w:p>
    <w:p>
      <w:pPr>
        <w:ind w:left="9" w:right="60"/>
        <w:spacing w:after="0" w:line="255" w:lineRule="auto"/>
        <w:rPr>
          <w:sz w:val="20"/>
          <w:szCs w:val="20"/>
          <w:color w:val="auto"/>
        </w:rPr>
      </w:pPr>
      <w:r>
        <w:rPr>
          <w:rFonts w:ascii="Arial" w:cs="Arial" w:eastAsia="Arial" w:hAnsi="Arial"/>
          <w:sz w:val="17"/>
          <w:szCs w:val="17"/>
          <w:b w:val="1"/>
          <w:bCs w:val="1"/>
          <w:color w:val="auto"/>
        </w:rPr>
        <w:t xml:space="preserve">Savings Plans. </w:t>
      </w:r>
      <w:r>
        <w:rPr>
          <w:rFonts w:ascii="Arial" w:cs="Arial" w:eastAsia="Arial" w:hAnsi="Arial"/>
          <w:sz w:val="17"/>
          <w:szCs w:val="17"/>
          <w:color w:val="auto"/>
        </w:rPr>
        <w:t>The Company recorded expense associated with retirement benefits provided under incentive savings plans (primarily 401(k) plans)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$20.9 million in 2011, $19.1 million in 2010 and $19.9 million in 2009.</w:t>
      </w:r>
    </w:p>
    <w:p>
      <w:pPr>
        <w:spacing w:after="0" w:line="143" w:lineRule="exact"/>
        <w:rPr>
          <w:sz w:val="20"/>
          <w:szCs w:val="20"/>
          <w:color w:val="auto"/>
        </w:rPr>
      </w:pPr>
    </w:p>
    <w:p>
      <w:pPr>
        <w:ind w:left="409" w:hanging="409"/>
        <w:spacing w:after="0"/>
        <w:tabs>
          <w:tab w:leader="none" w:pos="409"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OTHER NON-OPERATING (EXPENSE) INCOME</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A summary of non-operating (expense) income for the years ended December 31, 2011, January 2, 2011 and January 3, 2010 follows:</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2"/>
                <w:szCs w:val="12"/>
                <w:color w:val="auto"/>
              </w:rPr>
              <w:t>(in thousands)</w:t>
            </w:r>
          </w:p>
        </w:tc>
        <w:tc>
          <w:tcPr>
            <w:tcW w:w="4500" w:type="dxa"/>
            <w:vAlign w:val="bottom"/>
          </w:tcPr>
          <w:p>
            <w:pPr>
              <w:jc w:val="right"/>
              <w:ind w:right="418"/>
              <w:spacing w:after="0"/>
              <w:rPr>
                <w:sz w:val="20"/>
                <w:szCs w:val="20"/>
                <w:color w:val="auto"/>
              </w:rPr>
            </w:pPr>
            <w:r>
              <w:rPr>
                <w:rFonts w:ascii="Arial" w:cs="Arial" w:eastAsia="Arial" w:hAnsi="Arial"/>
                <w:sz w:val="12"/>
                <w:szCs w:val="12"/>
                <w:b w:val="1"/>
                <w:bCs w:val="1"/>
                <w:color w:val="auto"/>
              </w:rPr>
              <w:t>2011</w:t>
            </w:r>
          </w:p>
        </w:tc>
        <w:tc>
          <w:tcPr>
            <w:tcW w:w="1260" w:type="dxa"/>
            <w:vAlign w:val="bottom"/>
          </w:tcPr>
          <w:p>
            <w:pPr>
              <w:jc w:val="right"/>
              <w:ind w:right="418"/>
              <w:spacing w:after="0"/>
              <w:rPr>
                <w:sz w:val="20"/>
                <w:szCs w:val="20"/>
                <w:color w:val="auto"/>
              </w:rPr>
            </w:pPr>
            <w:r>
              <w:rPr>
                <w:rFonts w:ascii="Arial" w:cs="Arial" w:eastAsia="Arial" w:hAnsi="Arial"/>
                <w:sz w:val="12"/>
                <w:szCs w:val="12"/>
                <w:color w:val="auto"/>
              </w:rPr>
              <w:t>2010</w:t>
            </w:r>
          </w:p>
        </w:tc>
        <w:tc>
          <w:tcPr>
            <w:tcW w:w="660" w:type="dxa"/>
            <w:vAlign w:val="bottom"/>
          </w:tcPr>
          <w:p>
            <w:pPr>
              <w:jc w:val="right"/>
              <w:spacing w:after="0"/>
              <w:rPr>
                <w:sz w:val="20"/>
                <w:szCs w:val="20"/>
                <w:color w:val="auto"/>
              </w:rPr>
            </w:pPr>
            <w:r>
              <w:rPr>
                <w:rFonts w:ascii="Arial" w:cs="Arial" w:eastAsia="Arial" w:hAnsi="Arial"/>
                <w:sz w:val="12"/>
                <w:szCs w:val="12"/>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95325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9"/>
          </w:cols>
          <w:pgMar w:left="811" w:top="615" w:right="139" w:bottom="1440" w:gutter="0" w:footer="0" w:header="0"/>
        </w:sectPr>
      </w:pPr>
    </w:p>
    <w:p>
      <w:pPr>
        <w:spacing w:after="0" w:line="3" w:lineRule="exact"/>
        <w:rPr>
          <w:sz w:val="20"/>
          <w:szCs w:val="20"/>
          <w:color w:val="auto"/>
        </w:rPr>
      </w:pPr>
    </w:p>
    <w:p>
      <w:pPr>
        <w:ind w:left="9"/>
        <w:spacing w:after="0"/>
        <w:rPr>
          <w:sz w:val="20"/>
          <w:szCs w:val="20"/>
          <w:color w:val="auto"/>
        </w:rPr>
      </w:pPr>
      <w:r>
        <w:rPr>
          <w:rFonts w:ascii="Arial" w:cs="Arial" w:eastAsia="Arial" w:hAnsi="Arial"/>
          <w:sz w:val="14"/>
          <w:szCs w:val="14"/>
          <w:color w:val="auto"/>
        </w:rPr>
        <w:t>Impairment write-down on a marketable equity security</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5"/>
          <w:szCs w:val="15"/>
          <w:color w:val="auto"/>
        </w:rPr>
        <w:t>Foreign currency (losses) gains, net</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Gain on sale of a cost method investment</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Impairment write-downs on cost method investments</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Other, net</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5"/>
          <w:szCs w:val="15"/>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300" w:type="dxa"/>
            <w:vAlign w:val="bottom"/>
          </w:tcPr>
          <w:p>
            <w:pPr>
              <w:jc w:val="right"/>
              <w:ind w:right="66"/>
              <w:spacing w:after="0" w:line="159" w:lineRule="exact"/>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86"/>
              <w:spacing w:after="0" w:line="159" w:lineRule="exact"/>
              <w:rPr>
                <w:sz w:val="20"/>
                <w:szCs w:val="20"/>
                <w:color w:val="auto"/>
              </w:rPr>
            </w:pPr>
            <w:r>
              <w:rPr>
                <w:rFonts w:ascii="Arial" w:cs="Arial" w:eastAsia="Arial" w:hAnsi="Arial"/>
                <w:sz w:val="15"/>
                <w:szCs w:val="15"/>
                <w:b w:val="1"/>
                <w:bCs w:val="1"/>
                <w:color w:val="auto"/>
              </w:rPr>
              <w:t>(53,793)</w:t>
            </w:r>
          </w:p>
        </w:tc>
        <w:tc>
          <w:tcPr>
            <w:tcW w:w="480" w:type="dxa"/>
            <w:vAlign w:val="bottom"/>
          </w:tcPr>
          <w:p>
            <w:pPr>
              <w:jc w:val="right"/>
              <w:ind w:right="146"/>
              <w:spacing w:after="0" w:line="159" w:lineRule="exact"/>
              <w:rPr>
                <w:sz w:val="20"/>
                <w:szCs w:val="20"/>
                <w:color w:val="auto"/>
              </w:rPr>
            </w:pPr>
            <w:r>
              <w:rPr>
                <w:rFonts w:ascii="Arial" w:cs="Arial" w:eastAsia="Arial" w:hAnsi="Arial"/>
                <w:sz w:val="15"/>
                <w:szCs w:val="15"/>
                <w:color w:val="auto"/>
              </w:rPr>
              <w:t>$</w:t>
            </w:r>
          </w:p>
        </w:tc>
        <w:tc>
          <w:tcPr>
            <w:tcW w:w="760" w:type="dxa"/>
            <w:vAlign w:val="bottom"/>
          </w:tcPr>
          <w:p>
            <w:pPr>
              <w:jc w:val="right"/>
              <w:ind w:right="86"/>
              <w:spacing w:after="0" w:line="159" w:lineRule="exact"/>
              <w:rPr>
                <w:sz w:val="20"/>
                <w:szCs w:val="20"/>
                <w:color w:val="auto"/>
              </w:rPr>
            </w:pPr>
            <w:r>
              <w:rPr>
                <w:rFonts w:ascii="Arial" w:cs="Arial" w:eastAsia="Arial" w:hAnsi="Arial"/>
                <w:sz w:val="15"/>
                <w:szCs w:val="15"/>
                <w:color w:val="auto"/>
              </w:rPr>
              <w:t>―</w:t>
            </w:r>
          </w:p>
        </w:tc>
        <w:tc>
          <w:tcPr>
            <w:tcW w:w="640" w:type="dxa"/>
            <w:vAlign w:val="bottom"/>
          </w:tcPr>
          <w:p>
            <w:pPr>
              <w:jc w:val="right"/>
              <w:ind w:right="306"/>
              <w:spacing w:after="0" w:line="159" w:lineRule="exact"/>
              <w:rPr>
                <w:sz w:val="20"/>
                <w:szCs w:val="20"/>
                <w:color w:val="auto"/>
              </w:rPr>
            </w:pPr>
            <w:r>
              <w:rPr>
                <w:rFonts w:ascii="Arial" w:cs="Arial" w:eastAsia="Arial" w:hAnsi="Arial"/>
                <w:sz w:val="15"/>
                <w:szCs w:val="15"/>
                <w:color w:val="auto"/>
              </w:rPr>
              <w:t>$</w:t>
            </w:r>
          </w:p>
        </w:tc>
      </w:tr>
      <w:tr>
        <w:trPr>
          <w:trHeight w:val="174"/>
        </w:trPr>
        <w:tc>
          <w:tcPr>
            <w:tcW w:w="300" w:type="dxa"/>
            <w:vAlign w:val="bottom"/>
          </w:tcPr>
          <w:p>
            <w:pPr>
              <w:spacing w:after="0"/>
              <w:rPr>
                <w:sz w:val="15"/>
                <w:szCs w:val="15"/>
                <w:color w:val="auto"/>
              </w:rPr>
            </w:pPr>
          </w:p>
        </w:tc>
        <w:tc>
          <w:tcPr>
            <w:tcW w:w="860" w:type="dxa"/>
            <w:vAlign w:val="bottom"/>
          </w:tcPr>
          <w:p>
            <w:pPr>
              <w:jc w:val="right"/>
              <w:ind w:right="86"/>
              <w:spacing w:after="0"/>
              <w:rPr>
                <w:sz w:val="20"/>
                <w:szCs w:val="20"/>
                <w:color w:val="auto"/>
              </w:rPr>
            </w:pPr>
            <w:r>
              <w:rPr>
                <w:rFonts w:ascii="Arial" w:cs="Arial" w:eastAsia="Arial" w:hAnsi="Arial"/>
                <w:sz w:val="15"/>
                <w:szCs w:val="15"/>
                <w:b w:val="1"/>
                <w:bCs w:val="1"/>
                <w:color w:val="auto"/>
              </w:rPr>
              <w:t>(3,263)</w:t>
            </w:r>
          </w:p>
        </w:tc>
        <w:tc>
          <w:tcPr>
            <w:tcW w:w="4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5"/>
                <w:szCs w:val="15"/>
                <w:color w:val="auto"/>
              </w:rPr>
              <w:t>6,705</w:t>
            </w:r>
          </w:p>
        </w:tc>
        <w:tc>
          <w:tcPr>
            <w:tcW w:w="64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860" w:type="dxa"/>
            <w:vAlign w:val="bottom"/>
          </w:tcPr>
          <w:p>
            <w:pPr>
              <w:jc w:val="right"/>
              <w:ind w:right="86"/>
              <w:spacing w:after="0"/>
              <w:rPr>
                <w:sz w:val="20"/>
                <w:szCs w:val="20"/>
                <w:color w:val="auto"/>
              </w:rPr>
            </w:pPr>
            <w:r>
              <w:rPr>
                <w:rFonts w:ascii="Arial" w:cs="Arial" w:eastAsia="Arial" w:hAnsi="Arial"/>
                <w:sz w:val="15"/>
                <w:szCs w:val="15"/>
                <w:b w:val="1"/>
                <w:bCs w:val="1"/>
                <w:color w:val="auto"/>
              </w:rPr>
              <w:t>4,031</w:t>
            </w:r>
          </w:p>
        </w:tc>
        <w:tc>
          <w:tcPr>
            <w:tcW w:w="4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860" w:type="dxa"/>
            <w:vAlign w:val="bottom"/>
          </w:tcPr>
          <w:p>
            <w:pPr>
              <w:jc w:val="right"/>
              <w:ind w:right="86"/>
              <w:spacing w:after="0"/>
              <w:rPr>
                <w:sz w:val="20"/>
                <w:szCs w:val="20"/>
                <w:color w:val="auto"/>
              </w:rPr>
            </w:pPr>
            <w:r>
              <w:rPr>
                <w:rFonts w:ascii="Arial" w:cs="Arial" w:eastAsia="Arial" w:hAnsi="Arial"/>
                <w:sz w:val="15"/>
                <w:szCs w:val="15"/>
                <w:b w:val="1"/>
                <w:bCs w:val="1"/>
                <w:color w:val="auto"/>
              </w:rPr>
              <w:t>(3,612)</w:t>
            </w:r>
          </w:p>
        </w:tc>
        <w:tc>
          <w:tcPr>
            <w:tcW w:w="480" w:type="dxa"/>
            <w:vAlign w:val="bottom"/>
          </w:tcPr>
          <w:p>
            <w:pPr>
              <w:spacing w:after="0"/>
              <w:rPr>
                <w:sz w:val="15"/>
                <w:szCs w:val="15"/>
                <w:color w:val="auto"/>
              </w:rPr>
            </w:pPr>
          </w:p>
        </w:tc>
        <w:tc>
          <w:tcPr>
            <w:tcW w:w="7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1,437</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810</w:t>
            </w:r>
          </w:p>
        </w:tc>
        <w:tc>
          <w:tcPr>
            <w:tcW w:w="640" w:type="dxa"/>
            <w:vAlign w:val="bottom"/>
            <w:tcBorders>
              <w:bottom w:val="single" w:sz="8" w:color="auto"/>
            </w:tcBorders>
          </w:tcPr>
          <w:p>
            <w:pPr>
              <w:spacing w:after="0"/>
              <w:rPr>
                <w:sz w:val="16"/>
                <w:szCs w:val="16"/>
                <w:color w:val="auto"/>
              </w:rPr>
            </w:pPr>
          </w:p>
        </w:tc>
      </w:tr>
      <w:tr>
        <w:trPr>
          <w:trHeight w:val="166"/>
        </w:trPr>
        <w:tc>
          <w:tcPr>
            <w:tcW w:w="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(55,200)</w:t>
            </w:r>
          </w:p>
        </w:tc>
        <w:tc>
          <w:tcPr>
            <w:tcW w:w="4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7,515</w:t>
            </w:r>
          </w:p>
        </w:tc>
        <w:tc>
          <w:tcPr>
            <w:tcW w:w="640" w:type="dxa"/>
            <w:vAlign w:val="bottom"/>
            <w:tcBorders>
              <w:bottom w:val="single" w:sz="8" w:color="auto"/>
            </w:tcBorders>
          </w:tcPr>
          <w:p>
            <w:pPr>
              <w:jc w:val="right"/>
              <w:ind w:right="306"/>
              <w:spacing w:after="0" w:line="167" w:lineRule="exact"/>
              <w:rPr>
                <w:sz w:val="20"/>
                <w:szCs w:val="20"/>
                <w:color w:val="auto"/>
              </w:rPr>
            </w:pPr>
            <w:r>
              <w:rPr>
                <w:rFonts w:ascii="Arial" w:cs="Arial" w:eastAsia="Arial" w:hAnsi="Arial"/>
                <w:sz w:val="15"/>
                <w:szCs w:val="15"/>
                <w:color w:val="auto"/>
              </w:rPr>
              <w:t>$</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189" w:space="720"/>
            <w:col w:w="3040"/>
          </w:cols>
          <w:pgMar w:left="811" w:top="615" w:right="139" w:bottom="1440" w:gutter="0" w:footer="0" w:header="0"/>
          <w:type w:val="continuous"/>
        </w:sectPr>
      </w:pPr>
    </w:p>
    <w:p>
      <w:pPr>
        <w:jc w:val="center"/>
        <w:ind w:left="114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86360</wp:posOffset>
            </wp:positionV>
            <wp:extent cx="727837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15" w:right="139" w:bottom="1440" w:gutter="0" w:footer="0" w:header="0"/>
          <w:type w:val="continuous"/>
        </w:sectPr>
      </w:pPr>
    </w:p>
    <w:bookmarkStart w:id="108" w:name="page109"/>
    <w:bookmarkEnd w:id="108"/>
    <w:p>
      <w:pPr>
        <w:ind w:left="409" w:hanging="409"/>
        <w:spacing w:after="0"/>
        <w:tabs>
          <w:tab w:leader="none" w:pos="40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LEASES AND OTHER COMMITMENTS</w:t>
      </w:r>
    </w:p>
    <w:p>
      <w:pPr>
        <w:spacing w:after="0" w:line="197"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Company leases real property under operating agreements. Many of the leases contain renewal options and escalation clauses that require paym of additional rent to the extent of increases in the related operating costs.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 December 31, 2011, future minimum rental payments under noncancelable operating leases approximate the following:</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2"/>
          <w:szCs w:val="12"/>
          <w:color w:val="auto"/>
        </w:rPr>
        <w:t>(in thousands)</w:t>
      </w:r>
    </w:p>
    <w:tbl>
      <w:tblPr>
        <w:tblLayout w:type="fixed"/>
        <w:tblInd w:w="9" w:type="dxa"/>
        <w:tblCellMar>
          <w:top w:w="0" w:type="dxa"/>
          <w:left w:w="0" w:type="dxa"/>
          <w:bottom w:w="0" w:type="dxa"/>
          <w:right w:w="0" w:type="dxa"/>
        </w:tblCellMar>
      </w:tblPr>
      <w:tr>
        <w:trPr>
          <w:trHeight w:val="168"/>
        </w:trPr>
        <w:tc>
          <w:tcPr>
            <w:tcW w:w="1030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2012</w:t>
            </w:r>
          </w:p>
        </w:tc>
        <w:tc>
          <w:tcPr>
            <w:tcW w:w="340" w:type="dxa"/>
            <w:vAlign w:val="bottom"/>
            <w:tcBorders>
              <w:top w:val="single" w:sz="8" w:color="auto"/>
            </w:tcBorders>
          </w:tcPr>
          <w:p>
            <w:pPr>
              <w:jc w:val="right"/>
              <w:ind w:right="126"/>
              <w:spacing w:after="0" w:line="168"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1</w:t>
            </w: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2013</w:t>
            </w:r>
          </w:p>
        </w:tc>
        <w:tc>
          <w:tcPr>
            <w:tcW w:w="3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2015</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2"/>
        </w:trPr>
        <w:tc>
          <w:tcPr>
            <w:tcW w:w="10300" w:type="dxa"/>
            <w:vAlign w:val="bottom"/>
          </w:tcPr>
          <w:p>
            <w:pPr>
              <w:spacing w:after="0"/>
              <w:rPr>
                <w:sz w:val="20"/>
                <w:szCs w:val="20"/>
                <w:color w:val="auto"/>
              </w:rPr>
            </w:pPr>
            <w:r>
              <w:rPr>
                <w:rFonts w:ascii="Arial" w:cs="Arial" w:eastAsia="Arial" w:hAnsi="Arial"/>
                <w:sz w:val="15"/>
                <w:szCs w:val="15"/>
                <w:color w:val="auto"/>
              </w:rPr>
              <w:t>Thereafter</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66"/>
        </w:trPr>
        <w:tc>
          <w:tcPr>
            <w:tcW w:w="10300" w:type="dxa"/>
            <w:vAlign w:val="bottom"/>
          </w:tcPr>
          <w:p>
            <w:pPr>
              <w:spacing w:after="0"/>
              <w:rPr>
                <w:sz w:val="14"/>
                <w:szCs w:val="14"/>
                <w:color w:val="auto"/>
              </w:rPr>
            </w:pPr>
          </w:p>
        </w:tc>
        <w:tc>
          <w:tcPr>
            <w:tcW w:w="3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r>
      <w:tr>
        <w:trPr>
          <w:trHeight w:val="20"/>
        </w:trPr>
        <w:tc>
          <w:tcPr>
            <w:tcW w:w="10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9"/>
        <w:spacing w:after="0"/>
        <w:rPr>
          <w:sz w:val="20"/>
          <w:szCs w:val="20"/>
          <w:color w:val="auto"/>
        </w:rPr>
      </w:pPr>
      <w:r>
        <w:rPr>
          <w:rFonts w:ascii="Arial" w:cs="Arial" w:eastAsia="Arial" w:hAnsi="Arial"/>
          <w:sz w:val="17"/>
          <w:szCs w:val="17"/>
          <w:color w:val="auto"/>
        </w:rPr>
        <w:t>Minimum payments have not been reduced by minimum sublease rentals of $14.5 million due in the future under noncancelable subleases.</w:t>
      </w:r>
    </w:p>
    <w:p>
      <w:pPr>
        <w:spacing w:after="0" w:line="177" w:lineRule="exact"/>
        <w:rPr>
          <w:sz w:val="20"/>
          <w:szCs w:val="20"/>
          <w:color w:val="auto"/>
        </w:rPr>
      </w:pPr>
    </w:p>
    <w:p>
      <w:pPr>
        <w:jc w:val="both"/>
        <w:ind w:left="9" w:right="40"/>
        <w:spacing w:after="0" w:line="233" w:lineRule="auto"/>
        <w:rPr>
          <w:sz w:val="20"/>
          <w:szCs w:val="20"/>
          <w:color w:val="auto"/>
        </w:rPr>
      </w:pPr>
      <w:r>
        <w:rPr>
          <w:rFonts w:ascii="Arial" w:cs="Arial" w:eastAsia="Arial" w:hAnsi="Arial"/>
          <w:sz w:val="17"/>
          <w:szCs w:val="17"/>
          <w:color w:val="auto"/>
        </w:rPr>
        <w:t>Rent expense under operating leases, including a portion reported in discontinued operations, was approximately $127.8 million, $134.0 million and $ million in 2011, 2010 and 2009, respectively. Sublease income was approximately $2.7 million, $0.5 million and $0.7 million in 2011, 2010 and 2009, respectively.</w:t>
      </w:r>
    </w:p>
    <w:p>
      <w:pPr>
        <w:spacing w:after="0" w:line="175"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The Company’s broadcast subsidiaries are parties to certain agreements that commit them to purchase programming to be produced in future years. December 31, 2011, such commitments amounted to approximately $33.7 million. If such programs are not produced, the Company’s commitment wo expire without obligation.</w:t>
      </w:r>
    </w:p>
    <w:p>
      <w:pPr>
        <w:spacing w:after="0" w:line="155" w:lineRule="exact"/>
        <w:rPr>
          <w:sz w:val="20"/>
          <w:szCs w:val="20"/>
          <w:color w:val="auto"/>
        </w:rPr>
      </w:pPr>
    </w:p>
    <w:p>
      <w:pPr>
        <w:ind w:left="409" w:hanging="409"/>
        <w:spacing w:after="0"/>
        <w:tabs>
          <w:tab w:leader="none" w:pos="409"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w:t>
      </w:r>
    </w:p>
    <w:p>
      <w:pPr>
        <w:spacing w:after="0" w:line="177" w:lineRule="exact"/>
        <w:rPr>
          <w:sz w:val="20"/>
          <w:szCs w:val="20"/>
          <w:color w:val="auto"/>
        </w:rPr>
      </w:pPr>
    </w:p>
    <w:p>
      <w:pPr>
        <w:jc w:val="both"/>
        <w:ind w:left="9"/>
        <w:spacing w:after="0" w:line="249" w:lineRule="auto"/>
        <w:rPr>
          <w:sz w:val="20"/>
          <w:szCs w:val="20"/>
          <w:color w:val="auto"/>
        </w:rPr>
      </w:pPr>
      <w:r>
        <w:rPr>
          <w:rFonts w:ascii="Arial" w:cs="Arial" w:eastAsia="Arial" w:hAnsi="Arial"/>
          <w:sz w:val="16"/>
          <w:szCs w:val="16"/>
          <w:b w:val="1"/>
          <w:bCs w:val="1"/>
          <w:color w:val="auto"/>
        </w:rPr>
        <w:t>Litigation and Legal Matters</w:t>
      </w:r>
      <w:r>
        <w:rPr>
          <w:rFonts w:ascii="Arial" w:cs="Arial" w:eastAsia="Arial" w:hAnsi="Arial"/>
          <w:sz w:val="16"/>
          <w:szCs w:val="16"/>
          <w:color w:val="auto"/>
        </w:rPr>
        <w:t>. The Company and its subsidiaries are subject to the items listed below, other complaints and administrative proceedin</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defendants in various other civil lawsuits that have arisen in the ordinary course of their businesses, including contract disputes; actions allegi negligence, libel, invasion of privacy, trademark, copyright and patent infringement; U.S. Federal False Claims Act (False Claim Act) violations; violatio applicable wage and hour laws; and statutory or common law claims involving current and former students and employees. Although the outcome of t legal claims and proceedings against the Company cannot be predicted with certainty, based on currently available information, management believes there are no existing claims or proceedings that are likely to have a material effect on the Company’s business, financial condition, results of operation cash flows. Also, based on currently available information, management is of the opinion that the exposure to future material losses from existing lega proceedings is not reasonably possible, or that future material losses in excess of the amounts accrued are not reasonably possible.</w:t>
      </w:r>
    </w:p>
    <w:p>
      <w:pPr>
        <w:spacing w:after="0" w:line="168" w:lineRule="exact"/>
        <w:rPr>
          <w:sz w:val="20"/>
          <w:szCs w:val="20"/>
          <w:color w:val="auto"/>
        </w:rPr>
      </w:pPr>
    </w:p>
    <w:p>
      <w:pPr>
        <w:jc w:val="both"/>
        <w:ind w:left="9"/>
        <w:spacing w:after="0" w:line="228" w:lineRule="auto"/>
        <w:rPr>
          <w:sz w:val="20"/>
          <w:szCs w:val="20"/>
          <w:color w:val="auto"/>
        </w:rPr>
      </w:pPr>
      <w:r>
        <w:rPr>
          <w:rFonts w:ascii="Arial" w:cs="Arial" w:eastAsia="Arial" w:hAnsi="Arial"/>
          <w:sz w:val="17"/>
          <w:szCs w:val="17"/>
          <w:color w:val="auto"/>
        </w:rPr>
        <w:t>A purported class action complaint was filed against the Company, Donald E. Graham and Hal S. Jones on October 28, 2010, in the U.S. District Cour the District of Columbia, by the Plumbers Local #200 Pension Fund. The complaint alleged that the Company and certain of its officers made materiall and misleading statements, or failed to disclose</w:t>
      </w:r>
    </w:p>
    <w:p>
      <w:pPr>
        <w:spacing w:after="0" w:line="1"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material facts relating to KHE, in violation of the federal securities laws. The complaint sought damages, attorneys’ fees, costs and equitable/injunctive The Company moved to dismiss the complaint, and on December 23, 2011, the court granted the Company’s motion and dismissed the case with prej On January 25, 2012, the Plaintiff filed a motion seeking to leave to amend or alter that final judgment; the Company has opposed the motion.</w:t>
      </w:r>
    </w:p>
    <w:p>
      <w:pPr>
        <w:spacing w:after="0" w:line="167" w:lineRule="exact"/>
        <w:rPr>
          <w:sz w:val="20"/>
          <w:szCs w:val="20"/>
          <w:color w:val="auto"/>
        </w:rPr>
      </w:pPr>
    </w:p>
    <w:p>
      <w:pPr>
        <w:ind w:left="9"/>
        <w:spacing w:after="0" w:line="246" w:lineRule="auto"/>
        <w:rPr>
          <w:sz w:val="20"/>
          <w:szCs w:val="20"/>
          <w:color w:val="auto"/>
        </w:rPr>
      </w:pPr>
      <w:r>
        <w:rPr>
          <w:rFonts w:ascii="Arial" w:cs="Arial" w:eastAsia="Arial" w:hAnsi="Arial"/>
          <w:sz w:val="16"/>
          <w:szCs w:val="16"/>
          <w:color w:val="auto"/>
        </w:rPr>
        <w:t>On February 6, 2008, a purported class action lawsuit was filed in the U.S. District Court for the Central District of California by purchasers of BAR/BR review courses from July 2006 onwards alleging antitrust claims against Kaplan and West Publishing Corporation, BAR/BRI’s former owner. On April 1 2008, the court granted defendants’ motion to dismiss. On May 7, 2008, the plaintiffs filed an appeal to the U.S. Court of Appeals for the Ninth Circuit. October 18, 2010, the parties entered into a stipulation and settlement agreement. The District Court granted preliminary approval of this proposed settlement on March 21, 2011, but denied final approval thereof on July 1, 2011. On November 7, 2011, the Ninth Circuit reversed the District Court’s of dismissal, but stayed the mandate and referred the matter to the Ninth Circuit mediator for renewed settlement discussions.</w:t>
      </w:r>
    </w:p>
    <w:p>
      <w:pPr>
        <w:spacing w:after="0" w:line="172"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On or about January 17, 2008, an Assistant U.S. Attorney in the Civil Division of the U.S. Attorney’s Office for the Eastern District of Pennsylvania cont KHE’s CHI-Broomall campus and made inquiries about the Surgical Technology program, including the program’s eligibility for Title IV U.S. Federal fin aid, the program’s student loan defaults,</w:t>
      </w:r>
    </w:p>
    <w:p>
      <w:pPr>
        <w:spacing w:after="0" w:line="175"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sectPr>
      </w:pPr>
    </w:p>
    <w:bookmarkStart w:id="109" w:name="page110"/>
    <w:bookmarkEnd w:id="109"/>
    <w:p>
      <w:pPr>
        <w:spacing w:after="0" w:line="245" w:lineRule="auto"/>
        <w:rPr>
          <w:sz w:val="20"/>
          <w:szCs w:val="20"/>
          <w:color w:val="auto"/>
        </w:rPr>
      </w:pPr>
      <w:r>
        <w:rPr>
          <w:rFonts w:ascii="Arial" w:cs="Arial" w:eastAsia="Arial" w:hAnsi="Arial"/>
          <w:sz w:val="16"/>
          <w:szCs w:val="16"/>
          <w:color w:val="auto"/>
        </w:rPr>
        <w:t>licensing and accreditation. Kaplan responded to the information requests and fully cooperated with the inquiry. The U.S. Department of Education (D also conducted a program review at the CHI-Broomall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DOE’s program review, and also settled a previously sealed False Claims Act complaint (31 U.S.C. § 3729, et seq.) that had been filed by a former employee of the CHI-Broomall campus. The total amount of all required payment CHI-Broomall under the agreements was $1.6 million. Pursuant to the comprehensive settlement agreement, the U.S. Attorney inquiry has been close DOE will issue a final program review determination, and the False Claims Act complaint (United States of America ex rel. David Goodstein v. Kaplan, et al. (unsealed July 22, 2011)) was unsealed and will be dismissed with prejudice. At this time, Kaplan cannot predict the contents of the pending fina program review determination or the ultimate impact the proceedings may have on the CHI-Broomall campus or the KHE business generally.</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Several Kaplan subsidiaries were or are subject to four other unsealed cases filed by former employees that included, among other allegations, claims under the False Claims Act relating to eligibility for Title IV funding. The U.S. Government declined to intervene in all cases, and, as previously reporte court decisions in 2011 either dismissed the cases in their entirety or narrowed the scope of their allegations. The four cases are captioned: </w:t>
      </w:r>
      <w:r>
        <w:rPr>
          <w:rFonts w:ascii="Arial" w:cs="Arial" w:eastAsia="Arial" w:hAnsi="Arial"/>
          <w:sz w:val="17"/>
          <w:szCs w:val="17"/>
          <w:i w:val="1"/>
          <w:iCs w:val="1"/>
          <w:color w:val="auto"/>
        </w:rPr>
        <w:t>United 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Carlos Urquilla-Diaz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Kaplan University </w:t>
      </w:r>
      <w:r>
        <w:rPr>
          <w:rFonts w:ascii="Arial" w:cs="Arial" w:eastAsia="Arial" w:hAnsi="Arial"/>
          <w:sz w:val="17"/>
          <w:szCs w:val="17"/>
          <w:color w:val="auto"/>
        </w:rPr>
        <w:t>et al. (unsealed March 25,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Jorge Torres </w:t>
      </w:r>
      <w:r>
        <w:rPr>
          <w:rFonts w:ascii="Arial" w:cs="Arial" w:eastAsia="Arial" w:hAnsi="Arial"/>
          <w:sz w:val="17"/>
          <w:szCs w:val="17"/>
          <w:color w:val="auto"/>
        </w:rPr>
        <w:t>v.</w:t>
      </w:r>
      <w:r>
        <w:rPr>
          <w:rFonts w:ascii="Arial" w:cs="Arial" w:eastAsia="Arial" w:hAnsi="Arial"/>
          <w:sz w:val="17"/>
          <w:szCs w:val="17"/>
          <w:i w:val="1"/>
          <w:iCs w:val="1"/>
          <w:color w:val="auto"/>
        </w:rPr>
        <w:t xml:space="preserve"> Kapl Higher Education Corp. </w:t>
      </w:r>
      <w:r>
        <w:rPr>
          <w:rFonts w:ascii="Arial" w:cs="Arial" w:eastAsia="Arial" w:hAnsi="Arial"/>
          <w:sz w:val="17"/>
          <w:szCs w:val="17"/>
          <w:color w:val="auto"/>
        </w:rPr>
        <w:t>(unsealed April 7,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Victoria Gatsiopoulos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ICM School of Business &amp; Medical Ca </w:t>
      </w:r>
      <w:r>
        <w:rPr>
          <w:rFonts w:ascii="Arial" w:cs="Arial" w:eastAsia="Arial" w:hAnsi="Arial"/>
          <w:sz w:val="17"/>
          <w:szCs w:val="17"/>
          <w:color w:val="auto"/>
        </w:rPr>
        <w:t xml:space="preserve">et al. (unsealed September 2, 2008); and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ex rel. </w:t>
      </w:r>
      <w:r>
        <w:rPr>
          <w:rFonts w:ascii="Arial" w:cs="Arial" w:eastAsia="Arial" w:hAnsi="Arial"/>
          <w:sz w:val="17"/>
          <w:szCs w:val="17"/>
          <w:i w:val="1"/>
          <w:iCs w:val="1"/>
          <w:color w:val="auto"/>
        </w:rPr>
        <w:t>Charles Jajdelski</w:t>
      </w:r>
      <w:r>
        <w:rPr>
          <w:rFonts w:ascii="Arial" w:cs="Arial" w:eastAsia="Arial" w:hAnsi="Arial"/>
          <w:sz w:val="17"/>
          <w:szCs w:val="17"/>
          <w:color w:val="auto"/>
        </w:rPr>
        <w:t xml:space="preserve"> v. </w:t>
      </w:r>
      <w:r>
        <w:rPr>
          <w:rFonts w:ascii="Arial" w:cs="Arial" w:eastAsia="Arial" w:hAnsi="Arial"/>
          <w:sz w:val="17"/>
          <w:szCs w:val="17"/>
          <w:i w:val="1"/>
          <w:iCs w:val="1"/>
          <w:color w:val="auto"/>
        </w:rPr>
        <w:t>Kaplan Higher Education Corp.</w:t>
      </w:r>
      <w:r>
        <w:rPr>
          <w:rFonts w:ascii="Arial" w:cs="Arial" w:eastAsia="Arial" w:hAnsi="Arial"/>
          <w:sz w:val="17"/>
          <w:szCs w:val="17"/>
          <w:color w:val="auto"/>
        </w:rPr>
        <w:t xml:space="preserve"> et al. (unsealed Januar 2009).</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On August 17, 2011, the U.S. District Court for the Southern District of Florida issued a series of rulings in the Diaz case, which included three separat complaints: Diaz, Wilcox and Gillespie. The court dismissed the Wilcox complaint in its entirety; dismissed all False Claims Act allegations in the Diaz leaving only an individual employment claim; and dismissed in part the Gillespie case, thereby limiting the scope and time frame of its False Claims Ac allegations regarding compliance with the U.S. Federal Rehabilitation Act. The case (now consisting of the individual employment claim in Diaz and th remaining False Claim Act allegations in Gillespie) is expected to proceed to the discovery and dispositive motion phases.</w:t>
      </w:r>
    </w:p>
    <w:p>
      <w:pPr>
        <w:spacing w:after="0" w:line="1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On August 23, 2011, the U.S. District Court for the Southern District of Florida dismissed the Torres case in its entirety and entered a final judgment in of Kaplan. That case has been appealed in the U.S. Court of Appeals for the 11th Judicial Circuit.</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On August 9, 2011, the U.S. District Court for the Southern District of Florida granted in part Kaplan’s motion to dismiss the Gatsiopoulos case, which the allegations in that case to alleged violations of federal incentive compensation regulations and so-called “70 percent rules” and an individual emplo claim, and limited the time frame applicable to these claims. Thereafter, the court recommended that the case be transferred back to its original jurisdi the U.S. District Court for the Western District of Pennsylvania, and the case was assigned to a judge in that venue in December 2011. The case is expected to proceed to the discovery and dispositive motion phases in that venue.</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July 7, 2011, the U.S. District Court for the District of Nevada dismissed the Jajdelski case in its entirety and entered a final judgment in favor of Ka That case is currently on appeal in the U.S. Circuit Court of Appeals for the Ninth Judicial Circuit.</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October 21, 2010, Kaplan Higher Education Corporation received a subpoena from the office of the Florida Attorney General. The subpoena soug information pertaining to the online and on-campus schools operated by KHE in and outside of Florida. KHE has cooperated with the Florida Attorney General and provided the information requested in the subpoena. KHE also may receive further requests for information from the Florida Attorney Gen The Company cannot predict the outcome of this inquiry.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December 21, 2010, the U.S. Equal Employment Opportunities Commission filed suit against Kaplan Higher Education Corporation in the U.S. Dis Court for the Northern District of Ohio, alleging racial bias by Kaplan in requesting credit scores of job applicants seeking financial positions. The Com believes that the complaint lacks merit. In March 2011, the court granted in part the Company’s motion to dismiss the complaint. Since that time, the c proceeding with the discovery phase.</w:t>
      </w:r>
    </w:p>
    <w:p>
      <w:pPr>
        <w:spacing w:after="0" w:line="175" w:lineRule="exact"/>
        <w:rPr>
          <w:sz w:val="20"/>
          <w:szCs w:val="20"/>
          <w:color w:val="auto"/>
        </w:rPr>
      </w:pPr>
    </w:p>
    <w:p>
      <w:pPr>
        <w:jc w:val="both"/>
        <w:ind w:right="20"/>
        <w:spacing w:after="0" w:line="228" w:lineRule="auto"/>
        <w:rPr>
          <w:sz w:val="20"/>
          <w:szCs w:val="20"/>
          <w:color w:val="auto"/>
        </w:rPr>
      </w:pPr>
      <w:r>
        <w:rPr>
          <w:rFonts w:ascii="Arial" w:cs="Arial" w:eastAsia="Arial" w:hAnsi="Arial"/>
          <w:sz w:val="17"/>
          <w:szCs w:val="17"/>
          <w:color w:val="auto"/>
        </w:rPr>
        <w:t>On February 7, 2011, Kaplan Higher Education Corporation received a Civil Investigative Demand from the Office of the Attorney General of the State Illinois. The demand primarily sought information pertaining to Kaplan University online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students who are residents of Illinois. KHE has cooperated with the Illinois Attorney General and provided the requested</w:t>
      </w:r>
    </w:p>
    <w:p>
      <w:pPr>
        <w:spacing w:after="0" w:line="17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10" w:name="page111"/>
    <w:bookmarkEnd w:id="110"/>
    <w:p>
      <w:pPr>
        <w:spacing w:after="0" w:line="235" w:lineRule="auto"/>
        <w:rPr>
          <w:sz w:val="20"/>
          <w:szCs w:val="20"/>
          <w:color w:val="auto"/>
        </w:rPr>
      </w:pPr>
      <w:r>
        <w:rPr>
          <w:rFonts w:ascii="Arial" w:cs="Arial" w:eastAsia="Arial" w:hAnsi="Arial"/>
          <w:sz w:val="17"/>
          <w:szCs w:val="17"/>
          <w:color w:val="auto"/>
        </w:rPr>
        <w:t>information. KHE also may receive further requests for information from the Illinois Attorney General. The Company cannot predict the outcome of this inquiry.</w:t>
      </w:r>
    </w:p>
    <w:p>
      <w:pPr>
        <w:spacing w:after="0" w:line="176"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 with the Massachusetts Attorney General and provided the requested information. KHE also may receive further requests for information from the Massachusetts Attorney General. The Company cannot predict the outcome of this inquiry.</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July 20, 2011, Kaplan Higher Education Corporation received a subpoena from the Office of the Attorney General of the State of Delaware. The de primarily sought information pertaining to Kaplan University’s online and KHE Campuses’ students who are residents of Delaware. KHE has cooperate the Delaware Attorney General and provided the information requested in the subpoena. KHE also may receive further requests for information from t Delaware Attorney General. The Company cannot predict the outcome of this inquiry.</w:t>
      </w:r>
    </w:p>
    <w:p>
      <w:pPr>
        <w:spacing w:after="0" w:line="155"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 xml:space="preserve">Student Financial Aid. </w:t>
      </w:r>
      <w:r>
        <w:rPr>
          <w:rFonts w:ascii="Arial" w:cs="Arial" w:eastAsia="Arial" w:hAnsi="Arial"/>
          <w:sz w:val="16"/>
          <w:szCs w:val="16"/>
          <w:color w:val="auto"/>
        </w:rPr>
        <w:t>The Company’s education division derives the majority of its revenues from U.S. Federal financial aid received by its student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Title IV programs administered by the DOE pursuant to the U.S. Federal Higher Education Act of 1965 (HEA), as amended. To maintain eligibilit participate in Title IV programs, a school must 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 the state or states in which it is physically located or has students, be accredited by an accrediting agency recognized by the DOE and be certified to participate in the Title IV programs by the DOE. Schools are required periodically to apply for renewal of their authorization, accreditation or certificatio the applicable state governmental bodies, accrediting agencies and the DOE. In accordance with DOE regulations, some KHE schools operate individ or are combined into groups of two or more schools for the purpose of determining compliance with certain Title IV requirements, and each school or s group is assigned its own identification number, known as an OPEID number. As a result, the schools in KHE have a total of 32 OPEID numbers. Failu comply with the requirements of HEA or related regulations could result in the restriction or loss of the ability to participate in Title IV programs and sub the Company to financial penalties and refunds. No assurance can be given that the Kaplan schools, or individual programs within schools, will mainta their Title IV eligibility, accreditation and state authorization in the future or that the DOE might not successfully assert that one or more of such school previously failed to comply with Title IV requirements.</w:t>
      </w:r>
    </w:p>
    <w:p>
      <w:pPr>
        <w:spacing w:after="0" w:line="172"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DOE regulations require schools participating in Title IV programs to calculate correctly and return on a timely basis unearned Title IV funds disbursed students who withdraw from a program of study prior to completion. These funds must be returned in a timely manner, generally within 45 days of the the school determines that the student has withdrawn. Under DOE regulations, failure to make timely returns of Title IV program funds for 5% or more students sampled in a school’s annual compliance audit in either of its two most recently completed fiscal years could result in a requirement that the s post a letter of credit in an amount equal to 25% of its prior-year returns of Title IV program funds. If unearned funds are not properly calculated and returned in a timely manner, an institution is also subject to monetary liabilities, fines or other sanctions.</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Financial aid and assistance programs are subject to political and governmental budgetary considerations. There is no assurance that such funding wi maintained at current levels. Extensive and complex regulations in the U.S. govern all of the government financial assistance programs in which stude participate.</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For the years ended December 31, 2011, January 2, 2011 and January 3, 2010, approximately $1,110 million, $1,460 million and $1,283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 and related regulations.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DOE Program Reviews. </w:t>
      </w:r>
      <w:r>
        <w:rPr>
          <w:rFonts w:ascii="Arial" w:cs="Arial" w:eastAsia="Arial" w:hAnsi="Arial"/>
          <w:sz w:val="17"/>
          <w:szCs w:val="17"/>
          <w:color w:val="auto"/>
        </w:rPr>
        <w:t>The DOE has undertaken program reviews at various KHE campus locations and at Kaplan University. Six program reviews</w:t>
      </w:r>
      <w:r>
        <w:rPr>
          <w:rFonts w:ascii="Arial" w:cs="Arial" w:eastAsia="Arial" w:hAnsi="Arial"/>
          <w:sz w:val="17"/>
          <w:szCs w:val="17"/>
          <w:b w:val="1"/>
          <w:bCs w:val="1"/>
          <w:color w:val="auto"/>
        </w:rPr>
        <w:t xml:space="preserve"> </w:t>
      </w:r>
      <w:r>
        <w:rPr>
          <w:rFonts w:ascii="Arial" w:cs="Arial" w:eastAsia="Arial" w:hAnsi="Arial"/>
          <w:sz w:val="17"/>
          <w:szCs w:val="17"/>
          <w:color w:val="auto"/>
        </w:rPr>
        <w:t>finalized in 2011 with no significant findings. Currently, there are two pending program reviews, including Kaplan University. In addition, the Company i awaiting the DOE’s final report on the program review at KHE’s Broomall, PA, location. The results of these open reviews and their impact on Kaplan’s operations are uncertain.</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On December 15, 2011, the United Kingdom Border Agency (UKBA) conducted a compliance review at Kaplan UK’ s Borough High Street Ce</w:t>
      </w:r>
      <w:r>
        <w:rPr>
          <w:rFonts w:ascii="Arial" w:cs="Arial" w:eastAsia="Arial" w:hAnsi="Arial"/>
          <w:sz w:val="17"/>
          <w:szCs w:val="17"/>
          <w:b w:val="1"/>
          <w:bCs w:val="1"/>
          <w:color w:val="auto"/>
        </w:rPr>
        <w:t xml:space="preserve"> </w:t>
      </w:r>
      <w:r>
        <w:rPr>
          <w:rFonts w:ascii="Arial" w:cs="Arial" w:eastAsia="Arial" w:hAnsi="Arial"/>
          <w:sz w:val="17"/>
          <w:szCs w:val="17"/>
          <w:color w:val="auto"/>
        </w:rPr>
        <w:t>London, England. The review focused on Kaplan UK’s compliance with regulations</w:t>
      </w:r>
    </w:p>
    <w:p>
      <w:pPr>
        <w:spacing w:after="0" w:line="16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85" w:right="139" w:bottom="1440" w:gutter="0" w:footer="0" w:header="0"/>
        </w:sectPr>
      </w:pPr>
    </w:p>
    <w:bookmarkStart w:id="111" w:name="page112"/>
    <w:bookmarkEnd w:id="111"/>
    <w:p>
      <w:pPr>
        <w:ind w:left="9"/>
        <w:spacing w:after="0" w:line="232" w:lineRule="auto"/>
        <w:rPr>
          <w:sz w:val="20"/>
          <w:szCs w:val="20"/>
          <w:color w:val="auto"/>
        </w:rPr>
      </w:pPr>
      <w:r>
        <w:rPr>
          <w:rFonts w:ascii="Arial" w:cs="Arial" w:eastAsia="Arial" w:hAnsi="Arial"/>
          <w:sz w:val="17"/>
          <w:szCs w:val="17"/>
          <w:color w:val="auto"/>
        </w:rPr>
        <w:t>regarding Tier 4 students, who are adult students seeking to study in the U.K. Kaplan UK is fully cooperating with this inquiry and is in the process of responding to requests for additional information. In cases of noncompliance, the UKBA has the authority to take a range of actions to limit, suspend o revoke an institution’s ability to sponsor foreign students. At this time, Kaplan cannot predict what determinations the UKBA will make or the ultimate i of this review on Kaplan UK.</w:t>
      </w:r>
    </w:p>
    <w:p>
      <w:pPr>
        <w:spacing w:after="0" w:line="175"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Additionally, UKBA issued revised immigration rules that became operational on April 21, 2011. Students from outside the European Economic Area ( and Switzerland who were issued a Confirmation of Acceptance for Studies (CAS) after July 4, 2011 will be given permission to work part-time during studies only if they attend an institution which qualifies as a Higher Education Institution (HEI). Many of the Kaplan UK international students currently part-time. Kaplan UK is not in receipt of public funding for the courses upon which international students study and, therefore, does not qualify as an H Also, certain Kaplan UK schools have gained, applied for or are in the process of applying for Highly Trusted Sponsor status (HTS). Without HTS, thes schools cannot issue a CAS to potential incoming international students starting in April 2012. These new rules have the potential to adversely impact number of international students studying at Kaplan UK.</w:t>
      </w:r>
    </w:p>
    <w:p>
      <w:pPr>
        <w:spacing w:after="0" w:line="158" w:lineRule="exact"/>
        <w:rPr>
          <w:sz w:val="20"/>
          <w:szCs w:val="20"/>
          <w:color w:val="auto"/>
        </w:rPr>
      </w:pPr>
    </w:p>
    <w:p>
      <w:pPr>
        <w:ind w:left="409" w:hanging="409"/>
        <w:spacing w:after="0"/>
        <w:tabs>
          <w:tab w:leader="none" w:pos="409"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9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 tiered hierarchy that draws a distinction between market participant assumptions based on (i) observable inputs, such as quoted prices in active mark (Level 1); (ii) inputs other than quoted prices in active markets that are observable either directly or indirectly (Level 2); and (iii) unobservable inputs th require the Company to use present value and other valuation techniques in the determination of fair value (Level 3). Financial assets and liabilities ar classified in their entirety based on the lowest level of input that is significant to the fair value measure. The Company’s assessment of the significance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275"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680" w:type="dxa"/>
            <w:vAlign w:val="bottom"/>
            <w:tcBorders>
              <w:bottom w:val="single" w:sz="8" w:color="auto"/>
            </w:tcBorders>
            <w:gridSpan w:val="5"/>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Level 1</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w:t>
            </w:r>
          </w:p>
        </w:tc>
        <w:tc>
          <w:tcPr>
            <w:tcW w:w="0" w:type="dxa"/>
            <w:vAlign w:val="bottom"/>
          </w:tcPr>
          <w:p>
            <w:pPr>
              <w:spacing w:after="0"/>
              <w:rPr>
                <w:sz w:val="1"/>
                <w:szCs w:val="1"/>
                <w:color w:val="auto"/>
              </w:rPr>
            </w:pPr>
          </w:p>
        </w:tc>
      </w:tr>
      <w:tr>
        <w:trPr>
          <w:trHeight w:val="141"/>
        </w:trPr>
        <w:tc>
          <w:tcPr>
            <w:tcW w:w="1540" w:type="dxa"/>
            <w:vAlign w:val="bottom"/>
            <w:gridSpan w:val="3"/>
            <w:vMerge w:val="restart"/>
          </w:tcPr>
          <w:p>
            <w:pPr>
              <w:spacing w:after="0"/>
              <w:rPr>
                <w:sz w:val="20"/>
                <w:szCs w:val="20"/>
                <w:color w:val="auto"/>
              </w:rPr>
            </w:pPr>
            <w:r>
              <w:rPr>
                <w:rFonts w:ascii="Arial" w:cs="Arial" w:eastAsia="Arial" w:hAnsi="Arial"/>
                <w:sz w:val="15"/>
                <w:szCs w:val="15"/>
                <w:b w:val="1"/>
                <w:bCs w:val="1"/>
                <w:color w:val="auto"/>
                <w:w w:val="97"/>
              </w:rPr>
              <w:t>At December 31, 2011</w:t>
            </w:r>
          </w:p>
        </w:tc>
        <w:tc>
          <w:tcPr>
            <w:tcW w:w="80" w:type="dxa"/>
            <w:vAlign w:val="bottom"/>
            <w:tcBorders>
              <w:bottom w:val="single" w:sz="8" w:color="auto"/>
            </w:tcBorders>
          </w:tcPr>
          <w:p>
            <w:pPr>
              <w:spacing w:after="0"/>
              <w:rPr>
                <w:sz w:val="12"/>
                <w:szCs w:val="12"/>
                <w:color w:val="auto"/>
              </w:rPr>
            </w:pPr>
          </w:p>
        </w:tc>
        <w:tc>
          <w:tcPr>
            <w:tcW w:w="60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5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7680" w:type="dxa"/>
            <w:vAlign w:val="bottom"/>
            <w:gridSpan w:val="5"/>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b w:val="1"/>
                <w:bCs w:val="1"/>
                <w:color w:val="auto"/>
              </w:rPr>
              <w:t>Money market investments</w:t>
            </w:r>
            <w:r>
              <w:rPr>
                <w:rFonts w:ascii="Arial" w:cs="Arial" w:eastAsia="Arial" w:hAnsi="Arial"/>
                <w:sz w:val="24"/>
                <w:szCs w:val="24"/>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180,136</w:t>
            </w:r>
          </w:p>
        </w:tc>
        <w:tc>
          <w:tcPr>
            <w:tcW w:w="4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b w:val="1"/>
                <w:bCs w:val="1"/>
                <w:color w:val="auto"/>
              </w:rPr>
              <w:t>Marketable equity securities</w:t>
            </w:r>
            <w:r>
              <w:rPr>
                <w:rFonts w:ascii="Arial" w:cs="Arial" w:eastAsia="Arial" w:hAnsi="Arial"/>
                <w:sz w:val="24"/>
                <w:szCs w:val="24"/>
                <w:b w:val="1"/>
                <w:bCs w:val="1"/>
                <w:color w:val="auto"/>
                <w:vertAlign w:val="superscript"/>
              </w:rPr>
              <w:t>(2)</w:t>
            </w:r>
          </w:p>
        </w:tc>
        <w:tc>
          <w:tcPr>
            <w:tcW w:w="220" w:type="dxa"/>
            <w:vAlign w:val="bottom"/>
          </w:tcPr>
          <w:p>
            <w:pPr>
              <w:spacing w:after="0"/>
              <w:rPr>
                <w:sz w:val="18"/>
                <w:szCs w:val="18"/>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303,201</w:t>
            </w:r>
          </w:p>
        </w:tc>
        <w:tc>
          <w:tcPr>
            <w:tcW w:w="38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b w:val="1"/>
                <w:bCs w:val="1"/>
                <w:color w:val="auto"/>
              </w:rPr>
              <w:t>Other current investments</w:t>
            </w:r>
            <w:r>
              <w:rPr>
                <w:rFonts w:ascii="Arial" w:cs="Arial" w:eastAsia="Arial" w:hAnsi="Arial"/>
                <w:sz w:val="24"/>
                <w:szCs w:val="24"/>
                <w:b w:val="1"/>
                <w:bCs w:val="1"/>
                <w:color w:val="auto"/>
                <w:vertAlign w:val="superscript"/>
              </w:rPr>
              <w:t>(3)</w:t>
            </w:r>
          </w:p>
        </w:tc>
        <w:tc>
          <w:tcPr>
            <w:tcW w:w="220" w:type="dxa"/>
            <w:vAlign w:val="bottom"/>
          </w:tcPr>
          <w:p>
            <w:pPr>
              <w:spacing w:after="0"/>
              <w:rPr>
                <w:sz w:val="18"/>
                <w:szCs w:val="18"/>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15,223</w:t>
            </w:r>
          </w:p>
        </w:tc>
        <w:tc>
          <w:tcPr>
            <w:tcW w:w="38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20,250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680" w:type="dxa"/>
            <w:vAlign w:val="bottom"/>
            <w:gridSpan w:val="5"/>
          </w:tcPr>
          <w:p>
            <w:pPr>
              <w:spacing w:after="0" w:line="226" w:lineRule="exact"/>
              <w:rPr>
                <w:sz w:val="20"/>
                <w:szCs w:val="20"/>
                <w:color w:val="auto"/>
              </w:rPr>
            </w:pPr>
            <w:r>
              <w:rPr>
                <w:rFonts w:ascii="Arial" w:cs="Arial" w:eastAsia="Arial" w:hAnsi="Arial"/>
                <w:sz w:val="15"/>
                <w:szCs w:val="15"/>
                <w:b w:val="1"/>
                <w:bCs w:val="1"/>
                <w:color w:val="auto"/>
              </w:rPr>
              <w:t>Interest rate swap</w:t>
            </w:r>
            <w:r>
              <w:rPr>
                <w:rFonts w:ascii="Arial" w:cs="Arial" w:eastAsia="Arial" w:hAnsi="Arial"/>
                <w:sz w:val="24"/>
                <w:szCs w:val="24"/>
                <w:b w:val="1"/>
                <w:bCs w:val="1"/>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14</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680" w:type="dxa"/>
            <w:vAlign w:val="bottom"/>
            <w:gridSpan w:val="5"/>
          </w:tcPr>
          <w:p>
            <w:pPr>
              <w:ind w:left="220"/>
              <w:spacing w:after="0"/>
              <w:rPr>
                <w:sz w:val="20"/>
                <w:szCs w:val="20"/>
                <w:color w:val="auto"/>
              </w:rPr>
            </w:pPr>
            <w:r>
              <w:rPr>
                <w:rFonts w:ascii="Arial" w:cs="Arial" w:eastAsia="Arial" w:hAnsi="Arial"/>
                <w:sz w:val="15"/>
                <w:szCs w:val="15"/>
                <w:b w:val="1"/>
                <w:bCs w:val="1"/>
                <w:color w:val="auto"/>
              </w:rPr>
              <w:t>Total financial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318,424</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200,400</w:t>
            </w: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6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b w:val="1"/>
                <w:bCs w:val="1"/>
                <w:color w:val="auto"/>
              </w:rPr>
              <w:t>Deferred compensation plan liabilities</w:t>
            </w:r>
            <w:r>
              <w:rPr>
                <w:rFonts w:ascii="Arial" w:cs="Arial" w:eastAsia="Arial" w:hAnsi="Arial"/>
                <w:sz w:val="24"/>
                <w:szCs w:val="24"/>
                <w:b w:val="1"/>
                <w:bCs w:val="1"/>
                <w:color w:val="auto"/>
                <w:vertAlign w:val="superscript"/>
              </w:rPr>
              <w:t>(5)</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63,403</w:t>
            </w:r>
          </w:p>
        </w:tc>
        <w:tc>
          <w:tcPr>
            <w:tcW w:w="4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b w:val="1"/>
                <w:bCs w:val="1"/>
                <w:color w:val="auto"/>
              </w:rPr>
              <w:t>7.25% unsecured notes</w:t>
            </w:r>
            <w:r>
              <w:rPr>
                <w:rFonts w:ascii="Arial" w:cs="Arial" w:eastAsia="Arial" w:hAnsi="Arial"/>
                <w:sz w:val="24"/>
                <w:szCs w:val="24"/>
                <w:b w:val="1"/>
                <w:bCs w:val="1"/>
                <w:color w:val="auto"/>
                <w:vertAlign w:val="superscript"/>
              </w:rPr>
              <w:t>(6)</w:t>
            </w:r>
          </w:p>
        </w:tc>
        <w:tc>
          <w:tcPr>
            <w:tcW w:w="220" w:type="dxa"/>
            <w:vAlign w:val="bottom"/>
          </w:tcPr>
          <w:p>
            <w:pPr>
              <w:spacing w:after="0"/>
              <w:rPr>
                <w:sz w:val="18"/>
                <w:szCs w:val="18"/>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460,500</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226"/>
        </w:trPr>
        <w:tc>
          <w:tcPr>
            <w:tcW w:w="7680" w:type="dxa"/>
            <w:vAlign w:val="bottom"/>
            <w:gridSpan w:val="5"/>
          </w:tcPr>
          <w:p>
            <w:pPr>
              <w:spacing w:after="0" w:line="226" w:lineRule="exact"/>
              <w:rPr>
                <w:sz w:val="20"/>
                <w:szCs w:val="20"/>
                <w:color w:val="auto"/>
              </w:rPr>
            </w:pPr>
            <w:r>
              <w:rPr>
                <w:rFonts w:ascii="Arial" w:cs="Arial" w:eastAsia="Arial" w:hAnsi="Arial"/>
                <w:sz w:val="15"/>
                <w:szCs w:val="15"/>
                <w:b w:val="1"/>
                <w:bCs w:val="1"/>
                <w:color w:val="auto"/>
              </w:rPr>
              <w:t>AUD 50M borrowing</w:t>
            </w:r>
            <w:r>
              <w:rPr>
                <w:rFonts w:ascii="Arial" w:cs="Arial" w:eastAsia="Arial" w:hAnsi="Arial"/>
                <w:sz w:val="24"/>
                <w:szCs w:val="24"/>
                <w:b w:val="1"/>
                <w:bCs w:val="1"/>
                <w:color w:val="auto"/>
                <w:vertAlign w:val="superscript"/>
              </w:rPr>
              <w:t>(6)</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51,012</w:t>
            </w: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680" w:type="dxa"/>
            <w:vAlign w:val="bottom"/>
            <w:gridSpan w:val="5"/>
          </w:tcPr>
          <w:p>
            <w:pPr>
              <w:ind w:left="220"/>
              <w:spacing w:after="0"/>
              <w:rPr>
                <w:sz w:val="20"/>
                <w:szCs w:val="20"/>
                <w:color w:val="auto"/>
              </w:rPr>
            </w:pPr>
            <w:r>
              <w:rPr>
                <w:rFonts w:ascii="Arial" w:cs="Arial" w:eastAsia="Arial" w:hAnsi="Arial"/>
                <w:sz w:val="15"/>
                <w:szCs w:val="15"/>
                <w:b w:val="1"/>
                <w:bCs w:val="1"/>
                <w:color w:val="auto"/>
              </w:rPr>
              <w:t>Total financial liabilities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574,915</w:t>
            </w: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5"/>
                <w:szCs w:val="15"/>
                <w:color w:val="auto"/>
                <w:w w:val="96"/>
              </w:rPr>
              <w:t>At January 2, 2011</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240" w:type="dxa"/>
            <w:vAlign w:val="bottom"/>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360" w:type="dxa"/>
            <w:vAlign w:val="bottom"/>
            <w:gridSpan w:val="3"/>
            <w:vMerge w:val="restart"/>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3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7680" w:type="dxa"/>
            <w:vAlign w:val="bottom"/>
            <w:gridSpan w:val="5"/>
          </w:tcPr>
          <w:p>
            <w:pPr>
              <w:spacing w:after="0"/>
              <w:rPr>
                <w:sz w:val="20"/>
                <w:szCs w:val="20"/>
                <w:color w:val="auto"/>
              </w:rPr>
            </w:pPr>
            <w:r>
              <w:rPr>
                <w:rFonts w:ascii="Arial" w:cs="Arial" w:eastAsia="Arial" w:hAnsi="Arial"/>
                <w:sz w:val="15"/>
                <w:szCs w:val="15"/>
                <w:color w:val="auto"/>
              </w:rPr>
              <w:t>Assets: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4"/>
                <w:szCs w:val="24"/>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308,927</w:t>
            </w:r>
          </w:p>
        </w:tc>
        <w:tc>
          <w:tcPr>
            <w:tcW w:w="4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4"/>
                <w:szCs w:val="24"/>
                <w:color w:val="auto"/>
                <w:vertAlign w:val="superscript"/>
              </w:rPr>
              <w:t>(2)</w:t>
            </w:r>
          </w:p>
        </w:tc>
        <w:tc>
          <w:tcPr>
            <w:tcW w:w="220" w:type="dxa"/>
            <w:vAlign w:val="bottom"/>
          </w:tcPr>
          <w:p>
            <w:pPr>
              <w:spacing w:after="0"/>
              <w:rPr>
                <w:sz w:val="18"/>
                <w:szCs w:val="18"/>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340,910</w:t>
            </w:r>
          </w:p>
        </w:tc>
        <w:tc>
          <w:tcPr>
            <w:tcW w:w="380" w:type="dxa"/>
            <w:vAlign w:val="bottom"/>
          </w:tcPr>
          <w:p>
            <w:pPr>
              <w:spacing w:after="0"/>
              <w:rPr>
                <w:sz w:val="18"/>
                <w:szCs w:val="18"/>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7680" w:type="dxa"/>
            <w:vAlign w:val="bottom"/>
            <w:gridSpan w:val="5"/>
          </w:tcPr>
          <w:p>
            <w:pPr>
              <w:spacing w:after="0" w:line="212"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4"/>
                <w:szCs w:val="24"/>
                <w:color w:val="auto"/>
                <w:vertAlign w:val="superscript"/>
              </w:rPr>
              <w:t>(3)</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11,835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21,005</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680" w:type="dxa"/>
            <w:vAlign w:val="bottom"/>
            <w:gridSpan w:val="5"/>
          </w:tcPr>
          <w:p>
            <w:pPr>
              <w:ind w:left="220"/>
              <w:spacing w:after="0"/>
              <w:rPr>
                <w:sz w:val="20"/>
                <w:szCs w:val="20"/>
                <w:color w:val="auto"/>
              </w:rPr>
            </w:pPr>
            <w:r>
              <w:rPr>
                <w:rFonts w:ascii="Arial" w:cs="Arial" w:eastAsia="Arial" w:hAnsi="Arial"/>
                <w:sz w:val="15"/>
                <w:szCs w:val="15"/>
                <w:color w:val="auto"/>
              </w:rPr>
              <w:t>Total financial assets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352,745</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329,932</w:t>
            </w: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7680" w:type="dxa"/>
            <w:vAlign w:val="bottom"/>
            <w:gridSpan w:val="5"/>
            <w:vMerge w:val="restart"/>
          </w:tcPr>
          <w:p>
            <w:pPr>
              <w:spacing w:after="0"/>
              <w:rPr>
                <w:sz w:val="20"/>
                <w:szCs w:val="20"/>
                <w:color w:val="auto"/>
              </w:rPr>
            </w:pPr>
            <w:r>
              <w:rPr>
                <w:rFonts w:ascii="Arial" w:cs="Arial" w:eastAsia="Arial" w:hAnsi="Arial"/>
                <w:sz w:val="15"/>
                <w:szCs w:val="15"/>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6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80" w:type="dxa"/>
            <w:vAlign w:val="bottom"/>
            <w:gridSpan w:val="5"/>
          </w:tcPr>
          <w:p>
            <w:pPr>
              <w:spacing w:after="0" w:line="211"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4"/>
                <w:szCs w:val="24"/>
                <w:color w:val="auto"/>
                <w:vertAlign w:val="superscript"/>
              </w:rPr>
              <w:t>(5)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69,226</w:t>
            </w:r>
          </w:p>
        </w:tc>
        <w:tc>
          <w:tcPr>
            <w:tcW w:w="4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80" w:type="dxa"/>
            <w:vAlign w:val="bottom"/>
            <w:gridSpan w:val="5"/>
          </w:tcPr>
          <w:p>
            <w:pPr>
              <w:spacing w:after="0" w:line="212"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4"/>
                <w:szCs w:val="24"/>
                <w:color w:val="auto"/>
                <w:vertAlign w:val="superscript"/>
              </w:rPr>
              <w:t>(6)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457,200</w:t>
            </w: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9"/>
        </w:trPr>
        <w:tc>
          <w:tcPr>
            <w:tcW w:w="7680" w:type="dxa"/>
            <w:vAlign w:val="bottom"/>
            <w:gridSpan w:val="5"/>
          </w:tcPr>
          <w:p>
            <w:pPr>
              <w:ind w:left="220"/>
              <w:spacing w:after="0"/>
              <w:rPr>
                <w:sz w:val="20"/>
                <w:szCs w:val="20"/>
                <w:color w:val="auto"/>
              </w:rPr>
            </w:pPr>
            <w:r>
              <w:rPr>
                <w:rFonts w:ascii="Arial" w:cs="Arial" w:eastAsia="Arial" w:hAnsi="Arial"/>
                <w:sz w:val="15"/>
                <w:szCs w:val="15"/>
                <w:color w:val="auto"/>
              </w:rPr>
              <w:t>Total financial liabilities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526,426</w:t>
            </w:r>
          </w:p>
        </w:tc>
        <w:tc>
          <w:tcPr>
            <w:tcW w:w="4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Arial" w:cs="Arial" w:eastAsia="Arial" w:hAnsi="Arial"/>
                <w:sz w:val="17"/>
                <w:szCs w:val="17"/>
                <w:color w:val="auto"/>
              </w:rPr>
              <w:t>____________</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9" w:hanging="289"/>
        <w:spacing w:after="0" w:line="237" w:lineRule="auto"/>
        <w:tabs>
          <w:tab w:leader="none" w:pos="289"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Company’s money market investments are included in cash, cash equivalents and restricted cash.</w:t>
      </w:r>
    </w:p>
    <w:p>
      <w:pPr>
        <w:ind w:left="289" w:hanging="289"/>
        <w:spacing w:after="0" w:line="237" w:lineRule="auto"/>
        <w:tabs>
          <w:tab w:leader="none" w:pos="289"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ind w:left="289" w:hanging="289"/>
        <w:spacing w:after="0" w:line="237" w:lineRule="auto"/>
        <w:tabs>
          <w:tab w:leader="none" w:pos="289"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ind w:left="289" w:hanging="289"/>
        <w:spacing w:after="0" w:line="237" w:lineRule="auto"/>
        <w:tabs>
          <w:tab w:leader="none" w:pos="281"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Included in deferred charges and other assets. The Company utilized a market approach model using the notional amount of the interest rate swap multiplied by the observable inputs of time to m and market interest rates.</w:t>
      </w:r>
    </w:p>
    <w:p>
      <w:pPr>
        <w:ind w:left="289" w:hanging="289"/>
        <w:spacing w:after="0" w:line="237" w:lineRule="auto"/>
        <w:tabs>
          <w:tab w:leader="none" w:pos="281" w:val="left"/>
        </w:tabs>
        <w:numPr>
          <w:ilvl w:val="0"/>
          <w:numId w:val="64"/>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w included in accrued compensation and related benefits.</w:t>
      </w:r>
    </w:p>
    <w:p>
      <w:pPr>
        <w:ind w:left="289" w:hanging="289"/>
        <w:spacing w:after="0"/>
        <w:tabs>
          <w:tab w:leader="none" w:pos="289" w:val="left"/>
        </w:tabs>
        <w:numPr>
          <w:ilvl w:val="0"/>
          <w:numId w:val="64"/>
        </w:numPr>
        <w:rPr>
          <w:rFonts w:ascii="Arial" w:cs="Arial" w:eastAsia="Arial" w:hAnsi="Arial"/>
          <w:sz w:val="12"/>
          <w:szCs w:val="12"/>
          <w:color w:val="auto"/>
        </w:rPr>
      </w:pPr>
      <w:r>
        <w:rPr>
          <w:rFonts w:ascii="Arial" w:cs="Arial" w:eastAsia="Arial" w:hAnsi="Arial"/>
          <w:sz w:val="12"/>
          <w:szCs w:val="12"/>
          <w:color w:val="auto"/>
        </w:rPr>
        <w:t>See Note 10 for carrying amount of these notes and borrowing.</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85" w:right="139" w:bottom="1440" w:gutter="0" w:footer="0" w:header="0"/>
        </w:sectPr>
      </w:pPr>
    </w:p>
    <w:bookmarkStart w:id="112" w:name="page113"/>
    <w:bookmarkEnd w:id="112"/>
    <w:p>
      <w:pPr>
        <w:jc w:val="both"/>
        <w:ind w:left="9"/>
        <w:spacing w:after="0" w:line="251"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units held, without consideration of transaction costs. Assets and liabilities that are measured using significant other observable inputs are primarily va by reference to quoted prices of similar assets or liabilities in active markets, adjusted for any terms specific to that asset or liability.</w:t>
      </w:r>
    </w:p>
    <w:p>
      <w:pPr>
        <w:spacing w:after="0" w:line="147" w:lineRule="exact"/>
        <w:rPr>
          <w:sz w:val="20"/>
          <w:szCs w:val="20"/>
          <w:color w:val="auto"/>
        </w:rPr>
      </w:pPr>
    </w:p>
    <w:p>
      <w:pPr>
        <w:ind w:left="409" w:hanging="409"/>
        <w:spacing w:after="0"/>
        <w:tabs>
          <w:tab w:leader="none" w:pos="409"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SEGMENTS</w:t>
      </w:r>
    </w:p>
    <w:p>
      <w:pPr>
        <w:spacing w:after="0" w:line="177" w:lineRule="exact"/>
        <w:rPr>
          <w:sz w:val="20"/>
          <w:szCs w:val="20"/>
          <w:color w:val="auto"/>
        </w:rPr>
      </w:pPr>
    </w:p>
    <w:p>
      <w:pPr>
        <w:jc w:val="both"/>
        <w:ind w:left="9"/>
        <w:spacing w:after="0" w:line="236"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Company’s organizational structure is based on a number of factors that management uses to evaluate, view and run its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operations, which include, but are not limited to, customers, the nature of products and services and use of resources. The business segmen disclosed in the Consolidated Financial Statements are based on this organizational structure and information reviewed by the Company's manageme evaluate the business segment results. The Company has eight reportable segments: KHE, KTP, Kaplan International, Kaplan Ventures, cable televisi newspaper publishing, television broadcasting and other businesses.</w:t>
      </w:r>
    </w:p>
    <w:p>
      <w:pPr>
        <w:spacing w:after="0" w:line="176" w:lineRule="exact"/>
        <w:rPr>
          <w:sz w:val="20"/>
          <w:szCs w:val="20"/>
          <w:color w:val="auto"/>
        </w:rPr>
      </w:pPr>
    </w:p>
    <w:p>
      <w:pPr>
        <w:ind w:left="9"/>
        <w:spacing w:after="0" w:line="251" w:lineRule="auto"/>
        <w:rPr>
          <w:sz w:val="20"/>
          <w:szCs w:val="20"/>
          <w:color w:val="auto"/>
        </w:rPr>
      </w:pPr>
      <w:r>
        <w:rPr>
          <w:rFonts w:ascii="Arial" w:cs="Arial" w:eastAsia="Arial" w:hAnsi="Arial"/>
          <w:sz w:val="16"/>
          <w:szCs w:val="16"/>
          <w:color w:val="auto"/>
        </w:rPr>
        <w:t>The Company evaluates segment performance based on operating income before amortization of intangible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w:t>
      </w:r>
    </w:p>
    <w:p>
      <w:pPr>
        <w:spacing w:after="0" w:line="167"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Identifiable assets by segment are those assets used in the Company's operations in each business segment. Investments in marketable equity secur are discussed in Note 4.</w:t>
      </w:r>
    </w:p>
    <w:p>
      <w:pPr>
        <w:spacing w:after="0" w:line="156" w:lineRule="exact"/>
        <w:rPr>
          <w:sz w:val="20"/>
          <w:szCs w:val="20"/>
          <w:color w:val="auto"/>
        </w:rPr>
      </w:pPr>
    </w:p>
    <w:p>
      <w:pPr>
        <w:ind w:left="9"/>
        <w:spacing w:after="0" w:line="236"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Education products and services are provided by Kaplan, Inc. KHE includes Kaplan's postsecondary education businesses, made up of fi</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colleges as well as online postsecondary and career programs. KTP includes Kaplan's standardized test preparation and tutoring offerings, as the professional domestic training business, and other businesses. Kaplan International includes professional training and postsecondary education businesses outside the United States, as well as English-language programs. Kaplan Ventures is made up of a number of businesses in various state development that are managed separately from the other education businesses.</w:t>
      </w:r>
    </w:p>
    <w:p>
      <w:pPr>
        <w:spacing w:after="0" w:line="176" w:lineRule="exact"/>
        <w:rPr>
          <w:sz w:val="20"/>
          <w:szCs w:val="20"/>
          <w:color w:val="auto"/>
        </w:rPr>
      </w:pPr>
    </w:p>
    <w:p>
      <w:pPr>
        <w:ind w:left="9"/>
        <w:spacing w:after="0" w:line="246" w:lineRule="auto"/>
        <w:rPr>
          <w:sz w:val="20"/>
          <w:szCs w:val="20"/>
          <w:color w:val="auto"/>
        </w:rPr>
      </w:pPr>
      <w:r>
        <w:rPr>
          <w:rFonts w:ascii="Arial" w:cs="Arial" w:eastAsia="Arial" w:hAnsi="Arial"/>
          <w:sz w:val="16"/>
          <w:szCs w:val="16"/>
          <w:color w:val="auto"/>
        </w:rPr>
        <w:t>In the first quarter of 2011, Kaplan made several changes to its operating and reporting structure. Kaplan’s domestic professional training business wa moved from KTP to KHE and Kaplan Continuing Education moved from Kaplan Ventures to KHE. These businesses were integrated with Kaplan Univ to become part of the Kaplan University School of Professional and Continuing Education. Also, Kaplan sold KCS in October 2011, KVE in July 2011, Education Connection in April 2010; therefore the education division’s operating results exclude these businesses. Segment operating results of the education division for fiscal years ended 2011, 2010 and 2009 have been restated to reflect these changes. Kaplan Ventures sold one small business February 2012 and is exploring other alternatives with respect to the remaining Kaplan Ventures businesses, including possible sales.</w:t>
      </w:r>
    </w:p>
    <w:p>
      <w:pPr>
        <w:spacing w:after="0" w:line="172"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In light of recent revenue declines and other business challenges, Kaplan has formulated and implemented restructuring plans at its various businesse have resulted in significant costs in the past three years, with the objective of establishing lower cost levels in future periods. Across all Kaplan busine severance and restructuring costs of $29.2 million, $27.5 million and $33.2 million were recorded in 2011, 2010 and 2009, respectively.</w:t>
      </w:r>
    </w:p>
    <w:p>
      <w:pPr>
        <w:spacing w:after="0" w:line="167"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Restructuring and severance related expenses of $13.2 million and $9.3 million were recorded in 2011 and 2010, respectively, at KHE associated with workforce reductions.</w:t>
      </w:r>
    </w:p>
    <w:p>
      <w:pPr>
        <w:spacing w:after="0" w:line="176" w:lineRule="exact"/>
        <w:rPr>
          <w:sz w:val="20"/>
          <w:szCs w:val="20"/>
          <w:color w:val="auto"/>
        </w:rPr>
      </w:pPr>
    </w:p>
    <w:p>
      <w:pPr>
        <w:ind w:left="9"/>
        <w:spacing w:after="0" w:line="247" w:lineRule="auto"/>
        <w:rPr>
          <w:sz w:val="20"/>
          <w:szCs w:val="20"/>
          <w:color w:val="auto"/>
        </w:rPr>
      </w:pPr>
      <w:r>
        <w:rPr>
          <w:rFonts w:ascii="Arial" w:cs="Arial" w:eastAsia="Arial" w:hAnsi="Arial"/>
          <w:sz w:val="16"/>
          <w:szCs w:val="16"/>
          <w:color w:val="auto"/>
        </w:rPr>
        <w:t>In the first quarter of 2010, the Company discontinued certain offerings of the K12 business; $7.8 million in severance and other closure costs were recorded in the first half of 2010 in connection with this plan. In the fourth quarter of 2010, KTP began implementing a plan to reorganize its business consistent with the migration of students to Kaplan’s online and hybrid test preparation offerings, reducing the number of leased test preparation cente $10.4 million in costs were incurred, mostly comprised of charges related to early lease termination and property, plant and equipment write-downs. In implementation of the plan was completed and $12.5 million in additional restructuring and severance costs were incurred.</w:t>
      </w:r>
    </w:p>
    <w:p>
      <w:pPr>
        <w:spacing w:after="0" w:line="170"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March 2009, the Company approved a plan to close its Score tutoring centers. The Company recorded charges of $24.9 million in asset write-down lease terminations, severance and accelerated depreciation of fixed assets in the first half of 2009. In addition, restructuring-related expenses of $8.3 were recorded in 2009 at Kaplan's professional domestic training business (part of KHE).</w:t>
      </w:r>
    </w:p>
    <w:p>
      <w:pPr>
        <w:spacing w:after="0" w:line="36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35" w:right="139" w:bottom="1440" w:gutter="0" w:footer="0" w:header="0"/>
        </w:sectPr>
      </w:pPr>
    </w:p>
    <w:bookmarkStart w:id="113" w:name="page114"/>
    <w:bookmarkEnd w:id="113"/>
    <w:p>
      <w:pPr>
        <w:spacing w:after="0" w:line="255" w:lineRule="auto"/>
        <w:rPr>
          <w:sz w:val="20"/>
          <w:szCs w:val="20"/>
          <w:color w:val="auto"/>
        </w:rPr>
      </w:pPr>
      <w:r>
        <w:rPr>
          <w:rFonts w:ascii="Arial" w:cs="Arial" w:eastAsia="Arial" w:hAnsi="Arial"/>
          <w:sz w:val="17"/>
          <w:szCs w:val="17"/>
          <w:b w:val="1"/>
          <w:bCs w:val="1"/>
          <w:color w:val="auto"/>
        </w:rPr>
        <w:t xml:space="preserve">Cable Television. </w:t>
      </w:r>
      <w:r>
        <w:rPr>
          <w:rFonts w:ascii="Arial" w:cs="Arial" w:eastAsia="Arial" w:hAnsi="Arial"/>
          <w:sz w:val="17"/>
          <w:szCs w:val="17"/>
          <w:color w:val="auto"/>
        </w:rPr>
        <w:t>Cable television operations consist of cable systems offering video, Internet, phone and other services to subscribers in midwester</w:t>
      </w:r>
      <w:r>
        <w:rPr>
          <w:rFonts w:ascii="Arial" w:cs="Arial" w:eastAsia="Arial" w:hAnsi="Arial"/>
          <w:sz w:val="17"/>
          <w:szCs w:val="17"/>
          <w:b w:val="1"/>
          <w:bCs w:val="1"/>
          <w:color w:val="auto"/>
        </w:rPr>
        <w:t xml:space="preserve"> </w:t>
      </w:r>
      <w:r>
        <w:rPr>
          <w:rFonts w:ascii="Arial" w:cs="Arial" w:eastAsia="Arial" w:hAnsi="Arial"/>
          <w:sz w:val="17"/>
          <w:szCs w:val="17"/>
          <w:color w:val="auto"/>
        </w:rPr>
        <w:t>western and southern states. The principal source of revenue is monthly subscription fees charged for services.</w:t>
      </w:r>
    </w:p>
    <w:p>
      <w:pPr>
        <w:spacing w:after="0" w:line="14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b w:val="1"/>
          <w:bCs w:val="1"/>
          <w:color w:val="auto"/>
        </w:rPr>
        <w:t xml:space="preserve">Newspaper Publishing. </w:t>
      </w:r>
      <w:r>
        <w:rPr>
          <w:rFonts w:ascii="Arial" w:cs="Arial" w:eastAsia="Arial" w:hAnsi="Arial"/>
          <w:sz w:val="17"/>
          <w:szCs w:val="17"/>
          <w:color w:val="auto"/>
        </w:rPr>
        <w:t>Newspaper publishing includes the publication of newspapers in the Washington, DC, area and Everett, WA; newsprint</w:t>
      </w:r>
      <w:r>
        <w:rPr>
          <w:rFonts w:ascii="Arial" w:cs="Arial" w:eastAsia="Arial" w:hAnsi="Arial"/>
          <w:sz w:val="17"/>
          <w:szCs w:val="17"/>
          <w:b w:val="1"/>
          <w:bCs w:val="1"/>
          <w:color w:val="auto"/>
        </w:rPr>
        <w:t xml:space="preserve"> </w:t>
      </w:r>
      <w:r>
        <w:rPr>
          <w:rFonts w:ascii="Arial" w:cs="Arial" w:eastAsia="Arial" w:hAnsi="Arial"/>
          <w:sz w:val="17"/>
          <w:szCs w:val="17"/>
          <w:color w:val="auto"/>
        </w:rPr>
        <w:t>warehousing; and the Company’s digital media publishing businesses (primarily washingtonpost.com and Slate). Revenues from newspaper publishin operations are derived from advertising and, to a lesser extent, from circulation.</w:t>
      </w:r>
    </w:p>
    <w:p>
      <w:pPr>
        <w:spacing w:after="0" w:line="153"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six VHF television stations serving the Detroit, Houston, Miami,</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and Jacksonville television markets. All stations are network-affiliated (except for WJXT in Jacksonville), with revenues derived primarily from sales of advertising time.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Other businesses include the operating results of Avenue100 Media Solutions and other small businesses.</w:t>
      </w:r>
    </w:p>
    <w:p>
      <w:pPr>
        <w:spacing w:after="0" w:line="177"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b w:val="1"/>
          <w:bCs w:val="1"/>
          <w:color w:val="auto"/>
        </w:rPr>
        <w:t xml:space="preserve">Corporate Office. </w:t>
      </w:r>
      <w:r>
        <w:rPr>
          <w:rFonts w:ascii="Arial" w:cs="Arial" w:eastAsia="Arial" w:hAnsi="Arial"/>
          <w:sz w:val="17"/>
          <w:szCs w:val="17"/>
          <w:color w:val="auto"/>
        </w:rPr>
        <w:t>Corporate office includes the expenses of the Company’s corporate office and the pension credit previously reported in the magaz</w:t>
      </w:r>
      <w:r>
        <w:rPr>
          <w:rFonts w:ascii="Arial" w:cs="Arial" w:eastAsia="Arial" w:hAnsi="Arial"/>
          <w:sz w:val="17"/>
          <w:szCs w:val="17"/>
          <w:b w:val="1"/>
          <w:bCs w:val="1"/>
          <w:color w:val="auto"/>
        </w:rPr>
        <w:t xml:space="preserve"> </w:t>
      </w:r>
      <w:r>
        <w:rPr>
          <w:rFonts w:ascii="Arial" w:cs="Arial" w:eastAsia="Arial" w:hAnsi="Arial"/>
          <w:sz w:val="17"/>
          <w:szCs w:val="17"/>
          <w:color w:val="auto"/>
        </w:rPr>
        <w:t>publishing division. Newsweek employees were participants in The Washington Post Company Retirement Plan, and the Company had historically be allocated a net pension credit for segment reporting purposes. Since the associated pension assets and liabilities were retained by the Company, the associated credit has been excluded from the reclassification of Newsweek results to discontinued operations. Pension cost arising from early retirem programs at Newsweek, however, is included in discontinued operations.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Geographical Information. </w:t>
      </w:r>
      <w:r>
        <w:rPr>
          <w:rFonts w:ascii="Arial" w:cs="Arial" w:eastAsia="Arial" w:hAnsi="Arial"/>
          <w:sz w:val="17"/>
          <w:szCs w:val="17"/>
          <w:color w:val="auto"/>
        </w:rPr>
        <w:t>The Company's non-U.S. revenues in 2011, 2010 and 2009 totaled approximately $628 million, $540 million and $505 m</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from Kaplan's operations outside the U.S. The Company's long-lived assets in non-U.S. countries (excluding goodwill and other intangibl assets), totaled approximately $74 million at December 31, 2011, and $57 million at January 2, 2011.</w:t>
      </w:r>
    </w:p>
    <w:p>
      <w:pPr>
        <w:spacing w:after="0" w:line="17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Company information broken down by operating segment and education division: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2"/>
                <w:szCs w:val="12"/>
                <w:b w:val="1"/>
                <w:bCs w:val="1"/>
                <w:color w:val="auto"/>
              </w:rPr>
              <w:t>Fiscal Year Ended</w:t>
            </w: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b w:val="1"/>
                <w:bCs w:val="1"/>
                <w:color w:val="auto"/>
              </w:rPr>
              <w:t>2011</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2010</w:t>
            </w: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15"/>
        </w:trPr>
        <w:tc>
          <w:tcPr>
            <w:tcW w:w="7560" w:type="dxa"/>
            <w:vAlign w:val="bottom"/>
          </w:tcPr>
          <w:p>
            <w:pPr>
              <w:spacing w:after="0"/>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2,465,048</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2,862,279</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760,221</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759,884</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648,039</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680,373</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319,206</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342,164</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26,135</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46,395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(3,816)</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(7,054)</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4,214,833</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4,684,041</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Income (loss) from operations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89,434</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346,733</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156,844</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163,945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(18,200)</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(9,826)</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117,089</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121,348</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(34,787)</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(34,966)</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(14,422)</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(24,572)</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295,958</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562,662</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Equity in earnings (losses) of affiliates, net</w:t>
            </w:r>
          </w:p>
        </w:tc>
        <w:tc>
          <w:tcPr>
            <w:tcW w:w="28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5,949</w:t>
            </w:r>
          </w:p>
        </w:tc>
        <w:tc>
          <w:tcPr>
            <w:tcW w:w="42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(4,133)</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60" w:type="dxa"/>
            <w:vAlign w:val="bottom"/>
          </w:tcPr>
          <w:p>
            <w:pPr>
              <w:spacing w:after="0"/>
              <w:rPr>
                <w:sz w:val="20"/>
                <w:szCs w:val="20"/>
                <w:color w:val="auto"/>
              </w:rPr>
            </w:pPr>
            <w:r>
              <w:rPr>
                <w:rFonts w:ascii="Arial" w:cs="Arial" w:eastAsia="Arial" w:hAnsi="Arial"/>
                <w:sz w:val="12"/>
                <w:szCs w:val="12"/>
                <w:b w:val="1"/>
                <w:bCs w:val="1"/>
                <w:color w:val="auto"/>
              </w:rPr>
              <w:t>Interest expense, net</w:t>
            </w:r>
          </w:p>
        </w:tc>
        <w:tc>
          <w:tcPr>
            <w:tcW w:w="280" w:type="dxa"/>
            <w:vAlign w:val="bottom"/>
          </w:tcPr>
          <w:p>
            <w:pPr>
              <w:spacing w:after="0"/>
              <w:rPr>
                <w:sz w:val="18"/>
                <w:szCs w:val="18"/>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(29,079)</w:t>
            </w:r>
          </w:p>
        </w:tc>
        <w:tc>
          <w:tcPr>
            <w:tcW w:w="420" w:type="dxa"/>
            <w:vAlign w:val="bottom"/>
          </w:tcPr>
          <w:p>
            <w:pPr>
              <w:spacing w:after="0"/>
              <w:rPr>
                <w:sz w:val="18"/>
                <w:szCs w:val="18"/>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(27,927)</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20"/>
                <w:szCs w:val="20"/>
                <w:color w:val="auto"/>
              </w:rPr>
            </w:pPr>
            <w:r>
              <w:rPr>
                <w:rFonts w:ascii="Arial" w:cs="Arial" w:eastAsia="Arial" w:hAnsi="Arial"/>
                <w:sz w:val="12"/>
                <w:szCs w:val="12"/>
                <w:b w:val="1"/>
                <w:bCs w:val="1"/>
                <w:color w:val="auto"/>
              </w:rPr>
              <w:t>Other (expense) income, net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(55,200)</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7,515</w:t>
            </w: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560" w:type="dxa"/>
            <w:vAlign w:val="bottom"/>
          </w:tcPr>
          <w:p>
            <w:pPr>
              <w:spacing w:after="0"/>
              <w:rPr>
                <w:sz w:val="20"/>
                <w:szCs w:val="20"/>
                <w:color w:val="auto"/>
              </w:rPr>
            </w:pPr>
            <w:r>
              <w:rPr>
                <w:rFonts w:ascii="Arial" w:cs="Arial" w:eastAsia="Arial" w:hAnsi="Arial"/>
                <w:sz w:val="12"/>
                <w:szCs w:val="12"/>
                <w:b w:val="1"/>
                <w:bCs w:val="1"/>
                <w:color w:val="auto"/>
              </w:rPr>
              <w:t>Income from continuing operations before income taxes</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217,628</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538,117</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Depreciation of property, plant and equipment</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87,718</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77,306</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126,302</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124,834</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26,336</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30,341</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12,448</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12,720</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325</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270</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244</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1,159</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253,373</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246,630</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Amortization of intangible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21,167</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21,406</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267</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327</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1,051</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1,223</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5,874</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3,786</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28,359</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26,742</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Impairment of goodwill and other intangible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11,923</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27,477</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11,923</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27,477</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Net pension credit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(6,345)</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(5,707)</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(1,924)</w:t>
            </w:r>
          </w:p>
        </w:tc>
        <w:tc>
          <w:tcPr>
            <w:tcW w:w="42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(1,919)</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560" w:type="dxa"/>
            <w:vAlign w:val="bottom"/>
          </w:tcPr>
          <w:p>
            <w:pPr>
              <w:ind w:left="220"/>
              <w:spacing w:after="0" w:line="190" w:lineRule="exact"/>
              <w:rPr>
                <w:sz w:val="20"/>
                <w:szCs w:val="20"/>
                <w:color w:val="auto"/>
              </w:rPr>
            </w:pPr>
            <w:r>
              <w:rPr>
                <w:rFonts w:ascii="Arial" w:cs="Arial" w:eastAsia="Arial" w:hAnsi="Arial"/>
                <w:sz w:val="12"/>
                <w:szCs w:val="12"/>
                <w:color w:val="auto"/>
              </w:rPr>
              <w:t>Newspaper publishing</w:t>
            </w:r>
            <w:r>
              <w:rPr>
                <w:rFonts w:ascii="Arial" w:cs="Arial" w:eastAsia="Arial" w:hAnsi="Arial"/>
                <w:sz w:val="20"/>
                <w:szCs w:val="20"/>
                <w:color w:val="auto"/>
                <w:vertAlign w:val="superscript"/>
              </w:rPr>
              <w:t>(1)</w:t>
            </w:r>
          </w:p>
        </w:tc>
        <w:tc>
          <w:tcPr>
            <w:tcW w:w="280" w:type="dxa"/>
            <w:vAlign w:val="bottom"/>
          </w:tcPr>
          <w:p>
            <w:pPr>
              <w:spacing w:after="0"/>
              <w:rPr>
                <w:sz w:val="16"/>
                <w:szCs w:val="16"/>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(25,300)</w:t>
            </w:r>
          </w:p>
        </w:tc>
        <w:tc>
          <w:tcPr>
            <w:tcW w:w="420" w:type="dxa"/>
            <w:vAlign w:val="bottom"/>
          </w:tcPr>
          <w:p>
            <w:pPr>
              <w:spacing w:after="0"/>
              <w:rPr>
                <w:sz w:val="16"/>
                <w:szCs w:val="16"/>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(42,287)</w:t>
            </w: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(1,669)</w:t>
            </w:r>
          </w:p>
        </w:tc>
        <w:tc>
          <w:tcPr>
            <w:tcW w:w="420" w:type="dxa"/>
            <w:vAlign w:val="bottom"/>
          </w:tcPr>
          <w:p>
            <w:pPr>
              <w:spacing w:after="0"/>
              <w:rPr>
                <w:sz w:val="14"/>
                <w:szCs w:val="14"/>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(1,113)</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(68)</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(65)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36,983</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34,599</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1,677</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(16,492)</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Capital expenditures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54,633</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113,780</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143,225</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109,579</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11,405</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10,590</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6,415</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6,675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163</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463</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215,841</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241,087</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Identifiable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Education</w:t>
            </w:r>
          </w:p>
        </w:tc>
        <w:tc>
          <w:tcPr>
            <w:tcW w:w="280" w:type="dxa"/>
            <w:vAlign w:val="bottom"/>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2,176,240</w:t>
            </w:r>
          </w:p>
        </w:tc>
        <w:tc>
          <w:tcPr>
            <w:tcW w:w="4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2,197,277</w:t>
            </w:r>
          </w:p>
        </w:tc>
        <w:tc>
          <w:tcPr>
            <w:tcW w:w="4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1,145,596</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1,141,427</w:t>
            </w:r>
          </w:p>
        </w:tc>
        <w:tc>
          <w:tcPr>
            <w:tcW w:w="4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118,253</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206,305</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421,764</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436,289</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560" w:type="dxa"/>
            <w:vAlign w:val="bottom"/>
          </w:tcPr>
          <w:p>
            <w:pPr>
              <w:ind w:left="220"/>
              <w:spacing w:after="0"/>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5"/>
                <w:szCs w:val="15"/>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11,190</w:t>
            </w:r>
          </w:p>
        </w:tc>
        <w:tc>
          <w:tcPr>
            <w:tcW w:w="420" w:type="dxa"/>
            <w:vAlign w:val="bottom"/>
          </w:tcPr>
          <w:p>
            <w:pPr>
              <w:spacing w:after="0"/>
              <w:rPr>
                <w:sz w:val="15"/>
                <w:szCs w:val="15"/>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30,038</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823,641</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774,484</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560" w:type="dxa"/>
            <w:vAlign w:val="bottom"/>
          </w:tcPr>
          <w:p>
            <w:pPr>
              <w:spacing w:after="0"/>
              <w:rPr>
                <w:sz w:val="13"/>
                <w:szCs w:val="13"/>
                <w:color w:val="auto"/>
              </w:rPr>
            </w:pP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4,696,684</w:t>
            </w:r>
          </w:p>
        </w:tc>
        <w:tc>
          <w:tcPr>
            <w:tcW w:w="4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4,785,820</w:t>
            </w: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2"/>
        </w:trPr>
        <w:tc>
          <w:tcPr>
            <w:tcW w:w="7560" w:type="dxa"/>
            <w:vAlign w:val="bottom"/>
          </w:tcPr>
          <w:p>
            <w:pPr>
              <w:spacing w:after="0"/>
              <w:rPr>
                <w:sz w:val="20"/>
                <w:szCs w:val="20"/>
                <w:color w:val="auto"/>
              </w:rPr>
            </w:pPr>
            <w:r>
              <w:rPr>
                <w:rFonts w:ascii="Arial" w:cs="Arial" w:eastAsia="Arial" w:hAnsi="Arial"/>
                <w:sz w:val="12"/>
                <w:szCs w:val="12"/>
                <w:b w:val="1"/>
                <w:bCs w:val="1"/>
                <w:color w:val="auto"/>
              </w:rPr>
              <w:t>Investments in marketable equity securities</w:t>
            </w:r>
          </w:p>
        </w:tc>
        <w:tc>
          <w:tcPr>
            <w:tcW w:w="280" w:type="dxa"/>
            <w:vAlign w:val="bottom"/>
          </w:tcPr>
          <w:p>
            <w:pPr>
              <w:spacing w:after="0"/>
              <w:rPr>
                <w:sz w:val="17"/>
                <w:szCs w:val="17"/>
                <w:color w:val="auto"/>
              </w:rPr>
            </w:pPr>
          </w:p>
        </w:tc>
        <w:tc>
          <w:tcPr>
            <w:tcW w:w="960" w:type="dxa"/>
            <w:vAlign w:val="bottom"/>
          </w:tcPr>
          <w:p>
            <w:pPr>
              <w:jc w:val="right"/>
              <w:ind w:right="58"/>
              <w:spacing w:after="0"/>
              <w:rPr>
                <w:sz w:val="20"/>
                <w:szCs w:val="20"/>
                <w:color w:val="auto"/>
              </w:rPr>
            </w:pPr>
            <w:r>
              <w:rPr>
                <w:rFonts w:ascii="Arial" w:cs="Arial" w:eastAsia="Arial" w:hAnsi="Arial"/>
                <w:sz w:val="12"/>
                <w:szCs w:val="12"/>
                <w:b w:val="1"/>
                <w:bCs w:val="1"/>
                <w:color w:val="auto"/>
              </w:rPr>
              <w:t>303,201</w:t>
            </w:r>
          </w:p>
        </w:tc>
        <w:tc>
          <w:tcPr>
            <w:tcW w:w="420" w:type="dxa"/>
            <w:vAlign w:val="bottom"/>
          </w:tcPr>
          <w:p>
            <w:pPr>
              <w:spacing w:after="0"/>
              <w:rPr>
                <w:sz w:val="17"/>
                <w:szCs w:val="17"/>
                <w:color w:val="auto"/>
              </w:rPr>
            </w:pPr>
          </w:p>
        </w:tc>
        <w:tc>
          <w:tcPr>
            <w:tcW w:w="940" w:type="dxa"/>
            <w:vAlign w:val="bottom"/>
          </w:tcPr>
          <w:p>
            <w:pPr>
              <w:jc w:val="right"/>
              <w:ind w:right="58"/>
              <w:spacing w:after="0"/>
              <w:rPr>
                <w:sz w:val="20"/>
                <w:szCs w:val="20"/>
                <w:color w:val="auto"/>
              </w:rPr>
            </w:pPr>
            <w:r>
              <w:rPr>
                <w:rFonts w:ascii="Arial" w:cs="Arial" w:eastAsia="Arial" w:hAnsi="Arial"/>
                <w:sz w:val="12"/>
                <w:szCs w:val="12"/>
                <w:color w:val="auto"/>
              </w:rPr>
              <w:t>340,910</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60" w:type="dxa"/>
            <w:vAlign w:val="bottom"/>
          </w:tcPr>
          <w:p>
            <w:pPr>
              <w:spacing w:after="0"/>
              <w:rPr>
                <w:sz w:val="20"/>
                <w:szCs w:val="20"/>
                <w:color w:val="auto"/>
              </w:rPr>
            </w:pPr>
            <w:r>
              <w:rPr>
                <w:rFonts w:ascii="Arial" w:cs="Arial" w:eastAsia="Arial" w:hAnsi="Arial"/>
                <w:sz w:val="12"/>
                <w:szCs w:val="12"/>
                <w:b w:val="1"/>
                <w:bCs w:val="1"/>
                <w:color w:val="auto"/>
              </w:rPr>
              <w:t>Investments in affiliates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17,101</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31,637</w:t>
            </w:r>
          </w:p>
        </w:tc>
        <w:tc>
          <w:tcPr>
            <w:tcW w:w="4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56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28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b w:val="1"/>
                <w:bCs w:val="1"/>
                <w:color w:val="auto"/>
              </w:rPr>
              <w:t>5,016,986</w:t>
            </w:r>
          </w:p>
        </w:tc>
        <w:tc>
          <w:tcPr>
            <w:tcW w:w="4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5,158,367</w:t>
            </w:r>
          </w:p>
        </w:tc>
        <w:tc>
          <w:tcPr>
            <w:tcW w:w="4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(1) Includes a $2.4 million and $20.4 million charge in 2011 and 2010, respectively, related to the withdrawal from a multiemployer pension plan.</w:t>
      </w:r>
    </w:p>
    <w:p>
      <w:pPr>
        <w:spacing w:after="0" w:line="18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060" w:gutter="0" w:footer="0" w:header="0"/>
        </w:sectPr>
      </w:pPr>
    </w:p>
    <w:bookmarkStart w:id="115" w:name="page116"/>
    <w:bookmarkEnd w:id="115"/>
    <w:p>
      <w:pPr>
        <w:ind w:left="9"/>
        <w:spacing w:after="0"/>
        <w:rPr>
          <w:sz w:val="20"/>
          <w:szCs w:val="20"/>
          <w:color w:val="auto"/>
        </w:rPr>
      </w:pPr>
      <w:r>
        <w:rPr>
          <w:rFonts w:ascii="Arial" w:cs="Arial" w:eastAsia="Arial" w:hAnsi="Arial"/>
          <w:sz w:val="17"/>
          <w:szCs w:val="17"/>
          <w:color w:val="auto"/>
        </w:rPr>
        <w:t>The Company’s education division comprises the following operating segments:</w:t>
      </w:r>
    </w:p>
    <w:p>
      <w:pPr>
        <w:spacing w:after="0" w:line="262"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66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Fiscal Year Ended</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4"/>
        </w:trPr>
        <w:tc>
          <w:tcPr>
            <w:tcW w:w="66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(in thousands)</w:t>
            </w:r>
          </w:p>
        </w:tc>
        <w:tc>
          <w:tcPr>
            <w:tcW w:w="4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26"/>
              <w:spacing w:after="0"/>
              <w:rPr>
                <w:sz w:val="20"/>
                <w:szCs w:val="20"/>
                <w:color w:val="auto"/>
              </w:rPr>
            </w:pPr>
            <w:r>
              <w:rPr>
                <w:rFonts w:ascii="Arial" w:cs="Arial" w:eastAsia="Arial" w:hAnsi="Arial"/>
                <w:sz w:val="12"/>
                <w:szCs w:val="12"/>
                <w:b w:val="1"/>
                <w:bCs w:val="1"/>
                <w:color w:val="auto"/>
              </w:rPr>
              <w:t>2011</w:t>
            </w: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color w:val="auto"/>
              </w:rPr>
              <w:t>2010</w:t>
            </w:r>
          </w:p>
        </w:tc>
        <w:tc>
          <w:tcPr>
            <w:tcW w:w="4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color w:val="auto"/>
              </w:rPr>
              <w:t>2009</w:t>
            </w:r>
          </w:p>
        </w:tc>
      </w:tr>
      <w:tr>
        <w:trPr>
          <w:trHeight w:val="247"/>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Operating Revenues</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Higher education</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1,399,582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1,905,038</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1,65</w:t>
            </w:r>
          </w:p>
        </w:tc>
      </w:tr>
      <w:tr>
        <w:trPr>
          <w:trHeight w:val="233"/>
        </w:trPr>
        <w:tc>
          <w:tcPr>
            <w:tcW w:w="6620" w:type="dxa"/>
            <w:vAlign w:val="bottom"/>
          </w:tcPr>
          <w:p>
            <w:pPr>
              <w:ind w:left="540"/>
              <w:spacing w:after="0" w:line="233" w:lineRule="exact"/>
              <w:rPr>
                <w:sz w:val="20"/>
                <w:szCs w:val="20"/>
                <w:color w:val="auto"/>
              </w:rPr>
            </w:pPr>
            <w:r>
              <w:rPr>
                <w:rFonts w:ascii="Arial" w:cs="Arial" w:eastAsia="Arial" w:hAnsi="Arial"/>
                <w:sz w:val="15"/>
                <w:szCs w:val="15"/>
                <w:color w:val="auto"/>
              </w:rPr>
              <w:t>Test preparation</w:t>
            </w:r>
            <w:r>
              <w:rPr>
                <w:rFonts w:ascii="Arial" w:cs="Arial" w:eastAsia="Arial" w:hAnsi="Arial"/>
                <w:sz w:val="24"/>
                <w:szCs w:val="24"/>
                <w:color w:val="auto"/>
                <w:vertAlign w:val="superscript"/>
              </w:rPr>
              <w:t>(1)</w:t>
            </w:r>
          </w:p>
        </w:tc>
        <w:tc>
          <w:tcPr>
            <w:tcW w:w="420" w:type="dxa"/>
            <w:vAlign w:val="bottom"/>
          </w:tcPr>
          <w:p>
            <w:pPr>
              <w:spacing w:after="0"/>
              <w:rPr>
                <w:sz w:val="20"/>
                <w:szCs w:val="20"/>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303,093</w:t>
            </w:r>
          </w:p>
        </w:tc>
        <w:tc>
          <w:tcPr>
            <w:tcW w:w="220" w:type="dxa"/>
            <w:vAlign w:val="bottom"/>
          </w:tcPr>
          <w:p>
            <w:pPr>
              <w:spacing w:after="0"/>
              <w:rPr>
                <w:sz w:val="20"/>
                <w:szCs w:val="20"/>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314,879</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197"/>
        </w:trPr>
        <w:tc>
          <w:tcPr>
            <w:tcW w:w="6620" w:type="dxa"/>
            <w:vAlign w:val="bottom"/>
          </w:tcPr>
          <w:p>
            <w:pPr>
              <w:ind w:left="5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7"/>
                <w:szCs w:val="17"/>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690,225</w:t>
            </w:r>
          </w:p>
        </w:tc>
        <w:tc>
          <w:tcPr>
            <w:tcW w:w="220" w:type="dxa"/>
            <w:vAlign w:val="bottom"/>
          </w:tcPr>
          <w:p>
            <w:pPr>
              <w:spacing w:after="0"/>
              <w:rPr>
                <w:sz w:val="17"/>
                <w:szCs w:val="17"/>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585,924</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ventures</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74,946</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59,296</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corporate and other</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4,585</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5,537</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Intersegment elimination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(7,383)</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(8,395)</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191"/>
        </w:trPr>
        <w:tc>
          <w:tcPr>
            <w:tcW w:w="6620" w:type="dxa"/>
            <w:vAlign w:val="bottom"/>
          </w:tcPr>
          <w:p>
            <w:pPr>
              <w:spacing w:after="0"/>
              <w:rPr>
                <w:sz w:val="16"/>
                <w:szCs w:val="16"/>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2,465,048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2,862,279</w:t>
            </w: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w:t>
            </w:r>
          </w:p>
        </w:tc>
      </w:tr>
      <w:tr>
        <w:trPr>
          <w:trHeight w:val="235"/>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Income (loss) from operations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Higher education</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148,915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406,880</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33"/>
        </w:trPr>
        <w:tc>
          <w:tcPr>
            <w:tcW w:w="6620" w:type="dxa"/>
            <w:vAlign w:val="bottom"/>
          </w:tcPr>
          <w:p>
            <w:pPr>
              <w:ind w:left="540"/>
              <w:spacing w:after="0" w:line="233" w:lineRule="exact"/>
              <w:rPr>
                <w:sz w:val="20"/>
                <w:szCs w:val="20"/>
                <w:color w:val="auto"/>
              </w:rPr>
            </w:pPr>
            <w:r>
              <w:rPr>
                <w:rFonts w:ascii="Arial" w:cs="Arial" w:eastAsia="Arial" w:hAnsi="Arial"/>
                <w:sz w:val="15"/>
                <w:szCs w:val="15"/>
                <w:color w:val="auto"/>
              </w:rPr>
              <w:t>Test preparation</w:t>
            </w:r>
            <w:r>
              <w:rPr>
                <w:rFonts w:ascii="Arial" w:cs="Arial" w:eastAsia="Arial" w:hAnsi="Arial"/>
                <w:sz w:val="24"/>
                <w:szCs w:val="24"/>
                <w:color w:val="auto"/>
                <w:vertAlign w:val="superscript"/>
              </w:rPr>
              <w:t>(1)</w:t>
            </w:r>
          </w:p>
        </w:tc>
        <w:tc>
          <w:tcPr>
            <w:tcW w:w="420" w:type="dxa"/>
            <w:vAlign w:val="bottom"/>
          </w:tcPr>
          <w:p>
            <w:pPr>
              <w:spacing w:after="0"/>
              <w:rPr>
                <w:sz w:val="20"/>
                <w:szCs w:val="20"/>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(28,498)</w:t>
            </w:r>
          </w:p>
        </w:tc>
        <w:tc>
          <w:tcPr>
            <w:tcW w:w="220" w:type="dxa"/>
            <w:vAlign w:val="bottom"/>
          </w:tcPr>
          <w:p>
            <w:pPr>
              <w:spacing w:after="0"/>
              <w:rPr>
                <w:sz w:val="20"/>
                <w:szCs w:val="20"/>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(32,583)</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197"/>
        </w:trPr>
        <w:tc>
          <w:tcPr>
            <w:tcW w:w="6620" w:type="dxa"/>
            <w:vAlign w:val="bottom"/>
          </w:tcPr>
          <w:p>
            <w:pPr>
              <w:ind w:left="5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7"/>
                <w:szCs w:val="17"/>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46,498</w:t>
            </w:r>
          </w:p>
        </w:tc>
        <w:tc>
          <w:tcPr>
            <w:tcW w:w="220" w:type="dxa"/>
            <w:vAlign w:val="bottom"/>
          </w:tcPr>
          <w:p>
            <w:pPr>
              <w:spacing w:after="0"/>
              <w:rPr>
                <w:sz w:val="17"/>
                <w:szCs w:val="17"/>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56,152</w:t>
            </w:r>
          </w:p>
        </w:tc>
        <w:tc>
          <w:tcPr>
            <w:tcW w:w="4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ventures</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(10,093)</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(17,490)</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corporate and other</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(66,268)</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(65,992)</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Intersegment elimination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(1,120)</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(234)</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1"/>
        </w:trPr>
        <w:tc>
          <w:tcPr>
            <w:tcW w:w="6620" w:type="dxa"/>
            <w:vAlign w:val="bottom"/>
          </w:tcPr>
          <w:p>
            <w:pPr>
              <w:spacing w:after="0"/>
              <w:rPr>
                <w:sz w:val="16"/>
                <w:szCs w:val="16"/>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89,434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346,733</w:t>
            </w: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r>
      <w:tr>
        <w:trPr>
          <w:trHeight w:val="235"/>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Depreciation of property, plant and equipment</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Higher education</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48,379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42,412</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15,489</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14,095</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16,747</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12,839</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ventures</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4,189</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4,109</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Kaplan corporate and other</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2,914</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3,851</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1"/>
        </w:trPr>
        <w:tc>
          <w:tcPr>
            <w:tcW w:w="6620" w:type="dxa"/>
            <w:vAlign w:val="bottom"/>
          </w:tcPr>
          <w:p>
            <w:pPr>
              <w:spacing w:after="0"/>
              <w:rPr>
                <w:sz w:val="16"/>
                <w:szCs w:val="16"/>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87,718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77,306</w:t>
            </w: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r>
      <w:tr>
        <w:trPr>
          <w:trHeight w:val="235"/>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Amortization of intangible assets</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21,167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21,406</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w:t>
            </w:r>
          </w:p>
        </w:tc>
      </w:tr>
      <w:tr>
        <w:trPr>
          <w:trHeight w:val="248"/>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1"/>
                <w:szCs w:val="21"/>
                <w:color w:val="auto"/>
              </w:rPr>
            </w:pPr>
          </w:p>
        </w:tc>
      </w:tr>
      <w:tr>
        <w:trPr>
          <w:trHeight w:val="248"/>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Kaplan stock-based incentive compensation (credit) expense</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(1,290)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(1,179)</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21"/>
                <w:szCs w:val="21"/>
                <w:color w:val="auto"/>
              </w:rPr>
            </w:pPr>
          </w:p>
        </w:tc>
      </w:tr>
      <w:tr>
        <w:trPr>
          <w:trHeight w:val="248"/>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Capital Expenditures</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Higher education</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19,735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58,660</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17,266</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32,798</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16,304</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14,163</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ventures</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2,762</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3,050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Kaplan corporate and other</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(1,434)</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5,109</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r>
      <w:tr>
        <w:trPr>
          <w:trHeight w:val="191"/>
        </w:trPr>
        <w:tc>
          <w:tcPr>
            <w:tcW w:w="6620" w:type="dxa"/>
            <w:vAlign w:val="bottom"/>
          </w:tcPr>
          <w:p>
            <w:pPr>
              <w:spacing w:after="0"/>
              <w:rPr>
                <w:sz w:val="16"/>
                <w:szCs w:val="16"/>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54,633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113,780</w:t>
            </w: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r>
      <w:tr>
        <w:trPr>
          <w:trHeight w:val="235"/>
        </w:trPr>
        <w:tc>
          <w:tcPr>
            <w:tcW w:w="6620" w:type="dxa"/>
            <w:vAlign w:val="bottom"/>
          </w:tcPr>
          <w:p>
            <w:pPr>
              <w:ind w:left="80"/>
              <w:spacing w:after="0"/>
              <w:rPr>
                <w:sz w:val="20"/>
                <w:szCs w:val="20"/>
                <w:color w:val="auto"/>
              </w:rPr>
            </w:pPr>
            <w:r>
              <w:rPr>
                <w:rFonts w:ascii="Arial" w:cs="Arial" w:eastAsia="Arial" w:hAnsi="Arial"/>
                <w:sz w:val="15"/>
                <w:szCs w:val="15"/>
                <w:b w:val="1"/>
                <w:bCs w:val="1"/>
                <w:color w:val="auto"/>
              </w:rPr>
              <w:t>Identifiable assets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Higher education</w:t>
            </w:r>
          </w:p>
        </w:tc>
        <w:tc>
          <w:tcPr>
            <w:tcW w:w="42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936,029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1,043,503</w:t>
            </w:r>
          </w:p>
        </w:tc>
        <w:tc>
          <w:tcPr>
            <w:tcW w:w="4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1,01</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334,343</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290,368</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809,267</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675,127</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11"/>
        </w:trPr>
        <w:tc>
          <w:tcPr>
            <w:tcW w:w="6620" w:type="dxa"/>
            <w:vAlign w:val="bottom"/>
          </w:tcPr>
          <w:p>
            <w:pPr>
              <w:ind w:left="540"/>
              <w:spacing w:after="0"/>
              <w:rPr>
                <w:sz w:val="20"/>
                <w:szCs w:val="20"/>
                <w:color w:val="auto"/>
              </w:rPr>
            </w:pPr>
            <w:r>
              <w:rPr>
                <w:rFonts w:ascii="Arial" w:cs="Arial" w:eastAsia="Arial" w:hAnsi="Arial"/>
                <w:sz w:val="15"/>
                <w:szCs w:val="15"/>
                <w:color w:val="auto"/>
              </w:rPr>
              <w:t>Kaplan ventures</w:t>
            </w:r>
          </w:p>
        </w:tc>
        <w:tc>
          <w:tcPr>
            <w:tcW w:w="420" w:type="dxa"/>
            <w:vAlign w:val="bottom"/>
          </w:tcPr>
          <w:p>
            <w:pPr>
              <w:spacing w:after="0"/>
              <w:rPr>
                <w:sz w:val="18"/>
                <w:szCs w:val="18"/>
                <w:color w:val="auto"/>
              </w:rPr>
            </w:pPr>
          </w:p>
        </w:tc>
        <w:tc>
          <w:tcPr>
            <w:tcW w:w="1220" w:type="dxa"/>
            <w:vAlign w:val="bottom"/>
          </w:tcPr>
          <w:p>
            <w:pPr>
              <w:jc w:val="right"/>
              <w:ind w:right="86"/>
              <w:spacing w:after="0"/>
              <w:rPr>
                <w:sz w:val="20"/>
                <w:szCs w:val="20"/>
                <w:color w:val="auto"/>
              </w:rPr>
            </w:pPr>
            <w:r>
              <w:rPr>
                <w:rFonts w:ascii="Arial" w:cs="Arial" w:eastAsia="Arial" w:hAnsi="Arial"/>
                <w:sz w:val="15"/>
                <w:szCs w:val="15"/>
                <w:b w:val="1"/>
                <w:bCs w:val="1"/>
                <w:color w:val="auto"/>
              </w:rPr>
              <w:t>89,043</w:t>
            </w:r>
          </w:p>
        </w:tc>
        <w:tc>
          <w:tcPr>
            <w:tcW w:w="220" w:type="dxa"/>
            <w:vAlign w:val="bottom"/>
          </w:tcPr>
          <w:p>
            <w:pPr>
              <w:spacing w:after="0"/>
              <w:rPr>
                <w:sz w:val="18"/>
                <w:szCs w:val="18"/>
                <w:color w:val="auto"/>
              </w:rPr>
            </w:pPr>
          </w:p>
        </w:tc>
        <w:tc>
          <w:tcPr>
            <w:tcW w:w="1360" w:type="dxa"/>
            <w:vAlign w:val="bottom"/>
          </w:tcPr>
          <w:p>
            <w:pPr>
              <w:jc w:val="right"/>
              <w:ind w:right="66"/>
              <w:spacing w:after="0"/>
              <w:rPr>
                <w:sz w:val="20"/>
                <w:szCs w:val="20"/>
                <w:color w:val="auto"/>
              </w:rPr>
            </w:pPr>
            <w:r>
              <w:rPr>
                <w:rFonts w:ascii="Arial" w:cs="Arial" w:eastAsia="Arial" w:hAnsi="Arial"/>
                <w:sz w:val="15"/>
                <w:szCs w:val="15"/>
                <w:color w:val="auto"/>
              </w:rPr>
              <w:t>93,359</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r>
      <w:tr>
        <w:trPr>
          <w:trHeight w:val="204"/>
        </w:trPr>
        <w:tc>
          <w:tcPr>
            <w:tcW w:w="6620" w:type="dxa"/>
            <w:vAlign w:val="bottom"/>
          </w:tcPr>
          <w:p>
            <w:pPr>
              <w:ind w:left="540"/>
              <w:spacing w:after="0"/>
              <w:rPr>
                <w:sz w:val="20"/>
                <w:szCs w:val="20"/>
                <w:color w:val="auto"/>
              </w:rPr>
            </w:pPr>
            <w:r>
              <w:rPr>
                <w:rFonts w:ascii="Arial" w:cs="Arial" w:eastAsia="Arial" w:hAnsi="Arial"/>
                <w:sz w:val="15"/>
                <w:szCs w:val="15"/>
                <w:color w:val="auto"/>
              </w:rPr>
              <w:t>Kaplan corporate and other</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7,558</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94,920</w:t>
            </w:r>
          </w:p>
        </w:tc>
        <w:tc>
          <w:tcPr>
            <w:tcW w:w="4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191"/>
        </w:trPr>
        <w:tc>
          <w:tcPr>
            <w:tcW w:w="6620" w:type="dxa"/>
            <w:vAlign w:val="bottom"/>
          </w:tcPr>
          <w:p>
            <w:pPr>
              <w:spacing w:after="0"/>
              <w:rPr>
                <w:sz w:val="16"/>
                <w:szCs w:val="16"/>
                <w:color w:val="auto"/>
              </w:rPr>
            </w:pPr>
          </w:p>
        </w:tc>
        <w:tc>
          <w:tcPr>
            <w:tcW w:w="4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2,176,240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2,197,277</w:t>
            </w:r>
          </w:p>
        </w:tc>
        <w:tc>
          <w:tcPr>
            <w:tcW w:w="4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2,18</w:t>
            </w:r>
          </w:p>
        </w:tc>
      </w:tr>
    </w:tbl>
    <w:p>
      <w:pPr>
        <w:spacing w:after="0" w:line="144" w:lineRule="exact"/>
        <w:rPr>
          <w:sz w:val="20"/>
          <w:szCs w:val="20"/>
          <w:color w:val="auto"/>
        </w:rPr>
      </w:pPr>
    </w:p>
    <w:p>
      <w:pPr>
        <w:ind w:left="9"/>
        <w:spacing w:after="0"/>
        <w:rPr>
          <w:sz w:val="20"/>
          <w:szCs w:val="20"/>
          <w:color w:val="auto"/>
        </w:rPr>
      </w:pPr>
      <w:r>
        <w:rPr>
          <w:rFonts w:ascii="Arial" w:cs="Arial" w:eastAsia="Arial" w:hAnsi="Arial"/>
          <w:sz w:val="17"/>
          <w:szCs w:val="17"/>
          <w:u w:val="single" w:color="auto"/>
          <w:color w:val="auto"/>
        </w:rPr>
        <w:t>_____________</w:t>
      </w:r>
    </w:p>
    <w:p>
      <w:pPr>
        <w:ind w:left="329" w:hanging="329"/>
        <w:spacing w:after="0"/>
        <w:tabs>
          <w:tab w:leader="none" w:pos="329" w:val="left"/>
        </w:tabs>
        <w:numPr>
          <w:ilvl w:val="0"/>
          <w:numId w:val="66"/>
        </w:numPr>
        <w:rPr>
          <w:rFonts w:ascii="Arial" w:cs="Arial" w:eastAsia="Arial" w:hAnsi="Arial"/>
          <w:sz w:val="13"/>
          <w:szCs w:val="13"/>
          <w:color w:val="auto"/>
        </w:rPr>
      </w:pPr>
      <w:r>
        <w:rPr>
          <w:rFonts w:ascii="Arial" w:cs="Arial" w:eastAsia="Arial" w:hAnsi="Arial"/>
          <w:sz w:val="13"/>
          <w:szCs w:val="13"/>
          <w:color w:val="auto"/>
        </w:rPr>
        <w:t>Test Preparation amounts include revenues of $8.6 million and operating losses of $36.8 million from Score for the fiscal year ended 2009.</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635" w:right="139" w:bottom="1440" w:gutter="0" w:footer="0" w:header="0"/>
        </w:sectPr>
      </w:pPr>
    </w:p>
    <w:bookmarkStart w:id="116" w:name="page117"/>
    <w:bookmarkEnd w:id="116"/>
    <w:p>
      <w:pPr>
        <w:ind w:left="409" w:hanging="409"/>
        <w:spacing w:after="0"/>
        <w:tabs>
          <w:tab w:leader="none" w:pos="409"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QUARTERLY OPERATING RESULTS AND COMPREHENSIVE INCOME (UNAUDITED)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Quarterly results of operations and comprehensive income for the year ended December 31, 2011 is as follows:</w:t>
      </w:r>
    </w:p>
    <w:p>
      <w:pPr>
        <w:spacing w:after="0" w:line="211"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406"/>
              <w:spacing w:after="0"/>
              <w:rPr>
                <w:sz w:val="20"/>
                <w:szCs w:val="20"/>
                <w:color w:val="auto"/>
              </w:rPr>
            </w:pPr>
            <w:r>
              <w:rPr>
                <w:rFonts w:ascii="Arial" w:cs="Arial" w:eastAsia="Arial" w:hAnsi="Arial"/>
                <w:sz w:val="12"/>
                <w:szCs w:val="12"/>
                <w:b w:val="1"/>
                <w:bCs w:val="1"/>
                <w:color w:val="auto"/>
              </w:rPr>
              <w:t>First</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86"/>
              <w:spacing w:after="0"/>
              <w:rPr>
                <w:sz w:val="20"/>
                <w:szCs w:val="20"/>
                <w:color w:val="auto"/>
              </w:rPr>
            </w:pPr>
            <w:r>
              <w:rPr>
                <w:rFonts w:ascii="Arial" w:cs="Arial" w:eastAsia="Arial" w:hAnsi="Arial"/>
                <w:sz w:val="12"/>
                <w:szCs w:val="12"/>
                <w:b w:val="1"/>
                <w:bCs w:val="1"/>
                <w:color w:val="auto"/>
              </w:rPr>
              <w:t>Third</w:t>
            </w:r>
          </w:p>
        </w:tc>
        <w:tc>
          <w:tcPr>
            <w:tcW w:w="2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Four</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b w:val="1"/>
                <w:bCs w:val="1"/>
                <w:color w:val="auto"/>
              </w:rPr>
              <w:t>Second Quarter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w:t>
            </w: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2011 Quarterly Operating Results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626,631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624,844</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615,884</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177,384</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193,352</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170,553</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214,523</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216,607</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212,144</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31,076</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34,337</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34,059</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1,049,614</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1,069,140</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1,032,640</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481,313</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506,049</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504,001</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443,876</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411,610</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393,508</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63,021</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63,690</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62,644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6,164</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6,779</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8,603</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Impairment of goodwill</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11,923</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994,374</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988,128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980,679</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
              <w:spacing w:after="0" w:line="168" w:lineRule="exact"/>
              <w:rPr>
                <w:sz w:val="20"/>
                <w:szCs w:val="20"/>
                <w:color w:val="auto"/>
              </w:rPr>
            </w:pPr>
            <w:r>
              <w:rPr>
                <w:rFonts w:ascii="Arial" w:cs="Arial" w:eastAsia="Arial" w:hAnsi="Arial"/>
                <w:sz w:val="15"/>
                <w:szCs w:val="15"/>
                <w:color w:val="auto"/>
              </w:rPr>
              <w:t>55,240</w:t>
            </w:r>
          </w:p>
        </w:tc>
        <w:tc>
          <w:tcPr>
            <w:tcW w:w="180" w:type="dxa"/>
            <w:vAlign w:val="bottom"/>
          </w:tcPr>
          <w:p>
            <w:pPr>
              <w:spacing w:after="0"/>
              <w:rPr>
                <w:sz w:val="14"/>
                <w:szCs w:val="14"/>
                <w:color w:val="auto"/>
              </w:rPr>
            </w:pPr>
          </w:p>
        </w:tc>
        <w:tc>
          <w:tcPr>
            <w:tcW w:w="1080" w:type="dxa"/>
            <w:vAlign w:val="bottom"/>
          </w:tcPr>
          <w:p>
            <w:pPr>
              <w:jc w:val="right"/>
              <w:ind w:right="6"/>
              <w:spacing w:after="0" w:line="168" w:lineRule="exact"/>
              <w:rPr>
                <w:sz w:val="20"/>
                <w:szCs w:val="20"/>
                <w:color w:val="auto"/>
              </w:rPr>
            </w:pPr>
            <w:r>
              <w:rPr>
                <w:rFonts w:ascii="Arial" w:cs="Arial" w:eastAsia="Arial" w:hAnsi="Arial"/>
                <w:sz w:val="15"/>
                <w:szCs w:val="15"/>
                <w:color w:val="auto"/>
              </w:rPr>
              <w:t>81,012</w:t>
            </w:r>
          </w:p>
        </w:tc>
        <w:tc>
          <w:tcPr>
            <w:tcW w:w="280" w:type="dxa"/>
            <w:vAlign w:val="bottom"/>
          </w:tcPr>
          <w:p>
            <w:pPr>
              <w:spacing w:after="0"/>
              <w:rPr>
                <w:sz w:val="14"/>
                <w:szCs w:val="14"/>
                <w:color w:val="auto"/>
              </w:rPr>
            </w:pPr>
          </w:p>
        </w:tc>
        <w:tc>
          <w:tcPr>
            <w:tcW w:w="960" w:type="dxa"/>
            <w:vAlign w:val="bottom"/>
          </w:tcPr>
          <w:p>
            <w:pPr>
              <w:jc w:val="right"/>
              <w:ind w:right="6"/>
              <w:spacing w:after="0" w:line="168" w:lineRule="exact"/>
              <w:rPr>
                <w:sz w:val="20"/>
                <w:szCs w:val="20"/>
                <w:color w:val="auto"/>
              </w:rPr>
            </w:pPr>
            <w:r>
              <w:rPr>
                <w:rFonts w:ascii="Arial" w:cs="Arial" w:eastAsia="Arial" w:hAnsi="Arial"/>
                <w:sz w:val="15"/>
                <w:szCs w:val="15"/>
                <w:color w:val="auto"/>
              </w:rPr>
              <w:t>51,961</w:t>
            </w:r>
          </w:p>
        </w:tc>
        <w:tc>
          <w:tcPr>
            <w:tcW w:w="2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Equity in earnings (losses) of affiliates, net</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3,737</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3,138</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(1,494)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982</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997</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994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(7,961)</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(7,960)</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(8,667)</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Other (expense) income, net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(24,032)</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(2,591)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(29,650)</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27,966</w:t>
            </w:r>
          </w:p>
        </w:tc>
        <w:tc>
          <w:tcPr>
            <w:tcW w:w="180" w:type="dxa"/>
            <w:vAlign w:val="bottom"/>
          </w:tcPr>
          <w:p>
            <w:pPr>
              <w:spacing w:after="0"/>
              <w:rPr>
                <w:sz w:val="13"/>
                <w:szCs w:val="13"/>
                <w:color w:val="auto"/>
              </w:rPr>
            </w:pPr>
          </w:p>
        </w:tc>
        <w:tc>
          <w:tcPr>
            <w:tcW w:w="1080" w:type="dxa"/>
            <w:vAlign w:val="bottom"/>
          </w:tcPr>
          <w:p>
            <w:pPr>
              <w:jc w:val="right"/>
              <w:ind w:right="6"/>
              <w:spacing w:after="0" w:line="150" w:lineRule="exact"/>
              <w:rPr>
                <w:sz w:val="20"/>
                <w:szCs w:val="20"/>
                <w:color w:val="auto"/>
              </w:rPr>
            </w:pPr>
            <w:r>
              <w:rPr>
                <w:rFonts w:ascii="Arial" w:cs="Arial" w:eastAsia="Arial" w:hAnsi="Arial"/>
                <w:sz w:val="15"/>
                <w:szCs w:val="15"/>
                <w:color w:val="auto"/>
              </w:rPr>
              <w:t>74,596</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13,144</w:t>
            </w:r>
          </w:p>
        </w:tc>
        <w:tc>
          <w:tcPr>
            <w:tcW w:w="280" w:type="dxa"/>
            <w:vAlign w:val="bottom"/>
          </w:tcPr>
          <w:p>
            <w:pPr>
              <w:spacing w:after="0"/>
              <w:rPr>
                <w:sz w:val="13"/>
                <w:szCs w:val="13"/>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10,400</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27,500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16,600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Income (Loss) from Continuing Operations</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17,566</w:t>
            </w:r>
          </w:p>
        </w:tc>
        <w:tc>
          <w:tcPr>
            <w:tcW w:w="180" w:type="dxa"/>
            <w:vAlign w:val="bottom"/>
          </w:tcPr>
          <w:p>
            <w:pPr>
              <w:spacing w:after="0"/>
              <w:rPr>
                <w:sz w:val="13"/>
                <w:szCs w:val="13"/>
                <w:color w:val="auto"/>
              </w:rPr>
            </w:pPr>
          </w:p>
        </w:tc>
        <w:tc>
          <w:tcPr>
            <w:tcW w:w="1080" w:type="dxa"/>
            <w:vAlign w:val="bottom"/>
          </w:tcPr>
          <w:p>
            <w:pPr>
              <w:jc w:val="right"/>
              <w:ind w:right="6"/>
              <w:spacing w:after="0" w:line="150" w:lineRule="exact"/>
              <w:rPr>
                <w:sz w:val="20"/>
                <w:szCs w:val="20"/>
                <w:color w:val="auto"/>
              </w:rPr>
            </w:pPr>
            <w:r>
              <w:rPr>
                <w:rFonts w:ascii="Arial" w:cs="Arial" w:eastAsia="Arial" w:hAnsi="Arial"/>
                <w:sz w:val="15"/>
                <w:szCs w:val="15"/>
                <w:color w:val="auto"/>
              </w:rPr>
              <w:t>47,096</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(3,456)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(1,937)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(1,333)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(2,510)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15,629</w:t>
            </w:r>
          </w:p>
        </w:tc>
        <w:tc>
          <w:tcPr>
            <w:tcW w:w="180" w:type="dxa"/>
            <w:vAlign w:val="bottom"/>
          </w:tcPr>
          <w:p>
            <w:pPr>
              <w:spacing w:after="0"/>
              <w:rPr>
                <w:sz w:val="13"/>
                <w:szCs w:val="13"/>
                <w:color w:val="auto"/>
              </w:rPr>
            </w:pPr>
          </w:p>
        </w:tc>
        <w:tc>
          <w:tcPr>
            <w:tcW w:w="1080" w:type="dxa"/>
            <w:vAlign w:val="bottom"/>
          </w:tcPr>
          <w:p>
            <w:pPr>
              <w:jc w:val="right"/>
              <w:ind w:right="6"/>
              <w:spacing w:after="0" w:line="150" w:lineRule="exact"/>
              <w:rPr>
                <w:sz w:val="20"/>
                <w:szCs w:val="20"/>
                <w:color w:val="auto"/>
              </w:rPr>
            </w:pPr>
            <w:r>
              <w:rPr>
                <w:rFonts w:ascii="Arial" w:cs="Arial" w:eastAsia="Arial" w:hAnsi="Arial"/>
                <w:sz w:val="15"/>
                <w:szCs w:val="15"/>
                <w:color w:val="auto"/>
              </w:rPr>
              <w:t>45,763</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(5,966)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(16)</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Attributable to The Washington Post</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Company</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15,615</w:t>
            </w:r>
          </w:p>
        </w:tc>
        <w:tc>
          <w:tcPr>
            <w:tcW w:w="180" w:type="dxa"/>
            <w:vAlign w:val="bottom"/>
          </w:tcPr>
          <w:p>
            <w:pPr>
              <w:spacing w:after="0"/>
              <w:rPr>
                <w:sz w:val="15"/>
                <w:szCs w:val="15"/>
                <w:color w:val="auto"/>
              </w:rPr>
            </w:pP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45,803</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(5,982)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(461)</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(226)</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(Loss) Attributable to The Washington Post</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40" w:type="dxa"/>
            <w:vAlign w:val="bottom"/>
          </w:tcPr>
          <w:p>
            <w:pPr>
              <w:ind w:left="260"/>
              <w:spacing w:after="0"/>
              <w:rPr>
                <w:sz w:val="20"/>
                <w:szCs w:val="20"/>
                <w:color w:val="auto"/>
              </w:rPr>
            </w:pPr>
            <w:r>
              <w:rPr>
                <w:rFonts w:ascii="Arial" w:cs="Arial" w:eastAsia="Arial" w:hAnsi="Arial"/>
                <w:sz w:val="15"/>
                <w:szCs w:val="15"/>
                <w:b w:val="1"/>
                <w:bCs w:val="1"/>
                <w:color w:val="auto"/>
              </w:rPr>
              <w:t>Company Common Stockholders</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15,154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45,573</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(6,208)</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Income (loss) from continuing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17,091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
              <w:spacing w:after="0"/>
              <w:rPr>
                <w:sz w:val="20"/>
                <w:szCs w:val="20"/>
                <w:color w:val="auto"/>
              </w:rPr>
            </w:pPr>
            <w:r>
              <w:rPr>
                <w:rFonts w:ascii="Arial" w:cs="Arial" w:eastAsia="Arial" w:hAnsi="Arial"/>
                <w:sz w:val="15"/>
                <w:szCs w:val="15"/>
                <w:color w:val="auto"/>
              </w:rPr>
              <w:t>46,906</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(3,698)</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(1,937)</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(1,333)</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(2,510)</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40" w:type="dxa"/>
            <w:vAlign w:val="bottom"/>
          </w:tcPr>
          <w:p>
            <w:pPr>
              <w:spacing w:after="0" w:line="168" w:lineRule="exact"/>
              <w:rPr>
                <w:sz w:val="20"/>
                <w:szCs w:val="20"/>
                <w:color w:val="auto"/>
              </w:rPr>
            </w:pPr>
            <w:r>
              <w:rPr>
                <w:rFonts w:ascii="Arial" w:cs="Arial" w:eastAsia="Arial" w:hAnsi="Arial"/>
                <w:sz w:val="15"/>
                <w:szCs w:val="15"/>
                <w:color w:val="auto"/>
              </w:rPr>
              <w:t>Net income attributable to The Washington Post Company</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49"/>
          </w:cols>
          <w:pgMar w:left="811" w:top="565" w:right="139" w:bottom="1440" w:gutter="0" w:footer="0" w:header="0"/>
        </w:sectPr>
      </w:pPr>
    </w:p>
    <w:p>
      <w:pPr>
        <w:spacing w:after="0" w:line="11" w:lineRule="exact"/>
        <w:rPr>
          <w:sz w:val="20"/>
          <w:szCs w:val="20"/>
          <w:color w:val="auto"/>
        </w:rPr>
      </w:pPr>
    </w:p>
    <w:p>
      <w:pPr>
        <w:ind w:left="229"/>
        <w:spacing w:after="0"/>
        <w:rPr>
          <w:sz w:val="20"/>
          <w:szCs w:val="20"/>
          <w:color w:val="auto"/>
        </w:rPr>
      </w:pPr>
      <w:r>
        <w:rPr>
          <w:rFonts w:ascii="Arial" w:cs="Arial" w:eastAsia="Arial" w:hAnsi="Arial"/>
          <w:sz w:val="15"/>
          <w:szCs w:val="15"/>
          <w:color w:val="auto"/>
        </w:rPr>
        <w:t>common stockholders</w:t>
      </w:r>
    </w:p>
    <w:p>
      <w:pPr>
        <w:spacing w:after="0" w:line="182" w:lineRule="exact"/>
        <w:rPr>
          <w:sz w:val="20"/>
          <w:szCs w:val="20"/>
          <w:color w:val="auto"/>
        </w:rPr>
      </w:pPr>
    </w:p>
    <w:p>
      <w:pPr>
        <w:ind w:left="229" w:right="1660" w:hanging="235"/>
        <w:spacing w:after="0" w:line="254" w:lineRule="auto"/>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p>
      <w:pPr>
        <w:ind w:left="9" w:right="1460"/>
        <w:spacing w:after="0" w:line="258" w:lineRule="auto"/>
        <w:rPr>
          <w:sz w:val="20"/>
          <w:szCs w:val="20"/>
          <w:color w:val="auto"/>
        </w:rPr>
      </w:pPr>
      <w:r>
        <w:rPr>
          <w:rFonts w:ascii="Arial" w:cs="Arial" w:eastAsia="Arial" w:hAnsi="Arial"/>
          <w:sz w:val="14"/>
          <w:szCs w:val="14"/>
          <w:color w:val="auto"/>
        </w:rPr>
        <w:t>Basic income (loss) per common share from continuing operations Basic (loss) income per common share from discontinued</w:t>
      </w:r>
    </w:p>
    <w:p>
      <w:pPr>
        <w:spacing w:after="0" w:line="1" w:lineRule="exact"/>
        <w:rPr>
          <w:sz w:val="20"/>
          <w:szCs w:val="20"/>
          <w:color w:val="auto"/>
        </w:rPr>
      </w:pPr>
    </w:p>
    <w:p>
      <w:pPr>
        <w:ind w:left="229"/>
        <w:spacing w:after="0"/>
        <w:rPr>
          <w:sz w:val="20"/>
          <w:szCs w:val="20"/>
          <w:color w:val="auto"/>
        </w:rPr>
      </w:pPr>
      <w:r>
        <w:rPr>
          <w:rFonts w:ascii="Arial" w:cs="Arial" w:eastAsia="Arial" w:hAnsi="Arial"/>
          <w:sz w:val="15"/>
          <w:szCs w:val="15"/>
          <w:color w:val="auto"/>
        </w:rPr>
        <w:t>operations</w:t>
      </w:r>
    </w:p>
    <w:p>
      <w:pPr>
        <w:spacing w:after="0" w:line="26" w:lineRule="exact"/>
        <w:rPr>
          <w:sz w:val="20"/>
          <w:szCs w:val="20"/>
          <w:color w:val="auto"/>
        </w:rPr>
      </w:pPr>
    </w:p>
    <w:p>
      <w:pPr>
        <w:ind w:left="9"/>
        <w:spacing w:after="0"/>
        <w:rPr>
          <w:sz w:val="20"/>
          <w:szCs w:val="20"/>
          <w:color w:val="auto"/>
        </w:rPr>
      </w:pPr>
      <w:r>
        <w:rPr>
          <w:rFonts w:ascii="Arial" w:cs="Arial" w:eastAsia="Arial" w:hAnsi="Arial"/>
          <w:sz w:val="15"/>
          <w:szCs w:val="15"/>
          <w:color w:val="auto"/>
        </w:rPr>
        <w:t>Basic net income (loss) per common share</w:t>
      </w:r>
    </w:p>
    <w:p>
      <w:pPr>
        <w:spacing w:after="0" w:line="200" w:lineRule="exact"/>
        <w:rPr>
          <w:sz w:val="20"/>
          <w:szCs w:val="20"/>
          <w:color w:val="auto"/>
        </w:rPr>
      </w:pPr>
    </w:p>
    <w:p>
      <w:pPr>
        <w:ind w:left="229" w:right="2100" w:hanging="235"/>
        <w:spacing w:after="0" w:line="241" w:lineRule="auto"/>
        <w:rPr>
          <w:sz w:val="20"/>
          <w:szCs w:val="20"/>
          <w:color w:val="auto"/>
        </w:rPr>
      </w:pPr>
      <w:r>
        <w:rPr>
          <w:rFonts w:ascii="Arial" w:cs="Arial" w:eastAsia="Arial" w:hAnsi="Arial"/>
          <w:sz w:val="15"/>
          <w:szCs w:val="15"/>
          <w:color w:val="auto"/>
        </w:rPr>
        <w:t>Diluted income (loss) per common share from continuing operations</w:t>
      </w:r>
    </w:p>
    <w:p>
      <w:pPr>
        <w:spacing w:after="0" w:line="1" w:lineRule="exact"/>
        <w:rPr>
          <w:sz w:val="20"/>
          <w:szCs w:val="20"/>
          <w:color w:val="auto"/>
        </w:rPr>
      </w:pPr>
    </w:p>
    <w:p>
      <w:pPr>
        <w:ind w:left="229" w:right="1940" w:hanging="235"/>
        <w:spacing w:after="0" w:line="250" w:lineRule="auto"/>
        <w:rPr>
          <w:sz w:val="20"/>
          <w:szCs w:val="20"/>
          <w:color w:val="auto"/>
        </w:rPr>
      </w:pPr>
      <w:r>
        <w:rPr>
          <w:rFonts w:ascii="Arial" w:cs="Arial" w:eastAsia="Arial" w:hAnsi="Arial"/>
          <w:sz w:val="15"/>
          <w:szCs w:val="15"/>
          <w:color w:val="auto"/>
        </w:rPr>
        <w:t>Diluted (loss) income per common share from discontinued operations</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5"/>
          <w:szCs w:val="15"/>
          <w:color w:val="auto"/>
        </w:rPr>
        <w:t>Diluted net income (loss) per common share</w:t>
      </w:r>
    </w:p>
    <w:p>
      <w:pPr>
        <w:spacing w:after="0" w:line="26" w:lineRule="exact"/>
        <w:rPr>
          <w:sz w:val="20"/>
          <w:szCs w:val="20"/>
          <w:color w:val="auto"/>
        </w:rPr>
      </w:pPr>
    </w:p>
    <w:p>
      <w:pPr>
        <w:ind w:left="9" w:right="2160"/>
        <w:spacing w:after="0" w:line="281" w:lineRule="auto"/>
        <w:rPr>
          <w:sz w:val="20"/>
          <w:szCs w:val="20"/>
          <w:color w:val="auto"/>
        </w:rPr>
      </w:pPr>
      <w:r>
        <w:rPr>
          <w:rFonts w:ascii="Arial" w:cs="Arial" w:eastAsia="Arial" w:hAnsi="Arial"/>
          <w:sz w:val="14"/>
          <w:szCs w:val="14"/>
          <w:color w:val="auto"/>
        </w:rPr>
        <w:t>Basic average number of common shares outstanding Diluted average number of common shares outstanding 2011 quarterly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15,154</w:t>
            </w:r>
          </w:p>
        </w:tc>
        <w:tc>
          <w:tcPr>
            <w:tcW w:w="4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45,573</w:t>
            </w:r>
          </w:p>
        </w:tc>
        <w:tc>
          <w:tcPr>
            <w:tcW w:w="3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(6,208)</w:t>
            </w:r>
          </w:p>
        </w:tc>
        <w:tc>
          <w:tcPr>
            <w:tcW w:w="7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79"/>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2.11</w:t>
            </w:r>
          </w:p>
        </w:tc>
        <w:tc>
          <w:tcPr>
            <w:tcW w:w="44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5.91</w:t>
            </w:r>
          </w:p>
        </w:tc>
        <w:tc>
          <w:tcPr>
            <w:tcW w:w="3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(0.50)</w:t>
            </w:r>
          </w:p>
        </w:tc>
        <w:tc>
          <w:tcPr>
            <w:tcW w:w="72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341"/>
        </w:trPr>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(0.24)</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(0.17)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(0.32)</w:t>
            </w:r>
          </w:p>
        </w:tc>
        <w:tc>
          <w:tcPr>
            <w:tcW w:w="720" w:type="dxa"/>
            <w:vAlign w:val="bottom"/>
            <w:tcBorders>
              <w:bottom w:val="single" w:sz="8" w:color="auto"/>
            </w:tcBorders>
          </w:tcPr>
          <w:p>
            <w:pPr>
              <w:spacing w:after="0"/>
              <w:rPr>
                <w:sz w:val="24"/>
                <w:szCs w:val="24"/>
                <w:color w:val="auto"/>
              </w:rPr>
            </w:pPr>
          </w:p>
        </w:tc>
      </w:tr>
      <w:tr>
        <w:trPr>
          <w:trHeight w:val="166"/>
        </w:trPr>
        <w:tc>
          <w:tcPr>
            <w:tcW w:w="3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1.87</w:t>
            </w:r>
          </w:p>
        </w:tc>
        <w:tc>
          <w:tcPr>
            <w:tcW w:w="4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5.74</w:t>
            </w:r>
          </w:p>
        </w:tc>
        <w:tc>
          <w:tcPr>
            <w:tcW w:w="3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(0.82)</w:t>
            </w:r>
          </w:p>
        </w:tc>
        <w:tc>
          <w:tcPr>
            <w:tcW w:w="720" w:type="dxa"/>
            <w:vAlign w:val="bottom"/>
            <w:tcBorders>
              <w:bottom w:val="single" w:sz="8" w:color="auto"/>
            </w:tcBorders>
          </w:tcPr>
          <w:p>
            <w:pPr>
              <w:jc w:val="right"/>
              <w:ind w:right="486"/>
              <w:spacing w:after="0" w:line="167" w:lineRule="exact"/>
              <w:rPr>
                <w:sz w:val="20"/>
                <w:szCs w:val="20"/>
                <w:color w:val="auto"/>
              </w:rPr>
            </w:pPr>
            <w:r>
              <w:rPr>
                <w:rFonts w:ascii="Arial" w:cs="Arial" w:eastAsia="Arial" w:hAnsi="Arial"/>
                <w:sz w:val="15"/>
                <w:szCs w:val="15"/>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05"/>
        </w:trPr>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2.11</w:t>
            </w:r>
          </w:p>
        </w:tc>
        <w:tc>
          <w:tcPr>
            <w:tcW w:w="44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5.91</w:t>
            </w:r>
          </w:p>
        </w:tc>
        <w:tc>
          <w:tcPr>
            <w:tcW w:w="3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(0.50)</w:t>
            </w:r>
          </w:p>
        </w:tc>
        <w:tc>
          <w:tcPr>
            <w:tcW w:w="720" w:type="dxa"/>
            <w:vAlign w:val="bottom"/>
          </w:tcPr>
          <w:p>
            <w:pPr>
              <w:jc w:val="right"/>
              <w:ind w:right="486"/>
              <w:spacing w:after="0"/>
              <w:rPr>
                <w:sz w:val="20"/>
                <w:szCs w:val="20"/>
                <w:color w:val="auto"/>
              </w:rPr>
            </w:pPr>
            <w:r>
              <w:rPr>
                <w:rFonts w:ascii="Arial" w:cs="Arial" w:eastAsia="Arial" w:hAnsi="Arial"/>
                <w:sz w:val="15"/>
                <w:szCs w:val="15"/>
                <w:color w:val="auto"/>
              </w:rPr>
              <w:t>$</w:t>
            </w:r>
          </w:p>
        </w:tc>
      </w:tr>
      <w:tr>
        <w:trPr>
          <w:trHeight w:val="341"/>
        </w:trPr>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(0.24)</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(0.17)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(0.32)</w:t>
            </w:r>
          </w:p>
        </w:tc>
        <w:tc>
          <w:tcPr>
            <w:tcW w:w="720" w:type="dxa"/>
            <w:vAlign w:val="bottom"/>
            <w:tcBorders>
              <w:bottom w:val="single" w:sz="8" w:color="auto"/>
            </w:tcBorders>
          </w:tcPr>
          <w:p>
            <w:pPr>
              <w:spacing w:after="0"/>
              <w:rPr>
                <w:sz w:val="24"/>
                <w:szCs w:val="24"/>
                <w:color w:val="auto"/>
              </w:rPr>
            </w:pPr>
          </w:p>
        </w:tc>
      </w:tr>
      <w:tr>
        <w:trPr>
          <w:trHeight w:val="166"/>
        </w:trPr>
        <w:tc>
          <w:tcPr>
            <w:tcW w:w="36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1.87</w:t>
            </w:r>
          </w:p>
        </w:tc>
        <w:tc>
          <w:tcPr>
            <w:tcW w:w="4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5.74</w:t>
            </w:r>
          </w:p>
        </w:tc>
        <w:tc>
          <w:tcPr>
            <w:tcW w:w="3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(0.82)</w:t>
            </w:r>
          </w:p>
        </w:tc>
        <w:tc>
          <w:tcPr>
            <w:tcW w:w="720" w:type="dxa"/>
            <w:vAlign w:val="bottom"/>
            <w:tcBorders>
              <w:bottom w:val="single" w:sz="8" w:color="auto"/>
            </w:tcBorders>
          </w:tcPr>
          <w:p>
            <w:pPr>
              <w:jc w:val="right"/>
              <w:ind w:right="486"/>
              <w:spacing w:after="0" w:line="167" w:lineRule="exact"/>
              <w:rPr>
                <w:sz w:val="20"/>
                <w:szCs w:val="20"/>
                <w:color w:val="auto"/>
              </w:rPr>
            </w:pPr>
            <w:r>
              <w:rPr>
                <w:rFonts w:ascii="Arial" w:cs="Arial" w:eastAsia="Arial" w:hAnsi="Arial"/>
                <w:sz w:val="15"/>
                <w:szCs w:val="15"/>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3"/>
        </w:trPr>
        <w:tc>
          <w:tcPr>
            <w:tcW w:w="360" w:type="dxa"/>
            <w:vAlign w:val="bottom"/>
          </w:tcPr>
          <w:p>
            <w:pPr>
              <w:spacing w:after="0"/>
              <w:rPr>
                <w:sz w:val="13"/>
                <w:szCs w:val="13"/>
                <w:color w:val="auto"/>
              </w:rPr>
            </w:pPr>
          </w:p>
        </w:tc>
        <w:tc>
          <w:tcPr>
            <w:tcW w:w="820" w:type="dxa"/>
            <w:vAlign w:val="bottom"/>
          </w:tcPr>
          <w:p>
            <w:pPr>
              <w:jc w:val="right"/>
              <w:ind w:right="6"/>
              <w:spacing w:after="0" w:line="153" w:lineRule="exact"/>
              <w:rPr>
                <w:sz w:val="20"/>
                <w:szCs w:val="20"/>
                <w:color w:val="auto"/>
              </w:rPr>
            </w:pPr>
            <w:r>
              <w:rPr>
                <w:rFonts w:ascii="Arial" w:cs="Arial" w:eastAsia="Arial" w:hAnsi="Arial"/>
                <w:sz w:val="15"/>
                <w:szCs w:val="15"/>
                <w:color w:val="auto"/>
              </w:rPr>
              <w:t>8,046</w:t>
            </w:r>
          </w:p>
        </w:tc>
        <w:tc>
          <w:tcPr>
            <w:tcW w:w="440" w:type="dxa"/>
            <w:vAlign w:val="bottom"/>
          </w:tcPr>
          <w:p>
            <w:pPr>
              <w:spacing w:after="0"/>
              <w:rPr>
                <w:sz w:val="13"/>
                <w:szCs w:val="13"/>
                <w:color w:val="auto"/>
              </w:rPr>
            </w:pPr>
          </w:p>
        </w:tc>
        <w:tc>
          <w:tcPr>
            <w:tcW w:w="820" w:type="dxa"/>
            <w:vAlign w:val="bottom"/>
          </w:tcPr>
          <w:p>
            <w:pPr>
              <w:jc w:val="right"/>
              <w:ind w:right="6"/>
              <w:spacing w:after="0" w:line="153" w:lineRule="exact"/>
              <w:rPr>
                <w:sz w:val="20"/>
                <w:szCs w:val="20"/>
                <w:color w:val="auto"/>
              </w:rPr>
            </w:pPr>
            <w:r>
              <w:rPr>
                <w:rFonts w:ascii="Arial" w:cs="Arial" w:eastAsia="Arial" w:hAnsi="Arial"/>
                <w:sz w:val="15"/>
                <w:szCs w:val="15"/>
                <w:color w:val="auto"/>
              </w:rPr>
              <w:t>7,852</w:t>
            </w:r>
          </w:p>
        </w:tc>
        <w:tc>
          <w:tcPr>
            <w:tcW w:w="380" w:type="dxa"/>
            <w:vAlign w:val="bottom"/>
          </w:tcPr>
          <w:p>
            <w:pPr>
              <w:spacing w:after="0"/>
              <w:rPr>
                <w:sz w:val="13"/>
                <w:szCs w:val="13"/>
                <w:color w:val="auto"/>
              </w:rPr>
            </w:pPr>
          </w:p>
        </w:tc>
        <w:tc>
          <w:tcPr>
            <w:tcW w:w="860" w:type="dxa"/>
            <w:vAlign w:val="bottom"/>
          </w:tcPr>
          <w:p>
            <w:pPr>
              <w:jc w:val="right"/>
              <w:ind w:right="6"/>
              <w:spacing w:after="0" w:line="153" w:lineRule="exact"/>
              <w:rPr>
                <w:sz w:val="20"/>
                <w:szCs w:val="20"/>
                <w:color w:val="auto"/>
              </w:rPr>
            </w:pPr>
            <w:r>
              <w:rPr>
                <w:rFonts w:ascii="Arial" w:cs="Arial" w:eastAsia="Arial" w:hAnsi="Arial"/>
                <w:sz w:val="15"/>
                <w:szCs w:val="15"/>
                <w:color w:val="auto"/>
              </w:rPr>
              <w:t>7,802</w:t>
            </w:r>
          </w:p>
        </w:tc>
        <w:tc>
          <w:tcPr>
            <w:tcW w:w="720" w:type="dxa"/>
            <w:vAlign w:val="bottom"/>
          </w:tcPr>
          <w:p>
            <w:pPr>
              <w:spacing w:after="0"/>
              <w:rPr>
                <w:sz w:val="13"/>
                <w:szCs w:val="13"/>
                <w:color w:val="auto"/>
              </w:rPr>
            </w:pPr>
          </w:p>
        </w:tc>
      </w:tr>
      <w:tr>
        <w:trPr>
          <w:trHeight w:val="174"/>
        </w:trPr>
        <w:tc>
          <w:tcPr>
            <w:tcW w:w="36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8,119</w:t>
            </w:r>
          </w:p>
        </w:tc>
        <w:tc>
          <w:tcPr>
            <w:tcW w:w="440" w:type="dxa"/>
            <w:vAlign w:val="bottom"/>
          </w:tcPr>
          <w:p>
            <w:pPr>
              <w:spacing w:after="0"/>
              <w:rPr>
                <w:sz w:val="15"/>
                <w:szCs w:val="15"/>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color w:val="auto"/>
              </w:rPr>
              <w:t>7,933</w:t>
            </w:r>
          </w:p>
        </w:tc>
        <w:tc>
          <w:tcPr>
            <w:tcW w:w="380" w:type="dxa"/>
            <w:vAlign w:val="bottom"/>
          </w:tcPr>
          <w:p>
            <w:pPr>
              <w:spacing w:after="0"/>
              <w:rPr>
                <w:sz w:val="15"/>
                <w:szCs w:val="15"/>
                <w:color w:val="auto"/>
              </w:rPr>
            </w:pPr>
          </w:p>
        </w:tc>
        <w:tc>
          <w:tcPr>
            <w:tcW w:w="860" w:type="dxa"/>
            <w:vAlign w:val="bottom"/>
          </w:tcPr>
          <w:p>
            <w:pPr>
              <w:jc w:val="right"/>
              <w:ind w:right="6"/>
              <w:spacing w:after="0"/>
              <w:rPr>
                <w:sz w:val="20"/>
                <w:szCs w:val="20"/>
                <w:color w:val="auto"/>
              </w:rPr>
            </w:pPr>
            <w:r>
              <w:rPr>
                <w:rFonts w:ascii="Arial" w:cs="Arial" w:eastAsia="Arial" w:hAnsi="Arial"/>
                <w:sz w:val="15"/>
                <w:szCs w:val="15"/>
                <w:color w:val="auto"/>
              </w:rPr>
              <w:t>7,802</w:t>
            </w:r>
          </w:p>
        </w:tc>
        <w:tc>
          <w:tcPr>
            <w:tcW w:w="720" w:type="dxa"/>
            <w:vAlign w:val="bottom"/>
          </w:tcPr>
          <w:p>
            <w:pPr>
              <w:spacing w:after="0"/>
              <w:rPr>
                <w:sz w:val="15"/>
                <w:szCs w:val="15"/>
                <w:color w:val="auto"/>
              </w:rPr>
            </w:pPr>
          </w:p>
        </w:tc>
      </w:tr>
      <w:tr>
        <w:trPr>
          <w:trHeight w:val="172"/>
        </w:trPr>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40,894</w:t>
            </w:r>
          </w:p>
        </w:tc>
        <w:tc>
          <w:tcPr>
            <w:tcW w:w="4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37,040</w:t>
            </w:r>
          </w:p>
        </w:tc>
        <w:tc>
          <w:tcPr>
            <w:tcW w:w="3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(41,225)</w:t>
            </w:r>
          </w:p>
        </w:tc>
        <w:tc>
          <w:tcPr>
            <w:tcW w:w="720" w:type="dxa"/>
            <w:vAlign w:val="bottom"/>
            <w:tcBorders>
              <w:bottom w:val="single" w:sz="8" w:color="auto"/>
            </w:tcBorders>
          </w:tcPr>
          <w:p>
            <w:pPr>
              <w:jc w:val="right"/>
              <w:ind w:right="486"/>
              <w:spacing w:after="0"/>
              <w:rPr>
                <w:sz w:val="20"/>
                <w:szCs w:val="20"/>
                <w:color w:val="auto"/>
              </w:rPr>
            </w:pPr>
            <w:r>
              <w:rPr>
                <w:rFonts w:ascii="Arial" w:cs="Arial" w:eastAsia="Arial" w:hAnsi="Arial"/>
                <w:sz w:val="15"/>
                <w:szCs w:val="15"/>
                <w:color w:val="auto"/>
              </w:rPr>
              <w:t>$</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ectPr>
          <w:pgSz w:w="11900" w:h="16838" w:orient="portrait"/>
          <w:cols w:equalWidth="0" w:num="2">
            <w:col w:w="5829" w:space="720"/>
            <w:col w:w="4400"/>
          </w:cols>
          <w:pgMar w:left="811" w:top="565" w:right="139" w:bottom="1440" w:gutter="0" w:footer="0" w:header="0"/>
          <w:type w:val="continuous"/>
        </w:sectPr>
      </w:pPr>
    </w:p>
    <w:p>
      <w:pPr>
        <w:ind w:left="9"/>
        <w:spacing w:after="0"/>
        <w:rPr>
          <w:sz w:val="20"/>
          <w:szCs w:val="20"/>
          <w:color w:val="auto"/>
        </w:rPr>
      </w:pPr>
      <w:r>
        <w:rPr>
          <w:rFonts w:ascii="Arial" w:cs="Arial" w:eastAsia="Arial" w:hAnsi="Arial"/>
          <w:sz w:val="13"/>
          <w:szCs w:val="13"/>
          <w:color w:val="auto"/>
        </w:rPr>
        <w:t>The sum of the four quarters may not necessarily be equal to the annual amounts reported in the Consolidated Statements of Operations due to rounding.</w:t>
      </w:r>
    </w:p>
    <w:p>
      <w:pPr>
        <w:spacing w:after="0" w:line="342" w:lineRule="exact"/>
        <w:rPr>
          <w:sz w:val="20"/>
          <w:szCs w:val="20"/>
          <w:color w:val="auto"/>
        </w:rPr>
      </w:pPr>
    </w:p>
    <w:p>
      <w:pPr>
        <w:jc w:val="center"/>
        <w:ind w:left="114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65" w:right="1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7"/>
          <w:szCs w:val="17"/>
          <w:color w:val="auto"/>
        </w:rPr>
        <w:t>Quarterly results of operations and comprehensive income for the year ended January 2, 2011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ind w:right="406"/>
              <w:spacing w:after="0"/>
              <w:rPr>
                <w:sz w:val="20"/>
                <w:szCs w:val="20"/>
                <w:color w:val="auto"/>
              </w:rPr>
            </w:pPr>
            <w:r>
              <w:rPr>
                <w:rFonts w:ascii="Arial" w:cs="Arial" w:eastAsia="Arial" w:hAnsi="Arial"/>
                <w:sz w:val="12"/>
                <w:szCs w:val="12"/>
                <w:b w:val="1"/>
                <w:bCs w:val="1"/>
                <w:color w:val="auto"/>
              </w:rPr>
              <w:t>First</w:t>
            </w:r>
          </w:p>
        </w:tc>
        <w:tc>
          <w:tcPr>
            <w:tcW w:w="300" w:type="dxa"/>
            <w:vAlign w:val="bottom"/>
          </w:tcPr>
          <w:p>
            <w:pPr>
              <w:spacing w:after="0"/>
              <w:rPr>
                <w:sz w:val="12"/>
                <w:szCs w:val="12"/>
                <w:color w:val="auto"/>
              </w:rPr>
            </w:pPr>
          </w:p>
        </w:tc>
        <w:tc>
          <w:tcPr>
            <w:tcW w:w="960" w:type="dxa"/>
            <w:vAlign w:val="bottom"/>
          </w:tcPr>
          <w:p>
            <w:pPr>
              <w:jc w:val="right"/>
              <w:ind w:right="306"/>
              <w:spacing w:after="0"/>
              <w:rPr>
                <w:sz w:val="20"/>
                <w:szCs w:val="20"/>
                <w:color w:val="auto"/>
              </w:rPr>
            </w:pPr>
            <w:r>
              <w:rPr>
                <w:rFonts w:ascii="Arial" w:cs="Arial" w:eastAsia="Arial" w:hAnsi="Arial"/>
                <w:sz w:val="12"/>
                <w:szCs w:val="12"/>
                <w:b w:val="1"/>
                <w:bCs w:val="1"/>
                <w:color w:val="auto"/>
              </w:rPr>
              <w:t>Second</w:t>
            </w:r>
          </w:p>
        </w:tc>
        <w:tc>
          <w:tcPr>
            <w:tcW w:w="280" w:type="dxa"/>
            <w:vAlign w:val="bottom"/>
          </w:tcPr>
          <w:p>
            <w:pPr>
              <w:spacing w:after="0"/>
              <w:rPr>
                <w:sz w:val="12"/>
                <w:szCs w:val="12"/>
                <w:color w:val="auto"/>
              </w:rPr>
            </w:pPr>
          </w:p>
        </w:tc>
        <w:tc>
          <w:tcPr>
            <w:tcW w:w="960" w:type="dxa"/>
            <w:vAlign w:val="bottom"/>
          </w:tcPr>
          <w:p>
            <w:pPr>
              <w:jc w:val="right"/>
              <w:ind w:right="386"/>
              <w:spacing w:after="0"/>
              <w:rPr>
                <w:sz w:val="20"/>
                <w:szCs w:val="20"/>
                <w:color w:val="auto"/>
              </w:rPr>
            </w:pPr>
            <w:r>
              <w:rPr>
                <w:rFonts w:ascii="Arial" w:cs="Arial" w:eastAsia="Arial" w:hAnsi="Arial"/>
                <w:sz w:val="12"/>
                <w:szCs w:val="12"/>
                <w:b w:val="1"/>
                <w:bCs w:val="1"/>
                <w:color w:val="auto"/>
              </w:rPr>
              <w:t>Third</w:t>
            </w:r>
          </w:p>
        </w:tc>
        <w:tc>
          <w:tcPr>
            <w:tcW w:w="2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Four</w:t>
            </w:r>
          </w:p>
        </w:tc>
        <w:tc>
          <w:tcPr>
            <w:tcW w:w="0" w:type="dxa"/>
            <w:vAlign w:val="bottom"/>
          </w:tcPr>
          <w:p>
            <w:pPr>
              <w:spacing w:after="0"/>
              <w:rPr>
                <w:sz w:val="1"/>
                <w:szCs w:val="1"/>
                <w:color w:val="auto"/>
              </w:rPr>
            </w:pPr>
          </w:p>
        </w:tc>
      </w:tr>
      <w:tr>
        <w:trPr>
          <w:trHeight w:val="151"/>
        </w:trPr>
        <w:tc>
          <w:tcPr>
            <w:tcW w:w="6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w:t>
            </w: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2010 Quarterly Operating Results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Education</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694,078</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739,129</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737,131</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Advertising</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184,182</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207,241</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200,532</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Circulation and subscriber</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213,454</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215,995</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213,377</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33,013</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31,253</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32,495</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1,124,727</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1,193,618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1,183,535</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Operating</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471,542</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477,248</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479,526</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478,908</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480,412</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471,897</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Depreciation of property, plant and equipment</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61,307</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60,872</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60,752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6,403</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7,492</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6,409</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Impairment of goodwill and other intangible assets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27,477</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1,018,160</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1,026,024</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1,046,061</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8"/>
        </w:trPr>
        <w:tc>
          <w:tcPr>
            <w:tcW w:w="6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6"/>
              <w:spacing w:after="0" w:line="168" w:lineRule="exact"/>
              <w:rPr>
                <w:sz w:val="20"/>
                <w:szCs w:val="20"/>
                <w:color w:val="auto"/>
              </w:rPr>
            </w:pPr>
            <w:r>
              <w:rPr>
                <w:rFonts w:ascii="Arial" w:cs="Arial" w:eastAsia="Arial" w:hAnsi="Arial"/>
                <w:sz w:val="15"/>
                <w:szCs w:val="15"/>
                <w:color w:val="auto"/>
              </w:rPr>
              <w:t>106,567</w:t>
            </w:r>
          </w:p>
        </w:tc>
        <w:tc>
          <w:tcPr>
            <w:tcW w:w="300" w:type="dxa"/>
            <w:vAlign w:val="bottom"/>
          </w:tcPr>
          <w:p>
            <w:pPr>
              <w:spacing w:after="0"/>
              <w:rPr>
                <w:sz w:val="14"/>
                <w:szCs w:val="14"/>
                <w:color w:val="auto"/>
              </w:rPr>
            </w:pPr>
          </w:p>
        </w:tc>
        <w:tc>
          <w:tcPr>
            <w:tcW w:w="960" w:type="dxa"/>
            <w:vAlign w:val="bottom"/>
          </w:tcPr>
          <w:p>
            <w:pPr>
              <w:jc w:val="right"/>
              <w:ind w:right="6"/>
              <w:spacing w:after="0" w:line="168" w:lineRule="exact"/>
              <w:rPr>
                <w:sz w:val="20"/>
                <w:szCs w:val="20"/>
                <w:color w:val="auto"/>
              </w:rPr>
            </w:pPr>
            <w:r>
              <w:rPr>
                <w:rFonts w:ascii="Arial" w:cs="Arial" w:eastAsia="Arial" w:hAnsi="Arial"/>
                <w:sz w:val="15"/>
                <w:szCs w:val="15"/>
                <w:color w:val="auto"/>
              </w:rPr>
              <w:t>167,594</w:t>
            </w:r>
          </w:p>
        </w:tc>
        <w:tc>
          <w:tcPr>
            <w:tcW w:w="280" w:type="dxa"/>
            <w:vAlign w:val="bottom"/>
          </w:tcPr>
          <w:p>
            <w:pPr>
              <w:spacing w:after="0"/>
              <w:rPr>
                <w:sz w:val="14"/>
                <w:szCs w:val="14"/>
                <w:color w:val="auto"/>
              </w:rPr>
            </w:pPr>
          </w:p>
        </w:tc>
        <w:tc>
          <w:tcPr>
            <w:tcW w:w="960" w:type="dxa"/>
            <w:vAlign w:val="bottom"/>
          </w:tcPr>
          <w:p>
            <w:pPr>
              <w:jc w:val="right"/>
              <w:ind w:right="6"/>
              <w:spacing w:after="0" w:line="168" w:lineRule="exact"/>
              <w:rPr>
                <w:sz w:val="20"/>
                <w:szCs w:val="20"/>
                <w:color w:val="auto"/>
              </w:rPr>
            </w:pPr>
            <w:r>
              <w:rPr>
                <w:rFonts w:ascii="Arial" w:cs="Arial" w:eastAsia="Arial" w:hAnsi="Arial"/>
                <w:sz w:val="15"/>
                <w:szCs w:val="15"/>
                <w:color w:val="auto"/>
              </w:rPr>
              <w:t>137,474</w:t>
            </w:r>
          </w:p>
        </w:tc>
        <w:tc>
          <w:tcPr>
            <w:tcW w:w="2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Equity in (losses) earnings of affiliates, net</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(8,109)</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2,027</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2,140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326</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599</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600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(7,579)</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(7,598)</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(7,633)</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6540" w:type="dxa"/>
            <w:vAlign w:val="bottom"/>
          </w:tcPr>
          <w:p>
            <w:pPr>
              <w:ind w:left="220"/>
              <w:spacing w:after="0"/>
              <w:rPr>
                <w:sz w:val="20"/>
                <w:szCs w:val="20"/>
                <w:color w:val="auto"/>
              </w:rPr>
            </w:pPr>
            <w:r>
              <w:rPr>
                <w:rFonts w:ascii="Arial" w:cs="Arial" w:eastAsia="Arial" w:hAnsi="Arial"/>
                <w:sz w:val="15"/>
                <w:szCs w:val="15"/>
                <w:color w:val="auto"/>
              </w:rPr>
              <w:t>Other (expense) income, net</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(3,321)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(3,807)</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12,486</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87,884</w:t>
            </w:r>
          </w:p>
        </w:tc>
        <w:tc>
          <w:tcPr>
            <w:tcW w:w="30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158,815</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145,067</w:t>
            </w:r>
          </w:p>
        </w:tc>
        <w:tc>
          <w:tcPr>
            <w:tcW w:w="280" w:type="dxa"/>
            <w:vAlign w:val="bottom"/>
          </w:tcPr>
          <w:p>
            <w:pPr>
              <w:spacing w:after="0"/>
              <w:rPr>
                <w:sz w:val="13"/>
                <w:szCs w:val="13"/>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33,700</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56,700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59,400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54,184</w:t>
            </w:r>
          </w:p>
        </w:tc>
        <w:tc>
          <w:tcPr>
            <w:tcW w:w="30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102,115</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85,667</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(8,356)</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(9,988)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(24,591)</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45,828</w:t>
            </w:r>
          </w:p>
        </w:tc>
        <w:tc>
          <w:tcPr>
            <w:tcW w:w="30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92,127</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61,076</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Net Loss (Income) Attributable to Noncontrolling Interests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76</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5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200" w:type="dxa"/>
            <w:vAlign w:val="bottom"/>
          </w:tcPr>
          <w:p>
            <w:pPr>
              <w:spacing w:after="0"/>
              <w:rPr>
                <w:sz w:val="13"/>
                <w:szCs w:val="13"/>
                <w:color w:val="auto"/>
              </w:rPr>
            </w:pPr>
          </w:p>
        </w:tc>
        <w:tc>
          <w:tcPr>
            <w:tcW w:w="980" w:type="dxa"/>
            <w:vAlign w:val="bottom"/>
          </w:tcPr>
          <w:p>
            <w:pPr>
              <w:jc w:val="right"/>
              <w:ind w:right="6"/>
              <w:spacing w:after="0" w:line="150" w:lineRule="exact"/>
              <w:rPr>
                <w:sz w:val="20"/>
                <w:szCs w:val="20"/>
                <w:color w:val="auto"/>
              </w:rPr>
            </w:pPr>
            <w:r>
              <w:rPr>
                <w:rFonts w:ascii="Arial" w:cs="Arial" w:eastAsia="Arial" w:hAnsi="Arial"/>
                <w:sz w:val="15"/>
                <w:szCs w:val="15"/>
                <w:color w:val="auto"/>
              </w:rPr>
              <w:t>45,840</w:t>
            </w:r>
          </w:p>
        </w:tc>
        <w:tc>
          <w:tcPr>
            <w:tcW w:w="30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92,135</w:t>
            </w:r>
          </w:p>
        </w:tc>
        <w:tc>
          <w:tcPr>
            <w:tcW w:w="280" w:type="dxa"/>
            <w:vAlign w:val="bottom"/>
          </w:tcPr>
          <w:p>
            <w:pPr>
              <w:spacing w:after="0"/>
              <w:rPr>
                <w:sz w:val="13"/>
                <w:szCs w:val="13"/>
                <w:color w:val="auto"/>
              </w:rPr>
            </w:pPr>
          </w:p>
        </w:tc>
        <w:tc>
          <w:tcPr>
            <w:tcW w:w="960" w:type="dxa"/>
            <w:vAlign w:val="bottom"/>
          </w:tcPr>
          <w:p>
            <w:pPr>
              <w:jc w:val="right"/>
              <w:ind w:right="6"/>
              <w:spacing w:after="0" w:line="150" w:lineRule="exact"/>
              <w:rPr>
                <w:sz w:val="20"/>
                <w:szCs w:val="20"/>
                <w:color w:val="auto"/>
              </w:rPr>
            </w:pPr>
            <w:r>
              <w:rPr>
                <w:rFonts w:ascii="Arial" w:cs="Arial" w:eastAsia="Arial" w:hAnsi="Arial"/>
                <w:sz w:val="15"/>
                <w:szCs w:val="15"/>
                <w:color w:val="auto"/>
              </w:rPr>
              <w:t>61,152</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5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(461)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(230)</w:t>
            </w: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5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45,379</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91,904</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60,922</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Common Stockholders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53,735</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101,892</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85,513</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(8,356)</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(9,988)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(24,591)</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540" w:type="dxa"/>
            <w:vAlign w:val="bottom"/>
          </w:tcPr>
          <w:p>
            <w:pPr>
              <w:spacing w:after="0"/>
              <w:rPr>
                <w:sz w:val="20"/>
                <w:szCs w:val="20"/>
                <w:color w:val="auto"/>
              </w:rPr>
            </w:pPr>
            <w:r>
              <w:rPr>
                <w:rFonts w:ascii="Arial" w:cs="Arial" w:eastAsia="Arial" w:hAnsi="Arial"/>
                <w:sz w:val="15"/>
                <w:szCs w:val="15"/>
                <w:color w:val="auto"/>
              </w:rPr>
              <w:t>Net income attributable to The Washington Post Company</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45,379</w:t>
            </w:r>
          </w:p>
        </w:tc>
        <w:tc>
          <w:tcPr>
            <w:tcW w:w="30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5"/>
                <w:szCs w:val="15"/>
                <w:color w:val="auto"/>
              </w:rPr>
              <w:t>91,904</w:t>
            </w:r>
          </w:p>
        </w:tc>
        <w:tc>
          <w:tcPr>
            <w:tcW w:w="28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ind w:right="6"/>
              <w:spacing w:after="0"/>
              <w:rPr>
                <w:sz w:val="20"/>
                <w:szCs w:val="20"/>
                <w:color w:val="auto"/>
              </w:rPr>
            </w:pPr>
            <w:r>
              <w:rPr>
                <w:rFonts w:ascii="Arial" w:cs="Arial" w:eastAsia="Arial" w:hAnsi="Arial"/>
                <w:sz w:val="15"/>
                <w:szCs w:val="15"/>
                <w:color w:val="auto"/>
              </w:rPr>
              <w:t>60,922</w:t>
            </w:r>
          </w:p>
        </w:tc>
        <w:tc>
          <w:tcPr>
            <w:tcW w:w="28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40" w:type="dxa"/>
            <w:vAlign w:val="bottom"/>
          </w:tcPr>
          <w:p>
            <w:pPr>
              <w:ind w:left="260"/>
              <w:spacing w:after="0" w:line="167" w:lineRule="exact"/>
              <w:rPr>
                <w:sz w:val="20"/>
                <w:szCs w:val="20"/>
                <w:color w:val="auto"/>
              </w:rPr>
            </w:pPr>
            <w:r>
              <w:rPr>
                <w:rFonts w:ascii="Arial" w:cs="Arial" w:eastAsia="Arial" w:hAnsi="Arial"/>
                <w:sz w:val="15"/>
                <w:szCs w:val="15"/>
                <w:color w:val="auto"/>
              </w:rPr>
              <w:t>common stockholders</w:t>
            </w:r>
          </w:p>
        </w:tc>
        <w:tc>
          <w:tcPr>
            <w:tcW w:w="20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6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540" w:type="dxa"/>
            <w:vAlign w:val="bottom"/>
          </w:tcPr>
          <w:p>
            <w:pPr>
              <w:ind w:left="220"/>
              <w:spacing w:after="0"/>
              <w:rPr>
                <w:sz w:val="20"/>
                <w:szCs w:val="20"/>
                <w:color w:val="auto"/>
              </w:rPr>
            </w:pPr>
            <w:r>
              <w:rPr>
                <w:rFonts w:ascii="Arial" w:cs="Arial" w:eastAsia="Arial" w:hAnsi="Arial"/>
                <w:sz w:val="15"/>
                <w:szCs w:val="15"/>
                <w:b w:val="1"/>
                <w:bCs w:val="1"/>
                <w:color w:val="auto"/>
              </w:rPr>
              <w:t>Company Common Stockholders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5.81</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11.08</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9.61</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Basic (loss) income per common share from discontinued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260"/>
              <w:spacing w:after="0"/>
              <w:rPr>
                <w:sz w:val="20"/>
                <w:szCs w:val="20"/>
                <w:color w:val="auto"/>
              </w:rPr>
            </w:pPr>
            <w:r>
              <w:rPr>
                <w:rFonts w:ascii="Arial" w:cs="Arial" w:eastAsia="Arial" w:hAnsi="Arial"/>
                <w:sz w:val="15"/>
                <w:szCs w:val="15"/>
                <w:color w:val="auto"/>
              </w:rPr>
              <w:t>operations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(0.90)</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(2.76)</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4.91</w:t>
            </w:r>
          </w:p>
        </w:tc>
        <w:tc>
          <w:tcPr>
            <w:tcW w:w="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10.00</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6.85</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5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5.81</w:t>
            </w:r>
          </w:p>
        </w:tc>
        <w:tc>
          <w:tcPr>
            <w:tcW w:w="3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11.08</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9.60</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Diluted (loss) income per common share from discontinued</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ind w:left="260"/>
              <w:spacing w:after="0"/>
              <w:rPr>
                <w:sz w:val="20"/>
                <w:szCs w:val="20"/>
                <w:color w:val="auto"/>
              </w:rPr>
            </w:pPr>
            <w:r>
              <w:rPr>
                <w:rFonts w:ascii="Arial" w:cs="Arial" w:eastAsia="Arial" w:hAnsi="Arial"/>
                <w:sz w:val="15"/>
                <w:szCs w:val="15"/>
                <w:color w:val="auto"/>
              </w:rPr>
              <w:t>operations</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(0.90)</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(1.08)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(2.76)</w:t>
            </w: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54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4.91</w:t>
            </w:r>
          </w:p>
        </w:tc>
        <w:tc>
          <w:tcPr>
            <w:tcW w:w="3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10.00</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6.84</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5"/>
                <w:szCs w:val="15"/>
                <w:color w:val="auto"/>
              </w:rPr>
              <w:t>Basic average number of common shares outstanding</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6"/>
              <w:spacing w:after="0" w:line="153" w:lineRule="exact"/>
              <w:rPr>
                <w:sz w:val="20"/>
                <w:szCs w:val="20"/>
                <w:color w:val="auto"/>
              </w:rPr>
            </w:pPr>
            <w:r>
              <w:rPr>
                <w:rFonts w:ascii="Arial" w:cs="Arial" w:eastAsia="Arial" w:hAnsi="Arial"/>
                <w:sz w:val="15"/>
                <w:szCs w:val="15"/>
                <w:color w:val="auto"/>
              </w:rPr>
              <w:t>9,175</w:t>
            </w:r>
          </w:p>
        </w:tc>
        <w:tc>
          <w:tcPr>
            <w:tcW w:w="300" w:type="dxa"/>
            <w:vAlign w:val="bottom"/>
          </w:tcPr>
          <w:p>
            <w:pPr>
              <w:spacing w:after="0"/>
              <w:rPr>
                <w:sz w:val="13"/>
                <w:szCs w:val="13"/>
                <w:color w:val="auto"/>
              </w:rPr>
            </w:pPr>
          </w:p>
        </w:tc>
        <w:tc>
          <w:tcPr>
            <w:tcW w:w="960" w:type="dxa"/>
            <w:vAlign w:val="bottom"/>
          </w:tcPr>
          <w:p>
            <w:pPr>
              <w:jc w:val="right"/>
              <w:ind w:right="6"/>
              <w:spacing w:after="0" w:line="153" w:lineRule="exact"/>
              <w:rPr>
                <w:sz w:val="20"/>
                <w:szCs w:val="20"/>
                <w:color w:val="auto"/>
              </w:rPr>
            </w:pPr>
            <w:r>
              <w:rPr>
                <w:rFonts w:ascii="Arial" w:cs="Arial" w:eastAsia="Arial" w:hAnsi="Arial"/>
                <w:sz w:val="15"/>
                <w:szCs w:val="15"/>
                <w:color w:val="auto"/>
              </w:rPr>
              <w:t>9,126</w:t>
            </w:r>
          </w:p>
        </w:tc>
        <w:tc>
          <w:tcPr>
            <w:tcW w:w="280" w:type="dxa"/>
            <w:vAlign w:val="bottom"/>
          </w:tcPr>
          <w:p>
            <w:pPr>
              <w:spacing w:after="0"/>
              <w:rPr>
                <w:sz w:val="13"/>
                <w:szCs w:val="13"/>
                <w:color w:val="auto"/>
              </w:rPr>
            </w:pPr>
          </w:p>
        </w:tc>
        <w:tc>
          <w:tcPr>
            <w:tcW w:w="960" w:type="dxa"/>
            <w:vAlign w:val="bottom"/>
          </w:tcPr>
          <w:p>
            <w:pPr>
              <w:jc w:val="right"/>
              <w:ind w:right="6"/>
              <w:spacing w:after="0" w:line="153" w:lineRule="exact"/>
              <w:rPr>
                <w:sz w:val="20"/>
                <w:szCs w:val="20"/>
                <w:color w:val="auto"/>
              </w:rPr>
            </w:pPr>
            <w:r>
              <w:rPr>
                <w:rFonts w:ascii="Arial" w:cs="Arial" w:eastAsia="Arial" w:hAnsi="Arial"/>
                <w:sz w:val="15"/>
                <w:szCs w:val="15"/>
                <w:color w:val="auto"/>
              </w:rPr>
              <w:t>8,839</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54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200" w:type="dxa"/>
            <w:vAlign w:val="bottom"/>
          </w:tcPr>
          <w:p>
            <w:pPr>
              <w:spacing w:after="0"/>
              <w:rPr>
                <w:sz w:val="15"/>
                <w:szCs w:val="15"/>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9,241</w:t>
            </w: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9,193</w:t>
            </w:r>
          </w:p>
        </w:tc>
        <w:tc>
          <w:tcPr>
            <w:tcW w:w="2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5"/>
                <w:szCs w:val="15"/>
                <w:color w:val="auto"/>
              </w:rPr>
              <w:t>8,904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540" w:type="dxa"/>
            <w:vAlign w:val="bottom"/>
          </w:tcPr>
          <w:p>
            <w:pPr>
              <w:spacing w:after="0"/>
              <w:rPr>
                <w:sz w:val="20"/>
                <w:szCs w:val="20"/>
                <w:color w:val="auto"/>
              </w:rPr>
            </w:pPr>
            <w:r>
              <w:rPr>
                <w:rFonts w:ascii="Arial" w:cs="Arial" w:eastAsia="Arial" w:hAnsi="Arial"/>
                <w:sz w:val="15"/>
                <w:szCs w:val="15"/>
                <w:color w:val="auto"/>
              </w:rPr>
              <w:t>2010 quarterly comprehensive income</w:t>
            </w: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91,370</w:t>
            </w:r>
          </w:p>
        </w:tc>
        <w:tc>
          <w:tcPr>
            <w:tcW w:w="3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33,291</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83,421</w:t>
            </w:r>
          </w:p>
        </w:tc>
        <w:tc>
          <w:tcPr>
            <w:tcW w:w="2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The sum of the four quarters may not necessarily be equal to the annual amounts reported in the Consolidated Statements of Operations due to rounding.</w:t>
      </w:r>
    </w:p>
    <w:p>
      <w:pPr>
        <w:spacing w:after="0" w:line="34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635" w:right="139" w:bottom="1440" w:gutter="0" w:footer="0" w:header="0"/>
        </w:sectPr>
      </w:pPr>
    </w:p>
    <w:bookmarkStart w:id="118" w:name="page119"/>
    <w:bookmarkEnd w:id="118"/>
    <w:p>
      <w:pPr>
        <w:ind w:left="580"/>
        <w:spacing w:after="0"/>
        <w:rPr>
          <w:sz w:val="20"/>
          <w:szCs w:val="20"/>
          <w:color w:val="auto"/>
        </w:rPr>
      </w:pPr>
      <w:r>
        <w:rPr>
          <w:rFonts w:ascii="Arial" w:cs="Arial" w:eastAsia="Arial" w:hAnsi="Arial"/>
          <w:sz w:val="17"/>
          <w:szCs w:val="17"/>
          <w:color w:val="auto"/>
        </w:rPr>
        <w:t>Quarterly impact from certain items in 2011 (after-tax and diluted EPS amounts):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7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71"/>
              <w:spacing w:after="0"/>
              <w:rPr>
                <w:sz w:val="20"/>
                <w:szCs w:val="20"/>
                <w:color w:val="auto"/>
              </w:rPr>
            </w:pPr>
            <w:r>
              <w:rPr>
                <w:rFonts w:ascii="Arial" w:cs="Arial" w:eastAsia="Arial" w:hAnsi="Arial"/>
                <w:sz w:val="12"/>
                <w:szCs w:val="12"/>
                <w:b w:val="1"/>
                <w:bCs w:val="1"/>
                <w:color w:val="auto"/>
              </w:rPr>
              <w:t>First</w:t>
            </w:r>
          </w:p>
        </w:tc>
        <w:tc>
          <w:tcPr>
            <w:tcW w:w="220" w:type="dxa"/>
            <w:vAlign w:val="bottom"/>
          </w:tcPr>
          <w:p>
            <w:pPr>
              <w:spacing w:after="0"/>
              <w:rPr>
                <w:sz w:val="12"/>
                <w:szCs w:val="12"/>
                <w:color w:val="auto"/>
              </w:rPr>
            </w:pPr>
          </w:p>
        </w:tc>
        <w:tc>
          <w:tcPr>
            <w:tcW w:w="800" w:type="dxa"/>
            <w:vAlign w:val="bottom"/>
          </w:tcPr>
          <w:p>
            <w:pPr>
              <w:jc w:val="right"/>
              <w:ind w:right="272"/>
              <w:spacing w:after="0"/>
              <w:rPr>
                <w:sz w:val="20"/>
                <w:szCs w:val="20"/>
                <w:color w:val="auto"/>
              </w:rPr>
            </w:pPr>
            <w:r>
              <w:rPr>
                <w:rFonts w:ascii="Arial" w:cs="Arial" w:eastAsia="Arial" w:hAnsi="Arial"/>
                <w:sz w:val="12"/>
                <w:szCs w:val="12"/>
                <w:b w:val="1"/>
                <w:bCs w:val="1"/>
                <w:color w:val="auto"/>
              </w:rPr>
              <w:t>Second</w:t>
            </w:r>
          </w:p>
        </w:tc>
        <w:tc>
          <w:tcPr>
            <w:tcW w:w="220" w:type="dxa"/>
            <w:vAlign w:val="bottom"/>
          </w:tcPr>
          <w:p>
            <w:pPr>
              <w:spacing w:after="0"/>
              <w:rPr>
                <w:sz w:val="12"/>
                <w:szCs w:val="12"/>
                <w:color w:val="auto"/>
              </w:rPr>
            </w:pPr>
          </w:p>
        </w:tc>
        <w:tc>
          <w:tcPr>
            <w:tcW w:w="780" w:type="dxa"/>
            <w:vAlign w:val="bottom"/>
          </w:tcPr>
          <w:p>
            <w:pPr>
              <w:jc w:val="right"/>
              <w:ind w:right="329"/>
              <w:spacing w:after="0"/>
              <w:rPr>
                <w:sz w:val="20"/>
                <w:szCs w:val="20"/>
                <w:color w:val="auto"/>
              </w:rPr>
            </w:pPr>
            <w:r>
              <w:rPr>
                <w:rFonts w:ascii="Arial" w:cs="Arial" w:eastAsia="Arial" w:hAnsi="Arial"/>
                <w:sz w:val="12"/>
                <w:szCs w:val="12"/>
                <w:b w:val="1"/>
                <w:bCs w:val="1"/>
                <w:color w:val="auto"/>
              </w:rPr>
              <w:t>Third</w:t>
            </w: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Fo</w:t>
            </w:r>
          </w:p>
        </w:tc>
        <w:tc>
          <w:tcPr>
            <w:tcW w:w="0" w:type="dxa"/>
            <w:vAlign w:val="bottom"/>
          </w:tcPr>
          <w:p>
            <w:pPr>
              <w:spacing w:after="0"/>
              <w:rPr>
                <w:sz w:val="1"/>
                <w:szCs w:val="1"/>
                <w:color w:val="auto"/>
              </w:rPr>
            </w:pPr>
          </w:p>
        </w:tc>
      </w:tr>
      <w:tr>
        <w:trPr>
          <w:trHeight w:val="151"/>
        </w:trPr>
        <w:tc>
          <w:tcPr>
            <w:tcW w:w="7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Quarter</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Quarter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Quarter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color w:val="auto"/>
              </w:rPr>
              <w:t>Charges of $18.1 million in connection with severance and restructuring at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Kaplan ($1.4 million, $7.3 million, $3.5 million and $6.0 million in the first, second,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third and fourth quarters,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(0.18)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2"/>
              <w:spacing w:after="0"/>
              <w:rPr>
                <w:sz w:val="20"/>
                <w:szCs w:val="20"/>
                <w:color w:val="auto"/>
              </w:rPr>
            </w:pPr>
            <w:r>
              <w:rPr>
                <w:rFonts w:ascii="Arial" w:cs="Arial" w:eastAsia="Arial" w:hAnsi="Arial"/>
                <w:sz w:val="15"/>
                <w:szCs w:val="15"/>
                <w:color w:val="auto"/>
              </w:rPr>
              <w:t>(0.91)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(0.44)</w:t>
            </w:r>
          </w:p>
        </w:tc>
        <w:tc>
          <w:tcPr>
            <w:tcW w:w="440" w:type="dxa"/>
            <w:vAlign w:val="bottom"/>
          </w:tcPr>
          <w:p>
            <w:pPr>
              <w:jc w:val="right"/>
              <w:ind w:right="13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Charge of $1.5 million recorded at the newspaper publishing division in connection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with the withdrawal from a multiemployer pension plan</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ind w:right="13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Goodwill impairment charge of $11.9 million at the Company's online lead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generation business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(1.51)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Impairment charges of $5.7 million at one of the Company’s affiliates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(0.72)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Write-down of a marketable equity security of $34.6 million ($19.8 million and</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ind w:left="220"/>
              <w:spacing w:after="0"/>
              <w:rPr>
                <w:sz w:val="20"/>
                <w:szCs w:val="20"/>
                <w:color w:val="auto"/>
              </w:rPr>
            </w:pPr>
            <w:r>
              <w:rPr>
                <w:rFonts w:ascii="Arial" w:cs="Arial" w:eastAsia="Arial" w:hAnsi="Arial"/>
                <w:sz w:val="15"/>
                <w:szCs w:val="15"/>
                <w:color w:val="auto"/>
              </w:rPr>
              <w:t>$14.9 million in the first and third quarters,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(2.44)</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9"/>
              <w:spacing w:after="0"/>
              <w:rPr>
                <w:sz w:val="20"/>
                <w:szCs w:val="20"/>
                <w:color w:val="auto"/>
              </w:rPr>
            </w:pPr>
            <w:r>
              <w:rPr>
                <w:rFonts w:ascii="Arial" w:cs="Arial" w:eastAsia="Arial" w:hAnsi="Arial"/>
                <w:sz w:val="15"/>
                <w:szCs w:val="15"/>
                <w:color w:val="auto"/>
              </w:rPr>
              <w:t>(1.89)</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Losses, net, of $2.1 million for non-operating unrealized foreign currency gains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40" w:type="dxa"/>
            <w:vAlign w:val="bottom"/>
          </w:tcPr>
          <w:p>
            <w:pPr>
              <w:ind w:left="220"/>
              <w:spacing w:after="0"/>
              <w:rPr>
                <w:sz w:val="20"/>
                <w:szCs w:val="20"/>
                <w:color w:val="auto"/>
              </w:rPr>
            </w:pPr>
            <w:r>
              <w:rPr>
                <w:rFonts w:ascii="Arial" w:cs="Arial" w:eastAsia="Arial" w:hAnsi="Arial"/>
                <w:sz w:val="15"/>
                <w:szCs w:val="15"/>
                <w:color w:val="auto"/>
              </w:rPr>
              <w:t>(losses) ($1.7 million gain, $0.2 million gain, $4.2 million loss and $0.3 million</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91"/>
              <w:spacing w:after="0"/>
              <w:rPr>
                <w:sz w:val="20"/>
                <w:szCs w:val="20"/>
                <w:color w:val="auto"/>
              </w:rPr>
            </w:pPr>
            <w:r>
              <w:rPr>
                <w:rFonts w:ascii="Arial" w:cs="Arial" w:eastAsia="Arial" w:hAnsi="Arial"/>
                <w:sz w:val="15"/>
                <w:szCs w:val="15"/>
                <w:color w:val="auto"/>
              </w:rPr>
              <w:t>0.21</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92"/>
              <w:spacing w:after="0"/>
              <w:rPr>
                <w:sz w:val="20"/>
                <w:szCs w:val="20"/>
                <w:color w:val="auto"/>
              </w:rPr>
            </w:pPr>
            <w:r>
              <w:rPr>
                <w:rFonts w:ascii="Arial" w:cs="Arial" w:eastAsia="Arial" w:hAnsi="Arial"/>
                <w:sz w:val="15"/>
                <w:szCs w:val="15"/>
                <w:color w:val="auto"/>
              </w:rPr>
              <w:t>0.03</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69"/>
              <w:spacing w:after="0"/>
              <w:rPr>
                <w:sz w:val="20"/>
                <w:szCs w:val="20"/>
                <w:color w:val="auto"/>
              </w:rPr>
            </w:pPr>
            <w:r>
              <w:rPr>
                <w:rFonts w:ascii="Arial" w:cs="Arial" w:eastAsia="Arial" w:hAnsi="Arial"/>
                <w:sz w:val="15"/>
                <w:szCs w:val="15"/>
                <w:color w:val="auto"/>
              </w:rPr>
              <w:t>(0.54)</w:t>
            </w:r>
          </w:p>
        </w:tc>
        <w:tc>
          <w:tcPr>
            <w:tcW w:w="440" w:type="dxa"/>
            <w:vAlign w:val="bottom"/>
            <w:vMerge w:val="restart"/>
          </w:tcPr>
          <w:p>
            <w:pPr>
              <w:jc w:val="right"/>
              <w:ind w:right="13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7440" w:type="dxa"/>
            <w:vAlign w:val="bottom"/>
          </w:tcPr>
          <w:p>
            <w:pPr>
              <w:ind w:left="220"/>
              <w:spacing w:after="0" w:line="167" w:lineRule="exact"/>
              <w:rPr>
                <w:sz w:val="20"/>
                <w:szCs w:val="20"/>
                <w:color w:val="auto"/>
              </w:rPr>
            </w:pPr>
            <w:r>
              <w:rPr>
                <w:rFonts w:ascii="Arial" w:cs="Arial" w:eastAsia="Arial" w:hAnsi="Arial"/>
                <w:sz w:val="15"/>
                <w:szCs w:val="15"/>
                <w:color w:val="auto"/>
              </w:rPr>
              <w:t>gain in the first, second, third and fourth quarters, respectively)</w:t>
            </w:r>
          </w:p>
        </w:tc>
        <w:tc>
          <w:tcPr>
            <w:tcW w:w="2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7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Quarterly impact from certain items in 2010 (after-tax and diluted EPS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92"/>
              <w:spacing w:after="0"/>
              <w:rPr>
                <w:sz w:val="20"/>
                <w:szCs w:val="20"/>
                <w:color w:val="auto"/>
              </w:rPr>
            </w:pPr>
            <w:r>
              <w:rPr>
                <w:rFonts w:ascii="Arial" w:cs="Arial" w:eastAsia="Arial" w:hAnsi="Arial"/>
                <w:sz w:val="12"/>
                <w:szCs w:val="12"/>
                <w:b w:val="1"/>
                <w:bCs w:val="1"/>
                <w:color w:val="auto"/>
              </w:rPr>
              <w:t>First</w:t>
            </w:r>
          </w:p>
        </w:tc>
        <w:tc>
          <w:tcPr>
            <w:tcW w:w="300" w:type="dxa"/>
            <w:vAlign w:val="bottom"/>
          </w:tcPr>
          <w:p>
            <w:pPr>
              <w:spacing w:after="0"/>
              <w:rPr>
                <w:sz w:val="12"/>
                <w:szCs w:val="12"/>
                <w:color w:val="auto"/>
              </w:rPr>
            </w:pPr>
          </w:p>
        </w:tc>
        <w:tc>
          <w:tcPr>
            <w:tcW w:w="800" w:type="dxa"/>
            <w:vAlign w:val="bottom"/>
          </w:tcPr>
          <w:p>
            <w:pPr>
              <w:jc w:val="right"/>
              <w:ind w:right="271"/>
              <w:spacing w:after="0"/>
              <w:rPr>
                <w:sz w:val="20"/>
                <w:szCs w:val="20"/>
                <w:color w:val="auto"/>
              </w:rPr>
            </w:pPr>
            <w:r>
              <w:rPr>
                <w:rFonts w:ascii="Arial" w:cs="Arial" w:eastAsia="Arial" w:hAnsi="Arial"/>
                <w:sz w:val="12"/>
                <w:szCs w:val="12"/>
                <w:b w:val="1"/>
                <w:bCs w:val="1"/>
                <w:color w:val="auto"/>
              </w:rPr>
              <w:t>Second</w:t>
            </w:r>
          </w:p>
        </w:tc>
        <w:tc>
          <w:tcPr>
            <w:tcW w:w="220" w:type="dxa"/>
            <w:vAlign w:val="bottom"/>
          </w:tcPr>
          <w:p>
            <w:pPr>
              <w:spacing w:after="0"/>
              <w:rPr>
                <w:sz w:val="12"/>
                <w:szCs w:val="12"/>
                <w:color w:val="auto"/>
              </w:rPr>
            </w:pPr>
          </w:p>
        </w:tc>
        <w:tc>
          <w:tcPr>
            <w:tcW w:w="780" w:type="dxa"/>
            <w:vAlign w:val="bottom"/>
          </w:tcPr>
          <w:p>
            <w:pPr>
              <w:jc w:val="right"/>
              <w:ind w:right="331"/>
              <w:spacing w:after="0"/>
              <w:rPr>
                <w:sz w:val="20"/>
                <w:szCs w:val="20"/>
                <w:color w:val="auto"/>
              </w:rPr>
            </w:pPr>
            <w:r>
              <w:rPr>
                <w:rFonts w:ascii="Arial" w:cs="Arial" w:eastAsia="Arial" w:hAnsi="Arial"/>
                <w:sz w:val="12"/>
                <w:szCs w:val="12"/>
                <w:b w:val="1"/>
                <w:bCs w:val="1"/>
                <w:color w:val="auto"/>
              </w:rPr>
              <w:t>Third</w:t>
            </w:r>
          </w:p>
        </w:tc>
        <w:tc>
          <w:tcPr>
            <w:tcW w:w="4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Fo</w:t>
            </w: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Quarter</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2"/>
                <w:szCs w:val="12"/>
                <w:b w:val="1"/>
                <w:bCs w:val="1"/>
                <w:color w:val="auto"/>
              </w:rPr>
              <w:t>Quarter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2"/>
                <w:szCs w:val="12"/>
                <w:b w:val="1"/>
                <w:bCs w:val="1"/>
                <w:color w:val="auto"/>
              </w:rPr>
              <w:t>Quarter</w:t>
            </w: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Qu</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7440" w:type="dxa"/>
            <w:vAlign w:val="bottom"/>
          </w:tcPr>
          <w:p>
            <w:pPr>
              <w:spacing w:after="0" w:line="168" w:lineRule="exact"/>
              <w:rPr>
                <w:sz w:val="20"/>
                <w:szCs w:val="20"/>
                <w:color w:val="auto"/>
              </w:rPr>
            </w:pPr>
            <w:r>
              <w:rPr>
                <w:rFonts w:ascii="Arial" w:cs="Arial" w:eastAsia="Arial" w:hAnsi="Arial"/>
                <w:sz w:val="15"/>
                <w:szCs w:val="15"/>
                <w:color w:val="auto"/>
              </w:rPr>
              <w:t>Charge of $12.7 million in connection with the withdrawal from a multiemployer</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pension plan at The Washington Post ($11.0 million and $1.6 million in the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(1.19)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1"/>
              <w:spacing w:after="0"/>
              <w:rPr>
                <w:sz w:val="20"/>
                <w:szCs w:val="20"/>
                <w:color w:val="auto"/>
              </w:rPr>
            </w:pPr>
            <w:r>
              <w:rPr>
                <w:rFonts w:ascii="Arial" w:cs="Arial" w:eastAsia="Arial" w:hAnsi="Arial"/>
                <w:sz w:val="15"/>
                <w:szCs w:val="15"/>
                <w:color w:val="auto"/>
              </w:rPr>
              <w:t>(0.18)</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second and third quarters, respectively)</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Goodwill and other intangible assets impairment charge of $26.3 million at the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Company’s online lead generation business, included in other businesses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71"/>
              <w:spacing w:after="0"/>
              <w:rPr>
                <w:sz w:val="20"/>
                <w:szCs w:val="20"/>
                <w:color w:val="auto"/>
              </w:rPr>
            </w:pPr>
            <w:r>
              <w:rPr>
                <w:rFonts w:ascii="Arial" w:cs="Arial" w:eastAsia="Arial" w:hAnsi="Arial"/>
                <w:sz w:val="15"/>
                <w:szCs w:val="15"/>
                <w:color w:val="auto"/>
              </w:rPr>
              <w:t>(2.96)</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Charges of $24.2 million in connection with severance and restructuring ($2.9 million,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$2.0 million and $19.3 million in the first, second, and fourth quarter,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2"/>
              <w:spacing w:after="0"/>
              <w:rPr>
                <w:sz w:val="20"/>
                <w:szCs w:val="20"/>
                <w:color w:val="auto"/>
              </w:rPr>
            </w:pPr>
            <w:r>
              <w:rPr>
                <w:rFonts w:ascii="Arial" w:cs="Arial" w:eastAsia="Arial" w:hAnsi="Arial"/>
                <w:sz w:val="15"/>
                <w:szCs w:val="15"/>
                <w:color w:val="auto"/>
              </w:rPr>
              <w:t>(0.31)</w:t>
            </w:r>
          </w:p>
        </w:tc>
        <w:tc>
          <w:tcPr>
            <w:tcW w:w="3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91"/>
              <w:spacing w:after="0"/>
              <w:rPr>
                <w:sz w:val="20"/>
                <w:szCs w:val="20"/>
                <w:color w:val="auto"/>
              </w:rPr>
            </w:pPr>
            <w:r>
              <w:rPr>
                <w:rFonts w:ascii="Arial" w:cs="Arial" w:eastAsia="Arial" w:hAnsi="Arial"/>
                <w:sz w:val="15"/>
                <w:szCs w:val="15"/>
                <w:color w:val="auto"/>
              </w:rPr>
              <w:t>(0.22)</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jc w:val="right"/>
              <w:ind w:right="72"/>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Gains, net, of $4.2 million for non-operating unrealized foreign currency gains (losses)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($2.2 million loss, $2.3 million loss, $7.5 million gain and $1.2 million gain in the</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5"/>
                <w:szCs w:val="15"/>
                <w:color w:val="auto"/>
              </w:rPr>
              <w:t>(0.23)</w:t>
            </w: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91"/>
              <w:spacing w:after="0"/>
              <w:rPr>
                <w:sz w:val="20"/>
                <w:szCs w:val="20"/>
                <w:color w:val="auto"/>
              </w:rPr>
            </w:pPr>
            <w:r>
              <w:rPr>
                <w:rFonts w:ascii="Arial" w:cs="Arial" w:eastAsia="Arial" w:hAnsi="Arial"/>
                <w:sz w:val="15"/>
                <w:szCs w:val="15"/>
                <w:color w:val="auto"/>
              </w:rPr>
              <w:t>(0.25)</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71"/>
              <w:spacing w:after="0"/>
              <w:rPr>
                <w:sz w:val="20"/>
                <w:szCs w:val="20"/>
                <w:color w:val="auto"/>
              </w:rPr>
            </w:pPr>
            <w:r>
              <w:rPr>
                <w:rFonts w:ascii="Arial" w:cs="Arial" w:eastAsia="Arial" w:hAnsi="Arial"/>
                <w:sz w:val="15"/>
                <w:szCs w:val="15"/>
                <w:color w:val="auto"/>
              </w:rPr>
              <w:t>0.84</w:t>
            </w:r>
          </w:p>
        </w:tc>
        <w:tc>
          <w:tcPr>
            <w:tcW w:w="380" w:type="dxa"/>
            <w:vAlign w:val="bottom"/>
            <w:vMerge w:val="restart"/>
          </w:tcPr>
          <w:p>
            <w:pPr>
              <w:jc w:val="right"/>
              <w:ind w:right="72"/>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440" w:type="dxa"/>
            <w:vAlign w:val="bottom"/>
          </w:tcPr>
          <w:p>
            <w:pPr>
              <w:ind w:left="220"/>
              <w:spacing w:after="0" w:line="167" w:lineRule="exact"/>
              <w:rPr>
                <w:sz w:val="20"/>
                <w:szCs w:val="20"/>
                <w:color w:val="auto"/>
              </w:rPr>
            </w:pPr>
            <w:r>
              <w:rPr>
                <w:rFonts w:ascii="Arial" w:cs="Arial" w:eastAsia="Arial" w:hAnsi="Arial"/>
                <w:sz w:val="15"/>
                <w:szCs w:val="15"/>
                <w:color w:val="auto"/>
              </w:rPr>
              <w:t>first, second, third and fourth quarters, respectively)</w:t>
            </w:r>
          </w:p>
        </w:tc>
        <w:tc>
          <w:tcPr>
            <w:tcW w:w="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580" w:type="dxa"/>
            <w:vAlign w:val="bottom"/>
          </w:tcPr>
          <w:p>
            <w:pPr>
              <w:spacing w:after="0"/>
              <w:rPr>
                <w:sz w:val="24"/>
                <w:szCs w:val="24"/>
                <w:color w:val="auto"/>
              </w:rPr>
            </w:pPr>
          </w:p>
        </w:tc>
        <w:tc>
          <w:tcPr>
            <w:tcW w:w="7440" w:type="dxa"/>
            <w:vAlign w:val="bottom"/>
          </w:tcPr>
          <w:p>
            <w:pPr>
              <w:ind w:left="5560"/>
              <w:spacing w:after="0"/>
              <w:rPr>
                <w:sz w:val="20"/>
                <w:szCs w:val="20"/>
                <w:color w:val="auto"/>
              </w:rPr>
            </w:pPr>
            <w:r>
              <w:rPr>
                <w:rFonts w:ascii="Arial" w:cs="Arial" w:eastAsia="Arial" w:hAnsi="Arial"/>
                <w:sz w:val="17"/>
                <w:szCs w:val="17"/>
                <w:color w:val="auto"/>
              </w:rPr>
              <w:t>112</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80" w:type="dxa"/>
            <w:vAlign w:val="bottom"/>
            <w:tcBorders>
              <w:bottom w:val="single" w:sz="8" w:color="808080"/>
            </w:tcBorders>
          </w:tcPr>
          <w:p>
            <w:pPr>
              <w:spacing w:after="0"/>
              <w:rPr>
                <w:sz w:val="11"/>
                <w:szCs w:val="11"/>
                <w:color w:val="auto"/>
              </w:rPr>
            </w:pPr>
          </w:p>
        </w:tc>
        <w:tc>
          <w:tcPr>
            <w:tcW w:w="74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35" w:right="13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FIVE-YEAR SUMMARY OF SELECTED HISTORICAL FINANCIAL DATA</w:t>
      </w:r>
    </w:p>
    <w:p>
      <w:pPr>
        <w:spacing w:after="0" w:line="105" w:lineRule="exact"/>
        <w:rPr>
          <w:sz w:val="20"/>
          <w:szCs w:val="20"/>
          <w:color w:val="auto"/>
        </w:rPr>
      </w:pPr>
    </w:p>
    <w:p>
      <w:pPr>
        <w:ind w:left="9"/>
        <w:spacing w:after="0" w:line="250" w:lineRule="auto"/>
        <w:rPr>
          <w:sz w:val="20"/>
          <w:szCs w:val="20"/>
          <w:color w:val="auto"/>
        </w:rPr>
      </w:pPr>
      <w:r>
        <w:rPr>
          <w:rFonts w:ascii="Arial" w:cs="Arial" w:eastAsia="Arial" w:hAnsi="Arial"/>
          <w:sz w:val="15"/>
          <w:szCs w:val="15"/>
          <w:color w:val="auto"/>
        </w:rPr>
        <w:t>See Notes to Consolidated Financial Statements for the summary of significant accounting policies and additional information relative to the years 2009–2011 and refe Note 3 for discussion of discontinued operations.</w:t>
      </w:r>
    </w:p>
    <w:p>
      <w:pPr>
        <w:spacing w:after="0" w:line="46"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4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2011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2010</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2009</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2008</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200</w:t>
            </w:r>
          </w:p>
        </w:tc>
        <w:tc>
          <w:tcPr>
            <w:tcW w:w="0" w:type="dxa"/>
            <w:vAlign w:val="bottom"/>
          </w:tcPr>
          <w:p>
            <w:pPr>
              <w:spacing w:after="0"/>
              <w:rPr>
                <w:sz w:val="1"/>
                <w:szCs w:val="1"/>
                <w:color w:val="auto"/>
              </w:rPr>
            </w:pPr>
          </w:p>
        </w:tc>
      </w:tr>
      <w:tr>
        <w:trPr>
          <w:trHeight w:val="146"/>
        </w:trPr>
        <w:tc>
          <w:tcPr>
            <w:tcW w:w="4920" w:type="dxa"/>
            <w:vAlign w:val="bottom"/>
          </w:tcPr>
          <w:p>
            <w:pPr>
              <w:spacing w:after="0" w:line="146" w:lineRule="exact"/>
              <w:rPr>
                <w:sz w:val="20"/>
                <w:szCs w:val="20"/>
                <w:color w:val="auto"/>
              </w:rPr>
            </w:pPr>
            <w:r>
              <w:rPr>
                <w:rFonts w:ascii="Arial" w:cs="Arial" w:eastAsia="Arial" w:hAnsi="Arial"/>
                <w:sz w:val="13"/>
                <w:szCs w:val="13"/>
                <w:b w:val="1"/>
                <w:bCs w:val="1"/>
                <w:color w:val="auto"/>
              </w:rPr>
              <w:t>Results of Operations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4,214,833</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220"/>
              <w:spacing w:after="0" w:line="133" w:lineRule="exact"/>
              <w:rPr>
                <w:sz w:val="20"/>
                <w:szCs w:val="20"/>
                <w:color w:val="auto"/>
              </w:rPr>
            </w:pPr>
            <w:r>
              <w:rPr>
                <w:rFonts w:ascii="Arial" w:cs="Arial" w:eastAsia="Arial" w:hAnsi="Arial"/>
                <w:sz w:val="13"/>
                <w:szCs w:val="13"/>
                <w:color w:val="auto"/>
              </w:rPr>
              <w:t>Operating revenues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4,684,041</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4,326,040</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4,160,953</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jc w:val="center"/>
              <w:spacing w:after="0" w:line="133" w:lineRule="exact"/>
              <w:rPr>
                <w:sz w:val="20"/>
                <w:szCs w:val="20"/>
                <w:color w:val="auto"/>
              </w:rPr>
            </w:pPr>
            <w:r>
              <w:rPr>
                <w:rFonts w:ascii="Arial" w:cs="Arial" w:eastAsia="Arial" w:hAnsi="Arial"/>
                <w:sz w:val="13"/>
                <w:szCs w:val="13"/>
                <w:color w:val="auto"/>
                <w:w w:val="91"/>
              </w:rPr>
              <w:t>3,</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Income from operations</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295,958</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562,662</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290,399</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238,917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220"/>
              <w:spacing w:after="0"/>
              <w:rPr>
                <w:sz w:val="20"/>
                <w:szCs w:val="20"/>
                <w:color w:val="auto"/>
              </w:rPr>
            </w:pPr>
            <w:r>
              <w:rPr>
                <w:rFonts w:ascii="Arial" w:cs="Arial" w:eastAsia="Arial" w:hAnsi="Arial"/>
                <w:sz w:val="13"/>
                <w:szCs w:val="13"/>
                <w:color w:val="auto"/>
              </w:rPr>
              <w:t>Income from continuing operations</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121,328</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320,117</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156,207</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100,751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920" w:type="dxa"/>
            <w:vAlign w:val="bottom"/>
          </w:tcPr>
          <w:p>
            <w:pPr>
              <w:ind w:left="220"/>
              <w:spacing w:after="0"/>
              <w:rPr>
                <w:sz w:val="20"/>
                <w:szCs w:val="20"/>
                <w:color w:val="auto"/>
              </w:rPr>
            </w:pPr>
            <w:r>
              <w:rPr>
                <w:rFonts w:ascii="Arial" w:cs="Arial" w:eastAsia="Arial" w:hAnsi="Arial"/>
                <w:sz w:val="13"/>
                <w:szCs w:val="13"/>
                <w:color w:val="auto"/>
              </w:rPr>
              <w:t>Net income attributable to The Washington Post Company</w:t>
            </w:r>
          </w:p>
        </w:tc>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common stockholders</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116,233</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277,192</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91,846</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64,776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20"/>
                <w:szCs w:val="20"/>
                <w:color w:val="auto"/>
              </w:rPr>
            </w:pPr>
            <w:r>
              <w:rPr>
                <w:rFonts w:ascii="Arial" w:cs="Arial" w:eastAsia="Arial" w:hAnsi="Arial"/>
                <w:sz w:val="13"/>
                <w:szCs w:val="13"/>
                <w:b w:val="1"/>
                <w:bCs w:val="1"/>
                <w:color w:val="auto"/>
              </w:rPr>
              <w:t>Per Share Amounts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Basic earnings per common share attributable to</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The Washington Post Company common stockholders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15.23</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700"/>
              <w:spacing w:after="0" w:line="133" w:lineRule="exact"/>
              <w:rPr>
                <w:sz w:val="20"/>
                <w:szCs w:val="20"/>
                <w:color w:val="auto"/>
              </w:rPr>
            </w:pPr>
            <w:r>
              <w:rPr>
                <w:rFonts w:ascii="Arial" w:cs="Arial" w:eastAsia="Arial" w:hAnsi="Arial"/>
                <w:sz w:val="13"/>
                <w:szCs w:val="13"/>
                <w:color w:val="auto"/>
              </w:rPr>
              <w:t>Income from continuing operations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35.77</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16.70</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10.59</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700"/>
              <w:spacing w:after="0"/>
              <w:rPr>
                <w:sz w:val="20"/>
                <w:szCs w:val="20"/>
                <w:color w:val="auto"/>
              </w:rPr>
            </w:pPr>
            <w:r>
              <w:rPr>
                <w:rFonts w:ascii="Arial" w:cs="Arial" w:eastAsia="Arial" w:hAnsi="Arial"/>
                <w:sz w:val="13"/>
                <w:szCs w:val="13"/>
                <w:color w:val="auto"/>
              </w:rPr>
              <w:t>Net income</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14.70</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31.06</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9.78</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6.89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Diluted earnings per common share attributable to</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The Washington Post Company common stockholders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15.23</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700"/>
              <w:spacing w:after="0" w:line="133" w:lineRule="exact"/>
              <w:rPr>
                <w:sz w:val="20"/>
                <w:szCs w:val="20"/>
                <w:color w:val="auto"/>
              </w:rPr>
            </w:pPr>
            <w:r>
              <w:rPr>
                <w:rFonts w:ascii="Arial" w:cs="Arial" w:eastAsia="Arial" w:hAnsi="Arial"/>
                <w:sz w:val="13"/>
                <w:szCs w:val="13"/>
                <w:color w:val="auto"/>
              </w:rPr>
              <w:t>Income from continuing operations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35.75</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16.70</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10.57</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700"/>
              <w:spacing w:after="0"/>
              <w:rPr>
                <w:sz w:val="20"/>
                <w:szCs w:val="20"/>
                <w:color w:val="auto"/>
              </w:rPr>
            </w:pPr>
            <w:r>
              <w:rPr>
                <w:rFonts w:ascii="Arial" w:cs="Arial" w:eastAsia="Arial" w:hAnsi="Arial"/>
                <w:sz w:val="13"/>
                <w:szCs w:val="13"/>
                <w:color w:val="auto"/>
              </w:rPr>
              <w:t>Net income</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14.70</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31.04</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9.78</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6.87</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Weighted average shares outstanding:</w:t>
            </w:r>
          </w:p>
        </w:tc>
        <w:tc>
          <w:tcPr>
            <w:tcW w:w="12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7,826</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460"/>
              <w:spacing w:after="0" w:line="133" w:lineRule="exact"/>
              <w:rPr>
                <w:sz w:val="20"/>
                <w:szCs w:val="20"/>
                <w:color w:val="auto"/>
              </w:rPr>
            </w:pPr>
            <w:r>
              <w:rPr>
                <w:rFonts w:ascii="Arial" w:cs="Arial" w:eastAsia="Arial" w:hAnsi="Arial"/>
                <w:sz w:val="13"/>
                <w:szCs w:val="13"/>
                <w:color w:val="auto"/>
              </w:rPr>
              <w:t>Basic</w:t>
            </w:r>
          </w:p>
        </w:tc>
        <w:tc>
          <w:tcPr>
            <w:tcW w:w="1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8,869</w:t>
            </w:r>
          </w:p>
        </w:tc>
        <w:tc>
          <w:tcPr>
            <w:tcW w:w="300" w:type="dxa"/>
            <w:vAlign w:val="bottom"/>
          </w:tcPr>
          <w:p>
            <w:pPr>
              <w:spacing w:after="0"/>
              <w:rPr>
                <w:sz w:val="11"/>
                <w:szCs w:val="11"/>
                <w:color w:val="auto"/>
              </w:rPr>
            </w:pP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9,332</w:t>
            </w: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9,408</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Diluted</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7,905</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8,931</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9,392</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9,430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220"/>
              <w:spacing w:after="0"/>
              <w:rPr>
                <w:sz w:val="20"/>
                <w:szCs w:val="20"/>
                <w:color w:val="auto"/>
              </w:rPr>
            </w:pPr>
            <w:r>
              <w:rPr>
                <w:rFonts w:ascii="Arial" w:cs="Arial" w:eastAsia="Arial" w:hAnsi="Arial"/>
                <w:sz w:val="13"/>
                <w:szCs w:val="13"/>
                <w:color w:val="auto"/>
              </w:rPr>
              <w:t>Cash dividends per common share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9.40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9.00</w:t>
            </w:r>
          </w:p>
        </w:tc>
        <w:tc>
          <w:tcPr>
            <w:tcW w:w="3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8.60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8.60</w:t>
            </w:r>
          </w:p>
        </w:tc>
        <w:tc>
          <w:tcPr>
            <w:tcW w:w="3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The Washington Post Company common stockholders’ equity</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342.76</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460"/>
              <w:spacing w:after="0" w:line="133" w:lineRule="exact"/>
              <w:rPr>
                <w:sz w:val="20"/>
                <w:szCs w:val="20"/>
                <w:color w:val="auto"/>
              </w:rPr>
            </w:pPr>
            <w:r>
              <w:rPr>
                <w:rFonts w:ascii="Arial" w:cs="Arial" w:eastAsia="Arial" w:hAnsi="Arial"/>
                <w:sz w:val="13"/>
                <w:szCs w:val="13"/>
                <w:color w:val="auto"/>
              </w:rPr>
              <w:t>per common share</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343.47</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317.21</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305.12</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20"/>
                <w:szCs w:val="20"/>
                <w:color w:val="auto"/>
              </w:rPr>
            </w:pPr>
            <w:r>
              <w:rPr>
                <w:rFonts w:ascii="Arial" w:cs="Arial" w:eastAsia="Arial" w:hAnsi="Arial"/>
                <w:sz w:val="13"/>
                <w:szCs w:val="13"/>
                <w:b w:val="1"/>
                <w:bCs w:val="1"/>
                <w:color w:val="auto"/>
              </w:rPr>
              <w:t>Financial Position</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250,069</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220"/>
              <w:spacing w:after="0" w:line="133" w:lineRule="exact"/>
              <w:rPr>
                <w:sz w:val="20"/>
                <w:szCs w:val="20"/>
                <w:color w:val="auto"/>
              </w:rPr>
            </w:pPr>
            <w:r>
              <w:rPr>
                <w:rFonts w:ascii="Arial" w:cs="Arial" w:eastAsia="Arial" w:hAnsi="Arial"/>
                <w:sz w:val="13"/>
                <w:szCs w:val="13"/>
                <w:color w:val="auto"/>
              </w:rPr>
              <w:t>Working capital</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353,621</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398,481</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257,292</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Total assets</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5,016,986</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5,158,367</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5,186,206</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5,158,434</w:t>
            </w:r>
          </w:p>
        </w:tc>
        <w:tc>
          <w:tcPr>
            <w:tcW w:w="30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Arial" w:cs="Arial" w:eastAsia="Arial" w:hAnsi="Arial"/>
                <w:sz w:val="13"/>
                <w:szCs w:val="13"/>
                <w:color w:val="auto"/>
                <w:w w:val="91"/>
              </w:rPr>
              <w:t>6,</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Long-term debt</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452,229</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396,650</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396,236</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400,003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220"/>
              <w:spacing w:after="0"/>
              <w:rPr>
                <w:sz w:val="20"/>
                <w:szCs w:val="20"/>
                <w:color w:val="auto"/>
              </w:rPr>
            </w:pPr>
            <w:r>
              <w:rPr>
                <w:rFonts w:ascii="Arial" w:cs="Arial" w:eastAsia="Arial" w:hAnsi="Arial"/>
                <w:sz w:val="13"/>
                <w:szCs w:val="13"/>
                <w:color w:val="auto"/>
              </w:rPr>
              <w:t>The Washington Post Company common stockholders’ equity</w:t>
            </w:r>
          </w:p>
        </w:tc>
        <w:tc>
          <w:tcPr>
            <w:tcW w:w="1240" w:type="dxa"/>
            <w:vAlign w:val="bottom"/>
          </w:tcPr>
          <w:p>
            <w:pPr>
              <w:spacing w:after="0"/>
              <w:rPr>
                <w:sz w:val="15"/>
                <w:szCs w:val="15"/>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2,601,896</w:t>
            </w:r>
          </w:p>
        </w:tc>
        <w:tc>
          <w:tcPr>
            <w:tcW w:w="2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2,814,364</w:t>
            </w:r>
          </w:p>
        </w:tc>
        <w:tc>
          <w:tcPr>
            <w:tcW w:w="30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2,939,550</w:t>
            </w:r>
          </w:p>
        </w:tc>
        <w:tc>
          <w:tcPr>
            <w:tcW w:w="2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2,857,540</w:t>
            </w:r>
          </w:p>
        </w:tc>
        <w:tc>
          <w:tcPr>
            <w:tcW w:w="30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Arial" w:cs="Arial" w:eastAsia="Arial" w:hAnsi="Arial"/>
                <w:sz w:val="13"/>
                <w:szCs w:val="13"/>
                <w:color w:val="auto"/>
                <w:w w:val="91"/>
              </w:rPr>
              <w:t>3,</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Impact from certain items included in income from continuing operations (after-tax and diluted EPS amounts):</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2011</w:t>
      </w:r>
    </w:p>
    <w:p>
      <w:pPr>
        <w:spacing w:after="0" w:line="15" w:lineRule="exact"/>
        <w:rPr>
          <w:sz w:val="20"/>
          <w:szCs w:val="20"/>
          <w:color w:val="auto"/>
        </w:rPr>
      </w:pP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charges of $18.1 million ($2.30 per share) related to severance and restructuring at Kaplan</w:t>
      </w: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charge of $1.5 million ($0.19 per share) recorded at the newspaper publishing division in connection with the withdrawal from a multiemployer pension plan</w:t>
      </w: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goodwill impairment charge at the Company’s online lead generation business of $11.9 million ($1.51 per share)</w:t>
      </w: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impairment charge at one of the Company’s affiliates of $5.7 million ($0.72 per share)</w:t>
      </w: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write-down of a marketable equity security of $34.6 million ($4.34 per share)</w:t>
      </w:r>
    </w:p>
    <w:p>
      <w:pPr>
        <w:ind w:left="89" w:hanging="89"/>
        <w:spacing w:after="0"/>
        <w:tabs>
          <w:tab w:leader="none" w:pos="89" w:val="left"/>
        </w:tabs>
        <w:numPr>
          <w:ilvl w:val="0"/>
          <w:numId w:val="68"/>
        </w:numPr>
        <w:rPr>
          <w:rFonts w:ascii="Arial" w:cs="Arial" w:eastAsia="Arial" w:hAnsi="Arial"/>
          <w:sz w:val="13"/>
          <w:szCs w:val="13"/>
          <w:color w:val="auto"/>
        </w:rPr>
      </w:pPr>
      <w:r>
        <w:rPr>
          <w:rFonts w:ascii="Arial" w:cs="Arial" w:eastAsia="Arial" w:hAnsi="Arial"/>
          <w:sz w:val="13"/>
          <w:szCs w:val="13"/>
          <w:color w:val="auto"/>
        </w:rPr>
        <w:t>losses, net, of $2.1 million ($0.26 per share) from non-operating unrealized foreign currency losses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2010</w:t>
      </w:r>
    </w:p>
    <w:p>
      <w:pPr>
        <w:spacing w:after="0" w:line="15" w:lineRule="exact"/>
        <w:rPr>
          <w:sz w:val="20"/>
          <w:szCs w:val="20"/>
          <w:color w:val="auto"/>
        </w:rPr>
      </w:pPr>
    </w:p>
    <w:p>
      <w:pPr>
        <w:ind w:left="89" w:hanging="89"/>
        <w:spacing w:after="0"/>
        <w:tabs>
          <w:tab w:leader="none" w:pos="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charge of $12.7 million ($1.38 per share) at the Post in connection with the withdrawal from a multiemployer pension plan</w:t>
      </w:r>
    </w:p>
    <w:p>
      <w:pPr>
        <w:ind w:left="89" w:hanging="89"/>
        <w:spacing w:after="0"/>
        <w:tabs>
          <w:tab w:leader="none" w:pos="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goodwill and other intangible assets impairment charge of $26.3 million ($2.96 per share) at the Company’s online lead generation business</w:t>
      </w:r>
    </w:p>
    <w:p>
      <w:pPr>
        <w:ind w:left="89" w:hanging="89"/>
        <w:spacing w:after="0"/>
        <w:tabs>
          <w:tab w:leader="none" w:pos="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charges of $24.2 million ($2.83 per share) related to severance and restructuring</w:t>
      </w:r>
    </w:p>
    <w:p>
      <w:pPr>
        <w:ind w:left="89" w:hanging="89"/>
        <w:spacing w:after="0"/>
        <w:tabs>
          <w:tab w:leader="none" w:pos="89" w:val="left"/>
        </w:tabs>
        <w:numPr>
          <w:ilvl w:val="0"/>
          <w:numId w:val="69"/>
        </w:numPr>
        <w:rPr>
          <w:rFonts w:ascii="Arial" w:cs="Arial" w:eastAsia="Arial" w:hAnsi="Arial"/>
          <w:sz w:val="13"/>
          <w:szCs w:val="13"/>
          <w:color w:val="auto"/>
        </w:rPr>
      </w:pPr>
      <w:r>
        <w:rPr>
          <w:rFonts w:ascii="Arial" w:cs="Arial" w:eastAsia="Arial" w:hAnsi="Arial"/>
          <w:sz w:val="13"/>
          <w:szCs w:val="13"/>
          <w:color w:val="auto"/>
        </w:rPr>
        <w:t>gains, net, of $4.2 million ($0.47 per share) from non-operating unrealized foreign currency gains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2009</w:t>
      </w:r>
    </w:p>
    <w:p>
      <w:pPr>
        <w:spacing w:after="0" w:line="15" w:lineRule="exact"/>
        <w:rPr>
          <w:sz w:val="20"/>
          <w:szCs w:val="20"/>
          <w:color w:val="auto"/>
        </w:rPr>
      </w:pP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charges of $35.9 million ($3.82 per share) related to early retirement program expense at the newspaper publishing division</w:t>
      </w: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charges of $20.6 million ($2.19 per share) in connection with the restructuring of Kaplan’s Score and Test Preparation operations</w:t>
      </w: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$21.0 million ($2.23 per share) in accelerated depreciation related to the closing of the Post’s College Park, MD, plant and the consolidation of operations at the Post</w:t>
      </w: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goodwill impairment charge of $8.5 million ($0.90 per share) related to Kaplan Ventures</w:t>
      </w: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impairment charges of $18.8 million ($2.00 per share) at two of the Company’s affiliates</w:t>
      </w:r>
    </w:p>
    <w:p>
      <w:pPr>
        <w:ind w:left="89" w:hanging="89"/>
        <w:spacing w:after="0"/>
        <w:tabs>
          <w:tab w:leader="none" w:pos="89" w:val="left"/>
        </w:tabs>
        <w:numPr>
          <w:ilvl w:val="0"/>
          <w:numId w:val="70"/>
        </w:numPr>
        <w:rPr>
          <w:rFonts w:ascii="Arial" w:cs="Arial" w:eastAsia="Arial" w:hAnsi="Arial"/>
          <w:sz w:val="13"/>
          <w:szCs w:val="13"/>
          <w:color w:val="auto"/>
        </w:rPr>
      </w:pPr>
      <w:r>
        <w:rPr>
          <w:rFonts w:ascii="Arial" w:cs="Arial" w:eastAsia="Arial" w:hAnsi="Arial"/>
          <w:sz w:val="13"/>
          <w:szCs w:val="13"/>
          <w:color w:val="auto"/>
        </w:rPr>
        <w:t>gains, net, of $10.3 million ($1.10 per share) from non-operating unrealized foreign currency gains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2008</w:t>
      </w:r>
    </w:p>
    <w:p>
      <w:pPr>
        <w:spacing w:after="0" w:line="15" w:lineRule="exact"/>
        <w:rPr>
          <w:sz w:val="20"/>
          <w:szCs w:val="20"/>
          <w:color w:val="auto"/>
        </w:rPr>
      </w:pPr>
    </w:p>
    <w:p>
      <w:pPr>
        <w:ind w:left="89" w:hanging="89"/>
        <w:spacing w:after="0" w:line="239" w:lineRule="auto"/>
        <w:tabs>
          <w:tab w:leader="none" w:pos="77" w:val="left"/>
        </w:tabs>
        <w:numPr>
          <w:ilvl w:val="0"/>
          <w:numId w:val="71"/>
        </w:numPr>
        <w:rPr>
          <w:rFonts w:ascii="Arial" w:cs="Arial" w:eastAsia="Arial" w:hAnsi="Arial"/>
          <w:sz w:val="13"/>
          <w:szCs w:val="13"/>
          <w:color w:val="auto"/>
        </w:rPr>
      </w:pPr>
      <w:r>
        <w:rPr>
          <w:rFonts w:ascii="Arial" w:cs="Arial" w:eastAsia="Arial" w:hAnsi="Arial"/>
          <w:sz w:val="13"/>
          <w:szCs w:val="13"/>
          <w:color w:val="auto"/>
        </w:rPr>
        <w:t>goodwill, intangible assets and other impairment charges of $115.7 million ($12.35 per share) at the Company’s online lead generation business; at the Company’s community newspaper Herald and other operations included in the newspaper publishing segment; and at two of the Company’s equity affiliates</w:t>
      </w:r>
    </w:p>
    <w:p>
      <w:pPr>
        <w:ind w:left="89" w:hanging="89"/>
        <w:spacing w:after="0"/>
        <w:tabs>
          <w:tab w:leader="none" w:pos="89" w:val="left"/>
        </w:tabs>
        <w:numPr>
          <w:ilvl w:val="0"/>
          <w:numId w:val="71"/>
        </w:numPr>
        <w:rPr>
          <w:rFonts w:ascii="Arial" w:cs="Arial" w:eastAsia="Arial" w:hAnsi="Arial"/>
          <w:sz w:val="13"/>
          <w:szCs w:val="13"/>
          <w:color w:val="auto"/>
        </w:rPr>
      </w:pPr>
      <w:r>
        <w:rPr>
          <w:rFonts w:ascii="Arial" w:cs="Arial" w:eastAsia="Arial" w:hAnsi="Arial"/>
          <w:sz w:val="13"/>
          <w:szCs w:val="13"/>
          <w:color w:val="auto"/>
        </w:rPr>
        <w:t>charges of $50.1 million ($5.27 per share) related to early retirement program expense at the Post and the corporate office</w:t>
      </w:r>
    </w:p>
    <w:p>
      <w:pPr>
        <w:ind w:left="89" w:hanging="89"/>
        <w:spacing w:after="0"/>
        <w:tabs>
          <w:tab w:leader="none" w:pos="89" w:val="left"/>
        </w:tabs>
        <w:numPr>
          <w:ilvl w:val="0"/>
          <w:numId w:val="71"/>
        </w:numPr>
        <w:rPr>
          <w:rFonts w:ascii="Arial" w:cs="Arial" w:eastAsia="Arial" w:hAnsi="Arial"/>
          <w:sz w:val="13"/>
          <w:szCs w:val="13"/>
          <w:color w:val="auto"/>
        </w:rPr>
      </w:pPr>
      <w:r>
        <w:rPr>
          <w:rFonts w:ascii="Arial" w:cs="Arial" w:eastAsia="Arial" w:hAnsi="Arial"/>
          <w:sz w:val="13"/>
          <w:szCs w:val="13"/>
          <w:color w:val="auto"/>
        </w:rPr>
        <w:t>$13.9 million ($1.48 per share) in accelerated depreciation related to the planned closing of the Post’s College Park, MD, plant</w:t>
      </w:r>
    </w:p>
    <w:p>
      <w:pPr>
        <w:ind w:left="89" w:hanging="89"/>
        <w:spacing w:after="0"/>
        <w:tabs>
          <w:tab w:leader="none" w:pos="89" w:val="left"/>
        </w:tabs>
        <w:numPr>
          <w:ilvl w:val="0"/>
          <w:numId w:val="71"/>
        </w:numPr>
        <w:rPr>
          <w:rFonts w:ascii="Arial" w:cs="Arial" w:eastAsia="Arial" w:hAnsi="Arial"/>
          <w:sz w:val="13"/>
          <w:szCs w:val="13"/>
          <w:color w:val="auto"/>
        </w:rPr>
      </w:pPr>
      <w:r>
        <w:rPr>
          <w:rFonts w:ascii="Arial" w:cs="Arial" w:eastAsia="Arial" w:hAnsi="Arial"/>
          <w:sz w:val="13"/>
          <w:szCs w:val="13"/>
          <w:color w:val="auto"/>
        </w:rPr>
        <w:t>charges of $6.8 million ($0.72 per share) in connection with the restructuring of KHE’s professional training businesses</w:t>
      </w:r>
    </w:p>
    <w:p>
      <w:pPr>
        <w:ind w:left="89" w:hanging="89"/>
        <w:spacing w:after="0"/>
        <w:tabs>
          <w:tab w:leader="none" w:pos="89" w:val="left"/>
        </w:tabs>
        <w:numPr>
          <w:ilvl w:val="0"/>
          <w:numId w:val="71"/>
        </w:numPr>
        <w:rPr>
          <w:rFonts w:ascii="Arial" w:cs="Arial" w:eastAsia="Arial" w:hAnsi="Arial"/>
          <w:sz w:val="13"/>
          <w:szCs w:val="13"/>
          <w:color w:val="auto"/>
        </w:rPr>
      </w:pPr>
      <w:r>
        <w:rPr>
          <w:rFonts w:ascii="Arial" w:cs="Arial" w:eastAsia="Arial" w:hAnsi="Arial"/>
          <w:sz w:val="13"/>
          <w:szCs w:val="13"/>
          <w:color w:val="auto"/>
        </w:rPr>
        <w:t>gains of $28.9 million ($3.09 per share) from the sales of marketable securities</w:t>
      </w:r>
    </w:p>
    <w:p>
      <w:pPr>
        <w:ind w:left="89" w:hanging="89"/>
        <w:spacing w:after="0"/>
        <w:tabs>
          <w:tab w:leader="none" w:pos="89" w:val="left"/>
        </w:tabs>
        <w:numPr>
          <w:ilvl w:val="0"/>
          <w:numId w:val="71"/>
        </w:numPr>
        <w:rPr>
          <w:rFonts w:ascii="Arial" w:cs="Arial" w:eastAsia="Arial" w:hAnsi="Arial"/>
          <w:sz w:val="13"/>
          <w:szCs w:val="13"/>
          <w:color w:val="auto"/>
        </w:rPr>
      </w:pPr>
      <w:r>
        <w:rPr>
          <w:rFonts w:ascii="Arial" w:cs="Arial" w:eastAsia="Arial" w:hAnsi="Arial"/>
          <w:sz w:val="13"/>
          <w:szCs w:val="13"/>
          <w:color w:val="auto"/>
        </w:rPr>
        <w:t>losses, net, of $28.5 million ($3.04 per share) from non-operating unrealized foreign currency losses</w:t>
      </w:r>
    </w:p>
    <w:p>
      <w:pPr>
        <w:ind w:left="89" w:hanging="89"/>
        <w:spacing w:after="0" w:line="252" w:lineRule="auto"/>
        <w:tabs>
          <w:tab w:leader="none" w:pos="77" w:val="left"/>
        </w:tabs>
        <w:numPr>
          <w:ilvl w:val="0"/>
          <w:numId w:val="71"/>
        </w:numPr>
        <w:rPr>
          <w:rFonts w:ascii="Arial" w:cs="Arial" w:eastAsia="Arial" w:hAnsi="Arial"/>
          <w:sz w:val="13"/>
          <w:szCs w:val="13"/>
          <w:color w:val="auto"/>
        </w:rPr>
      </w:pPr>
      <w:r>
        <w:rPr>
          <w:rFonts w:ascii="Arial" w:cs="Arial" w:eastAsia="Arial" w:hAnsi="Arial"/>
          <w:sz w:val="13"/>
          <w:szCs w:val="13"/>
          <w:color w:val="auto"/>
        </w:rPr>
        <w:t>charge of $9.5 million ($1.01 per share) in income tax expense related to valuation allowances provided against certain state and local income tax benefits, net of U.S. Federal income tax benefits</w:t>
      </w:r>
    </w:p>
    <w:p>
      <w:pPr>
        <w:spacing w:after="0" w:line="42"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2007</w:t>
      </w:r>
    </w:p>
    <w:p>
      <w:pPr>
        <w:spacing w:after="0" w:line="15" w:lineRule="exact"/>
        <w:rPr>
          <w:sz w:val="20"/>
          <w:szCs w:val="20"/>
          <w:color w:val="auto"/>
        </w:rPr>
      </w:pPr>
    </w:p>
    <w:p>
      <w:pPr>
        <w:ind w:left="89" w:hanging="89"/>
        <w:spacing w:after="0" w:line="239" w:lineRule="auto"/>
        <w:tabs>
          <w:tab w:leader="none" w:pos="77" w:val="left"/>
        </w:tabs>
        <w:numPr>
          <w:ilvl w:val="0"/>
          <w:numId w:val="72"/>
        </w:numPr>
        <w:rPr>
          <w:rFonts w:ascii="Arial" w:cs="Arial" w:eastAsia="Arial" w:hAnsi="Arial"/>
          <w:sz w:val="13"/>
          <w:szCs w:val="13"/>
          <w:color w:val="auto"/>
        </w:rPr>
      </w:pPr>
      <w:r>
        <w:rPr>
          <w:rFonts w:ascii="Arial" w:cs="Arial" w:eastAsia="Arial" w:hAnsi="Arial"/>
          <w:sz w:val="13"/>
          <w:szCs w:val="13"/>
          <w:color w:val="auto"/>
        </w:rPr>
        <w:t>charge of additional net income tax expense of $6.6 million ($0.70 per share), as the result of a $12.9 million increase in taxes associated with Bowater Mersey, offset by a tax benefit of $ million associated with changes in certain state income tax laws</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charges of $10.3 million ($1.08 per share) in connection with the restructuring of Kaplan’s Score and Test Preparation operations</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gain of $5.9 million ($0.62 per share) from the sale of property at the Company’s television station in Miami</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gains of $5.5 million ($0.58 per share) from non-operating unrealized foreign currency gains</w:t>
      </w:r>
    </w:p>
    <w:p>
      <w:pPr>
        <w:spacing w:after="0" w:line="18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18" w:right="1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tbl>
      <w:tblPr>
        <w:tblLayout w:type="fixed"/>
        <w:tblInd w:w="9" w:type="dxa"/>
        <w:tblCellMar>
          <w:top w:w="0" w:type="dxa"/>
          <w:left w:w="0" w:type="dxa"/>
          <w:bottom w:w="0" w:type="dxa"/>
          <w:right w:w="0" w:type="dxa"/>
        </w:tblCellMar>
      </w:tblPr>
      <w:tr>
        <w:trPr>
          <w:trHeight w:val="219"/>
        </w:trPr>
        <w:tc>
          <w:tcPr>
            <w:tcW w:w="1300" w:type="dxa"/>
            <w:vAlign w:val="bottom"/>
          </w:tcPr>
          <w:p>
            <w:pPr>
              <w:spacing w:after="0"/>
              <w:rPr>
                <w:sz w:val="19"/>
                <w:szCs w:val="19"/>
                <w:color w:val="auto"/>
              </w:rPr>
            </w:pPr>
          </w:p>
        </w:tc>
        <w:tc>
          <w:tcPr>
            <w:tcW w:w="9640" w:type="dxa"/>
            <w:vAlign w:val="bottom"/>
          </w:tcPr>
          <w:p>
            <w:pPr>
              <w:ind w:left="3640"/>
              <w:spacing w:after="0"/>
              <w:rPr>
                <w:sz w:val="20"/>
                <w:szCs w:val="20"/>
                <w:color w:val="auto"/>
              </w:rPr>
            </w:pPr>
            <w:r>
              <w:rPr>
                <w:rFonts w:ascii="Arial" w:cs="Arial" w:eastAsia="Arial" w:hAnsi="Arial"/>
                <w:sz w:val="17"/>
                <w:szCs w:val="17"/>
                <w:b w:val="1"/>
                <w:bCs w:val="1"/>
                <w:color w:val="auto"/>
              </w:rPr>
              <w:t>INDEX TO EXHIBITS</w:t>
            </w:r>
          </w:p>
        </w:tc>
      </w:tr>
      <w:tr>
        <w:trPr>
          <w:trHeight w:val="310"/>
        </w:trPr>
        <w:tc>
          <w:tcPr>
            <w:tcW w:w="130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9640" w:type="dxa"/>
            <w:vAlign w:val="bottom"/>
          </w:tcPr>
          <w:p>
            <w:pPr>
              <w:spacing w:after="0"/>
              <w:rPr>
                <w:sz w:val="24"/>
                <w:szCs w:val="24"/>
                <w:color w:val="auto"/>
              </w:rPr>
            </w:pPr>
          </w:p>
        </w:tc>
      </w:tr>
      <w:tr>
        <w:trPr>
          <w:trHeight w:val="164"/>
        </w:trPr>
        <w:tc>
          <w:tcPr>
            <w:tcW w:w="1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9640" w:type="dxa"/>
            <w:vAlign w:val="bottom"/>
            <w:tcBorders>
              <w:bottom w:val="single" w:sz="8" w:color="auto"/>
            </w:tcBorders>
          </w:tcPr>
          <w:p>
            <w:pPr>
              <w:ind w:left="5040"/>
              <w:spacing w:after="0"/>
              <w:rPr>
                <w:sz w:val="20"/>
                <w:szCs w:val="20"/>
                <w:color w:val="auto"/>
              </w:rPr>
            </w:pPr>
            <w:r>
              <w:rPr>
                <w:rFonts w:ascii="Arial" w:cs="Arial" w:eastAsia="Arial" w:hAnsi="Arial"/>
                <w:sz w:val="12"/>
                <w:szCs w:val="12"/>
                <w:b w:val="1"/>
                <w:bCs w:val="1"/>
                <w:color w:val="auto"/>
              </w:rPr>
              <w:t>Description</w:t>
            </w:r>
          </w:p>
        </w:tc>
      </w:tr>
      <w:tr>
        <w:trPr>
          <w:trHeight w:val="178"/>
        </w:trPr>
        <w:tc>
          <w:tcPr>
            <w:tcW w:w="1300" w:type="dxa"/>
            <w:vAlign w:val="bottom"/>
          </w:tcPr>
          <w:p>
            <w:pPr>
              <w:jc w:val="right"/>
              <w:ind w:right="779"/>
              <w:spacing w:after="0" w:line="178" w:lineRule="exact"/>
              <w:rPr>
                <w:sz w:val="20"/>
                <w:szCs w:val="20"/>
                <w:color w:val="auto"/>
              </w:rPr>
            </w:pPr>
            <w:r>
              <w:rPr>
                <w:rFonts w:ascii="Arial" w:cs="Arial" w:eastAsia="Arial" w:hAnsi="Arial"/>
                <w:sz w:val="17"/>
                <w:szCs w:val="17"/>
                <w:color w:val="auto"/>
              </w:rPr>
              <w:t>3.1</w:t>
            </w:r>
          </w:p>
        </w:tc>
        <w:tc>
          <w:tcPr>
            <w:tcW w:w="9640" w:type="dxa"/>
            <w:vAlign w:val="bottom"/>
          </w:tcPr>
          <w:p>
            <w:pPr>
              <w:ind w:left="520"/>
              <w:spacing w:after="0" w:line="178" w:lineRule="exact"/>
              <w:rPr>
                <w:sz w:val="20"/>
                <w:szCs w:val="20"/>
                <w:color w:val="auto"/>
              </w:rPr>
            </w:pPr>
            <w:r>
              <w:rPr>
                <w:rFonts w:ascii="Arial" w:cs="Arial" w:eastAsia="Arial" w:hAnsi="Arial"/>
                <w:sz w:val="17"/>
                <w:szCs w:val="17"/>
                <w:color w:val="auto"/>
                <w:w w:val="97"/>
              </w:rPr>
              <w:t>Restated Certificate of Incorporation of the Company dated November 13, 2003 (incorporated by reference to Exhibit 3.1 to t</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Company’s Annual Report on Form 10-K for the fiscal year ended December 28, 2003).</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3.2</w:t>
            </w:r>
          </w:p>
        </w:tc>
        <w:tc>
          <w:tcPr>
            <w:tcW w:w="9640" w:type="dxa"/>
            <w:vAlign w:val="bottom"/>
          </w:tcPr>
          <w:p>
            <w:pPr>
              <w:ind w:left="520"/>
              <w:spacing w:after="0"/>
              <w:rPr>
                <w:sz w:val="20"/>
                <w:szCs w:val="20"/>
                <w:color w:val="auto"/>
              </w:rPr>
            </w:pPr>
            <w:r>
              <w:rPr>
                <w:rFonts w:ascii="Arial" w:cs="Arial" w:eastAsia="Arial" w:hAnsi="Arial"/>
                <w:sz w:val="17"/>
                <w:szCs w:val="17"/>
                <w:color w:val="auto"/>
                <w:w w:val="97"/>
              </w:rPr>
              <w:t>Certificate of Designation for the Company’s Series A Preferred Stock dated September 22, 2003 (incorporated by reference</w:t>
            </w:r>
          </w:p>
        </w:tc>
      </w:tr>
      <w:tr>
        <w:trPr>
          <w:trHeight w:val="198"/>
        </w:trPr>
        <w:tc>
          <w:tcPr>
            <w:tcW w:w="1300" w:type="dxa"/>
            <w:vAlign w:val="bottom"/>
          </w:tcPr>
          <w:p>
            <w:pPr>
              <w:spacing w:after="0"/>
              <w:rPr>
                <w:sz w:val="17"/>
                <w:szCs w:val="17"/>
                <w:color w:val="auto"/>
              </w:rPr>
            </w:pPr>
          </w:p>
        </w:tc>
        <w:tc>
          <w:tcPr>
            <w:tcW w:w="9640" w:type="dxa"/>
            <w:vAlign w:val="bottom"/>
          </w:tcPr>
          <w:p>
            <w:pPr>
              <w:ind w:left="540"/>
              <w:spacing w:after="0"/>
              <w:rPr>
                <w:sz w:val="20"/>
                <w:szCs w:val="20"/>
                <w:color w:val="auto"/>
              </w:rPr>
            </w:pPr>
            <w:r>
              <w:rPr>
                <w:rFonts w:ascii="Arial" w:cs="Arial" w:eastAsia="Arial" w:hAnsi="Arial"/>
                <w:sz w:val="17"/>
                <w:szCs w:val="17"/>
                <w:color w:val="auto"/>
              </w:rPr>
              <w:t>Exhibit 3.2 to Amendment No. 1 to the Company’s Current Report on Form 8-K dated September 22, 2003).</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3.3</w:t>
            </w:r>
          </w:p>
        </w:tc>
        <w:tc>
          <w:tcPr>
            <w:tcW w:w="9640" w:type="dxa"/>
            <w:vAlign w:val="bottom"/>
          </w:tcPr>
          <w:p>
            <w:pPr>
              <w:ind w:left="520"/>
              <w:spacing w:after="0"/>
              <w:rPr>
                <w:sz w:val="20"/>
                <w:szCs w:val="20"/>
                <w:color w:val="auto"/>
              </w:rPr>
            </w:pPr>
            <w:r>
              <w:rPr>
                <w:rFonts w:ascii="Arial" w:cs="Arial" w:eastAsia="Arial" w:hAnsi="Arial"/>
                <w:sz w:val="17"/>
                <w:szCs w:val="17"/>
                <w:color w:val="auto"/>
                <w:w w:val="96"/>
              </w:rPr>
              <w:t>By-Laws of the Company as amended and restated through November 8, 2007 (incorporated by reference to Exhibit 3.1 to th</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Company’s Current Report on Form 8-K dated November 14, 2007).</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4.1</w:t>
            </w:r>
          </w:p>
        </w:tc>
        <w:tc>
          <w:tcPr>
            <w:tcW w:w="9640" w:type="dxa"/>
            <w:vAlign w:val="bottom"/>
          </w:tcPr>
          <w:p>
            <w:pPr>
              <w:ind w:left="520"/>
              <w:spacing w:after="0"/>
              <w:rPr>
                <w:sz w:val="20"/>
                <w:szCs w:val="20"/>
                <w:color w:val="auto"/>
              </w:rPr>
            </w:pPr>
            <w:r>
              <w:rPr>
                <w:rFonts w:ascii="Arial" w:cs="Arial" w:eastAsia="Arial" w:hAnsi="Arial"/>
                <w:sz w:val="17"/>
                <w:szCs w:val="17"/>
                <w:color w:val="auto"/>
                <w:w w:val="99"/>
              </w:rPr>
              <w:t>Second Supplemental Indenture dated January 30, 2009, between the Company and The Bank of New York Mellon Trust</w:t>
            </w:r>
          </w:p>
        </w:tc>
      </w:tr>
      <w:tr>
        <w:trPr>
          <w:trHeight w:val="186"/>
        </w:trPr>
        <w:tc>
          <w:tcPr>
            <w:tcW w:w="1300" w:type="dxa"/>
            <w:vAlign w:val="bottom"/>
          </w:tcPr>
          <w:p>
            <w:pPr>
              <w:spacing w:after="0"/>
              <w:rPr>
                <w:sz w:val="16"/>
                <w:szCs w:val="16"/>
                <w:color w:val="auto"/>
              </w:rPr>
            </w:pPr>
          </w:p>
        </w:tc>
        <w:tc>
          <w:tcPr>
            <w:tcW w:w="9640" w:type="dxa"/>
            <w:vAlign w:val="bottom"/>
          </w:tcPr>
          <w:p>
            <w:pPr>
              <w:ind w:left="520"/>
              <w:spacing w:after="0" w:line="186" w:lineRule="exact"/>
              <w:rPr>
                <w:sz w:val="20"/>
                <w:szCs w:val="20"/>
                <w:color w:val="auto"/>
              </w:rPr>
            </w:pPr>
            <w:r>
              <w:rPr>
                <w:rFonts w:ascii="Arial" w:cs="Arial" w:eastAsia="Arial" w:hAnsi="Arial"/>
                <w:sz w:val="17"/>
                <w:szCs w:val="17"/>
                <w:color w:val="auto"/>
                <w:w w:val="97"/>
              </w:rPr>
              <w:t>Company, N.A., as successor to The First National Bank of Chicago, as Trustee (incorporated by reference to Exhibit 10.2 to</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Company’s Current Report on Form 8-K dated January 30, 2009).</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4.2</w:t>
            </w:r>
          </w:p>
        </w:tc>
        <w:tc>
          <w:tcPr>
            <w:tcW w:w="9640" w:type="dxa"/>
            <w:vAlign w:val="bottom"/>
          </w:tcPr>
          <w:p>
            <w:pPr>
              <w:ind w:left="520"/>
              <w:spacing w:after="0"/>
              <w:rPr>
                <w:sz w:val="20"/>
                <w:szCs w:val="20"/>
                <w:color w:val="auto"/>
              </w:rPr>
            </w:pPr>
            <w:r>
              <w:rPr>
                <w:rFonts w:ascii="Arial" w:cs="Arial" w:eastAsia="Arial" w:hAnsi="Arial"/>
                <w:sz w:val="17"/>
                <w:szCs w:val="17"/>
                <w:color w:val="auto"/>
                <w:w w:val="96"/>
              </w:rPr>
              <w:t>Four-Year Credit Agreement, dated as of June 17, 2011, among the Company, JPMorgan Chase Bank, N.A., J.P. Morgan Au</w:t>
            </w:r>
          </w:p>
        </w:tc>
      </w:tr>
      <w:tr>
        <w:trPr>
          <w:trHeight w:val="186"/>
        </w:trPr>
        <w:tc>
          <w:tcPr>
            <w:tcW w:w="1300" w:type="dxa"/>
            <w:vAlign w:val="bottom"/>
          </w:tcPr>
          <w:p>
            <w:pPr>
              <w:spacing w:after="0"/>
              <w:rPr>
                <w:sz w:val="16"/>
                <w:szCs w:val="16"/>
                <w:color w:val="auto"/>
              </w:rPr>
            </w:pPr>
          </w:p>
        </w:tc>
        <w:tc>
          <w:tcPr>
            <w:tcW w:w="9640" w:type="dxa"/>
            <w:vAlign w:val="bottom"/>
          </w:tcPr>
          <w:p>
            <w:pPr>
              <w:ind w:left="520"/>
              <w:spacing w:after="0" w:line="186" w:lineRule="exact"/>
              <w:rPr>
                <w:sz w:val="20"/>
                <w:szCs w:val="20"/>
                <w:color w:val="auto"/>
              </w:rPr>
            </w:pPr>
            <w:r>
              <w:rPr>
                <w:rFonts w:ascii="Arial" w:cs="Arial" w:eastAsia="Arial" w:hAnsi="Arial"/>
                <w:sz w:val="17"/>
                <w:szCs w:val="17"/>
                <w:color w:val="auto"/>
                <w:w w:val="96"/>
              </w:rPr>
              <w:t>Limited, Wells Fargo Bank, N.A, The Royal Bank of Scotland PLC, HSBC Bank USA, The Bank of New York Mellon, PNC Ba</w:t>
            </w:r>
          </w:p>
        </w:tc>
      </w:tr>
      <w:tr>
        <w:trPr>
          <w:trHeight w:val="186"/>
        </w:trPr>
        <w:tc>
          <w:tcPr>
            <w:tcW w:w="1300" w:type="dxa"/>
            <w:vAlign w:val="bottom"/>
          </w:tcPr>
          <w:p>
            <w:pPr>
              <w:spacing w:after="0"/>
              <w:rPr>
                <w:sz w:val="16"/>
                <w:szCs w:val="16"/>
                <w:color w:val="auto"/>
              </w:rPr>
            </w:pPr>
          </w:p>
        </w:tc>
        <w:tc>
          <w:tcPr>
            <w:tcW w:w="9640" w:type="dxa"/>
            <w:vAlign w:val="bottom"/>
          </w:tcPr>
          <w:p>
            <w:pPr>
              <w:ind w:left="520"/>
              <w:spacing w:after="0" w:line="186" w:lineRule="exact"/>
              <w:rPr>
                <w:sz w:val="20"/>
                <w:szCs w:val="20"/>
                <w:color w:val="auto"/>
              </w:rPr>
            </w:pPr>
            <w:r>
              <w:rPr>
                <w:rFonts w:ascii="Arial" w:cs="Arial" w:eastAsia="Arial" w:hAnsi="Arial"/>
                <w:sz w:val="17"/>
                <w:szCs w:val="17"/>
                <w:color w:val="auto"/>
                <w:w w:val="97"/>
              </w:rPr>
              <w:t>National Association, Bank of America, N.A., Citibank, N.A., and The Northern Trust Company (incorporated by reference to</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10.1 to the Company’s Current Report on Form 8-K dated June 17, 2011).</w:t>
            </w:r>
          </w:p>
        </w:tc>
      </w:tr>
      <w:tr>
        <w:trPr>
          <w:trHeight w:val="248"/>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10.1</w:t>
            </w:r>
          </w:p>
        </w:tc>
        <w:tc>
          <w:tcPr>
            <w:tcW w:w="9640" w:type="dxa"/>
            <w:vAlign w:val="bottom"/>
          </w:tcPr>
          <w:p>
            <w:pPr>
              <w:ind w:left="520"/>
              <w:spacing w:after="0"/>
              <w:rPr>
                <w:sz w:val="20"/>
                <w:szCs w:val="20"/>
                <w:color w:val="auto"/>
              </w:rPr>
            </w:pPr>
            <w:r>
              <w:rPr>
                <w:rFonts w:ascii="Arial" w:cs="Arial" w:eastAsia="Arial" w:hAnsi="Arial"/>
                <w:sz w:val="17"/>
                <w:szCs w:val="17"/>
                <w:color w:val="auto"/>
              </w:rPr>
              <w:t>The Washington Post Company Incentive Compensation Plan as amended and restated on January 19, 2012.</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10.2</w:t>
            </w:r>
          </w:p>
        </w:tc>
        <w:tc>
          <w:tcPr>
            <w:tcW w:w="9640" w:type="dxa"/>
            <w:vAlign w:val="bottom"/>
          </w:tcPr>
          <w:p>
            <w:pPr>
              <w:ind w:left="520"/>
              <w:spacing w:after="0"/>
              <w:rPr>
                <w:sz w:val="20"/>
                <w:szCs w:val="20"/>
                <w:color w:val="auto"/>
              </w:rPr>
            </w:pPr>
            <w:r>
              <w:rPr>
                <w:rFonts w:ascii="Arial" w:cs="Arial" w:eastAsia="Arial" w:hAnsi="Arial"/>
                <w:sz w:val="17"/>
                <w:szCs w:val="17"/>
                <w:color w:val="auto"/>
                <w:w w:val="96"/>
              </w:rPr>
              <w:t>The Washington Post Company Stock Option Plan as amended and restated effective May 31, 2003 (incorporated by referen</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Exhibit 10.1 to the Company’s Quarterly Report on Form 10-Q for the quarter ended September 28, 2003).*</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10.3</w:t>
            </w:r>
          </w:p>
        </w:tc>
        <w:tc>
          <w:tcPr>
            <w:tcW w:w="9640" w:type="dxa"/>
            <w:vAlign w:val="bottom"/>
          </w:tcPr>
          <w:p>
            <w:pPr>
              <w:ind w:left="520"/>
              <w:spacing w:after="0"/>
              <w:rPr>
                <w:sz w:val="20"/>
                <w:szCs w:val="20"/>
                <w:color w:val="auto"/>
              </w:rPr>
            </w:pPr>
            <w:r>
              <w:rPr>
                <w:rFonts w:ascii="Arial" w:cs="Arial" w:eastAsia="Arial" w:hAnsi="Arial"/>
                <w:sz w:val="17"/>
                <w:szCs w:val="17"/>
                <w:color w:val="auto"/>
                <w:w w:val="96"/>
              </w:rPr>
              <w:t>The Washington Post Company Supplemental Executive Retirement Plan as amended and restated on September 10, 2008,</w:t>
            </w:r>
          </w:p>
        </w:tc>
      </w:tr>
      <w:tr>
        <w:trPr>
          <w:trHeight w:val="186"/>
        </w:trPr>
        <w:tc>
          <w:tcPr>
            <w:tcW w:w="1300" w:type="dxa"/>
            <w:vAlign w:val="bottom"/>
          </w:tcPr>
          <w:p>
            <w:pPr>
              <w:spacing w:after="0"/>
              <w:rPr>
                <w:sz w:val="16"/>
                <w:szCs w:val="16"/>
                <w:color w:val="auto"/>
              </w:rPr>
            </w:pPr>
          </w:p>
        </w:tc>
        <w:tc>
          <w:tcPr>
            <w:tcW w:w="9640" w:type="dxa"/>
            <w:vAlign w:val="bottom"/>
          </w:tcPr>
          <w:p>
            <w:pPr>
              <w:ind w:left="520"/>
              <w:spacing w:after="0" w:line="186" w:lineRule="exact"/>
              <w:rPr>
                <w:sz w:val="20"/>
                <w:szCs w:val="20"/>
                <w:color w:val="auto"/>
              </w:rPr>
            </w:pPr>
            <w:r>
              <w:rPr>
                <w:rFonts w:ascii="Arial" w:cs="Arial" w:eastAsia="Arial" w:hAnsi="Arial"/>
                <w:sz w:val="17"/>
                <w:szCs w:val="17"/>
                <w:color w:val="auto"/>
                <w:w w:val="97"/>
              </w:rPr>
              <w:t>amended December 18, 2009 (incorporated by reference to Exhibit 10.3 to the Company’s Annual Report on Form 10-K for t</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fiscal year ended January 3, 2010).*</w:t>
            </w:r>
          </w:p>
        </w:tc>
      </w:tr>
      <w:tr>
        <w:trPr>
          <w:trHeight w:val="237"/>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10.4</w:t>
            </w:r>
          </w:p>
        </w:tc>
        <w:tc>
          <w:tcPr>
            <w:tcW w:w="9640" w:type="dxa"/>
            <w:vAlign w:val="bottom"/>
          </w:tcPr>
          <w:p>
            <w:pPr>
              <w:ind w:left="520"/>
              <w:spacing w:after="0"/>
              <w:rPr>
                <w:sz w:val="20"/>
                <w:szCs w:val="20"/>
                <w:color w:val="auto"/>
              </w:rPr>
            </w:pPr>
            <w:r>
              <w:rPr>
                <w:rFonts w:ascii="Arial" w:cs="Arial" w:eastAsia="Arial" w:hAnsi="Arial"/>
                <w:sz w:val="17"/>
                <w:szCs w:val="17"/>
                <w:color w:val="auto"/>
                <w:w w:val="96"/>
              </w:rPr>
              <w:t>The Washington Post Company Deferred Compensation Plan as amended and restated through December 2007 and amend</w:t>
            </w:r>
          </w:p>
        </w:tc>
      </w:tr>
      <w:tr>
        <w:trPr>
          <w:trHeight w:val="186"/>
        </w:trPr>
        <w:tc>
          <w:tcPr>
            <w:tcW w:w="1300" w:type="dxa"/>
            <w:vAlign w:val="bottom"/>
          </w:tcPr>
          <w:p>
            <w:pPr>
              <w:spacing w:after="0"/>
              <w:rPr>
                <w:sz w:val="16"/>
                <w:szCs w:val="16"/>
                <w:color w:val="auto"/>
              </w:rPr>
            </w:pPr>
          </w:p>
        </w:tc>
        <w:tc>
          <w:tcPr>
            <w:tcW w:w="9640" w:type="dxa"/>
            <w:vAlign w:val="bottom"/>
          </w:tcPr>
          <w:p>
            <w:pPr>
              <w:ind w:left="520"/>
              <w:spacing w:after="0" w:line="186" w:lineRule="exact"/>
              <w:rPr>
                <w:sz w:val="20"/>
                <w:szCs w:val="20"/>
                <w:color w:val="auto"/>
              </w:rPr>
            </w:pPr>
            <w:r>
              <w:rPr>
                <w:rFonts w:ascii="Arial" w:cs="Arial" w:eastAsia="Arial" w:hAnsi="Arial"/>
                <w:sz w:val="17"/>
                <w:szCs w:val="17"/>
                <w:color w:val="auto"/>
                <w:w w:val="97"/>
              </w:rPr>
              <w:t>September 23, 2010 (incorporated by reference to Exhibit 10.1 to the Company’s Quarterly Report on Form 10-Q for the qua</w:t>
            </w:r>
          </w:p>
        </w:tc>
      </w:tr>
      <w:tr>
        <w:trPr>
          <w:trHeight w:val="198"/>
        </w:trPr>
        <w:tc>
          <w:tcPr>
            <w:tcW w:w="1300" w:type="dxa"/>
            <w:vAlign w:val="bottom"/>
          </w:tcPr>
          <w:p>
            <w:pPr>
              <w:spacing w:after="0"/>
              <w:rPr>
                <w:sz w:val="17"/>
                <w:szCs w:val="17"/>
                <w:color w:val="auto"/>
              </w:rPr>
            </w:pPr>
          </w:p>
        </w:tc>
        <w:tc>
          <w:tcPr>
            <w:tcW w:w="9640" w:type="dxa"/>
            <w:vAlign w:val="bottom"/>
          </w:tcPr>
          <w:p>
            <w:pPr>
              <w:ind w:left="520"/>
              <w:spacing w:after="0"/>
              <w:rPr>
                <w:sz w:val="20"/>
                <w:szCs w:val="20"/>
                <w:color w:val="auto"/>
              </w:rPr>
            </w:pPr>
            <w:r>
              <w:rPr>
                <w:rFonts w:ascii="Arial" w:cs="Arial" w:eastAsia="Arial" w:hAnsi="Arial"/>
                <w:sz w:val="17"/>
                <w:szCs w:val="17"/>
                <w:color w:val="auto"/>
              </w:rPr>
              <w:t>ended October 3, 2010).*</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21</w:t>
            </w:r>
          </w:p>
        </w:tc>
        <w:tc>
          <w:tcPr>
            <w:tcW w:w="9640" w:type="dxa"/>
            <w:vAlign w:val="bottom"/>
          </w:tcPr>
          <w:p>
            <w:pPr>
              <w:ind w:left="520"/>
              <w:spacing w:after="0"/>
              <w:rPr>
                <w:sz w:val="20"/>
                <w:szCs w:val="20"/>
                <w:color w:val="auto"/>
              </w:rPr>
            </w:pPr>
            <w:r>
              <w:rPr>
                <w:rFonts w:ascii="Arial" w:cs="Arial" w:eastAsia="Arial" w:hAnsi="Arial"/>
                <w:sz w:val="17"/>
                <w:szCs w:val="17"/>
                <w:color w:val="auto"/>
              </w:rPr>
              <w:t>List of subsidiaries of the Company.</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23</w:t>
            </w:r>
          </w:p>
        </w:tc>
        <w:tc>
          <w:tcPr>
            <w:tcW w:w="9640" w:type="dxa"/>
            <w:vAlign w:val="bottom"/>
          </w:tcPr>
          <w:p>
            <w:pPr>
              <w:ind w:left="52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24</w:t>
            </w:r>
          </w:p>
        </w:tc>
        <w:tc>
          <w:tcPr>
            <w:tcW w:w="9640" w:type="dxa"/>
            <w:vAlign w:val="bottom"/>
          </w:tcPr>
          <w:p>
            <w:pPr>
              <w:ind w:left="520"/>
              <w:spacing w:after="0"/>
              <w:rPr>
                <w:sz w:val="20"/>
                <w:szCs w:val="20"/>
                <w:color w:val="auto"/>
              </w:rPr>
            </w:pPr>
            <w:r>
              <w:rPr>
                <w:rFonts w:ascii="Arial" w:cs="Arial" w:eastAsia="Arial" w:hAnsi="Arial"/>
                <w:sz w:val="17"/>
                <w:szCs w:val="17"/>
                <w:color w:val="auto"/>
              </w:rPr>
              <w:t>Power of attorney dated February 23, 2012.</w:t>
            </w:r>
          </w:p>
        </w:tc>
      </w:tr>
      <w:tr>
        <w:trPr>
          <w:trHeight w:val="248"/>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31.1</w:t>
            </w:r>
          </w:p>
        </w:tc>
        <w:tc>
          <w:tcPr>
            <w:tcW w:w="9640" w:type="dxa"/>
            <w:vAlign w:val="bottom"/>
          </w:tcPr>
          <w:p>
            <w:pPr>
              <w:ind w:left="520"/>
              <w:spacing w:after="0"/>
              <w:rPr>
                <w:sz w:val="20"/>
                <w:szCs w:val="20"/>
                <w:color w:val="auto"/>
              </w:rPr>
            </w:pPr>
            <w:r>
              <w:rPr>
                <w:rFonts w:ascii="Arial" w:cs="Arial" w:eastAsia="Arial" w:hAnsi="Arial"/>
                <w:sz w:val="17"/>
                <w:szCs w:val="17"/>
                <w:color w:val="auto"/>
              </w:rPr>
              <w:t>Rule 13a-14(a)/15d-14(a) Certification of the Chief Executive Officer.</w:t>
            </w:r>
          </w:p>
        </w:tc>
      </w:tr>
      <w:tr>
        <w:trPr>
          <w:trHeight w:val="248"/>
        </w:trPr>
        <w:tc>
          <w:tcPr>
            <w:tcW w:w="1300" w:type="dxa"/>
            <w:vAlign w:val="bottom"/>
          </w:tcPr>
          <w:p>
            <w:pPr>
              <w:jc w:val="right"/>
              <w:ind w:right="779"/>
              <w:spacing w:after="0"/>
              <w:rPr>
                <w:sz w:val="20"/>
                <w:szCs w:val="20"/>
                <w:color w:val="auto"/>
              </w:rPr>
            </w:pPr>
            <w:r>
              <w:rPr>
                <w:rFonts w:ascii="Arial" w:cs="Arial" w:eastAsia="Arial" w:hAnsi="Arial"/>
                <w:sz w:val="17"/>
                <w:szCs w:val="17"/>
                <w:color w:val="auto"/>
              </w:rPr>
              <w:t>31.2</w:t>
            </w:r>
          </w:p>
        </w:tc>
        <w:tc>
          <w:tcPr>
            <w:tcW w:w="9640" w:type="dxa"/>
            <w:vAlign w:val="bottom"/>
          </w:tcPr>
          <w:p>
            <w:pPr>
              <w:ind w:left="520"/>
              <w:spacing w:after="0"/>
              <w:rPr>
                <w:sz w:val="20"/>
                <w:szCs w:val="20"/>
                <w:color w:val="auto"/>
              </w:rPr>
            </w:pPr>
            <w:r>
              <w:rPr>
                <w:rFonts w:ascii="Arial" w:cs="Arial" w:eastAsia="Arial" w:hAnsi="Arial"/>
                <w:sz w:val="17"/>
                <w:szCs w:val="17"/>
                <w:color w:val="auto"/>
              </w:rPr>
              <w:t>Rule 13a-14(a)/15d-14(a) Certification of the Chief Financial Officer.</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32</w:t>
            </w:r>
          </w:p>
        </w:tc>
        <w:tc>
          <w:tcPr>
            <w:tcW w:w="9640" w:type="dxa"/>
            <w:vAlign w:val="bottom"/>
          </w:tcPr>
          <w:p>
            <w:pPr>
              <w:ind w:left="520"/>
              <w:spacing w:after="0"/>
              <w:rPr>
                <w:sz w:val="20"/>
                <w:szCs w:val="20"/>
                <w:color w:val="auto"/>
              </w:rPr>
            </w:pPr>
            <w:r>
              <w:rPr>
                <w:rFonts w:ascii="Arial" w:cs="Arial" w:eastAsia="Arial" w:hAnsi="Arial"/>
                <w:sz w:val="17"/>
                <w:szCs w:val="17"/>
                <w:color w:val="auto"/>
              </w:rPr>
              <w:t>Section 1350 Certification of the Chief Executive Officer and the Chief Financial Officer.</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101.INS</w:t>
            </w:r>
          </w:p>
        </w:tc>
        <w:tc>
          <w:tcPr>
            <w:tcW w:w="9640" w:type="dxa"/>
            <w:vAlign w:val="bottom"/>
          </w:tcPr>
          <w:p>
            <w:pPr>
              <w:ind w:left="520"/>
              <w:spacing w:after="0"/>
              <w:rPr>
                <w:sz w:val="20"/>
                <w:szCs w:val="20"/>
                <w:color w:val="auto"/>
              </w:rPr>
            </w:pPr>
            <w:r>
              <w:rPr>
                <w:rFonts w:ascii="Arial" w:cs="Arial" w:eastAsia="Arial" w:hAnsi="Arial"/>
                <w:sz w:val="17"/>
                <w:szCs w:val="17"/>
                <w:color w:val="auto"/>
              </w:rPr>
              <w:t>XBRL Instance Document**</w:t>
            </w:r>
          </w:p>
        </w:tc>
      </w:tr>
      <w:tr>
        <w:trPr>
          <w:trHeight w:val="261"/>
        </w:trPr>
        <w:tc>
          <w:tcPr>
            <w:tcW w:w="1300" w:type="dxa"/>
            <w:vAlign w:val="bottom"/>
          </w:tcPr>
          <w:p>
            <w:pPr>
              <w:ind w:left="100"/>
              <w:spacing w:after="0"/>
              <w:rPr>
                <w:sz w:val="20"/>
                <w:szCs w:val="20"/>
                <w:color w:val="auto"/>
              </w:rPr>
            </w:pPr>
            <w:r>
              <w:rPr>
                <w:rFonts w:ascii="Arial" w:cs="Arial" w:eastAsia="Arial" w:hAnsi="Arial"/>
                <w:sz w:val="17"/>
                <w:szCs w:val="17"/>
                <w:color w:val="auto"/>
              </w:rPr>
              <w:t>101.SCH</w:t>
            </w:r>
          </w:p>
        </w:tc>
        <w:tc>
          <w:tcPr>
            <w:tcW w:w="9640" w:type="dxa"/>
            <w:vAlign w:val="bottom"/>
          </w:tcPr>
          <w:p>
            <w:pPr>
              <w:ind w:left="520"/>
              <w:spacing w:after="0"/>
              <w:rPr>
                <w:sz w:val="20"/>
                <w:szCs w:val="20"/>
                <w:color w:val="auto"/>
              </w:rPr>
            </w:pPr>
            <w:r>
              <w:rPr>
                <w:rFonts w:ascii="Arial" w:cs="Arial" w:eastAsia="Arial" w:hAnsi="Arial"/>
                <w:sz w:val="17"/>
                <w:szCs w:val="17"/>
                <w:color w:val="auto"/>
              </w:rPr>
              <w:t>XBRL Taxonomy Extension Schema Document**</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101.CAL</w:t>
            </w:r>
          </w:p>
        </w:tc>
        <w:tc>
          <w:tcPr>
            <w:tcW w:w="9640" w:type="dxa"/>
            <w:vAlign w:val="bottom"/>
          </w:tcPr>
          <w:p>
            <w:pPr>
              <w:ind w:left="520"/>
              <w:spacing w:after="0"/>
              <w:rPr>
                <w:sz w:val="20"/>
                <w:szCs w:val="20"/>
                <w:color w:val="auto"/>
              </w:rPr>
            </w:pPr>
            <w:r>
              <w:rPr>
                <w:rFonts w:ascii="Arial" w:cs="Arial" w:eastAsia="Arial" w:hAnsi="Arial"/>
                <w:sz w:val="17"/>
                <w:szCs w:val="17"/>
                <w:color w:val="auto"/>
              </w:rPr>
              <w:t>XBRL Taxonomy Extension Calculation Linkbase Document**</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101.DEF</w:t>
            </w:r>
          </w:p>
        </w:tc>
        <w:tc>
          <w:tcPr>
            <w:tcW w:w="9640" w:type="dxa"/>
            <w:vAlign w:val="bottom"/>
          </w:tcPr>
          <w:p>
            <w:pPr>
              <w:ind w:left="520"/>
              <w:spacing w:after="0"/>
              <w:rPr>
                <w:sz w:val="20"/>
                <w:szCs w:val="20"/>
                <w:color w:val="auto"/>
              </w:rPr>
            </w:pPr>
            <w:r>
              <w:rPr>
                <w:rFonts w:ascii="Arial" w:cs="Arial" w:eastAsia="Arial" w:hAnsi="Arial"/>
                <w:sz w:val="17"/>
                <w:szCs w:val="17"/>
                <w:color w:val="auto"/>
              </w:rPr>
              <w:t>XBRL Taxonomy Extension Definition Linkbase Document**</w:t>
            </w:r>
          </w:p>
        </w:tc>
      </w:tr>
      <w:tr>
        <w:trPr>
          <w:trHeight w:val="261"/>
        </w:trPr>
        <w:tc>
          <w:tcPr>
            <w:tcW w:w="1300" w:type="dxa"/>
            <w:vAlign w:val="bottom"/>
          </w:tcPr>
          <w:p>
            <w:pPr>
              <w:ind w:left="100"/>
              <w:spacing w:after="0"/>
              <w:rPr>
                <w:sz w:val="20"/>
                <w:szCs w:val="20"/>
                <w:color w:val="auto"/>
              </w:rPr>
            </w:pPr>
            <w:r>
              <w:rPr>
                <w:rFonts w:ascii="Arial" w:cs="Arial" w:eastAsia="Arial" w:hAnsi="Arial"/>
                <w:sz w:val="17"/>
                <w:szCs w:val="17"/>
                <w:color w:val="auto"/>
              </w:rPr>
              <w:t>101.LAB</w:t>
            </w:r>
          </w:p>
        </w:tc>
        <w:tc>
          <w:tcPr>
            <w:tcW w:w="9640" w:type="dxa"/>
            <w:vAlign w:val="bottom"/>
          </w:tcPr>
          <w:p>
            <w:pPr>
              <w:ind w:left="520"/>
              <w:spacing w:after="0"/>
              <w:rPr>
                <w:sz w:val="20"/>
                <w:szCs w:val="20"/>
                <w:color w:val="auto"/>
              </w:rPr>
            </w:pPr>
            <w:r>
              <w:rPr>
                <w:rFonts w:ascii="Arial" w:cs="Arial" w:eastAsia="Arial" w:hAnsi="Arial"/>
                <w:sz w:val="17"/>
                <w:szCs w:val="17"/>
                <w:color w:val="auto"/>
              </w:rPr>
              <w:t>XBRL Taxonomy Extension Label Linkbase Document**</w:t>
            </w:r>
          </w:p>
        </w:tc>
      </w:tr>
      <w:tr>
        <w:trPr>
          <w:trHeight w:val="248"/>
        </w:trPr>
        <w:tc>
          <w:tcPr>
            <w:tcW w:w="1300" w:type="dxa"/>
            <w:vAlign w:val="bottom"/>
          </w:tcPr>
          <w:p>
            <w:pPr>
              <w:ind w:left="100"/>
              <w:spacing w:after="0"/>
              <w:rPr>
                <w:sz w:val="20"/>
                <w:szCs w:val="20"/>
                <w:color w:val="auto"/>
              </w:rPr>
            </w:pPr>
            <w:r>
              <w:rPr>
                <w:rFonts w:ascii="Arial" w:cs="Arial" w:eastAsia="Arial" w:hAnsi="Arial"/>
                <w:sz w:val="17"/>
                <w:szCs w:val="17"/>
                <w:color w:val="auto"/>
              </w:rPr>
              <w:t>101.PRE</w:t>
            </w:r>
          </w:p>
        </w:tc>
        <w:tc>
          <w:tcPr>
            <w:tcW w:w="9640" w:type="dxa"/>
            <w:vAlign w:val="bottom"/>
          </w:tcPr>
          <w:p>
            <w:pPr>
              <w:ind w:left="520"/>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23406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229" w:lineRule="exact"/>
        <w:rPr>
          <w:sz w:val="20"/>
          <w:szCs w:val="20"/>
          <w:color w:val="auto"/>
        </w:rPr>
      </w:pPr>
    </w:p>
    <w:p>
      <w:pPr>
        <w:ind w:left="9"/>
        <w:spacing w:after="0"/>
        <w:rPr>
          <w:sz w:val="20"/>
          <w:szCs w:val="20"/>
          <w:color w:val="auto"/>
        </w:rPr>
      </w:pPr>
      <w:r>
        <w:rPr>
          <w:rFonts w:ascii="Arial" w:cs="Arial" w:eastAsia="Arial" w:hAnsi="Arial"/>
          <w:sz w:val="12"/>
          <w:szCs w:val="12"/>
          <w:color w:val="auto"/>
        </w:rPr>
        <w:t>* A management contract or compensatory plan or arrangement required to be included as an exhibit hereto pursuant to Item 15(b) of Form 10-K.</w:t>
      </w:r>
    </w:p>
    <w:p>
      <w:pPr>
        <w:spacing w:after="0" w:line="73" w:lineRule="exact"/>
        <w:rPr>
          <w:sz w:val="20"/>
          <w:szCs w:val="20"/>
          <w:color w:val="auto"/>
        </w:rPr>
      </w:pPr>
    </w:p>
    <w:p>
      <w:pPr>
        <w:ind w:left="9" w:hanging="9"/>
        <w:spacing w:after="0" w:line="241" w:lineRule="auto"/>
        <w:tabs>
          <w:tab w:leader="none" w:pos="1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Attached as Exhibit 101 to this report are the following documents formatted in XBRL (Extensible Business Reporting Language): (i) Consolidated Statements of Operations for the fiscal years ended December 31, 2011, January 2, 2011, and January 3, 2010; (ii) Consolidated Statements of Comprehensive Income for the fiscal years ended December 31, 2011, January 2, 2011, and January 3, 20 Consolidated Balance Sheets as of December 31, 2011, and January 2, 2011; (iv) Consolidated Statements of Cash Flows for the fiscal years ended December 31, 2011, January 2, 2011, and Januar 2010; (v) Consolidated Statements of Changes in Common Shareholders’ Equity for the fiscal years ended December 31, 2011, January 2, 2011, and January 3, 2010; and (vi) Notes to Consolidated F Statements. Pursuant to Rule 406T of Regulation S-T, these interactive data files are deemed “furnished” and not “filed” or part of a registration statement or prospectus for purposes of Sections 11 or Securities Act of 1933, are deemed “furnished” and not “filed” for purposes of Section 18 of the Securities Exchange Act of 1934, and otherwise are not subject to liability under these sections.</w:t>
      </w:r>
    </w:p>
    <w:p>
      <w:pPr>
        <w:spacing w:after="0" w:line="27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78740</wp:posOffset>
            </wp:positionV>
            <wp:extent cx="727837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18" w:right="139"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200"/>
        <w:spacing w:after="0"/>
        <w:rPr>
          <w:sz w:val="20"/>
          <w:szCs w:val="20"/>
          <w:color w:val="auto"/>
        </w:rPr>
      </w:pPr>
      <w:r>
        <w:rPr>
          <w:rFonts w:ascii="Arial" w:cs="Arial" w:eastAsia="Arial" w:hAnsi="Arial"/>
          <w:sz w:val="26"/>
          <w:szCs w:val="26"/>
          <w:b w:val="1"/>
          <w:bCs w:val="1"/>
          <w:color w:val="auto"/>
        </w:rPr>
        <w:t>THE WASHINGTON POST COMPANY</w:t>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26"/>
          <w:szCs w:val="26"/>
          <w:b w:val="1"/>
          <w:bCs w:val="1"/>
          <w:color w:val="auto"/>
        </w:rPr>
        <w:t>INCENTIVE COMPENSATION PLAN</w:t>
      </w:r>
    </w:p>
    <w:p>
      <w:pPr>
        <w:spacing w:after="0" w:line="200" w:lineRule="exact"/>
        <w:rPr>
          <w:sz w:val="20"/>
          <w:szCs w:val="20"/>
          <w:color w:val="auto"/>
        </w:rPr>
      </w:pPr>
    </w:p>
    <w:p>
      <w:pPr>
        <w:spacing w:after="0" w:line="295" w:lineRule="exact"/>
        <w:rPr>
          <w:sz w:val="20"/>
          <w:szCs w:val="20"/>
          <w:color w:val="auto"/>
        </w:rPr>
      </w:pPr>
    </w:p>
    <w:p>
      <w:pPr>
        <w:ind w:left="1800"/>
        <w:spacing w:after="0"/>
        <w:rPr>
          <w:sz w:val="20"/>
          <w:szCs w:val="20"/>
          <w:color w:val="auto"/>
        </w:rPr>
      </w:pPr>
      <w:r>
        <w:rPr>
          <w:rFonts w:ascii="Arial" w:cs="Arial" w:eastAsia="Arial" w:hAnsi="Arial"/>
          <w:sz w:val="26"/>
          <w:szCs w:val="26"/>
          <w:b w:val="1"/>
          <w:bCs w:val="1"/>
          <w:color w:val="auto"/>
        </w:rPr>
        <w:t>As amended and restated January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114300</wp:posOffset>
            </wp:positionV>
            <wp:extent cx="727837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220"/>
          </w:cols>
          <w:pgMar w:left="1440" w:top="238" w:right="2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7"/>
          <w:szCs w:val="17"/>
          <w:color w:val="auto"/>
        </w:rPr>
        <w:t>THE WASHINGTON POST COMPANY</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INCENTIVE COMPENSATION PLAN</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As Amended and Restated</w:t>
      </w: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through January 19, 2012</w:t>
      </w:r>
    </w:p>
    <w:p>
      <w:pPr>
        <w:spacing w:after="0" w:line="200" w:lineRule="exact"/>
        <w:rPr>
          <w:sz w:val="20"/>
          <w:szCs w:val="20"/>
          <w:color w:val="auto"/>
        </w:rPr>
      </w:pPr>
    </w:p>
    <w:p>
      <w:pPr>
        <w:spacing w:after="0" w:line="337" w:lineRule="exact"/>
        <w:rPr>
          <w:sz w:val="20"/>
          <w:szCs w:val="20"/>
          <w:color w:val="auto"/>
        </w:rPr>
      </w:pPr>
    </w:p>
    <w:p>
      <w:pPr>
        <w:ind w:left="241" w:hanging="241"/>
        <w:spacing w:after="0"/>
        <w:tabs>
          <w:tab w:leader="none" w:pos="241"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Purposes</w:t>
      </w:r>
    </w:p>
    <w:p>
      <w:pPr>
        <w:spacing w:after="0" w:line="363" w:lineRule="exact"/>
        <w:rPr>
          <w:sz w:val="20"/>
          <w:szCs w:val="20"/>
          <w:color w:val="auto"/>
        </w:rPr>
      </w:pPr>
    </w:p>
    <w:p>
      <w:pPr>
        <w:ind w:left="1" w:right="20" w:firstLine="1159"/>
        <w:spacing w:after="0" w:line="249" w:lineRule="auto"/>
        <w:rPr>
          <w:sz w:val="20"/>
          <w:szCs w:val="20"/>
          <w:color w:val="auto"/>
        </w:rPr>
      </w:pPr>
      <w:r>
        <w:rPr>
          <w:rFonts w:ascii="Arial" w:cs="Arial" w:eastAsia="Arial" w:hAnsi="Arial"/>
          <w:sz w:val="17"/>
          <w:szCs w:val="17"/>
          <w:color w:val="auto"/>
        </w:rPr>
        <w:t>The purposes of this Incentive Compensation Plan (hereinafter called the Plan) of The Washington Post Company, a Delaware corporation (hereinafter called the Company), are (a) to provide greater incentives to key em ployees to increase the profitability of the Company and its subsidiaries and (b) to strengthen the ability of the Company and its subsidiaries to attract, motivate and retain persons of merit and competence upon which, in large measure, contin ued growth and profitability depend.</w:t>
      </w:r>
    </w:p>
    <w:p>
      <w:pPr>
        <w:spacing w:after="0" w:line="200" w:lineRule="exact"/>
        <w:rPr>
          <w:sz w:val="20"/>
          <w:szCs w:val="20"/>
          <w:color w:val="auto"/>
        </w:rPr>
      </w:pPr>
    </w:p>
    <w:p>
      <w:pPr>
        <w:spacing w:after="0" w:line="255" w:lineRule="exact"/>
        <w:rPr>
          <w:sz w:val="20"/>
          <w:szCs w:val="20"/>
          <w:color w:val="auto"/>
        </w:rPr>
      </w:pPr>
    </w:p>
    <w:p>
      <w:pPr>
        <w:ind w:left="261" w:hanging="261"/>
        <w:spacing w:after="0"/>
        <w:tabs>
          <w:tab w:leader="none" w:pos="26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p>
    <w:p>
      <w:pPr>
        <w:spacing w:after="0" w:line="301" w:lineRule="exact"/>
        <w:rPr>
          <w:sz w:val="20"/>
          <w:szCs w:val="20"/>
          <w:color w:val="auto"/>
        </w:rPr>
      </w:pPr>
    </w:p>
    <w:p>
      <w:pPr>
        <w:ind w:left="1" w:right="40" w:firstLine="1159"/>
        <w:spacing w:after="0" w:line="248" w:lineRule="auto"/>
        <w:rPr>
          <w:sz w:val="20"/>
          <w:szCs w:val="20"/>
          <w:color w:val="auto"/>
        </w:rPr>
      </w:pPr>
      <w:r>
        <w:rPr>
          <w:rFonts w:ascii="Arial" w:cs="Arial" w:eastAsia="Arial" w:hAnsi="Arial"/>
          <w:sz w:val="17"/>
          <w:szCs w:val="17"/>
          <w:color w:val="auto"/>
        </w:rPr>
        <w:t>The Plan shall be administered by the Compensation Committee of the Board of Directors of the Company (hereinaf ter called the Committee) as constituted from time to time by the Board of Directors. No member of the Committee shall be eligible to participate in the Plan. The Committee shall have full power and authority to make all decisions and determinations with respect to the Plan, including without limitation the power and authority to interpret and adminis ter the Plan, adopt rules and regulations and establish terms and conditions, not inconsistent with the provisions of the Plan, for the administration of its business and the implementation of the Plan.</w:t>
      </w:r>
    </w:p>
    <w:p>
      <w:pPr>
        <w:spacing w:after="0" w:line="200" w:lineRule="exact"/>
        <w:rPr>
          <w:sz w:val="20"/>
          <w:szCs w:val="20"/>
          <w:color w:val="auto"/>
        </w:rPr>
      </w:pPr>
    </w:p>
    <w:p>
      <w:pPr>
        <w:spacing w:after="0" w:line="341" w:lineRule="exact"/>
        <w:rPr>
          <w:sz w:val="20"/>
          <w:szCs w:val="20"/>
          <w:color w:val="auto"/>
        </w:rPr>
      </w:pPr>
    </w:p>
    <w:p>
      <w:pPr>
        <w:ind w:left="241" w:hanging="241"/>
        <w:spacing w:after="0"/>
        <w:tabs>
          <w:tab w:leader="none" w:pos="241"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Participation</w:t>
      </w:r>
    </w:p>
    <w:p>
      <w:pPr>
        <w:spacing w:after="0" w:line="201" w:lineRule="exact"/>
        <w:rPr>
          <w:rFonts w:ascii="Arial" w:cs="Arial" w:eastAsia="Arial" w:hAnsi="Arial"/>
          <w:sz w:val="17"/>
          <w:szCs w:val="17"/>
          <w:color w:val="auto"/>
        </w:rPr>
      </w:pPr>
    </w:p>
    <w:p>
      <w:pPr>
        <w:ind w:left="1" w:firstLine="1158"/>
        <w:spacing w:after="0" w:line="202" w:lineRule="exact"/>
        <w:tabs>
          <w:tab w:leader="none" w:pos="1469"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Participation in the Plan shall be extended to senior executives, key managers and key personnel of the Company and its subsid </w:t>
      </w:r>
      <w:r>
        <w:rPr>
          <w:rFonts w:ascii="MS PGothic" w:cs="MS PGothic" w:eastAsia="MS PGothic" w:hAnsi="MS PGothic"/>
          <w:sz w:val="17"/>
          <w:szCs w:val="17"/>
          <w:color w:val="auto"/>
        </w:rPr>
        <w:t>‐</w:t>
      </w:r>
      <w:r>
        <w:rPr>
          <w:rFonts w:ascii="Arial" w:cs="Arial" w:eastAsia="Arial" w:hAnsi="Arial"/>
          <w:sz w:val="17"/>
          <w:szCs w:val="17"/>
          <w:color w:val="auto"/>
        </w:rPr>
        <w:t xml:space="preserve"> iaries who, in the opinion of the Committee, are mainly responsible for the management of the operations of the Company and its subsidiaries or who are otherwise in a position to make substantial contributions to the man agement, growth and/or success of the business of the Compa ny.</w:t>
      </w:r>
    </w:p>
    <w:p>
      <w:pPr>
        <w:spacing w:after="0" w:line="200" w:lineRule="exact"/>
        <w:rPr>
          <w:rFonts w:ascii="Arial" w:cs="Arial" w:eastAsia="Arial" w:hAnsi="Arial"/>
          <w:sz w:val="17"/>
          <w:szCs w:val="17"/>
          <w:color w:val="auto"/>
        </w:rPr>
      </w:pPr>
    </w:p>
    <w:p>
      <w:pPr>
        <w:spacing w:after="0" w:line="323" w:lineRule="exact"/>
        <w:rPr>
          <w:rFonts w:ascii="Arial" w:cs="Arial" w:eastAsia="Arial" w:hAnsi="Arial"/>
          <w:sz w:val="17"/>
          <w:szCs w:val="17"/>
          <w:color w:val="auto"/>
        </w:rPr>
      </w:pPr>
    </w:p>
    <w:p>
      <w:pPr>
        <w:ind w:left="1" w:right="760" w:firstLine="1158"/>
        <w:spacing w:after="0" w:line="260" w:lineRule="auto"/>
        <w:tabs>
          <w:tab w:leader="none" w:pos="1469" w:val="left"/>
        </w:tabs>
        <w:numPr>
          <w:ilvl w:val="1"/>
          <w:numId w:val="76"/>
        </w:numPr>
        <w:rPr>
          <w:rFonts w:ascii="Arial" w:cs="Arial" w:eastAsia="Arial" w:hAnsi="Arial"/>
          <w:sz w:val="17"/>
          <w:szCs w:val="17"/>
          <w:color w:val="auto"/>
        </w:rPr>
      </w:pPr>
      <w:r>
        <w:rPr>
          <w:rFonts w:ascii="Arial" w:cs="Arial" w:eastAsia="Arial" w:hAnsi="Arial"/>
          <w:sz w:val="17"/>
          <w:szCs w:val="17"/>
          <w:color w:val="auto"/>
        </w:rPr>
        <w:t>Directors, as such, shall not participate in the Plan, but the fact that an employee is also a Director of the Company or a subsidiary shall not prevent his or her participation.</w:t>
      </w:r>
    </w:p>
    <w:p>
      <w:pPr>
        <w:spacing w:after="0" w:line="134" w:lineRule="exact"/>
        <w:rPr>
          <w:rFonts w:ascii="Arial" w:cs="Arial" w:eastAsia="Arial" w:hAnsi="Arial"/>
          <w:sz w:val="17"/>
          <w:szCs w:val="17"/>
          <w:color w:val="auto"/>
        </w:rPr>
      </w:pPr>
    </w:p>
    <w:p>
      <w:pPr>
        <w:ind w:left="1441" w:hanging="282"/>
        <w:spacing w:after="0"/>
        <w:tabs>
          <w:tab w:leader="none" w:pos="1441" w:val="left"/>
        </w:tabs>
        <w:numPr>
          <w:ilvl w:val="1"/>
          <w:numId w:val="76"/>
        </w:numPr>
        <w:rPr>
          <w:rFonts w:ascii="Arial" w:cs="Arial" w:eastAsia="Arial" w:hAnsi="Arial"/>
          <w:sz w:val="17"/>
          <w:szCs w:val="17"/>
          <w:color w:val="auto"/>
        </w:rPr>
      </w:pPr>
      <w:r>
        <w:rPr>
          <w:rFonts w:ascii="Arial" w:cs="Arial" w:eastAsia="Arial" w:hAnsi="Arial"/>
          <w:sz w:val="17"/>
          <w:szCs w:val="17"/>
          <w:color w:val="auto"/>
        </w:rPr>
        <w:t>As used in the Plan, the term "Company" shall mean The Washington Post Company and any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wp:posOffset>
            </wp:positionV>
            <wp:extent cx="727837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1"/>
          </w:cols>
          <w:pgMar w:left="239" w:top="367" w:right="279" w:bottom="1440" w:gutter="0" w:footer="0" w:header="0"/>
        </w:sectPr>
      </w:pPr>
    </w:p>
    <w:bookmarkStart w:id="126" w:name="page127"/>
    <w:bookmarkEnd w:id="126"/>
    <w:p>
      <w:pPr>
        <w:ind w:left="1" w:right="380" w:firstLine="1158"/>
        <w:spacing w:after="0" w:line="260" w:lineRule="auto"/>
        <w:tabs>
          <w:tab w:leader="none" w:pos="1469"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Plan shall not be deemed to preclude the making of any award pursuant to any other compensation, incentive, bonus or stock option plan which may be in effect from time to time.</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281" w:hanging="281"/>
        <w:spacing w:after="0"/>
        <w:tabs>
          <w:tab w:leader="none" w:pos="281"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Duration of Plan</w:t>
      </w:r>
    </w:p>
    <w:p>
      <w:pPr>
        <w:spacing w:after="0" w:line="301" w:lineRule="exact"/>
        <w:rPr>
          <w:sz w:val="20"/>
          <w:szCs w:val="20"/>
          <w:color w:val="auto"/>
        </w:rPr>
      </w:pPr>
    </w:p>
    <w:p>
      <w:pPr>
        <w:ind w:left="1" w:right="20" w:firstLine="1159"/>
        <w:spacing w:after="0" w:line="260" w:lineRule="auto"/>
        <w:rPr>
          <w:sz w:val="20"/>
          <w:szCs w:val="20"/>
          <w:color w:val="auto"/>
        </w:rPr>
      </w:pPr>
      <w:r>
        <w:rPr>
          <w:rFonts w:ascii="Arial" w:cs="Arial" w:eastAsia="Arial" w:hAnsi="Arial"/>
          <w:sz w:val="17"/>
          <w:szCs w:val="17"/>
          <w:color w:val="auto"/>
        </w:rPr>
        <w:t>The Plan shall remain in effect until terminated by the Board of Directors; provided, however, that the termination of the Plan shall not affect the delivery or payment of any award made prior to the termination of the Plan.</w:t>
      </w:r>
    </w:p>
    <w:p>
      <w:pPr>
        <w:spacing w:after="0" w:line="200" w:lineRule="exact"/>
        <w:rPr>
          <w:sz w:val="20"/>
          <w:szCs w:val="20"/>
          <w:color w:val="auto"/>
        </w:rPr>
      </w:pPr>
    </w:p>
    <w:p>
      <w:pPr>
        <w:spacing w:after="0" w:line="332" w:lineRule="exact"/>
        <w:rPr>
          <w:sz w:val="20"/>
          <w:szCs w:val="20"/>
          <w:color w:val="auto"/>
        </w:rPr>
      </w:pPr>
    </w:p>
    <w:p>
      <w:pPr>
        <w:ind w:left="201" w:hanging="201"/>
        <w:spacing w:after="0"/>
        <w:tabs>
          <w:tab w:leader="none" w:pos="20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Annual Incentive Awards</w:t>
      </w:r>
    </w:p>
    <w:p>
      <w:pPr>
        <w:spacing w:after="0" w:line="201" w:lineRule="exact"/>
        <w:rPr>
          <w:rFonts w:ascii="Arial" w:cs="Arial" w:eastAsia="Arial" w:hAnsi="Arial"/>
          <w:sz w:val="17"/>
          <w:szCs w:val="17"/>
          <w:color w:val="auto"/>
        </w:rPr>
      </w:pPr>
    </w:p>
    <w:p>
      <w:pPr>
        <w:jc w:val="both"/>
        <w:ind w:left="1" w:right="20" w:firstLine="595"/>
        <w:spacing w:after="0" w:line="252" w:lineRule="auto"/>
        <w:tabs>
          <w:tab w:leader="none" w:pos="905" w:val="left"/>
        </w:tabs>
        <w:numPr>
          <w:ilvl w:val="1"/>
          <w:numId w:val="79"/>
        </w:numPr>
        <w:rPr>
          <w:rFonts w:ascii="Arial" w:cs="Arial" w:eastAsia="Arial" w:hAnsi="Arial"/>
          <w:sz w:val="17"/>
          <w:szCs w:val="17"/>
          <w:color w:val="auto"/>
        </w:rPr>
      </w:pPr>
      <w:r>
        <w:rPr>
          <w:rFonts w:ascii="Arial" w:cs="Arial" w:eastAsia="Arial" w:hAnsi="Arial"/>
          <w:sz w:val="17"/>
          <w:szCs w:val="17"/>
          <w:color w:val="auto"/>
        </w:rPr>
        <w:t>Regular annual incentive awards (“Annual Awards”) for senior executives of the Company and its subsidiaries shall be made pursuant to the Plan, subject to paragraph 3(d) hereof. The aggregate amount of Annual Awards earned with respect to performance in any fiscal year shall not exceed the Maximum Incentive Credit (as hereinafter defined) for such fiscal year.</w:t>
      </w:r>
    </w:p>
    <w:p>
      <w:pPr>
        <w:spacing w:after="0" w:line="178" w:lineRule="exact"/>
        <w:rPr>
          <w:rFonts w:ascii="Arial" w:cs="Arial" w:eastAsia="Arial" w:hAnsi="Arial"/>
          <w:sz w:val="17"/>
          <w:szCs w:val="17"/>
          <w:color w:val="auto"/>
        </w:rPr>
      </w:pPr>
    </w:p>
    <w:p>
      <w:pPr>
        <w:ind w:left="1" w:right="140" w:firstLine="595"/>
        <w:spacing w:after="0" w:line="248" w:lineRule="auto"/>
        <w:tabs>
          <w:tab w:leader="none" w:pos="90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“Maximum Incentive Credit” for a fiscal year shall be 20% of Adjusted Operating Income for such year. The term “Adjusted Operating Income,” as used herein, shall mean an amount equal to the earnings of the Company before deduction for interest, taxes, depreciation and amortization and shall be exclusive of special credits and charges, and extraordinary items, all as determined by the Committee in its absolute discretion. The Committee may rely on the advice and assistance of the Company’s independent public accountants in determining the amount of Adjusted Operating Income for any fiscal year.</w:t>
      </w:r>
    </w:p>
    <w:p>
      <w:pPr>
        <w:spacing w:after="0" w:line="181" w:lineRule="exact"/>
        <w:rPr>
          <w:rFonts w:ascii="Arial" w:cs="Arial" w:eastAsia="Arial" w:hAnsi="Arial"/>
          <w:sz w:val="17"/>
          <w:szCs w:val="17"/>
          <w:color w:val="auto"/>
        </w:rPr>
      </w:pPr>
    </w:p>
    <w:p>
      <w:pPr>
        <w:jc w:val="both"/>
        <w:ind w:left="1" w:right="20" w:firstLine="595"/>
        <w:spacing w:after="0" w:line="252" w:lineRule="auto"/>
        <w:tabs>
          <w:tab w:leader="none" w:pos="896" w:val="left"/>
        </w:tabs>
        <w:numPr>
          <w:ilvl w:val="1"/>
          <w:numId w:val="79"/>
        </w:numPr>
        <w:rPr>
          <w:rFonts w:ascii="Arial" w:cs="Arial" w:eastAsia="Arial" w:hAnsi="Arial"/>
          <w:sz w:val="17"/>
          <w:szCs w:val="17"/>
          <w:color w:val="auto"/>
        </w:rPr>
      </w:pPr>
      <w:r>
        <w:rPr>
          <w:rFonts w:ascii="Arial" w:cs="Arial" w:eastAsia="Arial" w:hAnsi="Arial"/>
          <w:sz w:val="17"/>
          <w:szCs w:val="17"/>
          <w:color w:val="auto"/>
        </w:rPr>
        <w:t>Subject to paragraph 6 hereof, during the last month of each fiscal year, the Senior Vice President-Finance of the Company shall advise the Committee of the estimated Maximum Incentive Credit for such fiscal year and the Committee shall determine the employees who are to receive Annual Awards for such fiscal year and the amount of each such Annual Award.</w:t>
      </w:r>
    </w:p>
    <w:p>
      <w:pPr>
        <w:spacing w:after="0" w:line="178" w:lineRule="exact"/>
        <w:rPr>
          <w:rFonts w:ascii="Arial" w:cs="Arial" w:eastAsia="Arial" w:hAnsi="Arial"/>
          <w:sz w:val="17"/>
          <w:szCs w:val="17"/>
          <w:color w:val="auto"/>
        </w:rPr>
      </w:pPr>
    </w:p>
    <w:p>
      <w:pPr>
        <w:ind w:left="1" w:right="140" w:firstLine="595"/>
        <w:spacing w:after="0" w:line="252" w:lineRule="auto"/>
        <w:tabs>
          <w:tab w:leader="none" w:pos="905" w:val="left"/>
        </w:tabs>
        <w:numPr>
          <w:ilvl w:val="1"/>
          <w:numId w:val="79"/>
        </w:numPr>
        <w:rPr>
          <w:rFonts w:ascii="Arial" w:cs="Arial" w:eastAsia="Arial" w:hAnsi="Arial"/>
          <w:sz w:val="17"/>
          <w:szCs w:val="17"/>
          <w:color w:val="auto"/>
        </w:rPr>
      </w:pPr>
      <w:r>
        <w:rPr>
          <w:rFonts w:ascii="Arial" w:cs="Arial" w:eastAsia="Arial" w:hAnsi="Arial"/>
          <w:sz w:val="17"/>
          <w:szCs w:val="17"/>
          <w:color w:val="auto"/>
        </w:rPr>
        <w:t>Each Annual Award shall be subject to such clawback conditions as shall be set forth in the agreement or in any other communication evidencing such Annual Award, or in such other policy as the Company may adopt from time to time prior to the payment of such Annual Award, or as may be imposed by law.</w:t>
      </w:r>
    </w:p>
    <w:p>
      <w:pPr>
        <w:spacing w:after="0" w:line="178" w:lineRule="exact"/>
        <w:rPr>
          <w:rFonts w:ascii="Arial" w:cs="Arial" w:eastAsia="Arial" w:hAnsi="Arial"/>
          <w:sz w:val="17"/>
          <w:szCs w:val="17"/>
          <w:color w:val="auto"/>
        </w:rPr>
      </w:pPr>
    </w:p>
    <w:p>
      <w:pPr>
        <w:jc w:val="both"/>
        <w:ind w:left="1" w:firstLine="595"/>
        <w:spacing w:after="0" w:line="249" w:lineRule="auto"/>
        <w:tabs>
          <w:tab w:leader="none" w:pos="905" w:val="left"/>
        </w:tabs>
        <w:numPr>
          <w:ilvl w:val="1"/>
          <w:numId w:val="79"/>
        </w:numPr>
        <w:rPr>
          <w:rFonts w:ascii="Arial" w:cs="Arial" w:eastAsia="Arial" w:hAnsi="Arial"/>
          <w:sz w:val="17"/>
          <w:szCs w:val="17"/>
          <w:color w:val="auto"/>
        </w:rPr>
      </w:pPr>
      <w:r>
        <w:rPr>
          <w:rFonts w:ascii="Arial" w:cs="Arial" w:eastAsia="Arial" w:hAnsi="Arial"/>
          <w:sz w:val="17"/>
          <w:szCs w:val="17"/>
          <w:color w:val="auto"/>
        </w:rPr>
        <w:t>In addition to Annual Awards, the Committee may, in the case of individuals who have made or have the potential to make extraordinary contributions to the growth and profitability of the Company, grant special annual incentive awards (“Special Annual Incentive Awards,” and, together with Annual Awards, “Annual Incentive Awards”) with respect to any fiscal year. For purposes of clarity, Special Annual Incentive Awards shall not be taken into account in determining compliance with the limit set forth in paragraph 5(a) above.</w:t>
      </w:r>
    </w:p>
    <w:p>
      <w:pPr>
        <w:spacing w:after="0" w:line="181" w:lineRule="exact"/>
        <w:rPr>
          <w:rFonts w:ascii="Arial" w:cs="Arial" w:eastAsia="Arial" w:hAnsi="Arial"/>
          <w:sz w:val="17"/>
          <w:szCs w:val="17"/>
          <w:color w:val="auto"/>
        </w:rPr>
      </w:pPr>
    </w:p>
    <w:p>
      <w:pPr>
        <w:ind w:left="241" w:hanging="241"/>
        <w:spacing w:after="0"/>
        <w:tabs>
          <w:tab w:leader="none" w:pos="24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Special Rules for Covered Employees</w:t>
      </w:r>
    </w:p>
    <w:p>
      <w:pPr>
        <w:spacing w:after="0" w:line="164" w:lineRule="exact"/>
        <w:rPr>
          <w:sz w:val="20"/>
          <w:szCs w:val="20"/>
          <w:color w:val="auto"/>
        </w:rPr>
      </w:pPr>
    </w:p>
    <w:p>
      <w:pPr>
        <w:jc w:val="both"/>
        <w:ind w:left="1" w:firstLine="596"/>
        <w:spacing w:after="0" w:line="252" w:lineRule="auto"/>
        <w:rPr>
          <w:sz w:val="20"/>
          <w:szCs w:val="20"/>
          <w:color w:val="auto"/>
        </w:rPr>
      </w:pPr>
      <w:r>
        <w:rPr>
          <w:rFonts w:ascii="Arial" w:cs="Arial" w:eastAsia="Arial" w:hAnsi="Arial"/>
          <w:sz w:val="17"/>
          <w:szCs w:val="17"/>
          <w:color w:val="auto"/>
        </w:rPr>
        <w:t>This paragraph 6 shall govern Annual Incentive Awards made for a fiscal year to all participants who, at the beginning of such fiscal year, are “executive officers” of the Company (within the meaning of Rule 3b-7 under the Securities Exchange Act of 1934, as amended) (collectively, “162(m) Awards”).</w:t>
      </w:r>
    </w:p>
    <w:p>
      <w:pPr>
        <w:spacing w:after="0" w:line="154" w:lineRule="exact"/>
        <w:rPr>
          <w:sz w:val="20"/>
          <w:szCs w:val="20"/>
          <w:color w:val="auto"/>
        </w:rPr>
      </w:pPr>
    </w:p>
    <w:p>
      <w:pPr>
        <w:ind w:left="601" w:right="40" w:hanging="5"/>
        <w:spacing w:after="0" w:line="252" w:lineRule="auto"/>
        <w:tabs>
          <w:tab w:leader="none" w:pos="851" w:val="left"/>
        </w:tabs>
        <w:numPr>
          <w:ilvl w:val="0"/>
          <w:numId w:val="80"/>
        </w:numPr>
        <w:rPr>
          <w:rFonts w:ascii="Arial" w:cs="Arial" w:eastAsia="Arial" w:hAnsi="Arial"/>
          <w:sz w:val="17"/>
          <w:szCs w:val="17"/>
          <w:color w:val="auto"/>
        </w:rPr>
      </w:pPr>
      <w:r>
        <w:rPr>
          <w:rFonts w:ascii="Arial" w:cs="Arial" w:eastAsia="Arial" w:hAnsi="Arial"/>
          <w:sz w:val="17"/>
          <w:szCs w:val="17"/>
          <w:color w:val="auto"/>
        </w:rPr>
        <w:t>Within 90 days after the beginning of each fiscal year, the Committee shall establish (a) performance goals and objectives (“Performance Targets”) for such Performance Period and (b) schedules or other objective methods for determining the applicable payout amount for each 162(m) Award based on achievement relative to the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727837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1"/>
          </w:cols>
          <w:pgMar w:left="239" w:top="367" w:right="279" w:bottom="1440" w:gutter="0" w:footer="0" w:header="0"/>
        </w:sectPr>
      </w:pPr>
    </w:p>
    <w:bookmarkStart w:id="127" w:name="page128"/>
    <w:bookmarkEnd w:id="127"/>
    <w:p>
      <w:pPr>
        <w:ind w:left="601" w:right="80" w:hanging="5"/>
        <w:spacing w:after="0" w:line="246" w:lineRule="auto"/>
        <w:tabs>
          <w:tab w:leader="none" w:pos="890" w:val="left"/>
        </w:tabs>
        <w:numPr>
          <w:ilvl w:val="1"/>
          <w:numId w:val="81"/>
        </w:numPr>
        <w:rPr>
          <w:rFonts w:ascii="Arial" w:cs="Arial" w:eastAsia="Arial" w:hAnsi="Arial"/>
          <w:sz w:val="17"/>
          <w:szCs w:val="17"/>
          <w:color w:val="auto"/>
        </w:rPr>
      </w:pPr>
      <w:r>
        <w:rPr>
          <w:rFonts w:ascii="Arial" w:cs="Arial" w:eastAsia="Arial" w:hAnsi="Arial"/>
          <w:sz w:val="17"/>
          <w:szCs w:val="17"/>
          <w:color w:val="auto"/>
        </w:rPr>
        <w:t>Performance Targets shall be based on one or more of the following business criteria: operating income, cash flow, earnings per share, return on assets, return on equity, operating margins, economic value added (EVA), cash flow margins, shareholder return, cost control and/ revenue growth measurements, which may be in respect of the Company, as a whole, or any business unit thereof, which will have to be achieved if such executive officer is to receive payment for an Annual Award. Any Performance Target may be used to measure the performance of (x) the Company or a subsidiary of the Company as a whole or any business unit, or any combination thereof, as the Committee may deem appropriate, or (x) any of the above Performance Targets as compared to the performance of a group of comparator companies, or a published or special index that the Committee, in its sole discretion, deems appropriate.</w:t>
      </w:r>
    </w:p>
    <w:p>
      <w:pPr>
        <w:spacing w:after="0" w:line="185" w:lineRule="exact"/>
        <w:rPr>
          <w:rFonts w:ascii="Arial" w:cs="Arial" w:eastAsia="Arial" w:hAnsi="Arial"/>
          <w:sz w:val="17"/>
          <w:szCs w:val="17"/>
          <w:color w:val="auto"/>
        </w:rPr>
      </w:pPr>
    </w:p>
    <w:p>
      <w:pPr>
        <w:ind w:left="601" w:right="60" w:hanging="5"/>
        <w:spacing w:after="0" w:line="249" w:lineRule="auto"/>
        <w:tabs>
          <w:tab w:leader="none" w:pos="926"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measurement of any Performance Target may exclude the impact of charges for extraordinary, unusual or non-recurring items (including without limitation charges for restructurings and discontinued operations), and the cumulative effects of accounting changes, each as defined by generally accepted accounting principles and as identified in the Company’s audited financial statements, including the notes thereof.</w:t>
      </w:r>
    </w:p>
    <w:p>
      <w:pPr>
        <w:spacing w:after="0" w:line="181" w:lineRule="exact"/>
        <w:rPr>
          <w:rFonts w:ascii="Arial" w:cs="Arial" w:eastAsia="Arial" w:hAnsi="Arial"/>
          <w:sz w:val="17"/>
          <w:szCs w:val="17"/>
          <w:color w:val="auto"/>
        </w:rPr>
      </w:pPr>
    </w:p>
    <w:p>
      <w:pPr>
        <w:jc w:val="both"/>
        <w:ind w:left="601" w:right="280" w:hanging="5"/>
        <w:spacing w:after="0" w:line="260" w:lineRule="auto"/>
        <w:tabs>
          <w:tab w:leader="none" w:pos="938" w:val="left"/>
        </w:tabs>
        <w:numPr>
          <w:ilvl w:val="1"/>
          <w:numId w:val="81"/>
        </w:numPr>
        <w:rPr>
          <w:rFonts w:ascii="Arial" w:cs="Arial" w:eastAsia="Arial" w:hAnsi="Arial"/>
          <w:sz w:val="17"/>
          <w:szCs w:val="17"/>
          <w:color w:val="auto"/>
        </w:rPr>
      </w:pPr>
      <w:r>
        <w:rPr>
          <w:rFonts w:ascii="Arial" w:cs="Arial" w:eastAsia="Arial" w:hAnsi="Arial"/>
          <w:sz w:val="17"/>
          <w:szCs w:val="17"/>
          <w:color w:val="auto"/>
        </w:rPr>
        <w:t>In the manner required by Section 162(m) of the Code, the Committee shall, promptly after the date on which the necessary financial and other information for a particular fiscal year becomes available, certify the extent to which Performance Targets have been achieved.</w:t>
      </w:r>
    </w:p>
    <w:p>
      <w:pPr>
        <w:spacing w:after="0" w:line="172" w:lineRule="exact"/>
        <w:rPr>
          <w:rFonts w:ascii="Arial" w:cs="Arial" w:eastAsia="Arial" w:hAnsi="Arial"/>
          <w:sz w:val="17"/>
          <w:szCs w:val="17"/>
          <w:color w:val="auto"/>
        </w:rPr>
      </w:pPr>
    </w:p>
    <w:p>
      <w:pPr>
        <w:ind w:left="601" w:hanging="5"/>
        <w:spacing w:after="0" w:line="249" w:lineRule="auto"/>
        <w:tabs>
          <w:tab w:leader="none" w:pos="900"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expressly provided in the award agreement for any 162(m) Award, the Committee may, in its discretion, reduce or eliminate the amount of any 162(m) Award based on such factors as the Committee may deem relevant, but the Committee may not increase the amount of any Award payable to any Participant above the amount established in accordance with the relevant Performance Targets. For purposes of clarity, the Committee may exercise the discretion provided for by the foregoing sentence in a non-uniform manner among participants.</w:t>
      </w:r>
    </w:p>
    <w:p>
      <w:pPr>
        <w:spacing w:after="0" w:line="181" w:lineRule="exact"/>
        <w:rPr>
          <w:rFonts w:ascii="Arial" w:cs="Arial" w:eastAsia="Arial" w:hAnsi="Arial"/>
          <w:sz w:val="17"/>
          <w:szCs w:val="17"/>
          <w:color w:val="auto"/>
        </w:rPr>
      </w:pPr>
    </w:p>
    <w:p>
      <w:pPr>
        <w:ind w:left="601" w:right="20" w:hanging="5"/>
        <w:spacing w:after="0" w:line="252" w:lineRule="auto"/>
        <w:tabs>
          <w:tab w:leader="none" w:pos="935" w:val="left"/>
        </w:tabs>
        <w:numPr>
          <w:ilvl w:val="1"/>
          <w:numId w:val="81"/>
        </w:numPr>
        <w:rPr>
          <w:rFonts w:ascii="Arial" w:cs="Arial" w:eastAsia="Arial" w:hAnsi="Arial"/>
          <w:sz w:val="17"/>
          <w:szCs w:val="17"/>
          <w:color w:val="auto"/>
        </w:rPr>
      </w:pPr>
      <w:r>
        <w:rPr>
          <w:rFonts w:ascii="Arial" w:cs="Arial" w:eastAsia="Arial" w:hAnsi="Arial"/>
          <w:sz w:val="17"/>
          <w:szCs w:val="17"/>
          <w:color w:val="auto"/>
        </w:rPr>
        <w:t>The amount of the 162(m) Awards payable to any participant with respect to performance in any fiscal year shall not exceed $10 million or, in the case of a participant who is the president or chief executive officer of a business unit of the Company, the greater of $10 million and 1% of the revenues of such business unit for the fiscal year with respect to which such 162(m) Award is determined.</w:t>
      </w:r>
    </w:p>
    <w:p>
      <w:pPr>
        <w:spacing w:after="0" w:line="178" w:lineRule="exact"/>
        <w:rPr>
          <w:rFonts w:ascii="Arial" w:cs="Arial" w:eastAsia="Arial" w:hAnsi="Arial"/>
          <w:sz w:val="17"/>
          <w:szCs w:val="17"/>
          <w:color w:val="auto"/>
        </w:rPr>
      </w:pPr>
    </w:p>
    <w:p>
      <w:pPr>
        <w:ind w:left="201" w:hanging="201"/>
        <w:spacing w:after="0"/>
        <w:tabs>
          <w:tab w:leader="none" w:pos="201"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Method and Time of Payment of Annual Incentive Awards</w:t>
      </w:r>
    </w:p>
    <w:p>
      <w:pPr>
        <w:spacing w:after="0" w:line="202" w:lineRule="exact"/>
        <w:rPr>
          <w:sz w:val="20"/>
          <w:szCs w:val="20"/>
          <w:color w:val="auto"/>
        </w:rPr>
      </w:pPr>
    </w:p>
    <w:p>
      <w:pPr>
        <w:ind w:left="901" w:hanging="305"/>
        <w:spacing w:after="0"/>
        <w:tabs>
          <w:tab w:leader="none" w:pos="901"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Annual Incentive Awards shall be paid in cash.</w:t>
      </w:r>
    </w:p>
    <w:p>
      <w:pPr>
        <w:spacing w:after="0" w:line="201" w:lineRule="exact"/>
        <w:rPr>
          <w:rFonts w:ascii="Arial" w:cs="Arial" w:eastAsia="Arial" w:hAnsi="Arial"/>
          <w:sz w:val="17"/>
          <w:szCs w:val="17"/>
          <w:color w:val="auto"/>
        </w:rPr>
      </w:pPr>
    </w:p>
    <w:p>
      <w:pPr>
        <w:ind w:left="1" w:right="200" w:firstLine="595"/>
        <w:spacing w:after="0" w:line="260" w:lineRule="auto"/>
        <w:tabs>
          <w:tab w:leader="none" w:pos="896"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Annual Awards shall be paid in a lump sum as promptly as practicable in the calendar year that begins closest to the last day of the fiscal year to which the award relates, except as otherwise provided herein below.</w:t>
      </w:r>
    </w:p>
    <w:p>
      <w:pPr>
        <w:spacing w:after="0" w:line="172" w:lineRule="exact"/>
        <w:rPr>
          <w:rFonts w:ascii="Arial" w:cs="Arial" w:eastAsia="Arial" w:hAnsi="Arial"/>
          <w:sz w:val="17"/>
          <w:szCs w:val="17"/>
          <w:color w:val="auto"/>
        </w:rPr>
      </w:pPr>
    </w:p>
    <w:p>
      <w:pPr>
        <w:jc w:val="both"/>
        <w:ind w:left="1" w:right="280" w:firstLine="595"/>
        <w:spacing w:after="0" w:line="252" w:lineRule="auto"/>
        <w:tabs>
          <w:tab w:leader="none" w:pos="893"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Committee may, in its sole discretion, establish terms and conditions under which a participant may elect to defer the payment of Annual Incentive Awards in whole or in part pursuant to the terms of The Washington Post Company Deferred Compensation Plan (the “Deferred Compensation Plan”).</w:t>
      </w:r>
    </w:p>
    <w:p>
      <w:pPr>
        <w:spacing w:after="0" w:line="178" w:lineRule="exact"/>
        <w:rPr>
          <w:rFonts w:ascii="Arial" w:cs="Arial" w:eastAsia="Arial" w:hAnsi="Arial"/>
          <w:sz w:val="17"/>
          <w:szCs w:val="17"/>
          <w:color w:val="auto"/>
        </w:rPr>
      </w:pPr>
    </w:p>
    <w:p>
      <w:pPr>
        <w:ind w:left="241" w:hanging="241"/>
        <w:spacing w:after="0"/>
        <w:tabs>
          <w:tab w:leader="none" w:pos="241"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Long-Term Incentive Award Cycles; Awards</w:t>
      </w:r>
    </w:p>
    <w:p>
      <w:pPr>
        <w:spacing w:after="0" w:line="300" w:lineRule="exact"/>
        <w:rPr>
          <w:rFonts w:ascii="Arial" w:cs="Arial" w:eastAsia="Arial" w:hAnsi="Arial"/>
          <w:sz w:val="17"/>
          <w:szCs w:val="17"/>
          <w:color w:val="auto"/>
        </w:rPr>
      </w:pPr>
    </w:p>
    <w:p>
      <w:pPr>
        <w:jc w:val="both"/>
        <w:ind w:left="1" w:right="140" w:firstLine="1158"/>
        <w:spacing w:after="0" w:line="249" w:lineRule="auto"/>
        <w:tabs>
          <w:tab w:leader="none" w:pos="1469" w:val="left"/>
        </w:tabs>
        <w:numPr>
          <w:ilvl w:val="2"/>
          <w:numId w:val="84"/>
        </w:numPr>
        <w:rPr>
          <w:rFonts w:ascii="Arial" w:cs="Arial" w:eastAsia="Arial" w:hAnsi="Arial"/>
          <w:sz w:val="17"/>
          <w:szCs w:val="17"/>
          <w:color w:val="auto"/>
        </w:rPr>
      </w:pPr>
      <w:r>
        <w:rPr>
          <w:rFonts w:ascii="Arial" w:cs="Arial" w:eastAsia="Arial" w:hAnsi="Arial"/>
          <w:sz w:val="17"/>
          <w:szCs w:val="17"/>
          <w:color w:val="auto"/>
        </w:rPr>
        <w:t>During the term of the Plan, the Committee shall from time to time establish Award Cycles, each of which shall commence on a date specified by the Committee and shall terminate no earlier than the third anniversary date of the commencement of such Award Cycle or such other anniversary date as specified by the Committee; provided, however, an Award Cycle shall (i) commence on the first day of a fiscal year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7278370" cy="203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01"/>
          </w:cols>
          <w:pgMar w:left="239" w:top="367" w:right="259" w:bottom="1440" w:gutter="0" w:footer="0" w:header="0"/>
        </w:sectPr>
      </w:pPr>
    </w:p>
    <w:bookmarkStart w:id="128" w:name="page129"/>
    <w:bookmarkEnd w:id="128"/>
    <w:p>
      <w:pPr>
        <w:ind w:left="1" w:right="340" w:hanging="1"/>
        <w:spacing w:after="0" w:line="260" w:lineRule="auto"/>
        <w:tabs>
          <w:tab w:leader="none" w:pos="242"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consist of not less than three nor more than four fiscal years of the Company, and (iii) at least two such fiscal years shall elapse between the beginning of consecu tive Award Cycles.</w:t>
      </w:r>
    </w:p>
    <w:p>
      <w:pPr>
        <w:spacing w:after="0" w:line="200" w:lineRule="exact"/>
        <w:rPr>
          <w:sz w:val="20"/>
          <w:szCs w:val="20"/>
          <w:color w:val="auto"/>
        </w:rPr>
      </w:pPr>
    </w:p>
    <w:p>
      <w:pPr>
        <w:spacing w:after="0" w:line="307" w:lineRule="exact"/>
        <w:rPr>
          <w:sz w:val="20"/>
          <w:szCs w:val="20"/>
          <w:color w:val="auto"/>
        </w:rPr>
      </w:pPr>
    </w:p>
    <w:p>
      <w:pPr>
        <w:ind w:left="1161"/>
        <w:spacing w:after="0"/>
        <w:rPr>
          <w:sz w:val="20"/>
          <w:szCs w:val="20"/>
          <w:color w:val="auto"/>
        </w:rPr>
      </w:pPr>
      <w:r>
        <w:rPr>
          <w:rFonts w:ascii="Arial" w:cs="Arial" w:eastAsia="Arial" w:hAnsi="Arial"/>
          <w:sz w:val="17"/>
          <w:szCs w:val="17"/>
          <w:color w:val="auto"/>
        </w:rPr>
        <w:t>(b) For each Award Cycle, the Committee shall</w:t>
      </w:r>
    </w:p>
    <w:p>
      <w:pPr>
        <w:spacing w:after="0" w:line="202" w:lineRule="exact"/>
        <w:rPr>
          <w:sz w:val="20"/>
          <w:szCs w:val="20"/>
          <w:color w:val="auto"/>
        </w:rPr>
      </w:pPr>
    </w:p>
    <w:p>
      <w:pPr>
        <w:ind w:left="1781" w:right="520" w:hanging="589"/>
        <w:spacing w:after="0" w:line="260" w:lineRule="auto"/>
        <w:tabs>
          <w:tab w:leader="none" w:pos="1687" w:val="left"/>
        </w:tabs>
        <w:numPr>
          <w:ilvl w:val="0"/>
          <w:numId w:val="86"/>
        </w:numPr>
        <w:rPr>
          <w:rFonts w:ascii="Arial" w:cs="Arial" w:eastAsia="Arial" w:hAnsi="Arial"/>
          <w:sz w:val="17"/>
          <w:szCs w:val="17"/>
          <w:color w:val="auto"/>
        </w:rPr>
      </w:pPr>
      <w:r>
        <w:rPr>
          <w:rFonts w:ascii="Arial" w:cs="Arial" w:eastAsia="Arial" w:hAnsi="Arial"/>
          <w:sz w:val="17"/>
          <w:szCs w:val="17"/>
          <w:color w:val="auto"/>
        </w:rPr>
        <w:t>designate, subject to paragraph 10(a), the participants who are to receive awards of Per formance Units for such Award Cycle and the number of Performance Units awarded to each such partici pant, and</w:t>
      </w:r>
    </w:p>
    <w:p>
      <w:pPr>
        <w:spacing w:after="0" w:line="333" w:lineRule="exact"/>
        <w:rPr>
          <w:rFonts w:ascii="Arial" w:cs="Arial" w:eastAsia="Arial" w:hAnsi="Arial"/>
          <w:sz w:val="17"/>
          <w:szCs w:val="17"/>
          <w:color w:val="auto"/>
        </w:rPr>
      </w:pPr>
    </w:p>
    <w:p>
      <w:pPr>
        <w:ind w:left="1781" w:right="1040" w:hanging="589"/>
        <w:spacing w:after="0" w:line="260" w:lineRule="auto"/>
        <w:tabs>
          <w:tab w:leader="none" w:pos="1764" w:val="left"/>
        </w:tabs>
        <w:numPr>
          <w:ilvl w:val="0"/>
          <w:numId w:val="86"/>
        </w:numPr>
        <w:rPr>
          <w:rFonts w:ascii="Arial" w:cs="Arial" w:eastAsia="Arial" w:hAnsi="Arial"/>
          <w:sz w:val="17"/>
          <w:szCs w:val="17"/>
          <w:color w:val="auto"/>
        </w:rPr>
      </w:pPr>
      <w:r>
        <w:rPr>
          <w:rFonts w:ascii="Arial" w:cs="Arial" w:eastAsia="Arial" w:hAnsi="Arial"/>
          <w:sz w:val="17"/>
          <w:szCs w:val="17"/>
          <w:color w:val="auto"/>
        </w:rPr>
        <w:t>establish, subject to paragraph 10(b), the method for determining at the end of such Award Cycle the value of a Performance Unit awarded at the beginning of such Award Cycle.</w:t>
      </w:r>
    </w:p>
    <w:p>
      <w:pPr>
        <w:spacing w:after="0" w:line="200" w:lineRule="exact"/>
        <w:rPr>
          <w:sz w:val="20"/>
          <w:szCs w:val="20"/>
          <w:color w:val="auto"/>
        </w:rPr>
      </w:pPr>
    </w:p>
    <w:p>
      <w:pPr>
        <w:spacing w:after="0" w:line="285" w:lineRule="exact"/>
        <w:rPr>
          <w:sz w:val="20"/>
          <w:szCs w:val="20"/>
          <w:color w:val="auto"/>
        </w:rPr>
      </w:pPr>
    </w:p>
    <w:p>
      <w:pPr>
        <w:ind w:left="1" w:right="720" w:firstLine="1191"/>
        <w:spacing w:after="0" w:line="258"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c) In addition, from time to time the Committee may deem it desirable to grant long-term incentive awards not based on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Cycle established under paragraph 8(a) and the Committee shall have the discretion to (A) designate the participants who are to receive such awards and (B) establish such terms and conditions applicable to such long-term incentive awards (“Special Long Term Incentive Award”).</w:t>
      </w:r>
    </w:p>
    <w:p>
      <w:pPr>
        <w:spacing w:after="0" w:line="200" w:lineRule="exact"/>
        <w:rPr>
          <w:sz w:val="20"/>
          <w:szCs w:val="20"/>
          <w:color w:val="auto"/>
        </w:rPr>
      </w:pPr>
    </w:p>
    <w:p>
      <w:pPr>
        <w:spacing w:after="0" w:line="297" w:lineRule="exact"/>
        <w:rPr>
          <w:sz w:val="20"/>
          <w:szCs w:val="20"/>
          <w:color w:val="auto"/>
        </w:rPr>
      </w:pPr>
    </w:p>
    <w:p>
      <w:pPr>
        <w:ind w:left="241" w:hanging="241"/>
        <w:spacing w:after="0"/>
        <w:tabs>
          <w:tab w:leader="none" w:pos="241"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Restricted Stock</w:t>
      </w:r>
    </w:p>
    <w:p>
      <w:pPr>
        <w:spacing w:after="0" w:line="300" w:lineRule="exact"/>
        <w:rPr>
          <w:rFonts w:ascii="Arial" w:cs="Arial" w:eastAsia="Arial" w:hAnsi="Arial"/>
          <w:sz w:val="17"/>
          <w:szCs w:val="17"/>
          <w:color w:val="auto"/>
        </w:rPr>
      </w:pPr>
    </w:p>
    <w:p>
      <w:pPr>
        <w:ind w:left="1" w:right="140" w:firstLine="1158"/>
        <w:spacing w:after="0" w:line="245" w:lineRule="auto"/>
        <w:tabs>
          <w:tab w:leader="none" w:pos="1469" w:val="left"/>
        </w:tabs>
        <w:numPr>
          <w:ilvl w:val="1"/>
          <w:numId w:val="87"/>
        </w:numPr>
        <w:rPr>
          <w:rFonts w:ascii="Arial" w:cs="Arial" w:eastAsia="Arial" w:hAnsi="Arial"/>
          <w:sz w:val="17"/>
          <w:szCs w:val="17"/>
          <w:color w:val="auto"/>
        </w:rPr>
      </w:pPr>
      <w:r>
        <w:rPr>
          <w:rFonts w:ascii="Arial" w:cs="Arial" w:eastAsia="Arial" w:hAnsi="Arial"/>
          <w:sz w:val="17"/>
          <w:szCs w:val="17"/>
          <w:color w:val="auto"/>
        </w:rPr>
        <w:t>During the term of the Plan, the Committee shall from time to time designate the participants who are to receive awards of restricted shares of the Class B Common Stock of the Company (such restricted shares being hereinafter called Restricted Stock), the number of shares of Restricted Stock awarded to each such participant, and the date on which full ownership of such shares of Restricted Stock will vest in such participant (such being hereinafter called the Vesting Date). In no case may the Vesting Date designated by the Committee be less than one year nor more than six years from the date of the award of Restricted Stock to which it relates. If the Committee so determines, a single award of Restricted Stock can provide for more than one Vesting Date with a portion of the full award to vest on each specified Vesting Date. To each participant designated to receive an award of Restricted Stock, there shall be (1) issued (subject to subparagraph (b) below) a stock certifi cate, registered in the name of such participant, or (2) a book entry made in the name of such participant, in each case represent ing such number of shares of Restricted Stock awarded to such participant; provided, however, that at any time, not more than 20,000 shares of Restricted Stock may be awarded to any participant under all outstanding awards of Restricted Stock.</w:t>
      </w:r>
    </w:p>
    <w:p>
      <w:pPr>
        <w:spacing w:after="0" w:line="200" w:lineRule="exact"/>
        <w:rPr>
          <w:rFonts w:ascii="Arial" w:cs="Arial" w:eastAsia="Arial" w:hAnsi="Arial"/>
          <w:sz w:val="17"/>
          <w:szCs w:val="17"/>
          <w:color w:val="auto"/>
        </w:rPr>
      </w:pPr>
    </w:p>
    <w:p>
      <w:pPr>
        <w:spacing w:after="0" w:line="323" w:lineRule="exact"/>
        <w:rPr>
          <w:rFonts w:ascii="Arial" w:cs="Arial" w:eastAsia="Arial" w:hAnsi="Arial"/>
          <w:sz w:val="17"/>
          <w:szCs w:val="17"/>
          <w:color w:val="auto"/>
        </w:rPr>
      </w:pPr>
    </w:p>
    <w:p>
      <w:pPr>
        <w:ind w:left="1461" w:hanging="302"/>
        <w:spacing w:after="0"/>
        <w:tabs>
          <w:tab w:leader="none" w:pos="1461" w:val="left"/>
        </w:tabs>
        <w:numPr>
          <w:ilvl w:val="1"/>
          <w:numId w:val="87"/>
        </w:numPr>
        <w:rPr>
          <w:rFonts w:ascii="Arial" w:cs="Arial" w:eastAsia="Arial" w:hAnsi="Arial"/>
          <w:sz w:val="17"/>
          <w:szCs w:val="17"/>
          <w:color w:val="auto"/>
        </w:rPr>
      </w:pPr>
      <w:r>
        <w:rPr>
          <w:rFonts w:ascii="Arial" w:cs="Arial" w:eastAsia="Arial" w:hAnsi="Arial"/>
          <w:sz w:val="17"/>
          <w:szCs w:val="17"/>
          <w:color w:val="auto"/>
        </w:rPr>
        <w:t>Within 30 days after the effective date of a Restricted Stock award, each recipient of such an award shall deliver to the Company</w:t>
      </w:r>
    </w:p>
    <w:p>
      <w:pPr>
        <w:spacing w:after="0" w:line="3" w:lineRule="exact"/>
        <w:rPr>
          <w:rFonts w:ascii="Arial" w:cs="Arial" w:eastAsia="Arial" w:hAnsi="Arial"/>
          <w:sz w:val="17"/>
          <w:szCs w:val="17"/>
          <w:color w:val="auto"/>
        </w:rPr>
      </w:pPr>
    </w:p>
    <w:p>
      <w:pPr>
        <w:ind w:left="1" w:right="20"/>
        <w:spacing w:after="0" w:line="246" w:lineRule="auto"/>
        <w:rPr>
          <w:rFonts w:ascii="Arial" w:cs="Arial" w:eastAsia="Arial" w:hAnsi="Arial"/>
          <w:sz w:val="17"/>
          <w:szCs w:val="17"/>
          <w:color w:val="auto"/>
        </w:rPr>
      </w:pPr>
      <w:r>
        <w:rPr>
          <w:rFonts w:ascii="Arial" w:cs="Arial" w:eastAsia="Arial" w:hAnsi="Arial"/>
          <w:sz w:val="17"/>
          <w:szCs w:val="17"/>
          <w:color w:val="auto"/>
        </w:rPr>
        <w:t>(i) an executed copy of a Restricted Stock Agreement containing the terms and provisions set forth in subparagraph (c) below and (ii) a stock power executed in blank. Upon receipt of such agreement and stock power exe cuted by the participant, the Company shall cause the stock certificate referred to in subparagraph (a) above to be issued in the name of the participant and delivered to the Secretary of the Company in custody for such participant or the book entry referred to in subparagraph (a) above to be made in the name of the participant on the books of the Company. The failure of a participant to return such agreement and stock power within such 30-day period without cause shall result in cancellation of the Restricted Stock Award to such participant, and no stock certificate therefor shall be issued in the participant’s name or book entry be made in the participant’s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452755</wp:posOffset>
            </wp:positionV>
            <wp:extent cx="727837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41"/>
          </w:cols>
          <w:pgMar w:left="239" w:top="367" w:right="319" w:bottom="1440" w:gutter="0" w:footer="0" w:header="0"/>
        </w:sectPr>
      </w:pPr>
    </w:p>
    <w:bookmarkStart w:id="129" w:name="page130"/>
    <w:bookmarkEnd w:id="129"/>
    <w:p>
      <w:pPr>
        <w:ind w:left="-1158" w:right="120" w:firstLine="1158"/>
        <w:spacing w:after="0" w:line="260" w:lineRule="auto"/>
        <w:tabs>
          <w:tab w:leader="none" w:pos="3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Restricted Stock Agreement accompanying an award of Restricted Stock shall contain the following provisions, as applicable, together with such other provisions as the Committee shall determine:</w:t>
      </w:r>
    </w:p>
    <w:p>
      <w:pPr>
        <w:spacing w:after="0" w:line="200" w:lineRule="exact"/>
        <w:rPr>
          <w:sz w:val="20"/>
          <w:szCs w:val="20"/>
          <w:color w:val="auto"/>
        </w:rPr>
      </w:pPr>
    </w:p>
    <w:p>
      <w:pPr>
        <w:spacing w:after="0" w:line="307" w:lineRule="exact"/>
        <w:rPr>
          <w:sz w:val="20"/>
          <w:szCs w:val="20"/>
          <w:color w:val="auto"/>
        </w:rPr>
      </w:pPr>
    </w:p>
    <w:p>
      <w:pPr>
        <w:ind w:left="622" w:right="20" w:hanging="589"/>
        <w:spacing w:after="0" w:line="252" w:lineRule="auto"/>
        <w:tabs>
          <w:tab w:leader="none" w:pos="527" w:val="left"/>
        </w:tabs>
        <w:numPr>
          <w:ilvl w:val="0"/>
          <w:numId w:val="89"/>
        </w:numPr>
        <w:rPr>
          <w:rFonts w:ascii="Arial" w:cs="Arial" w:eastAsia="Arial" w:hAnsi="Arial"/>
          <w:sz w:val="17"/>
          <w:szCs w:val="17"/>
          <w:color w:val="auto"/>
        </w:rPr>
      </w:pPr>
      <w:r>
        <w:rPr>
          <w:rFonts w:ascii="Arial" w:cs="Arial" w:eastAsia="Arial" w:hAnsi="Arial"/>
          <w:sz w:val="17"/>
          <w:szCs w:val="17"/>
          <w:color w:val="auto"/>
        </w:rPr>
        <w:t>Except as hereinafter provided, none of the shares of Restricted Stock subject thereto may be sold, transferred, assigned, pledged or other wise disposed of before the Vesting Date(s) established in the applicable Restricted Stock Agreement.</w:t>
      </w:r>
    </w:p>
    <w:p>
      <w:pPr>
        <w:spacing w:after="0" w:line="339" w:lineRule="exact"/>
        <w:rPr>
          <w:rFonts w:ascii="Arial" w:cs="Arial" w:eastAsia="Arial" w:hAnsi="Arial"/>
          <w:sz w:val="17"/>
          <w:szCs w:val="17"/>
          <w:color w:val="auto"/>
        </w:rPr>
      </w:pPr>
    </w:p>
    <w:p>
      <w:pPr>
        <w:ind w:left="622" w:right="20" w:hanging="589"/>
        <w:spacing w:after="0" w:line="246" w:lineRule="auto"/>
        <w:tabs>
          <w:tab w:leader="none" w:pos="537" w:val="left"/>
        </w:tabs>
        <w:numPr>
          <w:ilvl w:val="0"/>
          <w:numId w:val="89"/>
        </w:numPr>
        <w:rPr>
          <w:rFonts w:ascii="Arial" w:cs="Arial" w:eastAsia="Arial" w:hAnsi="Arial"/>
          <w:sz w:val="17"/>
          <w:szCs w:val="17"/>
          <w:color w:val="auto"/>
        </w:rPr>
      </w:pPr>
      <w:r>
        <w:rPr>
          <w:rFonts w:ascii="Arial" w:cs="Arial" w:eastAsia="Arial" w:hAnsi="Arial"/>
          <w:sz w:val="17"/>
          <w:szCs w:val="17"/>
          <w:color w:val="auto"/>
        </w:rPr>
        <w:t>Except as provided below, if the participant is continuously em ployed by the Company until the occurrence of an applicable Vesting Date, the restriction set forth in subparagraph (c)(i) above shall terminate on such Vesting Date as to all the shares of Restricted Stock associated with that Vesting Date. In the event that the participant takes one or more unpaid leave(s) of absence where the leave is greater than 90 days in duration at any time before an award of Restricted Stock has vested, the Vesting Date or Dates for such grant shall be extended by a period equal to the aggregate number of days that the participant was out on such leave(s) of absence (the “Extended Vesting Date(s)”) and the restrictions set forth in subparagraph (c)(i) above shall then terminate on such Extended Vesting Date or Dates.</w:t>
      </w:r>
    </w:p>
    <w:p>
      <w:pPr>
        <w:spacing w:after="0" w:line="345" w:lineRule="exact"/>
        <w:rPr>
          <w:sz w:val="20"/>
          <w:szCs w:val="20"/>
          <w:color w:val="auto"/>
        </w:rPr>
      </w:pPr>
    </w:p>
    <w:p>
      <w:pPr>
        <w:ind w:left="622"/>
        <w:spacing w:after="0" w:line="200" w:lineRule="exact"/>
        <w:rPr>
          <w:sz w:val="20"/>
          <w:szCs w:val="20"/>
          <w:color w:val="auto"/>
        </w:rPr>
      </w:pPr>
      <w:r>
        <w:rPr>
          <w:rFonts w:ascii="Arial" w:cs="Arial" w:eastAsia="Arial" w:hAnsi="Arial"/>
          <w:sz w:val="17"/>
          <w:szCs w:val="17"/>
          <w:color w:val="auto"/>
        </w:rPr>
        <w:t xml:space="preserve">Notwithstanding any of the foregoing, in the case of a participant who is an “executive officer” of the Company at the time of the award, the Committee shall, prior to the effective date of Restricted Stock Award, establish in writing a formula based on one or more of the following: cash flow, operating income, earnings per share, economic value added (EVA), return on assets, total return on equity of the Company, operating margins, cash flow margins, share </w:t>
      </w:r>
      <w:r>
        <w:rPr>
          <w:rFonts w:ascii="MS PGothic" w:cs="MS PGothic" w:eastAsia="MS PGothic" w:hAnsi="MS PGothic"/>
          <w:sz w:val="17"/>
          <w:szCs w:val="17"/>
          <w:color w:val="auto"/>
        </w:rPr>
        <w:t>‐</w:t>
      </w:r>
      <w:r>
        <w:rPr>
          <w:rFonts w:ascii="Arial" w:cs="Arial" w:eastAsia="Arial" w:hAnsi="Arial"/>
          <w:sz w:val="17"/>
          <w:szCs w:val="17"/>
          <w:color w:val="auto"/>
        </w:rPr>
        <w:t xml:space="preserve"> holder return, cost con trol and/or quantitative revenue, growth or profitability mea surements over the period of time it takes for the Restricted Stock Award to vest fully, which will have to be achieved if the restriction set forth in subpara </w:t>
      </w:r>
      <w:r>
        <w:rPr>
          <w:rFonts w:ascii="MS PGothic" w:cs="MS PGothic" w:eastAsia="MS PGothic" w:hAnsi="MS PGothic"/>
          <w:sz w:val="17"/>
          <w:szCs w:val="17"/>
          <w:color w:val="auto"/>
        </w:rPr>
        <w:t>‐</w:t>
      </w:r>
      <w:r>
        <w:rPr>
          <w:rFonts w:ascii="Arial" w:cs="Arial" w:eastAsia="Arial" w:hAnsi="Arial"/>
          <w:sz w:val="17"/>
          <w:szCs w:val="17"/>
          <w:color w:val="auto"/>
        </w:rPr>
        <w:t xml:space="preserve"> graph (c)(i) above is to terminate as provided in this subparagraph (c)(ii).</w:t>
      </w:r>
    </w:p>
    <w:p>
      <w:pPr>
        <w:spacing w:after="0" w:line="200" w:lineRule="exact"/>
        <w:rPr>
          <w:sz w:val="20"/>
          <w:szCs w:val="20"/>
          <w:color w:val="auto"/>
        </w:rPr>
      </w:pPr>
    </w:p>
    <w:p>
      <w:pPr>
        <w:spacing w:after="0" w:line="327" w:lineRule="exact"/>
        <w:rPr>
          <w:sz w:val="20"/>
          <w:szCs w:val="20"/>
          <w:color w:val="auto"/>
        </w:rPr>
      </w:pPr>
    </w:p>
    <w:p>
      <w:pPr>
        <w:ind w:left="622" w:right="580" w:hanging="589"/>
        <w:spacing w:after="0" w:line="245" w:lineRule="auto"/>
        <w:tabs>
          <w:tab w:leader="none" w:pos="547"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the participant's employment by the Company terminates for any reason (whether voluntary or involuntary and including death or disability) before the Vesting Date or Extended Vesting Date, as the case may be, the ownership of all shares of Restricted Stock shall revert to the Company, unless termination occurs two or more years from the effective date of the award and the Committee, in its sole discretion, approves the vesting of a percentage of the number of shares of Re stricted Stock originally awarded (rounded to the nearest whole share), if any, provided, however, that the percentage determined by the Committee may not exceed the percentage calculated by dividing (i) the number of full months elapsed from the effective date of the award to the date of such termination (less the period of full months that a participant was on one or more unpaid leaves of absence where the leave is greater than 90 days during such period by (ii) the number of full months from such effective date to the Vesting Date for such award, or in the case of a participant’s death, such larger portion as the Compensation Committee in its sole discretion shall determine (such percentage being hereinafter called the Pro-Rated Percentage).</w:t>
      </w:r>
    </w:p>
    <w:p>
      <w:pPr>
        <w:spacing w:after="0" w:line="348" w:lineRule="exact"/>
        <w:rPr>
          <w:rFonts w:ascii="Arial" w:cs="Arial" w:eastAsia="Arial" w:hAnsi="Arial"/>
          <w:sz w:val="17"/>
          <w:szCs w:val="17"/>
          <w:color w:val="auto"/>
        </w:rPr>
      </w:pPr>
    </w:p>
    <w:p>
      <w:pPr>
        <w:ind w:left="622" w:right="40" w:hanging="589"/>
        <w:spacing w:after="0" w:line="252" w:lineRule="auto"/>
        <w:tabs>
          <w:tab w:leader="none" w:pos="605" w:val="left"/>
        </w:tabs>
        <w:numPr>
          <w:ilvl w:val="0"/>
          <w:numId w:val="90"/>
        </w:numPr>
        <w:rPr>
          <w:rFonts w:ascii="Arial" w:cs="Arial" w:eastAsia="Arial" w:hAnsi="Arial"/>
          <w:sz w:val="17"/>
          <w:szCs w:val="17"/>
          <w:color w:val="auto"/>
        </w:rPr>
      </w:pPr>
      <w:r>
        <w:rPr>
          <w:rFonts w:ascii="Arial" w:cs="Arial" w:eastAsia="Arial" w:hAnsi="Arial"/>
          <w:sz w:val="17"/>
          <w:szCs w:val="17"/>
          <w:color w:val="auto"/>
        </w:rPr>
        <w:t>Promptly after the restriction set forth in subparagraph (c)(i) above shall terminate as to any shares of Restricted Stock, the participant to whom such shares were awarded (or the participant’s estate, as the case may be) shall pay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92710</wp:posOffset>
            </wp:positionV>
            <wp:extent cx="727837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02"/>
          </w:cols>
          <w:pgMar w:left="1398" w:top="367" w:right="899" w:bottom="1440" w:gutter="0" w:footer="0" w:header="0"/>
        </w:sectPr>
      </w:pPr>
    </w:p>
    <w:bookmarkStart w:id="130" w:name="page131"/>
    <w:bookmarkEnd w:id="130"/>
    <w:p>
      <w:pPr>
        <w:ind w:left="1781" w:right="760"/>
        <w:spacing w:after="0" w:line="246" w:lineRule="auto"/>
        <w:rPr>
          <w:sz w:val="20"/>
          <w:szCs w:val="20"/>
          <w:color w:val="auto"/>
        </w:rPr>
      </w:pPr>
      <w:r>
        <w:rPr>
          <w:rFonts w:ascii="Arial" w:cs="Arial" w:eastAsia="Arial" w:hAnsi="Arial"/>
          <w:sz w:val="17"/>
          <w:szCs w:val="17"/>
          <w:color w:val="auto"/>
        </w:rPr>
        <w:t>the amount of all Federal, state and local withholding taxes payable on the compensation represented by such shares, and upon receipt of such payment the Company shall deliver to the par ticipant a stock certificate or certificates for such shares. Alternatively, pursuant to rules established by the Compensation Committee, a participant may elect to receive all or a portion of the participant’s award in the form of cash in lieu of shares, based on the fair market value (the mean between the high and low price per share on the New York Stock Exchange) of such shares on the date the restrictions set forth in subparagraph (c)(i) above shall terminate; and the Company will deduct the amount of all withholding taxes payable on the compensation represented by such shares from the cash value of the shares to be paid to the participant.</w:t>
      </w:r>
    </w:p>
    <w:p>
      <w:pPr>
        <w:spacing w:after="0" w:line="200" w:lineRule="exact"/>
        <w:rPr>
          <w:sz w:val="20"/>
          <w:szCs w:val="20"/>
          <w:color w:val="auto"/>
        </w:rPr>
      </w:pPr>
    </w:p>
    <w:p>
      <w:pPr>
        <w:spacing w:after="0" w:line="319" w:lineRule="exact"/>
        <w:rPr>
          <w:sz w:val="20"/>
          <w:szCs w:val="20"/>
          <w:color w:val="auto"/>
        </w:rPr>
      </w:pPr>
    </w:p>
    <w:p>
      <w:pPr>
        <w:jc w:val="both"/>
        <w:ind w:left="1781" w:right="640" w:hanging="589"/>
        <w:spacing w:after="0" w:line="252" w:lineRule="auto"/>
        <w:tabs>
          <w:tab w:leader="none" w:pos="1774" w:val="left"/>
        </w:tabs>
        <w:numPr>
          <w:ilvl w:val="2"/>
          <w:numId w:val="91"/>
        </w:numPr>
        <w:rPr>
          <w:rFonts w:ascii="Arial" w:cs="Arial" w:eastAsia="Arial" w:hAnsi="Arial"/>
          <w:sz w:val="17"/>
          <w:szCs w:val="17"/>
          <w:color w:val="auto"/>
        </w:rPr>
      </w:pPr>
      <w:r>
        <w:rPr>
          <w:rFonts w:ascii="Arial" w:cs="Arial" w:eastAsia="Arial" w:hAnsi="Arial"/>
          <w:sz w:val="17"/>
          <w:szCs w:val="17"/>
          <w:color w:val="auto"/>
        </w:rPr>
        <w:t>As long as shares of Restricted Stock remain registered in the name of a participant, such participant shall be entitled to all the attributes of owner ship of such shares (subject to the restriction on transfer referred to above), including the right to vote such shares and to receive all dividends de clared and paid on such shares.</w:t>
      </w:r>
    </w:p>
    <w:p>
      <w:pPr>
        <w:spacing w:after="0" w:line="200" w:lineRule="exact"/>
        <w:rPr>
          <w:rFonts w:ascii="Arial" w:cs="Arial" w:eastAsia="Arial" w:hAnsi="Arial"/>
          <w:sz w:val="17"/>
          <w:szCs w:val="17"/>
          <w:color w:val="auto"/>
        </w:rPr>
      </w:pPr>
    </w:p>
    <w:p>
      <w:pPr>
        <w:spacing w:after="0" w:line="301" w:lineRule="exact"/>
        <w:rPr>
          <w:rFonts w:ascii="Arial" w:cs="Arial" w:eastAsia="Arial" w:hAnsi="Arial"/>
          <w:sz w:val="17"/>
          <w:szCs w:val="17"/>
          <w:color w:val="auto"/>
        </w:rPr>
      </w:pPr>
    </w:p>
    <w:p>
      <w:pPr>
        <w:ind w:left="1" w:right="800" w:firstLine="1158"/>
        <w:spacing w:after="0" w:line="260" w:lineRule="auto"/>
        <w:tabs>
          <w:tab w:leader="none" w:pos="1459"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shares of Common Stock issued to recipi ents of Restricted Stock awards shall be issued from previ ously issued and outstanding shares held in the Treasury of the Company.</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1" w:right="80" w:firstLine="1158"/>
        <w:spacing w:after="0" w:line="249" w:lineRule="auto"/>
        <w:tabs>
          <w:tab w:leader="none" w:pos="1465" w:val="left"/>
        </w:tabs>
        <w:numPr>
          <w:ilvl w:val="1"/>
          <w:numId w:val="92"/>
        </w:numPr>
        <w:rPr>
          <w:rFonts w:ascii="Arial" w:cs="Arial" w:eastAsia="Arial" w:hAnsi="Arial"/>
          <w:sz w:val="17"/>
          <w:szCs w:val="17"/>
          <w:color w:val="auto"/>
        </w:rPr>
      </w:pPr>
      <w:r>
        <w:rPr>
          <w:rFonts w:ascii="Arial" w:cs="Arial" w:eastAsia="Arial" w:hAnsi="Arial"/>
          <w:sz w:val="17"/>
          <w:szCs w:val="17"/>
          <w:color w:val="auto"/>
        </w:rPr>
        <w:t>The total number of shares of Common Stock that may be awarded as Restricted Stock under the Plan shall not exceed 625,000 shares; provided, however, that effective November 1, 1991, shares which revert to the Company in accordance with para graph 9(c)(iii) shall be deemed to have been awarded as Restricted Stock for purposes of determining the number of shares of Restricted Stock remaining available to be awarded hereunder.</w:t>
      </w:r>
    </w:p>
    <w:p>
      <w:pPr>
        <w:spacing w:after="0" w:line="200" w:lineRule="exact"/>
        <w:rPr>
          <w:rFonts w:ascii="Arial" w:cs="Arial" w:eastAsia="Arial" w:hAnsi="Arial"/>
          <w:sz w:val="17"/>
          <w:szCs w:val="17"/>
          <w:color w:val="auto"/>
        </w:rPr>
      </w:pPr>
    </w:p>
    <w:p>
      <w:pPr>
        <w:spacing w:after="0" w:line="316" w:lineRule="exact"/>
        <w:rPr>
          <w:rFonts w:ascii="Arial" w:cs="Arial" w:eastAsia="Arial" w:hAnsi="Arial"/>
          <w:sz w:val="17"/>
          <w:szCs w:val="17"/>
          <w:color w:val="auto"/>
        </w:rPr>
      </w:pPr>
    </w:p>
    <w:p>
      <w:pPr>
        <w:ind w:left="341" w:hanging="341"/>
        <w:spacing w:after="0"/>
        <w:tabs>
          <w:tab w:leader="none" w:pos="34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Performance Units and Special Long-Term Incentive Awards</w:t>
      </w:r>
    </w:p>
    <w:p>
      <w:pPr>
        <w:spacing w:after="0" w:line="300" w:lineRule="exact"/>
        <w:rPr>
          <w:rFonts w:ascii="Arial" w:cs="Arial" w:eastAsia="Arial" w:hAnsi="Arial"/>
          <w:sz w:val="17"/>
          <w:szCs w:val="17"/>
          <w:color w:val="auto"/>
        </w:rPr>
      </w:pPr>
    </w:p>
    <w:p>
      <w:pPr>
        <w:ind w:left="1" w:firstLine="1158"/>
        <w:spacing w:after="0" w:line="245" w:lineRule="auto"/>
        <w:tabs>
          <w:tab w:leader="none" w:pos="1469" w:val="left"/>
        </w:tabs>
        <w:numPr>
          <w:ilvl w:val="1"/>
          <w:numId w:val="93"/>
        </w:numPr>
        <w:rPr>
          <w:rFonts w:ascii="Arial" w:cs="Arial" w:eastAsia="Arial" w:hAnsi="Arial"/>
          <w:sz w:val="17"/>
          <w:szCs w:val="17"/>
          <w:color w:val="auto"/>
        </w:rPr>
      </w:pPr>
      <w:r>
        <w:rPr>
          <w:rFonts w:ascii="Arial" w:cs="Arial" w:eastAsia="Arial" w:hAnsi="Arial"/>
          <w:sz w:val="17"/>
          <w:szCs w:val="17"/>
          <w:color w:val="auto"/>
        </w:rPr>
        <w:t>During the term of the Plan, the Committee shall from time to time designate the participants who are to receive awards of Performance Units and Special Long-Term Incentive Awards, the number of Performance Units or other terms and conditions as may be applicable, and the date on which the participant shall be entitled to payment under a Special Long-Term Incentive Award (such being hereinafter called the “Incentive Vesting Date”). In no case may the Incentive Vesting Date designated by the Committee be less than one year nor more than six years from the date of the award of the Special Long-Term Incentive Award to which it relates. If the Committee so determines, a single award of a Special Long-Term Incentive Award can provide for more than one Vesting Date with a portion of the full award to vest on each specified Vesting Date. To each participant designated to receive an award of Performance Units there shall be issued a Performance Unit Certificate representing such number of Performance Units with a nominal value of $100 each as the Committee shall determine; provided, however, that the total nominal value of Performance Units awarded to a partic ipant for any Award Cycle shall not exceed 300% of such participant's base salary at the date of such award.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0" w:lineRule="exact"/>
        <w:rPr>
          <w:rFonts w:ascii="Arial" w:cs="Arial" w:eastAsia="Arial" w:hAnsi="Arial"/>
          <w:sz w:val="17"/>
          <w:szCs w:val="17"/>
          <w:color w:val="auto"/>
        </w:rPr>
      </w:pPr>
    </w:p>
    <w:p>
      <w:pPr>
        <w:ind w:left="1" w:firstLine="1158"/>
        <w:spacing w:after="0" w:line="250" w:lineRule="auto"/>
        <w:tabs>
          <w:tab w:leader="none" w:pos="1469" w:val="left"/>
        </w:tabs>
        <w:numPr>
          <w:ilvl w:val="1"/>
          <w:numId w:val="93"/>
        </w:numPr>
        <w:rPr>
          <w:rFonts w:ascii="Arial" w:cs="Arial" w:eastAsia="Arial" w:hAnsi="Arial"/>
          <w:sz w:val="17"/>
          <w:szCs w:val="17"/>
          <w:color w:val="auto"/>
        </w:rPr>
      </w:pPr>
      <w:r>
        <w:rPr>
          <w:rFonts w:ascii="Arial" w:cs="Arial" w:eastAsia="Arial" w:hAnsi="Arial"/>
          <w:sz w:val="17"/>
          <w:szCs w:val="17"/>
          <w:color w:val="auto"/>
        </w:rPr>
        <w:t>No later than 90 days after the beginning of each Award Cycle or the beginning of the applicable vesting period of a Special Long-Term Incentive Award</w:t>
      </w:r>
      <w:r>
        <w:rPr>
          <w:rFonts w:ascii="Arial" w:cs="Arial" w:eastAsia="Arial" w:hAnsi="Arial"/>
          <w:sz w:val="17"/>
          <w:szCs w:val="17"/>
          <w:b w:val="1"/>
          <w:bCs w:val="1"/>
          <w:color w:val="auto"/>
        </w:rPr>
        <w:t>,</w:t>
      </w:r>
      <w:r>
        <w:rPr>
          <w:rFonts w:ascii="Arial" w:cs="Arial" w:eastAsia="Arial" w:hAnsi="Arial"/>
          <w:sz w:val="17"/>
          <w:szCs w:val="17"/>
          <w:color w:val="auto"/>
        </w:rPr>
        <w:t xml:space="preserve"> the Committee shall establish in writing a method for determining the earned value of (A) a Performance Unit at the end of such Award Cycle (hereinafter called the Payout Value) or (B) the Special Long-Term Incentive Award, in either case based on performance goals over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7278370"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367" w:right="239" w:bottom="1440" w:gutter="0" w:footer="0" w:header="0"/>
        </w:sectPr>
      </w:pPr>
    </w:p>
    <w:bookmarkStart w:id="131" w:name="page132"/>
    <w:bookmarkEnd w:id="131"/>
    <w:p>
      <w:pPr>
        <w:spacing w:after="0" w:line="199" w:lineRule="exact"/>
        <w:rPr>
          <w:sz w:val="20"/>
          <w:szCs w:val="20"/>
          <w:color w:val="auto"/>
        </w:rPr>
      </w:pPr>
      <w:r>
        <w:rPr>
          <w:rFonts w:ascii="Arial" w:cs="Arial" w:eastAsia="Arial" w:hAnsi="Arial"/>
          <w:sz w:val="17"/>
          <w:szCs w:val="17"/>
          <w:color w:val="auto"/>
        </w:rPr>
        <w:t xml:space="preserve">period of the Award Cycle or the vesting period in the case of a Special Long-Term Incentive Award related to one or more of the following: operat </w:t>
      </w:r>
      <w:r>
        <w:rPr>
          <w:rFonts w:ascii="MS PGothic" w:cs="MS PGothic" w:eastAsia="MS PGothic" w:hAnsi="MS PGothic"/>
          <w:sz w:val="17"/>
          <w:szCs w:val="17"/>
          <w:color w:val="auto"/>
        </w:rPr>
        <w:t>‐</w:t>
      </w:r>
      <w:r>
        <w:rPr>
          <w:rFonts w:ascii="Arial" w:cs="Arial" w:eastAsia="Arial" w:hAnsi="Arial"/>
          <w:sz w:val="17"/>
          <w:szCs w:val="17"/>
          <w:color w:val="auto"/>
        </w:rPr>
        <w:t xml:space="preserve"> ing income, cash flow, shareholder return, earnings per share </w:t>
      </w:r>
      <w:r>
        <w:rPr>
          <w:rFonts w:ascii="Arial" w:cs="Arial" w:eastAsia="Arial" w:hAnsi="Arial"/>
          <w:sz w:val="17"/>
          <w:szCs w:val="17"/>
          <w:b w:val="1"/>
          <w:bCs w:val="1"/>
          <w:color w:val="auto"/>
        </w:rPr>
        <w:t>,</w:t>
      </w:r>
      <w:r>
        <w:rPr>
          <w:rFonts w:ascii="Arial" w:cs="Arial" w:eastAsia="Arial" w:hAnsi="Arial"/>
          <w:sz w:val="17"/>
          <w:szCs w:val="17"/>
          <w:color w:val="auto"/>
        </w:rPr>
        <w:t xml:space="preserve"> return on assets, return on equity, operating margins, cost control, customer satisfaction, cash flow margins, economic value added (EVA) and/or other quantitative revenue, growth or profitability measure ments, which may be in respect of the Company, as a whole, or any business unit there of; provided, however, that such method shall provide that (i) no Payout Value may exceed $200 and the payment of an award of Performance Units to any participant at the end of an Award Cycle shall be the lesser of $5 mil lion or the amount determined by multiplying the Payout Value times the number of Performance Units granted to such partic ipant</w:t>
      </w:r>
      <w:r>
        <w:rPr>
          <w:rFonts w:ascii="Arial" w:cs="Arial" w:eastAsia="Arial" w:hAnsi="Arial"/>
          <w:sz w:val="17"/>
          <w:szCs w:val="17"/>
          <w:b w:val="1"/>
          <w:bCs w:val="1"/>
          <w:color w:val="auto"/>
        </w:rPr>
        <w:t>,</w:t>
      </w:r>
      <w:r>
        <w:rPr>
          <w:rFonts w:ascii="Arial" w:cs="Arial" w:eastAsia="Arial" w:hAnsi="Arial"/>
          <w:sz w:val="17"/>
          <w:szCs w:val="17"/>
          <w:color w:val="auto"/>
        </w:rPr>
        <w:t xml:space="preserve"> (ii) the payment of a Special Long-Term Incentive Award to any participant at the end of the vesting period for such award shall not exceed $5 million and (iii) the aggregate value of the Performance Units and any Special Long-Term Incentive Award payable to any participant with respect to any fiscal year shall not exceed $10 million. Notwithstanding the foregoing, in the case of a participant who is the president or chief executive officer of one of the Company’s business units (not including the President or Chief Executive Officer of the Company), the aggregate value of the Performance Units and any Special Long-Term Incentive Award payable to such participant with respect to any fiscal year shall not exceed in value 1% of such business unit’s revenue for the for the fiscal year with respect of which the award is to be paid.</w:t>
      </w:r>
    </w:p>
    <w:p>
      <w:pPr>
        <w:spacing w:after="0" w:line="200" w:lineRule="exact"/>
        <w:rPr>
          <w:sz w:val="20"/>
          <w:szCs w:val="20"/>
          <w:color w:val="auto"/>
        </w:rPr>
      </w:pPr>
    </w:p>
    <w:p>
      <w:pPr>
        <w:spacing w:after="0" w:line="332" w:lineRule="exact"/>
        <w:rPr>
          <w:sz w:val="20"/>
          <w:szCs w:val="20"/>
          <w:color w:val="auto"/>
        </w:rPr>
      </w:pPr>
    </w:p>
    <w:p>
      <w:pPr>
        <w:ind w:firstLine="1158"/>
        <w:spacing w:after="0" w:line="249" w:lineRule="auto"/>
        <w:tabs>
          <w:tab w:leader="none" w:pos="1458"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a participant's employment by the Company terminates for any reason (whether voluntary or involuntary and including death or disability) before the end of an Award Cycle for which the participant was granted Performance Units or before Incentive Vesting Date, the participant shall be entitled to such percentage of the Payout Value of said Performance Units or the payment due under said Special Long-Term Incentive Award, if any, as shall be determined after the end of such Award Cycle or the Incentive Vesting Date, in accordance with the following provisions:</w:t>
      </w:r>
    </w:p>
    <w:p>
      <w:pPr>
        <w:spacing w:after="0" w:line="200" w:lineRule="exact"/>
        <w:rPr>
          <w:sz w:val="20"/>
          <w:szCs w:val="20"/>
          <w:color w:val="auto"/>
        </w:rPr>
      </w:pPr>
    </w:p>
    <w:p>
      <w:pPr>
        <w:spacing w:after="0" w:line="304" w:lineRule="exact"/>
        <w:rPr>
          <w:sz w:val="20"/>
          <w:szCs w:val="20"/>
          <w:color w:val="auto"/>
        </w:rPr>
      </w:pPr>
    </w:p>
    <w:p>
      <w:pPr>
        <w:ind w:left="1780" w:right="840" w:hanging="589"/>
        <w:spacing w:after="0" w:line="260" w:lineRule="auto"/>
        <w:tabs>
          <w:tab w:leader="none" w:pos="1686"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termination occurs two or more years after the effective date of the award, such percentage, if any (but not greater than the Pro-Rated Percent age), as the Committee may, in its sole discretion, determine; and</w:t>
      </w:r>
    </w:p>
    <w:p>
      <w:pPr>
        <w:spacing w:after="0" w:line="345" w:lineRule="exact"/>
        <w:rPr>
          <w:rFonts w:ascii="Arial" w:cs="Arial" w:eastAsia="Arial" w:hAnsi="Arial"/>
          <w:sz w:val="17"/>
          <w:szCs w:val="17"/>
          <w:color w:val="auto"/>
        </w:rPr>
      </w:pPr>
    </w:p>
    <w:p>
      <w:pPr>
        <w:ind w:left="1780" w:right="1080" w:hanging="589"/>
        <w:spacing w:after="0" w:line="260" w:lineRule="auto"/>
        <w:tabs>
          <w:tab w:leader="none" w:pos="1763" w:val="left"/>
        </w:tabs>
        <w:numPr>
          <w:ilvl w:val="1"/>
          <w:numId w:val="95"/>
        </w:numPr>
        <w:rPr>
          <w:rFonts w:ascii="Arial" w:cs="Arial" w:eastAsia="Arial" w:hAnsi="Arial"/>
          <w:sz w:val="17"/>
          <w:szCs w:val="17"/>
          <w:color w:val="auto"/>
        </w:rPr>
      </w:pPr>
      <w:r>
        <w:rPr>
          <w:rFonts w:ascii="Arial" w:cs="Arial" w:eastAsia="Arial" w:hAnsi="Arial"/>
          <w:sz w:val="17"/>
          <w:szCs w:val="17"/>
          <w:color w:val="auto"/>
        </w:rPr>
        <w:t>if termination occurs within two years from the effective date of the award, no percentage of the Payout Value or payment under a Special Long-Term Incentive Award shall be paid.</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ind w:right="40" w:firstLine="1158"/>
        <w:spacing w:after="0" w:line="246" w:lineRule="auto"/>
        <w:tabs>
          <w:tab w:leader="none" w:pos="1458" w:val="left"/>
        </w:tabs>
        <w:numPr>
          <w:ilvl w:val="0"/>
          <w:numId w:val="96"/>
        </w:numPr>
        <w:rPr>
          <w:rFonts w:ascii="Arial" w:cs="Arial" w:eastAsia="Arial" w:hAnsi="Arial"/>
          <w:sz w:val="17"/>
          <w:szCs w:val="17"/>
          <w:color w:val="auto"/>
        </w:rPr>
      </w:pPr>
      <w:r>
        <w:rPr>
          <w:rFonts w:ascii="Arial" w:cs="Arial" w:eastAsia="Arial" w:hAnsi="Arial"/>
          <w:sz w:val="17"/>
          <w:szCs w:val="17"/>
          <w:color w:val="auto"/>
        </w:rPr>
        <w:t>As promptly as practicable after (i) the end of each Award Cycle and in the calendar year that begins closest to the last day of the Award Cycle or (ii) the Incentive Vesting Date, but no later than 75 days after the end of the calendar year of the Incentive Vesting Date, the Payout Value of a Performance Unit award ed at the beginning of such Award Cycle or the payment due under the Special Long-Term Incentive Award, as the case may be, shall be calcu lated and paid (unless otherwise deferred as provided herein) in cash to the recipients awarded such awards after deduction of all Federal, state and local with holding taxes payable on the compensation represented there by. In addition, the Committee may, in its sole discretion, establish terms and conditions under which a participant may elect to defer the payment of the Payout Value of a Performance Unit or the payment of the Special Long-Term Incentive Award in whole or in part pursuant to the terms of the Deferred Compensation Plan.</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right="20" w:firstLine="1158"/>
        <w:spacing w:after="0" w:line="249" w:lineRule="auto"/>
        <w:tabs>
          <w:tab w:leader="none" w:pos="1468" w:val="left"/>
        </w:tabs>
        <w:numPr>
          <w:ilvl w:val="0"/>
          <w:numId w:val="96"/>
        </w:numPr>
        <w:rPr>
          <w:rFonts w:ascii="Arial" w:cs="Arial" w:eastAsia="Arial" w:hAnsi="Arial"/>
          <w:sz w:val="17"/>
          <w:szCs w:val="17"/>
          <w:color w:val="auto"/>
        </w:rPr>
      </w:pPr>
      <w:r>
        <w:rPr>
          <w:rFonts w:ascii="Arial" w:cs="Arial" w:eastAsia="Arial" w:hAnsi="Arial"/>
          <w:sz w:val="17"/>
          <w:szCs w:val="17"/>
          <w:color w:val="auto"/>
        </w:rPr>
        <w:t>For purposes of paragraphs 10(c) and 10(d), and notwithstanding any contrary terms thereof , in the event a participant takes one or more unpaid leave(s) of absence where the leave is greater than ninety (90) days in duration at any time during an Award Cycle or during the vesting period of a Special Long-Term Incentive Award, the payment of the Payout Value of the Performance Units or Special Long-Term Incentive Award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86360</wp:posOffset>
            </wp:positionV>
            <wp:extent cx="727837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32" w:name="page133"/>
    <w:bookmarkEnd w:id="132"/>
    <w:p>
      <w:pPr>
        <w:ind w:left="1" w:right="60"/>
        <w:spacing w:after="0" w:line="245" w:lineRule="auto"/>
        <w:rPr>
          <w:sz w:val="20"/>
          <w:szCs w:val="20"/>
          <w:color w:val="auto"/>
        </w:rPr>
      </w:pPr>
      <w:r>
        <w:rPr>
          <w:rFonts w:ascii="Arial" w:cs="Arial" w:eastAsia="Arial" w:hAnsi="Arial"/>
          <w:sz w:val="17"/>
          <w:szCs w:val="17"/>
          <w:color w:val="auto"/>
        </w:rPr>
        <w:t>that participant shall be determined as if the duration of the Award Cycle or applicable the vesting period were extended by a period equal to the number of days that the participant was out on such leave(s) of absence and by not giving the participant credit for the period of employment during the Award Cycle or vesting period when the participant was on such leave of absence. Thus, for example, if a participant was away from work on a leave of absence for one year during a four-year Award Cycle, the percentage of the Payout Value of the Performance Units payable to that participant would be 100% only if the participant had at least one year of active employment after the end of the Award Cycle, and if such additional period of active employment was not completed, the Committee, in its exercise of discretion to determine a Pro-Rated Percentage under paragraph 10(c)(i), would make that determination in a manner consistent with paragraph 9(c)(iii)(A). In any such case, the Payout Value of the Performance Units or the payment of the Special Long-Term Incentive Award payable to the participant shall be paid as soon as practicable after the participant becomes entitled to payment by completing the additional period of active employment or by reason of the Committee’s exercise of discretion under paragraph 10(c)(i), but no later than seventy-five (75) days after the end of the calendar year in which the participant attains such vested payment right.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 w:right="100" w:firstLine="1158"/>
        <w:spacing w:after="0" w:line="249" w:lineRule="auto"/>
        <w:tabs>
          <w:tab w:leader="none" w:pos="1410" w:val="left"/>
        </w:tabs>
        <w:numPr>
          <w:ilvl w:val="1"/>
          <w:numId w:val="97"/>
        </w:numPr>
        <w:rPr>
          <w:rFonts w:ascii="Arial" w:cs="Arial" w:eastAsia="Arial" w:hAnsi="Arial"/>
          <w:sz w:val="17"/>
          <w:szCs w:val="17"/>
          <w:color w:val="auto"/>
        </w:rPr>
      </w:pPr>
      <w:r>
        <w:rPr>
          <w:rFonts w:ascii="Arial" w:cs="Arial" w:eastAsia="Arial" w:hAnsi="Arial"/>
          <w:sz w:val="17"/>
          <w:szCs w:val="17"/>
          <w:color w:val="auto"/>
        </w:rPr>
        <w:t>At the end of each Award Cycle, the Committee may, in its sole discretion, award to those senior executives of the Company and its subsidiaries who are not “executive officers” of the Company and whose performance during such Award Cycle the Committee believes merits special recog nition cash bonuses in an aggre gate amount not to exceed 10% of the aggregate Payout Value of all Performance Units that become vested and payable with respect to such Award Cycle.</w:t>
      </w:r>
    </w:p>
    <w:p>
      <w:pPr>
        <w:spacing w:after="0" w:line="200" w:lineRule="exact"/>
        <w:rPr>
          <w:rFonts w:ascii="Arial" w:cs="Arial" w:eastAsia="Arial" w:hAnsi="Arial"/>
          <w:sz w:val="17"/>
          <w:szCs w:val="17"/>
          <w:color w:val="auto"/>
        </w:rPr>
      </w:pPr>
    </w:p>
    <w:p>
      <w:pPr>
        <w:spacing w:after="0" w:line="304" w:lineRule="exact"/>
        <w:rPr>
          <w:rFonts w:ascii="Arial" w:cs="Arial" w:eastAsia="Arial" w:hAnsi="Arial"/>
          <w:sz w:val="17"/>
          <w:szCs w:val="17"/>
          <w:color w:val="auto"/>
        </w:rPr>
      </w:pPr>
    </w:p>
    <w:p>
      <w:pPr>
        <w:ind w:left="301" w:hanging="301"/>
        <w:spacing w:after="0"/>
        <w:tabs>
          <w:tab w:leader="none" w:pos="301"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Expenses</w:t>
      </w:r>
    </w:p>
    <w:p>
      <w:pPr>
        <w:spacing w:after="0" w:line="202" w:lineRule="exact"/>
        <w:rPr>
          <w:sz w:val="20"/>
          <w:szCs w:val="20"/>
          <w:color w:val="auto"/>
        </w:rPr>
      </w:pPr>
    </w:p>
    <w:p>
      <w:pPr>
        <w:ind w:left="1161"/>
        <w:spacing w:after="0"/>
        <w:rPr>
          <w:sz w:val="20"/>
          <w:szCs w:val="20"/>
          <w:color w:val="auto"/>
        </w:rPr>
      </w:pPr>
      <w:r>
        <w:rPr>
          <w:rFonts w:ascii="Arial" w:cs="Arial" w:eastAsia="Arial" w:hAnsi="Arial"/>
          <w:sz w:val="17"/>
          <w:szCs w:val="17"/>
          <w:color w:val="auto"/>
        </w:rPr>
        <w:t>The expenses of administering this Plan shall be borne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1" w:hanging="301"/>
        <w:spacing w:after="0"/>
        <w:tabs>
          <w:tab w:leader="none" w:pos="30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Adjustments in Class B Common Stock</w:t>
      </w:r>
    </w:p>
    <w:p>
      <w:pPr>
        <w:spacing w:after="0" w:line="301" w:lineRule="exact"/>
        <w:rPr>
          <w:sz w:val="20"/>
          <w:szCs w:val="20"/>
          <w:color w:val="auto"/>
        </w:rPr>
      </w:pPr>
    </w:p>
    <w:p>
      <w:pPr>
        <w:ind w:left="1" w:right="120" w:firstLine="1159"/>
        <w:spacing w:after="0" w:line="249" w:lineRule="auto"/>
        <w:rPr>
          <w:sz w:val="20"/>
          <w:szCs w:val="20"/>
          <w:color w:val="auto"/>
        </w:rPr>
      </w:pPr>
      <w:r>
        <w:rPr>
          <w:rFonts w:ascii="Arial" w:cs="Arial" w:eastAsia="Arial" w:hAnsi="Arial"/>
          <w:sz w:val="17"/>
          <w:szCs w:val="17"/>
          <w:color w:val="auto"/>
        </w:rPr>
        <w:t>In the event of any change or changes in the outstanding shares of Common Stock by reason of any stock divi dend, split-up, recapitalization, combination or exchange of shares, merger, consolidation, separation, reorganization, liquidation or the like, the class and aggregate number of shares that may be awarded as Restricted Stock under the Plan after any such change shall be appropriately adjusted by the Committee, whose determination shall be conclusive.</w:t>
      </w:r>
    </w:p>
    <w:p>
      <w:pPr>
        <w:spacing w:after="0" w:line="200" w:lineRule="exact"/>
        <w:rPr>
          <w:sz w:val="20"/>
          <w:szCs w:val="20"/>
          <w:color w:val="auto"/>
        </w:rPr>
      </w:pPr>
    </w:p>
    <w:p>
      <w:pPr>
        <w:spacing w:after="0" w:line="317" w:lineRule="exact"/>
        <w:rPr>
          <w:sz w:val="20"/>
          <w:szCs w:val="20"/>
          <w:color w:val="auto"/>
        </w:rPr>
      </w:pPr>
    </w:p>
    <w:p>
      <w:pPr>
        <w:ind w:left="621" w:hanging="323"/>
        <w:spacing w:after="0"/>
        <w:tabs>
          <w:tab w:leader="none" w:pos="62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Amendment</w:t>
      </w:r>
    </w:p>
    <w:p>
      <w:pPr>
        <w:spacing w:after="0" w:line="202" w:lineRule="exact"/>
        <w:rPr>
          <w:sz w:val="20"/>
          <w:szCs w:val="20"/>
          <w:color w:val="auto"/>
        </w:rPr>
      </w:pPr>
    </w:p>
    <w:p>
      <w:pPr>
        <w:ind w:left="1" w:firstLine="1191"/>
        <w:spacing w:after="0" w:line="246" w:lineRule="auto"/>
        <w:rPr>
          <w:sz w:val="20"/>
          <w:szCs w:val="20"/>
          <w:color w:val="auto"/>
        </w:rPr>
      </w:pPr>
      <w:r>
        <w:rPr>
          <w:rFonts w:ascii="Arial" w:cs="Arial" w:eastAsia="Arial" w:hAnsi="Arial"/>
          <w:sz w:val="17"/>
          <w:szCs w:val="17"/>
          <w:color w:val="auto"/>
        </w:rPr>
        <w:t>The Board of Directors of the Company shall have complete power and authority to amend, suspend or discontinue this Plan; provided, however, that the Board of Directors shall not, without the approval of the shareholders of the Company in accordance with the requirements of the law of the State of Delaware (A) increase either (i) the maximum number of shares of Restricted Stock that may be awarded under the Plan, (ii) the maximum number of shares of Restricted Stock or Performance Units that may be awarded to a participant, (iii) the maximum Payout Value of a Performance Unit or a Special Long-Term Incentive Award, or (iv) the percentage ceiling on the aggregate amount of bonuses which may be awarded pursuant to paragraph 10(f) or (B) make any amendment which would permit the incentive provision of any year provided in paragraph 6 hereof to exceed the limitations set forth in said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7837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1"/>
          </w:cols>
          <w:pgMar w:left="239" w:top="367" w:right="279" w:bottom="1440" w:gutter="0" w:footer="0" w:header="0"/>
        </w:sectPr>
      </w:pPr>
    </w:p>
    <w:bookmarkStart w:id="133" w:name="page134"/>
    <w:bookmarkEnd w:id="1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7"/>
        </w:trPr>
        <w:tc>
          <w:tcPr>
            <w:tcW w:w="7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00" w:type="dxa"/>
            <w:vAlign w:val="bottom"/>
          </w:tcPr>
          <w:p>
            <w:pPr>
              <w:jc w:val="center"/>
              <w:ind w:left="257"/>
              <w:spacing w:after="0"/>
              <w:rPr>
                <w:sz w:val="20"/>
                <w:szCs w:val="20"/>
                <w:color w:val="auto"/>
              </w:rPr>
            </w:pPr>
            <w:r>
              <w:rPr>
                <w:rFonts w:ascii="Arial" w:cs="Arial" w:eastAsia="Arial" w:hAnsi="Arial"/>
                <w:sz w:val="17"/>
                <w:szCs w:val="17"/>
                <w:color w:val="auto"/>
                <w:w w:val="97"/>
              </w:rPr>
              <w:t>EXHIBIT 21</w:t>
            </w:r>
          </w:p>
        </w:tc>
        <w:tc>
          <w:tcPr>
            <w:tcW w:w="260" w:type="dxa"/>
            <w:vAlign w:val="bottom"/>
          </w:tcPr>
          <w:p>
            <w:pPr>
              <w:spacing w:after="0"/>
              <w:rPr>
                <w:sz w:val="17"/>
                <w:szCs w:val="17"/>
                <w:color w:val="auto"/>
              </w:rPr>
            </w:pPr>
          </w:p>
        </w:tc>
      </w:tr>
      <w:tr>
        <w:trPr>
          <w:trHeight w:val="361"/>
        </w:trPr>
        <w:tc>
          <w:tcPr>
            <w:tcW w:w="7120" w:type="dxa"/>
            <w:vAlign w:val="bottom"/>
          </w:tcPr>
          <w:p>
            <w:pPr>
              <w:spacing w:after="0"/>
              <w:rPr>
                <w:sz w:val="24"/>
                <w:szCs w:val="24"/>
                <w:color w:val="auto"/>
              </w:rPr>
            </w:pPr>
          </w:p>
        </w:tc>
        <w:tc>
          <w:tcPr>
            <w:tcW w:w="2540" w:type="dxa"/>
            <w:vAlign w:val="bottom"/>
          </w:tcPr>
          <w:p>
            <w:pPr>
              <w:jc w:val="right"/>
              <w:ind w:right="477"/>
              <w:spacing w:after="0"/>
              <w:rPr>
                <w:sz w:val="20"/>
                <w:szCs w:val="20"/>
                <w:color w:val="auto"/>
              </w:rPr>
            </w:pPr>
            <w:r>
              <w:rPr>
                <w:rFonts w:ascii="Arial" w:cs="Arial" w:eastAsia="Arial" w:hAnsi="Arial"/>
                <w:sz w:val="17"/>
                <w:szCs w:val="17"/>
                <w:color w:val="auto"/>
              </w:rPr>
              <w:t>Jurisdiction</w:t>
            </w:r>
          </w:p>
        </w:tc>
        <w:tc>
          <w:tcPr>
            <w:tcW w:w="1500" w:type="dxa"/>
            <w:vAlign w:val="bottom"/>
          </w:tcPr>
          <w:p>
            <w:pPr>
              <w:jc w:val="center"/>
              <w:ind w:left="257"/>
              <w:spacing w:after="0"/>
              <w:rPr>
                <w:sz w:val="20"/>
                <w:szCs w:val="20"/>
                <w:color w:val="auto"/>
              </w:rPr>
            </w:pPr>
            <w:r>
              <w:rPr>
                <w:rFonts w:ascii="Arial" w:cs="Arial" w:eastAsia="Arial" w:hAnsi="Arial"/>
                <w:sz w:val="17"/>
                <w:szCs w:val="17"/>
                <w:color w:val="auto"/>
                <w:w w:val="96"/>
              </w:rPr>
              <w:t>% of Voting</w:t>
            </w:r>
          </w:p>
        </w:tc>
        <w:tc>
          <w:tcPr>
            <w:tcW w:w="260" w:type="dxa"/>
            <w:vAlign w:val="bottom"/>
          </w:tcPr>
          <w:p>
            <w:pPr>
              <w:spacing w:after="0"/>
              <w:rPr>
                <w:sz w:val="24"/>
                <w:szCs w:val="24"/>
                <w:color w:val="auto"/>
              </w:rPr>
            </w:pPr>
          </w:p>
        </w:tc>
      </w:tr>
      <w:tr>
        <w:trPr>
          <w:trHeight w:val="186"/>
        </w:trPr>
        <w:tc>
          <w:tcPr>
            <w:tcW w:w="7120" w:type="dxa"/>
            <w:vAlign w:val="bottom"/>
          </w:tcPr>
          <w:p>
            <w:pPr>
              <w:spacing w:after="0"/>
              <w:rPr>
                <w:sz w:val="16"/>
                <w:szCs w:val="16"/>
                <w:color w:val="auto"/>
              </w:rPr>
            </w:pPr>
          </w:p>
        </w:tc>
        <w:tc>
          <w:tcPr>
            <w:tcW w:w="2540" w:type="dxa"/>
            <w:vAlign w:val="bottom"/>
          </w:tcPr>
          <w:p>
            <w:pPr>
              <w:jc w:val="right"/>
              <w:ind w:right="297"/>
              <w:spacing w:after="0" w:line="186" w:lineRule="exact"/>
              <w:rPr>
                <w:sz w:val="20"/>
                <w:szCs w:val="20"/>
                <w:color w:val="auto"/>
              </w:rPr>
            </w:pPr>
            <w:r>
              <w:rPr>
                <w:rFonts w:ascii="Arial" w:cs="Arial" w:eastAsia="Arial" w:hAnsi="Arial"/>
                <w:sz w:val="17"/>
                <w:szCs w:val="17"/>
                <w:color w:val="auto"/>
              </w:rPr>
              <w:t>of Incorporation</w:t>
            </w:r>
          </w:p>
        </w:tc>
        <w:tc>
          <w:tcPr>
            <w:tcW w:w="1500" w:type="dxa"/>
            <w:vAlign w:val="bottom"/>
          </w:tcPr>
          <w:p>
            <w:pPr>
              <w:jc w:val="center"/>
              <w:ind w:left="257"/>
              <w:spacing w:after="0" w:line="186" w:lineRule="exact"/>
              <w:rPr>
                <w:sz w:val="20"/>
                <w:szCs w:val="20"/>
                <w:color w:val="auto"/>
              </w:rPr>
            </w:pPr>
            <w:r>
              <w:rPr>
                <w:rFonts w:ascii="Arial" w:cs="Arial" w:eastAsia="Arial" w:hAnsi="Arial"/>
                <w:sz w:val="17"/>
                <w:szCs w:val="17"/>
                <w:color w:val="auto"/>
                <w:w w:val="98"/>
              </w:rPr>
              <w:t>Equity Owned</w:t>
            </w:r>
          </w:p>
        </w:tc>
        <w:tc>
          <w:tcPr>
            <w:tcW w:w="260" w:type="dxa"/>
            <w:vAlign w:val="bottom"/>
          </w:tcPr>
          <w:p>
            <w:pPr>
              <w:spacing w:after="0"/>
              <w:rPr>
                <w:sz w:val="16"/>
                <w:szCs w:val="16"/>
                <w:color w:val="auto"/>
              </w:rPr>
            </w:pPr>
          </w:p>
        </w:tc>
      </w:tr>
      <w:tr>
        <w:trPr>
          <w:trHeight w:val="187"/>
        </w:trPr>
        <w:tc>
          <w:tcPr>
            <w:tcW w:w="7120" w:type="dxa"/>
            <w:vAlign w:val="bottom"/>
            <w:tcBorders>
              <w:bottom w:val="single" w:sz="8" w:color="auto"/>
            </w:tcBorders>
          </w:tcPr>
          <w:p>
            <w:pPr>
              <w:spacing w:after="0" w:line="187" w:lineRule="exact"/>
              <w:rPr>
                <w:sz w:val="20"/>
                <w:szCs w:val="20"/>
                <w:color w:val="auto"/>
              </w:rPr>
            </w:pPr>
            <w:r>
              <w:rPr>
                <w:rFonts w:ascii="Arial" w:cs="Arial" w:eastAsia="Arial" w:hAnsi="Arial"/>
                <w:sz w:val="17"/>
                <w:szCs w:val="17"/>
                <w:color w:val="auto"/>
              </w:rPr>
              <w:t>Name of Subsidiary</w:t>
            </w:r>
          </w:p>
        </w:tc>
        <w:tc>
          <w:tcPr>
            <w:tcW w:w="2540" w:type="dxa"/>
            <w:vAlign w:val="bottom"/>
            <w:tcBorders>
              <w:bottom w:val="single" w:sz="8" w:color="auto"/>
            </w:tcBorders>
          </w:tcPr>
          <w:p>
            <w:pPr>
              <w:jc w:val="right"/>
              <w:ind w:right="317"/>
              <w:spacing w:after="0" w:line="187" w:lineRule="exact"/>
              <w:rPr>
                <w:sz w:val="20"/>
                <w:szCs w:val="20"/>
                <w:color w:val="auto"/>
              </w:rPr>
            </w:pPr>
            <w:r>
              <w:rPr>
                <w:rFonts w:ascii="Arial" w:cs="Arial" w:eastAsia="Arial" w:hAnsi="Arial"/>
                <w:sz w:val="17"/>
                <w:szCs w:val="17"/>
                <w:color w:val="auto"/>
              </w:rPr>
              <w:t>or Organization</w:t>
            </w:r>
          </w:p>
        </w:tc>
        <w:tc>
          <w:tcPr>
            <w:tcW w:w="1500" w:type="dxa"/>
            <w:vAlign w:val="bottom"/>
            <w:tcBorders>
              <w:bottom w:val="single" w:sz="8" w:color="auto"/>
            </w:tcBorders>
          </w:tcPr>
          <w:p>
            <w:pPr>
              <w:jc w:val="center"/>
              <w:ind w:left="257"/>
              <w:spacing w:after="0" w:line="187" w:lineRule="exact"/>
              <w:rPr>
                <w:sz w:val="20"/>
                <w:szCs w:val="20"/>
                <w:color w:val="auto"/>
              </w:rPr>
            </w:pPr>
            <w:r>
              <w:rPr>
                <w:rFonts w:ascii="Arial" w:cs="Arial" w:eastAsia="Arial" w:hAnsi="Arial"/>
                <w:sz w:val="17"/>
                <w:szCs w:val="17"/>
                <w:color w:val="auto"/>
                <w:w w:val="98"/>
              </w:rPr>
              <w:t>by Parent</w:t>
            </w:r>
          </w:p>
        </w:tc>
        <w:tc>
          <w:tcPr>
            <w:tcW w:w="260" w:type="dxa"/>
            <w:vAlign w:val="bottom"/>
            <w:tcBorders>
              <w:bottom w:val="single" w:sz="8" w:color="auto"/>
            </w:tcBorders>
          </w:tcPr>
          <w:p>
            <w:pPr>
              <w:spacing w:after="0"/>
              <w:rPr>
                <w:sz w:val="16"/>
                <w:szCs w:val="16"/>
                <w:color w:val="auto"/>
              </w:rPr>
            </w:pPr>
          </w:p>
        </w:tc>
      </w:tr>
      <w:tr>
        <w:trPr>
          <w:trHeight w:val="388"/>
        </w:trPr>
        <w:tc>
          <w:tcPr>
            <w:tcW w:w="7120" w:type="dxa"/>
            <w:vAlign w:val="bottom"/>
          </w:tcPr>
          <w:p>
            <w:pPr>
              <w:spacing w:after="0"/>
              <w:rPr>
                <w:sz w:val="20"/>
                <w:szCs w:val="20"/>
                <w:color w:val="auto"/>
              </w:rPr>
            </w:pPr>
            <w:r>
              <w:rPr>
                <w:rFonts w:ascii="Arial" w:cs="Arial" w:eastAsia="Arial" w:hAnsi="Arial"/>
                <w:sz w:val="17"/>
                <w:szCs w:val="17"/>
                <w:color w:val="auto"/>
              </w:rPr>
              <w:t>Avenue100 Media Solutions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4"/>
                <w:szCs w:val="24"/>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Bowater Mersey Paper Company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Nova Scotia</w:t>
            </w:r>
          </w:p>
        </w:tc>
        <w:tc>
          <w:tcPr>
            <w:tcW w:w="1500" w:type="dxa"/>
            <w:vAlign w:val="bottom"/>
          </w:tcPr>
          <w:p>
            <w:pPr>
              <w:jc w:val="right"/>
              <w:spacing w:after="0"/>
              <w:rPr>
                <w:sz w:val="20"/>
                <w:szCs w:val="20"/>
                <w:color w:val="auto"/>
              </w:rPr>
            </w:pPr>
            <w:r>
              <w:rPr>
                <w:rFonts w:ascii="Arial" w:cs="Arial" w:eastAsia="Arial" w:hAnsi="Arial"/>
                <w:sz w:val="17"/>
                <w:szCs w:val="17"/>
                <w:color w:val="auto"/>
              </w:rPr>
              <w:t>49 %</w:t>
            </w:r>
          </w:p>
        </w:tc>
        <w:tc>
          <w:tcPr>
            <w:tcW w:w="260" w:type="dxa"/>
            <w:vAlign w:val="bottom"/>
          </w:tcPr>
          <w:p>
            <w:pPr>
              <w:spacing w:after="0"/>
              <w:rPr>
                <w:sz w:val="19"/>
                <w:szCs w:val="19"/>
                <w:color w:val="auto"/>
              </w:rPr>
            </w:pPr>
          </w:p>
        </w:tc>
      </w:tr>
      <w:tr>
        <w:trPr>
          <w:trHeight w:val="236"/>
        </w:trPr>
        <w:tc>
          <w:tcPr>
            <w:tcW w:w="7120" w:type="dxa"/>
            <w:vAlign w:val="bottom"/>
          </w:tcPr>
          <w:p>
            <w:pPr>
              <w:spacing w:after="0"/>
              <w:rPr>
                <w:sz w:val="20"/>
                <w:szCs w:val="20"/>
                <w:color w:val="auto"/>
              </w:rPr>
            </w:pPr>
            <w:r>
              <w:rPr>
                <w:rFonts w:ascii="Arial" w:cs="Arial" w:eastAsia="Arial" w:hAnsi="Arial"/>
                <w:sz w:val="17"/>
                <w:szCs w:val="17"/>
                <w:color w:val="auto"/>
              </w:rPr>
              <w:t>Cable One,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The Daily Herald Company</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Washington</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spacing w:after="0"/>
              <w:rPr>
                <w:sz w:val="20"/>
                <w:szCs w:val="20"/>
                <w:color w:val="auto"/>
              </w:rPr>
            </w:pPr>
            <w:r>
              <w:rPr>
                <w:rFonts w:ascii="Arial" w:cs="Arial" w:eastAsia="Arial" w:hAnsi="Arial"/>
                <w:sz w:val="17"/>
                <w:szCs w:val="17"/>
                <w:color w:val="auto"/>
              </w:rPr>
              <w:t>El Tiempo Latino LLC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Express Publications Company, LCC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spacing w:after="0"/>
              <w:rPr>
                <w:sz w:val="20"/>
                <w:szCs w:val="20"/>
                <w:color w:val="auto"/>
              </w:rPr>
            </w:pPr>
            <w:r>
              <w:rPr>
                <w:rFonts w:ascii="Arial" w:cs="Arial" w:eastAsia="Arial" w:hAnsi="Arial"/>
                <w:sz w:val="17"/>
                <w:szCs w:val="17"/>
                <w:color w:val="auto"/>
              </w:rPr>
              <w:t>Greater Washington Publishing,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iCurrent,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Kaplan,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99.44 %</w:t>
            </w:r>
          </w:p>
        </w:tc>
        <w:tc>
          <w:tcPr>
            <w:tcW w:w="260" w:type="dxa"/>
            <w:vAlign w:val="bottom"/>
          </w:tcPr>
          <w:p>
            <w:pPr>
              <w:spacing w:after="0"/>
              <w:rPr>
                <w:sz w:val="19"/>
                <w:szCs w:val="19"/>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Netherlands B.V.</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The Netherlands</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ind w:left="460"/>
              <w:spacing w:after="0"/>
              <w:rPr>
                <w:sz w:val="20"/>
                <w:szCs w:val="20"/>
                <w:color w:val="auto"/>
              </w:rPr>
            </w:pPr>
            <w:r>
              <w:rPr>
                <w:rFonts w:ascii="Arial" w:cs="Arial" w:eastAsia="Arial" w:hAnsi="Arial"/>
                <w:sz w:val="17"/>
                <w:szCs w:val="17"/>
                <w:color w:val="auto"/>
              </w:rPr>
              <w:t>Kaplan Holdings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Hong Kong</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36"/>
        </w:trPr>
        <w:tc>
          <w:tcPr>
            <w:tcW w:w="7120" w:type="dxa"/>
            <w:vAlign w:val="bottom"/>
          </w:tcPr>
          <w:p>
            <w:pPr>
              <w:ind w:left="680"/>
              <w:spacing w:after="0"/>
              <w:rPr>
                <w:sz w:val="20"/>
                <w:szCs w:val="20"/>
                <w:color w:val="auto"/>
              </w:rPr>
            </w:pPr>
            <w:r>
              <w:rPr>
                <w:rFonts w:ascii="Arial" w:cs="Arial" w:eastAsia="Arial" w:hAnsi="Arial"/>
                <w:sz w:val="17"/>
                <w:szCs w:val="17"/>
                <w:color w:val="auto"/>
              </w:rPr>
              <w:t>Kaplan Financial (HK)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Hong Kong</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20"/>
                <w:szCs w:val="20"/>
                <w:color w:val="auto"/>
              </w:rPr>
            </w:pPr>
          </w:p>
        </w:tc>
      </w:tr>
      <w:tr>
        <w:trPr>
          <w:trHeight w:val="236"/>
        </w:trPr>
        <w:tc>
          <w:tcPr>
            <w:tcW w:w="7120" w:type="dxa"/>
            <w:vAlign w:val="bottom"/>
          </w:tcPr>
          <w:p>
            <w:pPr>
              <w:ind w:left="900"/>
              <w:spacing w:after="0"/>
              <w:rPr>
                <w:sz w:val="20"/>
                <w:szCs w:val="20"/>
                <w:color w:val="auto"/>
              </w:rPr>
            </w:pPr>
            <w:r>
              <w:rPr>
                <w:rFonts w:ascii="Arial" w:cs="Arial" w:eastAsia="Arial" w:hAnsi="Arial"/>
                <w:sz w:val="17"/>
                <w:szCs w:val="17"/>
                <w:color w:val="auto"/>
              </w:rPr>
              <w:t>Kaplan Language Training (HK)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Hong Kong</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20"/>
                <w:szCs w:val="20"/>
                <w:color w:val="auto"/>
              </w:rPr>
            </w:pPr>
          </w:p>
        </w:tc>
      </w:tr>
      <w:tr>
        <w:trPr>
          <w:trHeight w:val="223"/>
        </w:trPr>
        <w:tc>
          <w:tcPr>
            <w:tcW w:w="7120" w:type="dxa"/>
            <w:vAlign w:val="bottom"/>
          </w:tcPr>
          <w:p>
            <w:pPr>
              <w:ind w:left="680"/>
              <w:spacing w:after="0"/>
              <w:rPr>
                <w:sz w:val="20"/>
                <w:szCs w:val="20"/>
                <w:color w:val="auto"/>
              </w:rPr>
            </w:pPr>
            <w:r>
              <w:rPr>
                <w:rFonts w:ascii="Arial" w:cs="Arial" w:eastAsia="Arial" w:hAnsi="Arial"/>
                <w:sz w:val="17"/>
                <w:szCs w:val="17"/>
                <w:color w:val="auto"/>
              </w:rPr>
              <w:t>Kaplan Institute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Hong Kong</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Shanghai Kaplan Education Investment Consulting Co.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Kaplan Singapore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Kaplan Professional Learning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Kaplan Learning Institute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36"/>
        </w:trPr>
        <w:tc>
          <w:tcPr>
            <w:tcW w:w="7120" w:type="dxa"/>
            <w:vAlign w:val="bottom"/>
          </w:tcPr>
          <w:p>
            <w:pPr>
              <w:ind w:left="740"/>
              <w:spacing w:after="0"/>
              <w:rPr>
                <w:sz w:val="20"/>
                <w:szCs w:val="20"/>
                <w:color w:val="auto"/>
              </w:rPr>
            </w:pPr>
            <w:r>
              <w:rPr>
                <w:rFonts w:ascii="Arial" w:cs="Arial" w:eastAsia="Arial" w:hAnsi="Arial"/>
                <w:sz w:val="17"/>
                <w:szCs w:val="17"/>
                <w:color w:val="auto"/>
              </w:rPr>
              <w:t>Kaplan Higher Education Institute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Kaplan Higher Education (HK)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Hong Kong</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ind w:left="740"/>
              <w:spacing w:after="0"/>
              <w:rPr>
                <w:sz w:val="20"/>
                <w:szCs w:val="20"/>
                <w:color w:val="auto"/>
              </w:rPr>
            </w:pPr>
            <w:r>
              <w:rPr>
                <w:rFonts w:ascii="Arial" w:cs="Arial" w:eastAsia="Arial" w:hAnsi="Arial"/>
                <w:sz w:val="17"/>
                <w:szCs w:val="17"/>
                <w:color w:val="auto"/>
              </w:rPr>
              <w:t>Kaplan Higher Education Academy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Lotus Advertising Pte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Singapore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Brightstar Investment and Education Joint Stock Company</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Vietnam</w:t>
            </w:r>
          </w:p>
        </w:tc>
        <w:tc>
          <w:tcPr>
            <w:tcW w:w="1500" w:type="dxa"/>
            <w:vAlign w:val="bottom"/>
          </w:tcPr>
          <w:p>
            <w:pPr>
              <w:jc w:val="right"/>
              <w:spacing w:after="0"/>
              <w:rPr>
                <w:sz w:val="20"/>
                <w:szCs w:val="20"/>
                <w:color w:val="auto"/>
              </w:rPr>
            </w:pPr>
            <w:r>
              <w:rPr>
                <w:rFonts w:ascii="Arial" w:cs="Arial" w:eastAsia="Arial" w:hAnsi="Arial"/>
                <w:sz w:val="17"/>
                <w:szCs w:val="17"/>
                <w:color w:val="auto"/>
              </w:rPr>
              <w:t>49 %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The Financial Training (Shanghai) Co.,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ind w:left="740"/>
              <w:spacing w:after="0"/>
              <w:rPr>
                <w:sz w:val="20"/>
                <w:szCs w:val="20"/>
                <w:color w:val="auto"/>
              </w:rPr>
            </w:pPr>
            <w:r>
              <w:rPr>
                <w:rFonts w:ascii="Arial" w:cs="Arial" w:eastAsia="Arial" w:hAnsi="Arial"/>
                <w:sz w:val="17"/>
                <w:szCs w:val="17"/>
                <w:color w:val="auto"/>
              </w:rPr>
              <w:t>Shanghai Kai Bo Education Investment Management Co.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jc w:val="right"/>
              <w:spacing w:after="0"/>
              <w:rPr>
                <w:sz w:val="20"/>
                <w:szCs w:val="20"/>
                <w:color w:val="auto"/>
              </w:rPr>
            </w:pPr>
            <w:r>
              <w:rPr>
                <w:rFonts w:ascii="Arial" w:cs="Arial" w:eastAsia="Arial" w:hAnsi="Arial"/>
                <w:sz w:val="17"/>
                <w:szCs w:val="17"/>
                <w:color w:val="auto"/>
              </w:rPr>
              <w:t>(a)</w:t>
            </w:r>
          </w:p>
        </w:tc>
      </w:tr>
      <w:tr>
        <w:trPr>
          <w:trHeight w:val="236"/>
        </w:trPr>
        <w:tc>
          <w:tcPr>
            <w:tcW w:w="7120" w:type="dxa"/>
            <w:vAlign w:val="bottom"/>
          </w:tcPr>
          <w:p>
            <w:pPr>
              <w:ind w:left="920"/>
              <w:spacing w:after="0"/>
              <w:rPr>
                <w:sz w:val="20"/>
                <w:szCs w:val="20"/>
                <w:color w:val="auto"/>
              </w:rPr>
            </w:pPr>
            <w:r>
              <w:rPr>
                <w:rFonts w:ascii="Arial" w:cs="Arial" w:eastAsia="Arial" w:hAnsi="Arial"/>
                <w:sz w:val="17"/>
                <w:szCs w:val="17"/>
                <w:color w:val="auto"/>
              </w:rPr>
              <w:t>Shanghai Kai Chuang Educational Consulting Co.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w:t>
            </w:r>
          </w:p>
        </w:tc>
        <w:tc>
          <w:tcPr>
            <w:tcW w:w="260" w:type="dxa"/>
            <w:vAlign w:val="bottom"/>
          </w:tcPr>
          <w:p>
            <w:pPr>
              <w:spacing w:after="0"/>
              <w:rPr>
                <w:sz w:val="20"/>
                <w:szCs w:val="20"/>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Zhejiang Kaplan Shinyway Education Investment Management  Co.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50 %</w:t>
            </w:r>
          </w:p>
        </w:tc>
        <w:tc>
          <w:tcPr>
            <w:tcW w:w="260" w:type="dxa"/>
            <w:vAlign w:val="bottom"/>
          </w:tcPr>
          <w:p>
            <w:pPr>
              <w:spacing w:after="0"/>
              <w:rPr>
                <w:sz w:val="19"/>
                <w:szCs w:val="19"/>
                <w:color w:val="auto"/>
              </w:rPr>
            </w:pPr>
          </w:p>
        </w:tc>
      </w:tr>
      <w:tr>
        <w:trPr>
          <w:trHeight w:val="236"/>
        </w:trPr>
        <w:tc>
          <w:tcPr>
            <w:tcW w:w="7120" w:type="dxa"/>
            <w:vAlign w:val="bottom"/>
          </w:tcPr>
          <w:p>
            <w:pPr>
              <w:ind w:left="940"/>
              <w:spacing w:after="0"/>
              <w:rPr>
                <w:sz w:val="20"/>
                <w:szCs w:val="20"/>
                <w:color w:val="auto"/>
              </w:rPr>
            </w:pPr>
            <w:r>
              <w:rPr>
                <w:rFonts w:ascii="Arial" w:cs="Arial" w:eastAsia="Arial" w:hAnsi="Arial"/>
                <w:sz w:val="17"/>
                <w:szCs w:val="17"/>
                <w:color w:val="auto"/>
              </w:rPr>
              <w:t>Suzhou Overseas Education Training Centre</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59.5 %</w:t>
            </w:r>
          </w:p>
        </w:tc>
        <w:tc>
          <w:tcPr>
            <w:tcW w:w="260" w:type="dxa"/>
            <w:vAlign w:val="bottom"/>
          </w:tcPr>
          <w:p>
            <w:pPr>
              <w:spacing w:after="0"/>
              <w:rPr>
                <w:sz w:val="20"/>
                <w:szCs w:val="20"/>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Chongqing Shapingpa Kai Bo Education Training School</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spacing w:after="0"/>
              <w:rPr>
                <w:sz w:val="19"/>
                <w:szCs w:val="19"/>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Chengdu Kai Bo Training School</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spacing w:after="0"/>
              <w:rPr>
                <w:sz w:val="19"/>
                <w:szCs w:val="19"/>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Qingdao Kai Bo Education Investment Consulting Company</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spacing w:after="0"/>
              <w:rPr>
                <w:sz w:val="19"/>
                <w:szCs w:val="19"/>
                <w:color w:val="auto"/>
              </w:rPr>
            </w:pPr>
          </w:p>
        </w:tc>
      </w:tr>
      <w:tr>
        <w:trPr>
          <w:trHeight w:val="223"/>
        </w:trPr>
        <w:tc>
          <w:tcPr>
            <w:tcW w:w="7120" w:type="dxa"/>
            <w:vAlign w:val="bottom"/>
          </w:tcPr>
          <w:p>
            <w:pPr>
              <w:ind w:left="1180"/>
              <w:spacing w:after="0"/>
              <w:rPr>
                <w:sz w:val="20"/>
                <w:szCs w:val="20"/>
                <w:color w:val="auto"/>
              </w:rPr>
            </w:pPr>
            <w:r>
              <w:rPr>
                <w:rFonts w:ascii="Arial" w:cs="Arial" w:eastAsia="Arial" w:hAnsi="Arial"/>
                <w:sz w:val="17"/>
                <w:szCs w:val="17"/>
                <w:color w:val="auto"/>
              </w:rPr>
              <w:t>Qingdao Kai Bo Foundation Education School</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spacing w:after="0"/>
              <w:rPr>
                <w:sz w:val="19"/>
                <w:szCs w:val="19"/>
                <w:color w:val="auto"/>
              </w:rPr>
            </w:pPr>
          </w:p>
        </w:tc>
      </w:tr>
      <w:tr>
        <w:trPr>
          <w:trHeight w:val="236"/>
        </w:trPr>
        <w:tc>
          <w:tcPr>
            <w:tcW w:w="7120" w:type="dxa"/>
            <w:vAlign w:val="bottom"/>
          </w:tcPr>
          <w:p>
            <w:pPr>
              <w:ind w:left="1180"/>
              <w:spacing w:after="0"/>
              <w:rPr>
                <w:sz w:val="20"/>
                <w:szCs w:val="20"/>
                <w:color w:val="auto"/>
              </w:rPr>
            </w:pPr>
            <w:r>
              <w:rPr>
                <w:rFonts w:ascii="Arial" w:cs="Arial" w:eastAsia="Arial" w:hAnsi="Arial"/>
                <w:sz w:val="17"/>
                <w:szCs w:val="17"/>
                <w:color w:val="auto"/>
              </w:rPr>
              <w:t>Qingdao Kai Bo International Education Exchange</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China (PR)</w:t>
            </w:r>
          </w:p>
        </w:tc>
        <w:tc>
          <w:tcPr>
            <w:tcW w:w="1500" w:type="dxa"/>
            <w:vAlign w:val="bottom"/>
          </w:tcPr>
          <w:p>
            <w:pPr>
              <w:jc w:val="right"/>
              <w:spacing w:after="0"/>
              <w:rPr>
                <w:sz w:val="20"/>
                <w:szCs w:val="20"/>
                <w:color w:val="auto"/>
              </w:rPr>
            </w:pPr>
            <w:r>
              <w:rPr>
                <w:rFonts w:ascii="Arial" w:cs="Arial" w:eastAsia="Arial" w:hAnsi="Arial"/>
                <w:sz w:val="17"/>
                <w:szCs w:val="17"/>
                <w:color w:val="auto"/>
              </w:rPr>
              <w:t>85 %</w:t>
            </w:r>
          </w:p>
        </w:tc>
        <w:tc>
          <w:tcPr>
            <w:tcW w:w="260" w:type="dxa"/>
            <w:vAlign w:val="bottom"/>
          </w:tcPr>
          <w:p>
            <w:pPr>
              <w:spacing w:after="0"/>
              <w:rPr>
                <w:sz w:val="20"/>
                <w:szCs w:val="20"/>
                <w:color w:val="auto"/>
              </w:rPr>
            </w:pPr>
          </w:p>
        </w:tc>
      </w:tr>
      <w:tr>
        <w:trPr>
          <w:trHeight w:val="223"/>
        </w:trPr>
        <w:tc>
          <w:tcPr>
            <w:tcW w:w="7120" w:type="dxa"/>
            <w:vAlign w:val="bottom"/>
          </w:tcPr>
          <w:p>
            <w:pPr>
              <w:ind w:left="460"/>
              <w:spacing w:after="0"/>
              <w:rPr>
                <w:sz w:val="20"/>
                <w:szCs w:val="20"/>
                <w:color w:val="auto"/>
              </w:rPr>
            </w:pPr>
            <w:r>
              <w:rPr>
                <w:rFonts w:ascii="Arial" w:cs="Arial" w:eastAsia="Arial" w:hAnsi="Arial"/>
                <w:sz w:val="17"/>
                <w:szCs w:val="17"/>
                <w:color w:val="auto"/>
              </w:rPr>
              <w:t>Accountancy &amp; Business College Holdings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jc w:val="right"/>
              <w:spacing w:after="0"/>
              <w:rPr>
                <w:sz w:val="20"/>
                <w:szCs w:val="20"/>
                <w:color w:val="auto"/>
              </w:rPr>
            </w:pPr>
            <w:r>
              <w:rPr>
                <w:rFonts w:ascii="Arial" w:cs="Arial" w:eastAsia="Arial" w:hAnsi="Arial"/>
                <w:sz w:val="17"/>
                <w:szCs w:val="17"/>
                <w:color w:val="auto"/>
              </w:rPr>
              <w:t>(b)</w:t>
            </w:r>
          </w:p>
        </w:tc>
      </w:tr>
      <w:tr>
        <w:trPr>
          <w:trHeight w:val="236"/>
        </w:trPr>
        <w:tc>
          <w:tcPr>
            <w:tcW w:w="7120" w:type="dxa"/>
            <w:vAlign w:val="bottom"/>
          </w:tcPr>
          <w:p>
            <w:pPr>
              <w:ind w:left="740"/>
              <w:spacing w:after="0"/>
              <w:rPr>
                <w:sz w:val="20"/>
                <w:szCs w:val="20"/>
                <w:color w:val="auto"/>
              </w:rPr>
            </w:pPr>
            <w:r>
              <w:rPr>
                <w:rFonts w:ascii="Arial" w:cs="Arial" w:eastAsia="Arial" w:hAnsi="Arial"/>
                <w:sz w:val="17"/>
                <w:szCs w:val="17"/>
                <w:color w:val="auto"/>
              </w:rPr>
              <w:t>Accountancy &amp; Business College (Ireland)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Methley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1180"/>
              <w:spacing w:after="0"/>
              <w:rPr>
                <w:sz w:val="20"/>
                <w:szCs w:val="20"/>
                <w:color w:val="auto"/>
              </w:rPr>
            </w:pPr>
            <w:r>
              <w:rPr>
                <w:rFonts w:ascii="Arial" w:cs="Arial" w:eastAsia="Arial" w:hAnsi="Arial"/>
                <w:sz w:val="17"/>
                <w:szCs w:val="17"/>
                <w:color w:val="auto"/>
              </w:rPr>
              <w:t>Kitagarth Services</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36"/>
        </w:trPr>
        <w:tc>
          <w:tcPr>
            <w:tcW w:w="7120" w:type="dxa"/>
            <w:vAlign w:val="bottom"/>
          </w:tcPr>
          <w:p>
            <w:pPr>
              <w:ind w:left="740"/>
              <w:spacing w:after="0"/>
              <w:rPr>
                <w:sz w:val="20"/>
                <w:szCs w:val="20"/>
                <w:color w:val="auto"/>
              </w:rPr>
            </w:pPr>
            <w:r>
              <w:rPr>
                <w:rFonts w:ascii="Arial" w:cs="Arial" w:eastAsia="Arial" w:hAnsi="Arial"/>
                <w:sz w:val="17"/>
                <w:szCs w:val="17"/>
                <w:color w:val="auto"/>
              </w:rPr>
              <w:t>European Business School (Ireland)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20"/>
                <w:szCs w:val="20"/>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LSB College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The Dublin Business School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Coxcourt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Ireland</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Kidum Group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Israel</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KPE LLC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EduNeering Holdings,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00"/>
              <w:spacing w:after="0"/>
              <w:rPr>
                <w:sz w:val="20"/>
                <w:szCs w:val="20"/>
                <w:color w:val="auto"/>
              </w:rPr>
            </w:pPr>
            <w:r>
              <w:rPr>
                <w:rFonts w:ascii="Arial" w:cs="Arial" w:eastAsia="Arial" w:hAnsi="Arial"/>
                <w:sz w:val="17"/>
                <w:szCs w:val="17"/>
                <w:color w:val="auto"/>
              </w:rPr>
              <w:t>EduNeering Europe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England &amp; Wales</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Kaplan Test Prep and Admissions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England &amp; Wales</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(Canada)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Ontario</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60"/>
              <w:spacing w:after="0"/>
              <w:rPr>
                <w:sz w:val="20"/>
                <w:szCs w:val="20"/>
                <w:color w:val="auto"/>
              </w:rPr>
            </w:pPr>
            <w:r>
              <w:rPr>
                <w:rFonts w:ascii="Arial" w:cs="Arial" w:eastAsia="Arial" w:hAnsi="Arial"/>
                <w:sz w:val="17"/>
                <w:szCs w:val="17"/>
                <w:color w:val="auto"/>
              </w:rPr>
              <w:t>U.S. CPA ExamPrep,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Ontario</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Educational Services de Mexico, S. de R.L. de C.V.</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Mexico</w:t>
            </w:r>
          </w:p>
        </w:tc>
        <w:tc>
          <w:tcPr>
            <w:tcW w:w="1500" w:type="dxa"/>
            <w:vAlign w:val="bottom"/>
          </w:tcPr>
          <w:p>
            <w:pPr>
              <w:jc w:val="right"/>
              <w:spacing w:after="0"/>
              <w:rPr>
                <w:sz w:val="20"/>
                <w:szCs w:val="20"/>
                <w:color w:val="auto"/>
              </w:rPr>
            </w:pPr>
            <w:r>
              <w:rPr>
                <w:rFonts w:ascii="Arial" w:cs="Arial" w:eastAsia="Arial" w:hAnsi="Arial"/>
                <w:sz w:val="17"/>
                <w:szCs w:val="17"/>
                <w:color w:val="auto"/>
              </w:rPr>
              <w:t>99 %</w:t>
            </w:r>
          </w:p>
        </w:tc>
        <w:tc>
          <w:tcPr>
            <w:tcW w:w="260" w:type="dxa"/>
            <w:vAlign w:val="bottom"/>
          </w:tcPr>
          <w:p>
            <w:pPr>
              <w:jc w:val="right"/>
              <w:spacing w:after="0"/>
              <w:rPr>
                <w:sz w:val="20"/>
                <w:szCs w:val="20"/>
                <w:color w:val="auto"/>
              </w:rPr>
            </w:pPr>
            <w:r>
              <w:rPr>
                <w:rFonts w:ascii="Arial" w:cs="Arial" w:eastAsia="Arial" w:hAnsi="Arial"/>
                <w:sz w:val="17"/>
                <w:szCs w:val="17"/>
                <w:color w:val="auto"/>
              </w:rPr>
              <w:t>(c)</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Education HR Services Mexico, S. de R.L. de C.V.</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Mexico</w:t>
            </w:r>
          </w:p>
        </w:tc>
        <w:tc>
          <w:tcPr>
            <w:tcW w:w="1500" w:type="dxa"/>
            <w:vAlign w:val="bottom"/>
          </w:tcPr>
          <w:p>
            <w:pPr>
              <w:jc w:val="right"/>
              <w:spacing w:after="0"/>
              <w:rPr>
                <w:sz w:val="20"/>
                <w:szCs w:val="20"/>
                <w:color w:val="auto"/>
              </w:rPr>
            </w:pPr>
            <w:r>
              <w:rPr>
                <w:rFonts w:ascii="Arial" w:cs="Arial" w:eastAsia="Arial" w:hAnsi="Arial"/>
                <w:sz w:val="17"/>
                <w:szCs w:val="17"/>
                <w:color w:val="auto"/>
              </w:rPr>
              <w:t>99 %</w:t>
            </w:r>
          </w:p>
        </w:tc>
        <w:tc>
          <w:tcPr>
            <w:tcW w:w="260" w:type="dxa"/>
            <w:vAlign w:val="bottom"/>
          </w:tcPr>
          <w:p>
            <w:pPr>
              <w:jc w:val="right"/>
              <w:spacing w:after="0"/>
              <w:rPr>
                <w:sz w:val="20"/>
                <w:szCs w:val="20"/>
                <w:color w:val="auto"/>
              </w:rPr>
            </w:pPr>
            <w:r>
              <w:rPr>
                <w:rFonts w:ascii="Arial" w:cs="Arial" w:eastAsia="Arial" w:hAnsi="Arial"/>
                <w:sz w:val="17"/>
                <w:szCs w:val="17"/>
                <w:color w:val="auto"/>
              </w:rPr>
              <w:t>(c)</w:t>
            </w: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Kaplan English Colleges Pty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Kaplan Aspect Cairns Pty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Access Learning Institutes Pty Limited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200"/>
              <w:spacing w:after="0"/>
              <w:rPr>
                <w:sz w:val="20"/>
                <w:szCs w:val="20"/>
                <w:color w:val="auto"/>
              </w:rPr>
            </w:pPr>
            <w:r>
              <w:rPr>
                <w:rFonts w:ascii="Arial" w:cs="Arial" w:eastAsia="Arial" w:hAnsi="Arial"/>
                <w:sz w:val="17"/>
                <w:szCs w:val="17"/>
                <w:color w:val="auto"/>
              </w:rPr>
              <w:t>Kaplan Higher Education Corporation</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Andon Colleges,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California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DEST Education Corporation</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California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California Academy of Merchandising, Art &amp; Design,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CHI Acquisition Corp.</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Computer Hardware Service Company,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Pennsylvania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Denver Acquisition Corp.</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Educational Ventures (Texas),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Texas Educational Ventures, LLP</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Texas</w:t>
            </w:r>
          </w:p>
        </w:tc>
        <w:tc>
          <w:tcPr>
            <w:tcW w:w="1500" w:type="dxa"/>
            <w:vAlign w:val="bottom"/>
          </w:tcPr>
          <w:p>
            <w:pPr>
              <w:jc w:val="right"/>
              <w:spacing w:after="0"/>
              <w:rPr>
                <w:sz w:val="20"/>
                <w:szCs w:val="20"/>
                <w:color w:val="auto"/>
              </w:rPr>
            </w:pPr>
            <w:r>
              <w:rPr>
                <w:rFonts w:ascii="Arial" w:cs="Arial" w:eastAsia="Arial" w:hAnsi="Arial"/>
                <w:sz w:val="17"/>
                <w:szCs w:val="17"/>
                <w:color w:val="auto"/>
              </w:rPr>
              <w:t>99 %</w:t>
            </w:r>
          </w:p>
        </w:tc>
        <w:tc>
          <w:tcPr>
            <w:tcW w:w="260" w:type="dxa"/>
            <w:vAlign w:val="bottom"/>
          </w:tcPr>
          <w:p>
            <w:pPr>
              <w:jc w:val="right"/>
              <w:spacing w:after="0"/>
              <w:rPr>
                <w:sz w:val="20"/>
                <w:szCs w:val="20"/>
                <w:color w:val="auto"/>
              </w:rPr>
            </w:pPr>
            <w:r>
              <w:rPr>
                <w:rFonts w:ascii="Arial" w:cs="Arial" w:eastAsia="Arial" w:hAnsi="Arial"/>
                <w:sz w:val="17"/>
                <w:szCs w:val="17"/>
                <w:color w:val="auto"/>
              </w:rPr>
              <w:t>(d)</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Heritage-KHEC,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Nevada</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ICM Acquisition Corp.</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Iowa College Acquisition Corp.</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DF Institute,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Illinois</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7120" w:type="dxa"/>
            <w:vAlign w:val="bottom"/>
          </w:tcPr>
          <w:p>
            <w:pPr>
              <w:ind w:left="940"/>
              <w:spacing w:after="0"/>
              <w:rPr>
                <w:sz w:val="20"/>
                <w:szCs w:val="20"/>
                <w:color w:val="auto"/>
              </w:rPr>
            </w:pPr>
            <w:r>
              <w:rPr>
                <w:rFonts w:ascii="Arial" w:cs="Arial" w:eastAsia="Arial" w:hAnsi="Arial"/>
                <w:sz w:val="17"/>
                <w:szCs w:val="17"/>
                <w:color w:val="auto"/>
              </w:rPr>
              <w:t>J.Y. Monk Real Estate Training Center, Inc.</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North Carolina</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7120" w:type="dxa"/>
            <w:vAlign w:val="bottom"/>
          </w:tcPr>
          <w:p>
            <w:pPr>
              <w:ind w:left="740"/>
              <w:spacing w:after="0"/>
              <w:rPr>
                <w:sz w:val="20"/>
                <w:szCs w:val="20"/>
                <w:color w:val="auto"/>
              </w:rPr>
            </w:pPr>
            <w:r>
              <w:rPr>
                <w:rFonts w:ascii="Arial" w:cs="Arial" w:eastAsia="Arial" w:hAnsi="Arial"/>
                <w:sz w:val="17"/>
                <w:szCs w:val="17"/>
                <w:color w:val="auto"/>
              </w:rPr>
              <w:t>Kaplan University PTY LTD</w:t>
            </w:r>
          </w:p>
        </w:tc>
        <w:tc>
          <w:tcPr>
            <w:tcW w:w="2540" w:type="dxa"/>
            <w:vAlign w:val="bottom"/>
          </w:tcPr>
          <w:p>
            <w:pPr>
              <w:jc w:val="right"/>
              <w:ind w:right="3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bl>
    <w:p>
      <w:pPr>
        <w:sectPr>
          <w:pgSz w:w="11900" w:h="16838" w:orient="portrait"/>
          <w:cols w:equalWidth="0" w:num="1">
            <w:col w:w="11420"/>
          </w:cols>
          <w:pgMar w:left="240" w:top="140" w:right="239" w:bottom="0" w:gutter="0" w:footer="0" w:header="0"/>
        </w:sectPr>
      </w:pPr>
    </w:p>
    <w:bookmarkStart w:id="135" w:name="page136"/>
    <w:bookmarkEnd w:id="1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ind w:left="280"/>
              <w:spacing w:after="0"/>
              <w:rPr>
                <w:sz w:val="20"/>
                <w:szCs w:val="20"/>
                <w:color w:val="auto"/>
              </w:rPr>
            </w:pPr>
            <w:r>
              <w:rPr>
                <w:rFonts w:ascii="Arial" w:cs="Arial" w:eastAsia="Arial" w:hAnsi="Arial"/>
                <w:sz w:val="17"/>
                <w:szCs w:val="17"/>
                <w:color w:val="auto"/>
              </w:rPr>
              <w:t>KHEC-Albuquerque,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New Mexico</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7"/>
                <w:szCs w:val="17"/>
                <w:color w:val="auto"/>
              </w:rPr>
            </w:pPr>
          </w:p>
        </w:tc>
      </w:tr>
      <w:tr>
        <w:trPr>
          <w:trHeight w:val="199"/>
        </w:trPr>
        <w:tc>
          <w:tcPr>
            <w:tcW w:w="6600" w:type="dxa"/>
            <w:vAlign w:val="bottom"/>
          </w:tcPr>
          <w:p>
            <w:pPr>
              <w:ind w:left="280"/>
              <w:spacing w:after="0"/>
              <w:rPr>
                <w:sz w:val="20"/>
                <w:szCs w:val="20"/>
                <w:color w:val="auto"/>
              </w:rPr>
            </w:pPr>
            <w:r>
              <w:rPr>
                <w:rFonts w:ascii="Arial" w:cs="Arial" w:eastAsia="Arial" w:hAnsi="Arial"/>
                <w:sz w:val="17"/>
                <w:szCs w:val="17"/>
                <w:color w:val="auto"/>
              </w:rPr>
              <w:t>MTSX Acquisition Corp.</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7"/>
                <w:szCs w:val="17"/>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Maric Learning Systems</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California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New Hampshire Acquisition Corp.</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Hesser,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New Hampshire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OIOPT Acquisition Corp.</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Palo Vista College of Nursing &amp; Allied Health Sciences,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California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Quest Ventures,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RETS Acquisition Corp.</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Massachusetts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SACMD Acquisition Corp.</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Sawyer-KHEC,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Indiana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Sawyer College,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Indiana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20"/>
              <w:spacing w:after="0"/>
              <w:rPr>
                <w:sz w:val="20"/>
                <w:szCs w:val="20"/>
                <w:color w:val="auto"/>
              </w:rPr>
            </w:pPr>
            <w:r>
              <w:rPr>
                <w:rFonts w:ascii="Arial" w:cs="Arial" w:eastAsia="Arial" w:hAnsi="Arial"/>
                <w:sz w:val="17"/>
                <w:szCs w:val="17"/>
                <w:color w:val="auto"/>
              </w:rPr>
              <w:t>Scottsdale Educational Center for Allied Health Careers, Incorporated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Arizona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Tesst-Kap,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Thompson Education,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7"/>
                <w:szCs w:val="17"/>
                <w:color w:val="auto"/>
              </w:rPr>
              <w:t>Kaplan VC,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7"/>
                <w:szCs w:val="17"/>
                <w:color w:val="auto"/>
              </w:rPr>
              <w:t>Kaplan IT,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Georgia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Kaplan IT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380"/>
              <w:spacing w:after="0"/>
              <w:rPr>
                <w:sz w:val="20"/>
                <w:szCs w:val="20"/>
                <w:color w:val="auto"/>
              </w:rPr>
            </w:pPr>
            <w:r>
              <w:rPr>
                <w:rFonts w:ascii="Arial" w:cs="Arial" w:eastAsia="Arial" w:hAnsi="Arial"/>
                <w:sz w:val="17"/>
                <w:szCs w:val="17"/>
                <w:color w:val="auto"/>
              </w:rPr>
              <w:t>AtlanticLink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Kaplan IT (PTY)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South Africa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Mexico Holdings,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Kaplan (India) Private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India</w:t>
            </w:r>
          </w:p>
        </w:tc>
        <w:tc>
          <w:tcPr>
            <w:tcW w:w="1280" w:type="dxa"/>
            <w:vAlign w:val="bottom"/>
          </w:tcPr>
          <w:p>
            <w:pPr>
              <w:jc w:val="right"/>
              <w:spacing w:after="0"/>
              <w:rPr>
                <w:sz w:val="20"/>
                <w:szCs w:val="20"/>
                <w:color w:val="auto"/>
              </w:rPr>
            </w:pPr>
            <w:r>
              <w:rPr>
                <w:rFonts w:ascii="Arial" w:cs="Arial" w:eastAsia="Arial" w:hAnsi="Arial"/>
                <w:sz w:val="17"/>
                <w:szCs w:val="17"/>
                <w:color w:val="auto"/>
              </w:rPr>
              <w:t>95.65 %</w:t>
            </w:r>
          </w:p>
        </w:tc>
        <w:tc>
          <w:tcPr>
            <w:tcW w:w="260" w:type="dxa"/>
            <w:vAlign w:val="bottom"/>
          </w:tcPr>
          <w:p>
            <w:pPr>
              <w:jc w:val="right"/>
              <w:spacing w:after="0"/>
              <w:rPr>
                <w:sz w:val="20"/>
                <w:szCs w:val="20"/>
                <w:color w:val="auto"/>
              </w:rPr>
            </w:pPr>
            <w:r>
              <w:rPr>
                <w:rFonts w:ascii="Arial" w:cs="Arial" w:eastAsia="Arial" w:hAnsi="Arial"/>
                <w:sz w:val="17"/>
                <w:szCs w:val="17"/>
                <w:color w:val="auto"/>
              </w:rPr>
              <w:t>(e)</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(PR)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Puerto Rico</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MG Prep,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New York</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Test Prep International,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California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Aspect Education,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California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180"/>
              <w:spacing w:after="0"/>
              <w:rPr>
                <w:sz w:val="20"/>
                <w:szCs w:val="20"/>
                <w:color w:val="auto"/>
              </w:rPr>
            </w:pPr>
            <w:r>
              <w:rPr>
                <w:rFonts w:ascii="Arial" w:cs="Arial" w:eastAsia="Arial" w:hAnsi="Arial"/>
                <w:sz w:val="17"/>
                <w:szCs w:val="17"/>
                <w:color w:val="auto"/>
              </w:rPr>
              <w:t>Kaplan Global Solutions, LLC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Aspect Education Sydney Pty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Aspect ILA Sydney Pty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Aspect ILA Perth Pty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International Language Academies Education (NZ)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New Zealand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ILA South Pacific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New Zealand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U.K.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280"/>
              <w:spacing w:after="0"/>
              <w:rPr>
                <w:sz w:val="20"/>
                <w:szCs w:val="20"/>
                <w:color w:val="auto"/>
              </w:rPr>
            </w:pPr>
            <w:r>
              <w:rPr>
                <w:rFonts w:ascii="Arial" w:cs="Arial" w:eastAsia="Arial" w:hAnsi="Arial"/>
                <w:sz w:val="17"/>
                <w:szCs w:val="17"/>
                <w:color w:val="auto"/>
              </w:rPr>
              <w:t>Aspect Education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(Beijing) Education Information Consulting Co. Ltd.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Pacific Language Institute, Inc.</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British Columbia</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Education UK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Educational Services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International Language Academies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International Language Schools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Internationale Sprachschule GmbH</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Germany</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Language Schools Limitada</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Columbia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Language Schools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Switzerland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S.A.R.L. France</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France</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Aspect Education (Hong Kong)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International Colleges, C.A.</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Venezuela</w:t>
            </w:r>
          </w:p>
        </w:tc>
        <w:tc>
          <w:tcPr>
            <w:tcW w:w="1280" w:type="dxa"/>
            <w:vAlign w:val="bottom"/>
          </w:tcPr>
          <w:p>
            <w:pPr>
              <w:jc w:val="right"/>
              <w:spacing w:after="0"/>
              <w:rPr>
                <w:sz w:val="20"/>
                <w:szCs w:val="20"/>
                <w:color w:val="auto"/>
              </w:rPr>
            </w:pPr>
            <w:r>
              <w:rPr>
                <w:rFonts w:ascii="Arial" w:cs="Arial" w:eastAsia="Arial" w:hAnsi="Arial"/>
                <w:sz w:val="17"/>
                <w:szCs w:val="17"/>
                <w:color w:val="auto"/>
              </w:rPr>
              <w:t>95%</w:t>
            </w:r>
          </w:p>
        </w:tc>
        <w:tc>
          <w:tcPr>
            <w:tcW w:w="260" w:type="dxa"/>
            <w:vAlign w:val="bottom"/>
          </w:tcPr>
          <w:p>
            <w:pPr>
              <w:jc w:val="right"/>
              <w:spacing w:after="0"/>
              <w:rPr>
                <w:sz w:val="20"/>
                <w:szCs w:val="20"/>
                <w:color w:val="auto"/>
              </w:rPr>
            </w:pPr>
            <w:r>
              <w:rPr>
                <w:rFonts w:ascii="Arial" w:cs="Arial" w:eastAsia="Arial" w:hAnsi="Arial"/>
                <w:sz w:val="17"/>
                <w:szCs w:val="17"/>
                <w:color w:val="auto"/>
              </w:rPr>
              <w:t>(f)</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Pro Linguis</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Switzerland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West of England Language Services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The Salisbury School of English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WELS (Australia) Pty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180"/>
              <w:spacing w:after="0"/>
              <w:rPr>
                <w:sz w:val="20"/>
                <w:szCs w:val="20"/>
                <w:color w:val="auto"/>
              </w:rPr>
            </w:pPr>
            <w:r>
              <w:rPr>
                <w:rFonts w:ascii="Arial" w:cs="Arial" w:eastAsia="Arial" w:hAnsi="Arial"/>
                <w:sz w:val="17"/>
                <w:szCs w:val="17"/>
                <w:color w:val="auto"/>
              </w:rPr>
              <w:t>Kaplan International Holdings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Higher Education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Tecnologias Servicios Logisticos y Aplicaciones, S.A.</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Spain</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7"/>
                <w:szCs w:val="17"/>
                <w:color w:val="auto"/>
              </w:rPr>
              <w:t>Soluciones Integrales de Formacion y Gestion Structuralia, S.A.</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Spain</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960"/>
              <w:spacing w:after="0"/>
              <w:rPr>
                <w:sz w:val="20"/>
                <w:szCs w:val="20"/>
                <w:color w:val="auto"/>
              </w:rPr>
            </w:pPr>
            <w:r>
              <w:rPr>
                <w:rFonts w:ascii="Arial" w:cs="Arial" w:eastAsia="Arial" w:hAnsi="Arial"/>
                <w:sz w:val="17"/>
                <w:szCs w:val="17"/>
                <w:color w:val="auto"/>
              </w:rPr>
              <w:t>Centro Especial para la Formacion e Integracion, S.L.</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Spain</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960"/>
              <w:spacing w:after="0"/>
              <w:rPr>
                <w:sz w:val="20"/>
                <w:szCs w:val="20"/>
                <w:color w:val="auto"/>
              </w:rPr>
            </w:pPr>
            <w:r>
              <w:rPr>
                <w:rFonts w:ascii="Arial" w:cs="Arial" w:eastAsia="Arial" w:hAnsi="Arial"/>
                <w:sz w:val="17"/>
                <w:szCs w:val="17"/>
                <w:color w:val="auto"/>
              </w:rPr>
              <w:t>Sociedad de Capacitacion Structuralia Chile Limitada</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Chile</w:t>
            </w: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Financial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Altior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980"/>
              <w:spacing w:after="0"/>
              <w:rPr>
                <w:sz w:val="20"/>
                <w:szCs w:val="20"/>
                <w:color w:val="auto"/>
              </w:rPr>
            </w:pPr>
            <w:r>
              <w:rPr>
                <w:rFonts w:ascii="Arial" w:cs="Arial" w:eastAsia="Arial" w:hAnsi="Arial"/>
                <w:sz w:val="17"/>
                <w:szCs w:val="17"/>
                <w:color w:val="auto"/>
              </w:rPr>
              <w:t>Altior Consulting &amp; Training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Hawksmere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480"/>
              <w:spacing w:after="0"/>
              <w:rPr>
                <w:sz w:val="20"/>
                <w:szCs w:val="20"/>
                <w:color w:val="auto"/>
              </w:rPr>
            </w:pPr>
            <w:r>
              <w:rPr>
                <w:rFonts w:ascii="Arial" w:cs="Arial" w:eastAsia="Arial" w:hAnsi="Arial"/>
                <w:sz w:val="17"/>
                <w:szCs w:val="17"/>
                <w:color w:val="auto"/>
              </w:rPr>
              <w:t>Holborn College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International Colleges U.K.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Colleges Private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India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International Colleges (Private)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Pakistan</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Glasgow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International Colleges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Nigeria</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Liverpool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NT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US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International College London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100 %</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Brighton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Law School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Open Learning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Kaplan Open Learning (Essex) Limited</w:t>
            </w:r>
          </w:p>
        </w:tc>
        <w:tc>
          <w:tcPr>
            <w:tcW w:w="3080" w:type="dxa"/>
            <w:vAlign w:val="bottom"/>
          </w:tcPr>
          <w:p>
            <w:pPr>
              <w:jc w:val="right"/>
              <w:ind w:right="5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9"/>
                <w:szCs w:val="19"/>
                <w:color w:val="auto"/>
              </w:rPr>
            </w:pPr>
          </w:p>
        </w:tc>
      </w:tr>
    </w:tbl>
    <w:p>
      <w:pPr>
        <w:sectPr>
          <w:pgSz w:w="11900" w:h="16838" w:orient="portrait"/>
          <w:cols w:equalWidth="0" w:num="1">
            <w:col w:w="11220"/>
          </w:cols>
          <w:pgMar w:left="440" w:top="140" w:right="239"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60" w:type="dxa"/>
            <w:vAlign w:val="bottom"/>
          </w:tcPr>
          <w:p>
            <w:pPr>
              <w:ind w:left="740"/>
              <w:spacing w:after="0"/>
              <w:rPr>
                <w:sz w:val="20"/>
                <w:szCs w:val="20"/>
                <w:color w:val="auto"/>
              </w:rPr>
            </w:pPr>
            <w:r>
              <w:rPr>
                <w:rFonts w:ascii="Arial" w:cs="Arial" w:eastAsia="Arial" w:hAnsi="Arial"/>
                <w:sz w:val="17"/>
                <w:szCs w:val="17"/>
                <w:color w:val="auto"/>
              </w:rPr>
              <w:t>Kaplan Publishing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England &amp; Wales</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199"/>
        </w:trPr>
        <w:tc>
          <w:tcPr>
            <w:tcW w:w="6160" w:type="dxa"/>
            <w:vAlign w:val="bottom"/>
          </w:tcPr>
          <w:p>
            <w:pPr>
              <w:ind w:left="740"/>
              <w:spacing w:after="0"/>
              <w:rPr>
                <w:sz w:val="20"/>
                <w:szCs w:val="20"/>
                <w:color w:val="auto"/>
              </w:rPr>
            </w:pPr>
            <w:r>
              <w:rPr>
                <w:rFonts w:ascii="Arial" w:cs="Arial" w:eastAsia="Arial" w:hAnsi="Arial"/>
                <w:sz w:val="17"/>
                <w:szCs w:val="17"/>
                <w:color w:val="auto"/>
              </w:rPr>
              <w:t>Kaplan Professional Awards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England &amp; Wales</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Kaplan Australia Holdings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480"/>
              <w:spacing w:after="0"/>
              <w:rPr>
                <w:sz w:val="20"/>
                <w:szCs w:val="20"/>
                <w:color w:val="auto"/>
              </w:rPr>
            </w:pPr>
            <w:r>
              <w:rPr>
                <w:rFonts w:ascii="Arial" w:cs="Arial" w:eastAsia="Arial" w:hAnsi="Arial"/>
                <w:sz w:val="17"/>
                <w:szCs w:val="17"/>
                <w:color w:val="auto"/>
              </w:rPr>
              <w:t>Kaplan Australia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720"/>
              <w:spacing w:after="0"/>
              <w:rPr>
                <w:sz w:val="20"/>
                <w:szCs w:val="20"/>
                <w:color w:val="auto"/>
              </w:rPr>
            </w:pPr>
            <w:r>
              <w:rPr>
                <w:rFonts w:ascii="Arial" w:cs="Arial" w:eastAsia="Arial" w:hAnsi="Arial"/>
                <w:sz w:val="17"/>
                <w:szCs w:val="17"/>
                <w:color w:val="auto"/>
              </w:rPr>
              <w:t>Kaplan Carrick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00"/>
              <w:spacing w:after="0"/>
              <w:rPr>
                <w:sz w:val="20"/>
                <w:szCs w:val="20"/>
                <w:color w:val="auto"/>
              </w:rPr>
            </w:pPr>
            <w:r>
              <w:rPr>
                <w:rFonts w:ascii="Arial" w:cs="Arial" w:eastAsia="Arial" w:hAnsi="Arial"/>
                <w:sz w:val="17"/>
                <w:szCs w:val="17"/>
                <w:color w:val="auto"/>
              </w:rPr>
              <w:t>Carrick Institute of Education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140"/>
              <w:spacing w:after="0"/>
              <w:rPr>
                <w:sz w:val="20"/>
                <w:szCs w:val="20"/>
                <w:color w:val="auto"/>
              </w:rPr>
            </w:pPr>
            <w:r>
              <w:rPr>
                <w:rFonts w:ascii="Arial" w:cs="Arial" w:eastAsia="Arial" w:hAnsi="Arial"/>
                <w:sz w:val="17"/>
                <w:szCs w:val="17"/>
                <w:color w:val="auto"/>
              </w:rPr>
              <w:t>Carrick Higher Education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360"/>
              <w:spacing w:after="0"/>
              <w:rPr>
                <w:sz w:val="20"/>
                <w:szCs w:val="20"/>
                <w:color w:val="auto"/>
              </w:rPr>
            </w:pPr>
            <w:r>
              <w:rPr>
                <w:rFonts w:ascii="Arial" w:cs="Arial" w:eastAsia="Arial" w:hAnsi="Arial"/>
                <w:sz w:val="17"/>
                <w:szCs w:val="17"/>
                <w:color w:val="auto"/>
              </w:rPr>
              <w:t>CMC – Training at Work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140"/>
              <w:spacing w:after="0"/>
              <w:rPr>
                <w:sz w:val="20"/>
                <w:szCs w:val="20"/>
                <w:color w:val="auto"/>
              </w:rPr>
            </w:pPr>
            <w:r>
              <w:rPr>
                <w:rFonts w:ascii="Arial" w:cs="Arial" w:eastAsia="Arial" w:hAnsi="Arial"/>
                <w:sz w:val="17"/>
                <w:szCs w:val="17"/>
                <w:color w:val="auto"/>
              </w:rPr>
              <w:t>Carrick Education Group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740"/>
              <w:spacing w:after="0"/>
              <w:rPr>
                <w:sz w:val="20"/>
                <w:szCs w:val="20"/>
                <w:color w:val="auto"/>
              </w:rPr>
            </w:pPr>
            <w:r>
              <w:rPr>
                <w:rFonts w:ascii="Arial" w:cs="Arial" w:eastAsia="Arial" w:hAnsi="Arial"/>
                <w:sz w:val="17"/>
                <w:szCs w:val="17"/>
                <w:color w:val="auto"/>
              </w:rPr>
              <w:t>Asia Pacific Finance Institute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740"/>
              <w:spacing w:after="0"/>
              <w:rPr>
                <w:sz w:val="20"/>
                <w:szCs w:val="20"/>
                <w:color w:val="auto"/>
              </w:rPr>
            </w:pPr>
            <w:r>
              <w:rPr>
                <w:rFonts w:ascii="Arial" w:cs="Arial" w:eastAsia="Arial" w:hAnsi="Arial"/>
                <w:sz w:val="17"/>
                <w:szCs w:val="17"/>
                <w:color w:val="auto"/>
              </w:rPr>
              <w:t>Kaplan Higher Education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AUFP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Kaplan Business School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160"/>
              <w:spacing w:after="0"/>
              <w:rPr>
                <w:sz w:val="20"/>
                <w:szCs w:val="20"/>
                <w:color w:val="auto"/>
              </w:rPr>
            </w:pPr>
            <w:r>
              <w:rPr>
                <w:rFonts w:ascii="Arial" w:cs="Arial" w:eastAsia="Arial" w:hAnsi="Arial"/>
                <w:sz w:val="17"/>
                <w:szCs w:val="17"/>
                <w:color w:val="auto"/>
              </w:rPr>
              <w:t>Bradford College Australia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740"/>
              <w:spacing w:after="0"/>
              <w:rPr>
                <w:sz w:val="20"/>
                <w:szCs w:val="20"/>
                <w:color w:val="auto"/>
              </w:rPr>
            </w:pPr>
            <w:r>
              <w:rPr>
                <w:rFonts w:ascii="Arial" w:cs="Arial" w:eastAsia="Arial" w:hAnsi="Arial"/>
                <w:sz w:val="17"/>
                <w:szCs w:val="17"/>
                <w:color w:val="auto"/>
              </w:rPr>
              <w:t>Tribeca Learning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Kaplan Education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720"/>
              <w:spacing w:after="0"/>
              <w:rPr>
                <w:sz w:val="20"/>
                <w:szCs w:val="20"/>
                <w:color w:val="auto"/>
              </w:rPr>
            </w:pPr>
            <w:r>
              <w:rPr>
                <w:rFonts w:ascii="Arial" w:cs="Arial" w:eastAsia="Arial" w:hAnsi="Arial"/>
                <w:sz w:val="17"/>
                <w:szCs w:val="17"/>
                <w:color w:val="auto"/>
              </w:rPr>
              <w:t>Franklyn Scholar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FS Enterprise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Brad Fenby &amp; Associates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160"/>
              <w:spacing w:after="0"/>
              <w:rPr>
                <w:sz w:val="20"/>
                <w:szCs w:val="20"/>
                <w:color w:val="auto"/>
              </w:rPr>
            </w:pPr>
            <w:r>
              <w:rPr>
                <w:rFonts w:ascii="Arial" w:cs="Arial" w:eastAsia="Arial" w:hAnsi="Arial"/>
                <w:sz w:val="17"/>
                <w:szCs w:val="17"/>
                <w:color w:val="auto"/>
              </w:rPr>
              <w:t>Small Business Training Company Pty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1160"/>
              <w:spacing w:after="0"/>
              <w:rPr>
                <w:sz w:val="20"/>
                <w:szCs w:val="20"/>
                <w:color w:val="auto"/>
              </w:rPr>
            </w:pPr>
            <w:r>
              <w:rPr>
                <w:rFonts w:ascii="Arial" w:cs="Arial" w:eastAsia="Arial" w:hAnsi="Arial"/>
                <w:sz w:val="17"/>
                <w:szCs w:val="17"/>
                <w:color w:val="auto"/>
              </w:rPr>
              <w:t>Australian Learning Solutions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940"/>
              <w:spacing w:after="0"/>
              <w:rPr>
                <w:sz w:val="20"/>
                <w:szCs w:val="20"/>
                <w:color w:val="auto"/>
              </w:rPr>
            </w:pPr>
            <w:r>
              <w:rPr>
                <w:rFonts w:ascii="Arial" w:cs="Arial" w:eastAsia="Arial" w:hAnsi="Arial"/>
                <w:sz w:val="17"/>
                <w:szCs w:val="17"/>
                <w:color w:val="auto"/>
              </w:rPr>
              <w:t>TSA The Training Company Pty Ltd.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Australia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00"/>
              <w:spacing w:after="0"/>
              <w:rPr>
                <w:sz w:val="20"/>
                <w:szCs w:val="20"/>
                <w:color w:val="auto"/>
              </w:rPr>
            </w:pPr>
            <w:r>
              <w:rPr>
                <w:rFonts w:ascii="Arial" w:cs="Arial" w:eastAsia="Arial" w:hAnsi="Arial"/>
                <w:sz w:val="17"/>
                <w:szCs w:val="17"/>
                <w:color w:val="auto"/>
              </w:rPr>
              <w:t>Washington Post/Kaplan IC Limited Company</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Cyprus</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00"/>
              <w:spacing w:after="0"/>
              <w:rPr>
                <w:sz w:val="20"/>
                <w:szCs w:val="20"/>
                <w:color w:val="auto"/>
              </w:rPr>
            </w:pPr>
            <w:r>
              <w:rPr>
                <w:rFonts w:ascii="Arial" w:cs="Arial" w:eastAsia="Arial" w:hAnsi="Arial"/>
                <w:sz w:val="17"/>
                <w:szCs w:val="17"/>
                <w:color w:val="auto"/>
              </w:rPr>
              <w:t>Wise Tactic Holdings Limited</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British Virgin Islands</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85%</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Post NW, LLC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New York</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Post-Newsweek Media,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Maryland</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Post-Newsweek Stations,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Post-Newsweek Stations, Florida,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Florida</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Post-Newsweek Stations, Houston,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Post-Newsweek Stations, Michigan,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Post-Newsweek Stations, Orlando,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ind w:left="220"/>
              <w:spacing w:after="0"/>
              <w:rPr>
                <w:sz w:val="20"/>
                <w:szCs w:val="20"/>
                <w:color w:val="auto"/>
              </w:rPr>
            </w:pPr>
            <w:r>
              <w:rPr>
                <w:rFonts w:ascii="Arial" w:cs="Arial" w:eastAsia="Arial" w:hAnsi="Arial"/>
                <w:sz w:val="17"/>
                <w:szCs w:val="17"/>
                <w:color w:val="auto"/>
              </w:rPr>
              <w:t>Post-Newsweek Stations, San Antonio, Inc.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Robinson Terminal Warehouse Corporation</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Social Code LLC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The Slate Group, LLC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223"/>
        </w:trPr>
        <w:tc>
          <w:tcPr>
            <w:tcW w:w="6160" w:type="dxa"/>
            <w:vAlign w:val="bottom"/>
          </w:tcPr>
          <w:p>
            <w:pPr>
              <w:spacing w:after="0"/>
              <w:rPr>
                <w:sz w:val="20"/>
                <w:szCs w:val="20"/>
                <w:color w:val="auto"/>
              </w:rPr>
            </w:pPr>
            <w:r>
              <w:rPr>
                <w:rFonts w:ascii="Arial" w:cs="Arial" w:eastAsia="Arial" w:hAnsi="Arial"/>
                <w:sz w:val="17"/>
                <w:szCs w:val="17"/>
                <w:color w:val="auto"/>
              </w:rPr>
              <w:t>WP Company LLC</w:t>
            </w:r>
          </w:p>
        </w:tc>
        <w:tc>
          <w:tcPr>
            <w:tcW w:w="3800" w:type="dxa"/>
            <w:vAlign w:val="bottom"/>
          </w:tcPr>
          <w:p>
            <w:pPr>
              <w:jc w:val="right"/>
              <w:ind w:right="617"/>
              <w:spacing w:after="0"/>
              <w:rPr>
                <w:sz w:val="20"/>
                <w:szCs w:val="20"/>
                <w:color w:val="auto"/>
              </w:rPr>
            </w:pPr>
            <w:r>
              <w:rPr>
                <w:rFonts w:ascii="Arial" w:cs="Arial" w:eastAsia="Arial" w:hAnsi="Arial"/>
                <w:sz w:val="17"/>
                <w:szCs w:val="17"/>
                <w:color w:val="auto"/>
              </w:rPr>
              <w:t>Delaware</w:t>
            </w:r>
          </w:p>
        </w:tc>
        <w:tc>
          <w:tcPr>
            <w:tcW w:w="1500" w:type="dxa"/>
            <w:vAlign w:val="bottom"/>
          </w:tcPr>
          <w:p>
            <w:pPr>
              <w:jc w:val="right"/>
              <w:ind w:right="277"/>
              <w:spacing w:after="0"/>
              <w:rPr>
                <w:sz w:val="20"/>
                <w:szCs w:val="20"/>
                <w:color w:val="auto"/>
              </w:rPr>
            </w:pPr>
            <w:r>
              <w:rPr>
                <w:rFonts w:ascii="Arial" w:cs="Arial" w:eastAsia="Arial" w:hAnsi="Arial"/>
                <w:sz w:val="17"/>
                <w:szCs w:val="17"/>
                <w:color w:val="auto"/>
              </w:rPr>
              <w:t>100%</w:t>
            </w:r>
          </w:p>
        </w:tc>
      </w:tr>
      <w:tr>
        <w:trPr>
          <w:trHeight w:val="122"/>
        </w:trPr>
        <w:tc>
          <w:tcPr>
            <w:tcW w:w="616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137" w:name="page138"/>
    <w:bookmarkEnd w:id="137"/>
    <w:p>
      <w:pPr>
        <w:ind w:left="800" w:right="80" w:hanging="396"/>
        <w:spacing w:after="0" w:line="228"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151765</wp:posOffset>
            </wp:positionH>
            <wp:positionV relativeFrom="page">
              <wp:posOffset>340995</wp:posOffset>
            </wp:positionV>
            <wp:extent cx="23406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40610" cy="7620"/>
                    </a:xfrm>
                    <a:prstGeom prst="rect">
                      <a:avLst/>
                    </a:prstGeom>
                    <a:noFill/>
                  </pic:spPr>
                </pic:pic>
              </a:graphicData>
            </a:graphic>
          </wp:anchor>
        </w:drawing>
        <w:t>Shanghai Kaplan Education Investment Consulting Co. Ltd also owns 45% stock in Shanghai Kai Bo Education Investment Management Co. Limited. The combined ownership of The Financial Training (Shanghai) Co., Ltd and Shanghai Kaplan Education Investment Consulting Co. Ltd in Shanghai Kai Bo Education Investment Management Co. Limited is 85%.</w:t>
      </w:r>
    </w:p>
    <w:p>
      <w:pPr>
        <w:spacing w:after="0" w:line="1" w:lineRule="exact"/>
        <w:rPr>
          <w:rFonts w:ascii="Arial" w:cs="Arial" w:eastAsia="Arial" w:hAnsi="Arial"/>
          <w:sz w:val="17"/>
          <w:szCs w:val="17"/>
          <w:color w:val="auto"/>
        </w:rPr>
      </w:pPr>
    </w:p>
    <w:p>
      <w:pPr>
        <w:ind w:left="800" w:hanging="396"/>
        <w:spacing w:after="0" w:line="228"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Coxcourt Limited also owns 43.11% voting stock in Accountancy &amp; Business College Holdings Limited. The combined stock ownership of Kaplan Netherlands B.V. and Coxcourt Limited in Accountancy &amp; Business College Holdings Limited is 100%.</w:t>
      </w:r>
    </w:p>
    <w:p>
      <w:pPr>
        <w:ind w:left="800" w:right="320" w:hanging="396"/>
        <w:spacing w:after="0" w:line="228" w:lineRule="auto"/>
        <w:tabs>
          <w:tab w:leader="none" w:pos="77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7"/>
          <w:szCs w:val="17"/>
          <w:color w:val="auto"/>
        </w:rPr>
      </w:pPr>
    </w:p>
    <w:p>
      <w:pPr>
        <w:ind w:left="800" w:right="260" w:hanging="396"/>
        <w:spacing w:after="0" w:line="228"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Quest Ventures, LLC is a Limited Partner of Texas Educational Ventures, LLP. The combined ownership of Educational Ventures (Texas), Inc. and Quest Ventures, LLC in Texas Educational Ventures, LLP is 100%.</w:t>
      </w:r>
    </w:p>
    <w:p>
      <w:pPr>
        <w:ind w:left="800" w:right="140" w:hanging="396"/>
        <w:spacing w:after="0" w:line="228"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Kaplan Colleges Private Limited also owns 4.35% stock in Kaplan (India) Private Limited. The combined ownership of Kaplan Mexico Holdings, LLC and Kaplan Colleges Private Limited in Kaplan (India) Private Limited is 100%.</w:t>
      </w:r>
    </w:p>
    <w:p>
      <w:pPr>
        <w:ind w:left="800" w:right="80" w:hanging="396"/>
        <w:spacing w:after="0" w:line="235" w:lineRule="auto"/>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6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196215</wp:posOffset>
            </wp:positionV>
            <wp:extent cx="727837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0"/>
          </w:cols>
          <w:pgMar w:left="240" w:top="548" w:right="279" w:bottom="1440" w:gutter="0" w:footer="0" w:header="0"/>
        </w:sectPr>
      </w:pPr>
    </w:p>
    <w:bookmarkStart w:id="138" w:name="page139"/>
    <w:bookmarkEnd w:id="1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color w:val="auto"/>
        </w:rPr>
        <w:t>EXHIBIT 23</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65"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We hereby consent to the incorporation by reference in the Registration Statements on Form S-3 (Registration No. 333-155374) and Form S-8 (Registration No. 33-54295) of The Washington Post Company, of our report dated February 29, 2012 relating to the financial statements, and the effectiveness of internal control over financial reporting, which appears in this Form 10-K.</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8" w:lineRule="auto"/>
        <w:rPr>
          <w:sz w:val="20"/>
          <w:szCs w:val="20"/>
          <w:color w:val="auto"/>
        </w:rPr>
      </w:pPr>
      <w:r>
        <w:rPr>
          <w:rFonts w:ascii="Arial" w:cs="Arial" w:eastAsia="Arial" w:hAnsi="Arial"/>
          <w:sz w:val="17"/>
          <w:szCs w:val="17"/>
          <w:color w:val="auto"/>
        </w:rPr>
        <w:t>McLean, Virginia</w:t>
      </w:r>
    </w:p>
    <w:p>
      <w:pPr>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0" w:name="page141"/>
    <w:bookmarkEnd w:id="1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color w:val="auto"/>
        </w:rPr>
        <w:t>EXHIBIT 24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Power of Attorney</w:t>
      </w:r>
    </w:p>
    <w:p>
      <w:pPr>
        <w:jc w:val="center"/>
        <w:spacing w:after="0"/>
        <w:rPr>
          <w:sz w:val="20"/>
          <w:szCs w:val="20"/>
          <w:color w:val="auto"/>
        </w:rPr>
      </w:pPr>
      <w:r>
        <w:rPr>
          <w:rFonts w:ascii="Arial" w:cs="Arial" w:eastAsia="Arial" w:hAnsi="Arial"/>
          <w:sz w:val="17"/>
          <w:szCs w:val="17"/>
          <w:u w:val="single" w:color="auto"/>
          <w:color w:val="auto"/>
        </w:rPr>
        <w:t>Reports Under the Securities Exchange Act of 1934</w:t>
      </w:r>
    </w:p>
    <w:p>
      <w:pPr>
        <w:spacing w:after="0" w:line="140" w:lineRule="exact"/>
        <w:rPr>
          <w:sz w:val="20"/>
          <w:szCs w:val="20"/>
          <w:color w:val="auto"/>
        </w:rPr>
      </w:pPr>
    </w:p>
    <w:p>
      <w:pPr>
        <w:ind w:left="9520"/>
        <w:spacing w:after="0"/>
        <w:rPr>
          <w:sz w:val="20"/>
          <w:szCs w:val="20"/>
          <w:color w:val="auto"/>
        </w:rPr>
      </w:pPr>
      <w:r>
        <w:rPr>
          <w:rFonts w:ascii="Arial" w:cs="Arial" w:eastAsia="Arial" w:hAnsi="Arial"/>
          <w:sz w:val="17"/>
          <w:szCs w:val="17"/>
          <w:color w:val="auto"/>
        </w:rPr>
        <w:t>February 23, 2012</w:t>
      </w:r>
    </w:p>
    <w:p>
      <w:pPr>
        <w:spacing w:after="0" w:line="14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KNOW ALL MEN BY THESE PRESENTS that each of the undersigned directors and officers of The Washington Post Company, a Delaware corporation (hereinafter called the "Company"), hereby constitutes and appoints DONALD E. GRAHAM, HAL S. JONES and VERONICA DILLON,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2011,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140"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912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ind w:right="300"/>
        <w:spacing w:after="0"/>
        <w:rPr>
          <w:sz w:val="20"/>
          <w:szCs w:val="20"/>
          <w:color w:val="auto"/>
        </w:rPr>
      </w:pPr>
      <w:r>
        <w:rPr>
          <w:rFonts w:ascii="Arial" w:cs="Arial" w:eastAsia="Arial" w:hAnsi="Arial"/>
          <w:sz w:val="17"/>
          <w:szCs w:val="17"/>
          <w:color w:val="auto"/>
        </w:rPr>
        <w:t>Donald E. Graham, Chairman of the Board and Chief Executive Officer (Principal Executive Officer) and Director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34912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16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Hal S. Jones, Senior Vice President - Finance (Principal Financial Officer)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49123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7"/>
          <w:szCs w:val="17"/>
          <w:color w:val="auto"/>
        </w:rPr>
        <w:t>Wallace R. Cooney, Vice President - Finance (Principal Accounting Officer) /s/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4912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7"/>
          <w:szCs w:val="17"/>
          <w:color w:val="auto"/>
        </w:rPr>
        <w:t>Lee C. Bollinger, 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912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Christopher C. Davis, Director</w:t>
      </w:r>
    </w:p>
    <w:p>
      <w:pPr>
        <w:spacing w:after="0"/>
        <w:rPr>
          <w:sz w:val="20"/>
          <w:szCs w:val="20"/>
          <w:color w:val="auto"/>
        </w:rPr>
      </w:pPr>
      <w:r>
        <w:rPr>
          <w:rFonts w:ascii="Arial" w:cs="Arial" w:eastAsia="Arial" w:hAnsi="Arial"/>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912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Barry Diller, Director</w:t>
      </w:r>
    </w:p>
    <w:p>
      <w:pPr>
        <w:spacing w:after="0"/>
        <w:rPr>
          <w:sz w:val="20"/>
          <w:szCs w:val="20"/>
          <w:color w:val="auto"/>
        </w:rPr>
      </w:pPr>
      <w:r>
        <w:rPr>
          <w:rFonts w:ascii="Arial" w:cs="Arial" w:eastAsia="Arial" w:hAnsi="Arial"/>
          <w:sz w:val="17"/>
          <w:szCs w:val="17"/>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49123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John L. Dotson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Thomas S. Gayner, Director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Anne M. Mulcahy, Director</w:t>
      </w:r>
    </w:p>
    <w:p>
      <w:pPr>
        <w:spacing w:after="0"/>
        <w:rPr>
          <w:sz w:val="20"/>
          <w:szCs w:val="20"/>
          <w:color w:val="auto"/>
        </w:rPr>
      </w:pPr>
      <w:r>
        <w:rPr>
          <w:rFonts w:ascii="Arial" w:cs="Arial" w:eastAsia="Arial" w:hAnsi="Arial"/>
          <w:sz w:val="17"/>
          <w:szCs w:val="17"/>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Ronald L. Olson, Director</w:t>
      </w:r>
    </w:p>
    <w:p>
      <w:pPr>
        <w:spacing w:after="0"/>
        <w:rPr>
          <w:sz w:val="20"/>
          <w:szCs w:val="20"/>
          <w:color w:val="auto"/>
        </w:rPr>
      </w:pPr>
      <w:r>
        <w:rPr>
          <w:rFonts w:ascii="Arial" w:cs="Arial" w:eastAsia="Arial" w:hAnsi="Arial"/>
          <w:sz w:val="17"/>
          <w:szCs w:val="17"/>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Larry D. Thompson, Director</w:t>
      </w:r>
    </w:p>
    <w:p>
      <w:pPr>
        <w:spacing w:after="0"/>
        <w:rPr>
          <w:sz w:val="20"/>
          <w:szCs w:val="20"/>
          <w:color w:val="auto"/>
        </w:rPr>
      </w:pPr>
      <w:r>
        <w:rPr>
          <w:rFonts w:ascii="Arial" w:cs="Arial" w:eastAsia="Arial" w:hAnsi="Arial"/>
          <w:sz w:val="17"/>
          <w:szCs w:val="17"/>
          <w:color w:val="auto"/>
        </w:rPr>
        <w:t>/s/ G. Richard Wagoner,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 Richard Wagoner, Jr., Director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042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0423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Katharine Weymouth, Director</w:t>
      </w:r>
    </w:p>
    <w:p>
      <w:pPr>
        <w:sectPr>
          <w:pgSz w:w="11900" w:h="16838" w:orient="portrait"/>
          <w:cols w:equalWidth="0" w:num="2">
            <w:col w:w="5480" w:space="580"/>
            <w:col w:w="5360"/>
          </w:cols>
          <w:pgMar w:left="240" w:top="140" w:right="239" w:bottom="1440" w:gutter="0" w:footer="0" w:header="0"/>
          <w:type w:val="continuous"/>
        </w:sectPr>
      </w:pPr>
    </w:p>
    <w:bookmarkStart w:id="142" w:name="page143"/>
    <w:bookmarkEnd w:id="1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3" w:name="page144"/>
    <w:bookmarkEnd w:id="143"/>
    <w:p>
      <w:pPr>
        <w:ind w:left="10421"/>
        <w:spacing w:after="0"/>
        <w:rPr>
          <w:sz w:val="20"/>
          <w:szCs w:val="20"/>
          <w:color w:val="auto"/>
        </w:rPr>
      </w:pPr>
      <w:r>
        <w:rPr>
          <w:rFonts w:ascii="Arial" w:cs="Arial" w:eastAsia="Arial" w:hAnsi="Arial"/>
          <w:sz w:val="16"/>
          <w:szCs w:val="16"/>
          <w:color w:val="auto"/>
        </w:rPr>
        <w:t>EXHIBIT 31.1</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13a-14(a)/15d-14(a) CERTIFICATION OF THE CHIEF EXECUTIVE OFFICER</w:t>
      </w:r>
    </w:p>
    <w:p>
      <w:pPr>
        <w:jc w:val="center"/>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1" w:hanging="181"/>
        <w:spacing w:after="0"/>
        <w:tabs>
          <w:tab w:leader="none" w:pos="1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Registrant;</w:t>
      </w:r>
    </w:p>
    <w:p>
      <w:pPr>
        <w:spacing w:after="0" w:line="139" w:lineRule="exact"/>
        <w:rPr>
          <w:rFonts w:ascii="Arial" w:cs="Arial" w:eastAsia="Arial" w:hAnsi="Arial"/>
          <w:sz w:val="17"/>
          <w:szCs w:val="17"/>
          <w:color w:val="auto"/>
        </w:rPr>
      </w:pPr>
    </w:p>
    <w:p>
      <w:pPr>
        <w:ind w:left="1" w:right="240" w:hanging="1"/>
        <w:spacing w:after="0" w:line="260" w:lineRule="auto"/>
        <w:tabs>
          <w:tab w:leader="none" w:pos="18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6"/>
          <w:szCs w:val="16"/>
          <w:color w:val="auto"/>
        </w:rPr>
      </w:pPr>
    </w:p>
    <w:p>
      <w:pPr>
        <w:ind w:left="1" w:right="20" w:hanging="1"/>
        <w:spacing w:after="0" w:line="235" w:lineRule="auto"/>
        <w:tabs>
          <w:tab w:leader="none" w:pos="1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1" w:right="20" w:hanging="1"/>
        <w:spacing w:after="0" w:line="233" w:lineRule="auto"/>
        <w:tabs>
          <w:tab w:leader="none" w:pos="1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ind w:left="801" w:right="100" w:hanging="396"/>
        <w:spacing w:after="0" w:line="233" w:lineRule="auto"/>
        <w:tabs>
          <w:tab w:leader="none" w:pos="7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7"/>
          <w:szCs w:val="17"/>
          <w:color w:val="auto"/>
        </w:rPr>
      </w:pPr>
    </w:p>
    <w:p>
      <w:pPr>
        <w:ind w:left="801" w:hanging="396"/>
        <w:spacing w:after="0" w:line="233" w:lineRule="auto"/>
        <w:tabs>
          <w:tab w:leader="none" w:pos="7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jc w:val="both"/>
        <w:ind w:left="801" w:right="640" w:hanging="396"/>
        <w:spacing w:after="0" w:line="260" w:lineRule="auto"/>
        <w:tabs>
          <w:tab w:leader="none" w:pos="77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1" w:right="100" w:hanging="396"/>
        <w:spacing w:after="0" w:line="235" w:lineRule="auto"/>
        <w:tabs>
          <w:tab w:leader="none" w:pos="7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 w:right="560" w:hanging="1"/>
        <w:spacing w:after="0" w:line="235" w:lineRule="auto"/>
        <w:tabs>
          <w:tab w:leader="none" w:pos="1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1" w:right="280" w:hanging="396"/>
        <w:spacing w:after="0" w:line="235" w:lineRule="auto"/>
        <w:tabs>
          <w:tab w:leader="none" w:pos="7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1" w:right="160" w:hanging="396"/>
        <w:spacing w:after="0" w:line="235" w:lineRule="auto"/>
        <w:tabs>
          <w:tab w:leader="none" w:pos="782" w:val="left"/>
        </w:tabs>
        <w:numPr>
          <w:ilvl w:val="1"/>
          <w:numId w:val="10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1"/>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5741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45" w:lineRule="exact"/>
        <w:rPr>
          <w:sz w:val="20"/>
          <w:szCs w:val="20"/>
          <w:color w:val="auto"/>
        </w:rPr>
      </w:pPr>
    </w:p>
    <w:p>
      <w:pPr>
        <w:ind w:left="1"/>
        <w:spacing w:after="0"/>
        <w:rPr>
          <w:sz w:val="20"/>
          <w:szCs w:val="20"/>
          <w:color w:val="auto"/>
        </w:rPr>
      </w:pPr>
      <w:r>
        <w:rPr>
          <w:rFonts w:ascii="Arial" w:cs="Arial" w:eastAsia="Arial" w:hAnsi="Arial"/>
          <w:sz w:val="17"/>
          <w:szCs w:val="17"/>
          <w:color w:val="auto"/>
        </w:rPr>
        <w:t>Donald E. Graham</w:t>
      </w:r>
    </w:p>
    <w:p>
      <w:pPr>
        <w:ind w:left="1"/>
        <w:spacing w:after="0" w:line="232" w:lineRule="auto"/>
        <w:rPr>
          <w:sz w:val="20"/>
          <w:szCs w:val="20"/>
          <w:color w:val="auto"/>
        </w:rPr>
      </w:pPr>
      <w:r>
        <w:rPr>
          <w:rFonts w:ascii="Arial" w:cs="Arial" w:eastAsia="Arial" w:hAnsi="Arial"/>
          <w:sz w:val="17"/>
          <w:szCs w:val="17"/>
          <w:color w:val="auto"/>
        </w:rPr>
        <w:t>Chief Executive Officer</w:t>
      </w:r>
    </w:p>
    <w:p>
      <w:pPr>
        <w:ind w:left="1"/>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7278370"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140" w:right="23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ind w:left="10421"/>
        <w:spacing w:after="0"/>
        <w:rPr>
          <w:sz w:val="20"/>
          <w:szCs w:val="20"/>
          <w:color w:val="auto"/>
        </w:rPr>
      </w:pPr>
      <w:r>
        <w:rPr>
          <w:rFonts w:ascii="Arial" w:cs="Arial" w:eastAsia="Arial" w:hAnsi="Arial"/>
          <w:sz w:val="16"/>
          <w:szCs w:val="16"/>
          <w:color w:val="auto"/>
        </w:rPr>
        <w:t>EXHIBIT 31.2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RULE 13a-14(a)/15d-14(a) CERTIFICATION OF THE CHIEF FINANCIAL OFFICER</w:t>
      </w:r>
    </w:p>
    <w:p>
      <w:pPr>
        <w:jc w:val="center"/>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1" w:hanging="181"/>
        <w:spacing w:after="0"/>
        <w:tabs>
          <w:tab w:leader="none" w:pos="18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Registrant;</w:t>
      </w:r>
    </w:p>
    <w:p>
      <w:pPr>
        <w:spacing w:after="0" w:line="139" w:lineRule="exact"/>
        <w:rPr>
          <w:rFonts w:ascii="Arial" w:cs="Arial" w:eastAsia="Arial" w:hAnsi="Arial"/>
          <w:sz w:val="17"/>
          <w:szCs w:val="17"/>
          <w:color w:val="auto"/>
        </w:rPr>
      </w:pPr>
    </w:p>
    <w:p>
      <w:pPr>
        <w:ind w:left="1" w:right="240" w:hanging="1"/>
        <w:spacing w:after="0" w:line="260" w:lineRule="auto"/>
        <w:tabs>
          <w:tab w:leader="none" w:pos="18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6"/>
          <w:szCs w:val="16"/>
          <w:color w:val="auto"/>
        </w:rPr>
      </w:pPr>
    </w:p>
    <w:p>
      <w:pPr>
        <w:ind w:left="1" w:right="20" w:hanging="1"/>
        <w:spacing w:after="0" w:line="235" w:lineRule="auto"/>
        <w:tabs>
          <w:tab w:leader="none" w:pos="1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1" w:right="20" w:hanging="1"/>
        <w:spacing w:after="0" w:line="233" w:lineRule="auto"/>
        <w:tabs>
          <w:tab w:leader="none" w:pos="1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ind w:left="801" w:right="100" w:hanging="396"/>
        <w:spacing w:after="0" w:line="233" w:lineRule="auto"/>
        <w:tabs>
          <w:tab w:leader="none" w:pos="7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7"/>
          <w:szCs w:val="17"/>
          <w:color w:val="auto"/>
        </w:rPr>
      </w:pPr>
    </w:p>
    <w:p>
      <w:pPr>
        <w:ind w:left="801" w:hanging="396"/>
        <w:spacing w:after="0" w:line="233" w:lineRule="auto"/>
        <w:tabs>
          <w:tab w:leader="none" w:pos="7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7"/>
          <w:szCs w:val="17"/>
          <w:color w:val="auto"/>
        </w:rPr>
      </w:pPr>
    </w:p>
    <w:p>
      <w:pPr>
        <w:jc w:val="both"/>
        <w:ind w:left="801" w:right="640" w:hanging="396"/>
        <w:spacing w:after="0" w:line="260" w:lineRule="auto"/>
        <w:tabs>
          <w:tab w:leader="none" w:pos="77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1" w:right="100" w:hanging="396"/>
        <w:spacing w:after="0" w:line="235" w:lineRule="auto"/>
        <w:tabs>
          <w:tab w:leader="none" w:pos="7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 w:right="560" w:hanging="1"/>
        <w:spacing w:after="0" w:line="235" w:lineRule="auto"/>
        <w:tabs>
          <w:tab w:leader="none" w:pos="1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1" w:right="280" w:hanging="396"/>
        <w:spacing w:after="0" w:line="235" w:lineRule="auto"/>
        <w:tabs>
          <w:tab w:leader="none" w:pos="7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1" w:right="160" w:hanging="396"/>
        <w:spacing w:after="0" w:line="235" w:lineRule="auto"/>
        <w:tabs>
          <w:tab w:leader="none" w:pos="782" w:val="left"/>
        </w:tabs>
        <w:numPr>
          <w:ilvl w:val="1"/>
          <w:numId w:val="10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1"/>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5741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73" w:lineRule="exact"/>
        <w:rPr>
          <w:sz w:val="20"/>
          <w:szCs w:val="20"/>
          <w:color w:val="auto"/>
        </w:rPr>
      </w:pPr>
    </w:p>
    <w:p>
      <w:pPr>
        <w:ind w:left="1"/>
        <w:spacing w:after="0"/>
        <w:rPr>
          <w:sz w:val="20"/>
          <w:szCs w:val="20"/>
          <w:color w:val="auto"/>
        </w:rPr>
      </w:pPr>
      <w:r>
        <w:rPr>
          <w:rFonts w:ascii="Arial" w:cs="Arial" w:eastAsia="Arial" w:hAnsi="Arial"/>
          <w:sz w:val="17"/>
          <w:szCs w:val="17"/>
          <w:color w:val="auto"/>
        </w:rPr>
        <w:t>Hal S. Jones</w:t>
      </w:r>
    </w:p>
    <w:p>
      <w:pPr>
        <w:ind w:left="1"/>
        <w:spacing w:after="0" w:line="228" w:lineRule="auto"/>
        <w:rPr>
          <w:sz w:val="20"/>
          <w:szCs w:val="20"/>
          <w:color w:val="auto"/>
        </w:rPr>
      </w:pPr>
      <w:r>
        <w:rPr>
          <w:rFonts w:ascii="Arial" w:cs="Arial" w:eastAsia="Arial" w:hAnsi="Arial"/>
          <w:sz w:val="17"/>
          <w:szCs w:val="17"/>
          <w:color w:val="auto"/>
        </w:rPr>
        <w:t>Senior Vice President-Finance</w:t>
      </w:r>
    </w:p>
    <w:p>
      <w:pPr>
        <w:ind w:left="1"/>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727837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140" w:right="239" w:bottom="1440" w:gutter="0" w:footer="0" w:header="0"/>
        </w:sectPr>
      </w:pPr>
    </w:p>
    <w:bookmarkStart w:id="146" w:name="page147"/>
    <w:bookmarkEnd w:id="1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color w:val="auto"/>
        </w:rPr>
        <w:t>EXHIBIT 32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spacing w:after="0" w:line="228" w:lineRule="auto"/>
        <w:rPr>
          <w:sz w:val="20"/>
          <w:szCs w:val="20"/>
          <w:color w:val="auto"/>
        </w:rPr>
      </w:pPr>
      <w:r>
        <w:rPr>
          <w:rFonts w:ascii="Arial" w:cs="Arial" w:eastAsia="Arial" w:hAnsi="Arial"/>
          <w:sz w:val="17"/>
          <w:szCs w:val="17"/>
          <w:color w:val="auto"/>
        </w:rPr>
        <w:t>OFFICER</w:t>
      </w:r>
    </w:p>
    <w:p>
      <w:pPr>
        <w:jc w:val="center"/>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1" w:right="100"/>
        <w:spacing w:after="0" w:line="232" w:lineRule="auto"/>
        <w:rPr>
          <w:sz w:val="20"/>
          <w:szCs w:val="20"/>
          <w:color w:val="auto"/>
        </w:rPr>
      </w:pPr>
      <w:r>
        <w:rPr>
          <w:rFonts w:ascii="Arial" w:cs="Arial" w:eastAsia="Arial" w:hAnsi="Arial"/>
          <w:sz w:val="17"/>
          <w:szCs w:val="17"/>
          <w:color w:val="auto"/>
        </w:rPr>
        <w:t>In connection with the Annual Report of The Washington Post Company (the “Company”) on Form 10-K for the fiscal year ended December 31, 2011 (the “Report”), Donald E. Graham,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138" w:lineRule="exact"/>
        <w:rPr>
          <w:sz w:val="20"/>
          <w:szCs w:val="20"/>
          <w:color w:val="auto"/>
        </w:rPr>
      </w:pPr>
    </w:p>
    <w:p>
      <w:pPr>
        <w:ind w:left="241" w:hanging="241"/>
        <w:spacing w:after="0"/>
        <w:tabs>
          <w:tab w:leader="none" w:pos="2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1" w:hanging="241"/>
        <w:spacing w:after="0"/>
        <w:tabs>
          <w:tab w:leader="none" w:pos="2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5741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6" w:lineRule="exact"/>
        <w:rPr>
          <w:sz w:val="20"/>
          <w:szCs w:val="20"/>
          <w:color w:val="auto"/>
        </w:rPr>
      </w:pPr>
    </w:p>
    <w:p>
      <w:pPr>
        <w:ind w:left="1"/>
        <w:spacing w:after="0"/>
        <w:rPr>
          <w:sz w:val="20"/>
          <w:szCs w:val="20"/>
          <w:color w:val="auto"/>
        </w:rPr>
      </w:pPr>
      <w:r>
        <w:rPr>
          <w:rFonts w:ascii="Arial" w:cs="Arial" w:eastAsia="Arial" w:hAnsi="Arial"/>
          <w:sz w:val="17"/>
          <w:szCs w:val="17"/>
          <w:color w:val="auto"/>
        </w:rPr>
        <w:t>Donald E. Graham</w:t>
      </w:r>
    </w:p>
    <w:p>
      <w:pPr>
        <w:ind w:left="1"/>
        <w:spacing w:after="0" w:line="228" w:lineRule="auto"/>
        <w:rPr>
          <w:sz w:val="20"/>
          <w:szCs w:val="20"/>
          <w:color w:val="auto"/>
        </w:rPr>
      </w:pPr>
      <w:r>
        <w:rPr>
          <w:rFonts w:ascii="Arial" w:cs="Arial" w:eastAsia="Arial" w:hAnsi="Arial"/>
          <w:sz w:val="17"/>
          <w:szCs w:val="17"/>
          <w:color w:val="auto"/>
        </w:rPr>
        <w:t>Chief Executive Officer</w:t>
      </w:r>
    </w:p>
    <w:p>
      <w:pPr>
        <w:ind w:left="1"/>
        <w:spacing w:after="0"/>
        <w:rPr>
          <w:sz w:val="20"/>
          <w:szCs w:val="20"/>
          <w:color w:val="auto"/>
        </w:rPr>
      </w:pPr>
      <w:r>
        <w:rPr>
          <w:rFonts w:ascii="Arial" w:cs="Arial" w:eastAsia="Arial" w:hAnsi="Arial"/>
          <w:sz w:val="17"/>
          <w:szCs w:val="17"/>
          <w:color w:val="auto"/>
        </w:rPr>
        <w:t>February 29, 2012</w:t>
      </w:r>
    </w:p>
    <w:p>
      <w:pPr>
        <w:spacing w:after="0" w:line="226" w:lineRule="exact"/>
        <w:rPr>
          <w:sz w:val="20"/>
          <w:szCs w:val="20"/>
          <w:color w:val="auto"/>
        </w:rPr>
      </w:pPr>
    </w:p>
    <w:p>
      <w:pPr>
        <w:ind w:left="1"/>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25741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6" w:lineRule="exact"/>
        <w:rPr>
          <w:sz w:val="20"/>
          <w:szCs w:val="20"/>
          <w:color w:val="auto"/>
        </w:rPr>
      </w:pPr>
    </w:p>
    <w:p>
      <w:pPr>
        <w:ind w:left="1"/>
        <w:spacing w:after="0"/>
        <w:rPr>
          <w:sz w:val="20"/>
          <w:szCs w:val="20"/>
          <w:color w:val="auto"/>
        </w:rPr>
      </w:pPr>
      <w:r>
        <w:rPr>
          <w:rFonts w:ascii="Arial" w:cs="Arial" w:eastAsia="Arial" w:hAnsi="Arial"/>
          <w:sz w:val="17"/>
          <w:szCs w:val="17"/>
          <w:color w:val="auto"/>
        </w:rPr>
        <w:t>Hal S. Jones</w:t>
      </w:r>
    </w:p>
    <w:p>
      <w:pPr>
        <w:ind w:left="1"/>
        <w:spacing w:after="0" w:line="228" w:lineRule="auto"/>
        <w:rPr>
          <w:sz w:val="20"/>
          <w:szCs w:val="20"/>
          <w:color w:val="auto"/>
        </w:rPr>
      </w:pPr>
      <w:r>
        <w:rPr>
          <w:rFonts w:ascii="Arial" w:cs="Arial" w:eastAsia="Arial" w:hAnsi="Arial"/>
          <w:sz w:val="17"/>
          <w:szCs w:val="17"/>
          <w:color w:val="auto"/>
        </w:rPr>
        <w:t>Senior Vice President-Finance</w:t>
      </w:r>
    </w:p>
    <w:p>
      <w:pPr>
        <w:ind w:left="1"/>
        <w:spacing w:after="0"/>
        <w:rPr>
          <w:sz w:val="20"/>
          <w:szCs w:val="20"/>
          <w:color w:val="auto"/>
        </w:rPr>
      </w:pPr>
      <w:r>
        <w:rPr>
          <w:rFonts w:ascii="Arial" w:cs="Arial" w:eastAsia="Arial" w:hAnsi="Arial"/>
          <w:sz w:val="17"/>
          <w:szCs w:val="17"/>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727837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140" w:right="2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24"/>
    </w:lvl>
  </w:abstractNum>
  <w:abstractNum w:abstractNumId="3">
    <w:nsid w:val="374A3FE6"/>
    <w:multiLevelType w:val="hybridMultilevel"/>
    <w:lvl w:ilvl="0">
      <w:lvlJc w:val="left"/>
      <w:lvlText w:val="(%1)"/>
      <w:numFmt w:val="lowerLetter"/>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decimal"/>
      <w:start w:val="2"/>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lowerRoman"/>
      <w:start w:val="3"/>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3"/>
    </w:lvl>
  </w:abstractNum>
  <w:abstractNum w:abstractNumId="53">
    <w:nsid w:val="1A32234B"/>
    <w:multiLevelType w:val="hybridMultilevel"/>
    <w:lvl w:ilvl="0">
      <w:lvlJc w:val="left"/>
      <w:lvlText w:val="%1."/>
      <w:numFmt w:val="decimal"/>
      <w:start w:val="4"/>
    </w:lvl>
  </w:abstractNum>
  <w:abstractNum w:abstractNumId="54">
    <w:nsid w:val="3B0FD379"/>
    <w:multiLevelType w:val="hybridMultilevel"/>
    <w:lvl w:ilvl="0">
      <w:lvlJc w:val="left"/>
      <w:lvlText w:val="%1."/>
      <w:numFmt w:val="decimal"/>
      <w:start w:val="8"/>
    </w:lvl>
  </w:abstractNum>
  <w:abstractNum w:abstractNumId="55">
    <w:nsid w:val="68EB2F63"/>
    <w:multiLevelType w:val="hybridMultilevel"/>
    <w:lvl w:ilvl="0">
      <w:lvlJc w:val="left"/>
      <w:lvlText w:val="%1."/>
      <w:numFmt w:val="decimal"/>
      <w:start w:val="12"/>
    </w:lvl>
  </w:abstractNum>
  <w:abstractNum w:abstractNumId="56">
    <w:nsid w:val="4962813B"/>
    <w:multiLevelType w:val="hybridMultilevel"/>
    <w:lvl w:ilvl="0">
      <w:lvlJc w:val="left"/>
      <w:lvlText w:val="%1."/>
      <w:numFmt w:val="decimal"/>
      <w:start w:val="13"/>
    </w:lvl>
  </w:abstractNum>
  <w:abstractNum w:abstractNumId="57">
    <w:nsid w:val="60B6DF70"/>
    <w:multiLevelType w:val="hybridMultilevel"/>
    <w:lvl w:ilvl="0">
      <w:lvlJc w:val="left"/>
      <w:lvlText w:val="(%1)"/>
      <w:numFmt w:val="lowerRoman"/>
      <w:start w:val="2"/>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decimal"/>
      <w:start w:val="14"/>
    </w:lvl>
  </w:abstractNum>
  <w:abstractNum w:abstractNumId="60">
    <w:nsid w:val="7FFFCA11"/>
    <w:multiLevelType w:val="hybridMultilevel"/>
    <w:lvl w:ilvl="0">
      <w:lvlJc w:val="left"/>
      <w:lvlText w:val="%1."/>
      <w:numFmt w:val="decimal"/>
      <w:start w:val="15"/>
    </w:lvl>
  </w:abstractNum>
  <w:abstractNum w:abstractNumId="61">
    <w:nsid w:val="1A27709E"/>
    <w:multiLevelType w:val="hybridMultilevel"/>
    <w:lvl w:ilvl="0">
      <w:lvlJc w:val="left"/>
      <w:lvlText w:val="%1."/>
      <w:numFmt w:val="decimal"/>
      <w:start w:val="16"/>
    </w:lvl>
  </w:abstractNum>
  <w:abstractNum w:abstractNumId="62">
    <w:nsid w:val="71EA1109"/>
    <w:multiLevelType w:val="hybridMultilevel"/>
    <w:lvl w:ilvl="0">
      <w:lvlJc w:val="left"/>
      <w:lvlText w:val="%1."/>
      <w:numFmt w:val="decimal"/>
      <w:start w:val="17"/>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18"/>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9"/>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1."/>
      <w:numFmt w:val="decimal"/>
      <w:start w:val="2"/>
    </w:lvl>
  </w:abstractNum>
  <w:abstractNum w:abstractNumId="75">
    <w:nsid w:val="68EBC550"/>
    <w:multiLevelType w:val="hybridMultilevel"/>
    <w:lvl w:ilvl="0">
      <w:lvlJc w:val="left"/>
      <w:lvlText w:val="%1."/>
      <w:numFmt w:val="decimal"/>
      <w:start w:val="3"/>
    </w:lvl>
    <w:lvl w:ilvl="1">
      <w:lvlJc w:val="left"/>
      <w:lvlText w:val="(%2)"/>
      <w:numFmt w:val="lowerLetter"/>
      <w:start w:val="1"/>
    </w:lvl>
  </w:abstractNum>
  <w:abstractNum w:abstractNumId="76">
    <w:nsid w:val="2DF6D648"/>
    <w:multiLevelType w:val="hybridMultilevel"/>
    <w:lvl w:ilvl="0">
      <w:lvlJc w:val="left"/>
      <w:lvlText w:val="%1"/>
      <w:numFmt w:val="decimal"/>
      <w:start w:val="1"/>
    </w:lvl>
    <w:lvl w:ilvl="1">
      <w:lvlJc w:val="left"/>
      <w:lvlText w:val="(%2)"/>
      <w:numFmt w:val="lowerLetter"/>
      <w:start w:val="4"/>
    </w:lvl>
  </w:abstractNum>
  <w:abstractNum w:abstractNumId="77">
    <w:nsid w:val="46B7D447"/>
    <w:multiLevelType w:val="hybridMultilevel"/>
    <w:lvl w:ilvl="0">
      <w:lvlJc w:val="left"/>
      <w:lvlText w:val="%1."/>
      <w:numFmt w:val="decimal"/>
      <w:start w:val="4"/>
    </w:lvl>
    <w:lvl w:ilvl="1">
      <w:lvlJc w:val="left"/>
      <w:lvlText w:val="%2"/>
      <w:numFmt w:val="lowerLetter"/>
      <w:start w:val="1"/>
    </w:lvl>
  </w:abstractNum>
  <w:abstractNum w:abstractNumId="78">
    <w:nsid w:val="4A2AC315"/>
    <w:multiLevelType w:val="hybridMultilevel"/>
    <w:lvl w:ilvl="0">
      <w:lvlJc w:val="left"/>
      <w:lvlText w:val="%1."/>
      <w:numFmt w:val="decimal"/>
      <w:start w:val="5"/>
    </w:lvl>
    <w:lvl w:ilvl="1">
      <w:lvlJc w:val="left"/>
      <w:lvlText w:val="(%2)"/>
      <w:numFmt w:val="lowerLetter"/>
      <w:start w:val="1"/>
    </w:lvl>
  </w:abstractNum>
  <w:abstractNum w:abstractNumId="79">
    <w:nsid w:val="39EE015C"/>
    <w:multiLevelType w:val="hybridMultilevel"/>
    <w:lvl w:ilvl="0">
      <w:lvlJc w:val="left"/>
      <w:lvlText w:val="(%1)"/>
      <w:numFmt w:val="lowerRoman"/>
      <w:start w:val="1"/>
    </w:lvl>
  </w:abstractNum>
  <w:abstractNum w:abstractNumId="80">
    <w:nsid w:val="57FC4FBB"/>
    <w:multiLevelType w:val="hybridMultilevel"/>
    <w:lvl w:ilvl="0">
      <w:lvlJc w:val="left"/>
      <w:lvlText w:val="%1"/>
      <w:numFmt w:val="decimal"/>
      <w:start w:val="1"/>
    </w:lvl>
    <w:lvl w:ilvl="1">
      <w:lvlJc w:val="left"/>
      <w:lvlText w:val="(%2)"/>
      <w:numFmt w:val="lowerRoman"/>
      <w:start w:val="2"/>
    </w:lvl>
  </w:abstractNum>
  <w:abstractNum w:abstractNumId="81">
    <w:nsid w:val="CC1016F"/>
    <w:multiLevelType w:val="hybridMultilevel"/>
    <w:lvl w:ilvl="0">
      <w:lvlJc w:val="left"/>
      <w:lvlText w:val="%1."/>
      <w:numFmt w:val="decimal"/>
      <w:start w:val="7"/>
    </w:lvl>
    <w:lvl w:ilvl="1">
      <w:lvlJc w:val="left"/>
      <w:lvlText w:val="%2"/>
      <w:numFmt w:val="lowerRoman"/>
      <w:start w:val="1"/>
    </w:lvl>
  </w:abstractNum>
  <w:abstractNum w:abstractNumId="82">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3">
    <w:nsid w:val="60EF0119"/>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84">
    <w:nsid w:val="26F324BA"/>
    <w:multiLevelType w:val="hybridMultilevel"/>
    <w:lvl w:ilvl="0">
      <w:lvlJc w:val="left"/>
      <w:lvlText w:val="(%1)"/>
      <w:numFmt w:val="lowerRoman"/>
      <w:start w:val="2"/>
    </w:lvl>
  </w:abstractNum>
  <w:abstractNum w:abstractNumId="85">
    <w:nsid w:val="7F01579B"/>
    <w:multiLevelType w:val="hybridMultilevel"/>
    <w:lvl w:ilvl="0">
      <w:lvlJc w:val="left"/>
      <w:lvlText w:val="(%1)"/>
      <w:numFmt w:val="lowerRoman"/>
      <w:start w:val="1"/>
    </w:lvl>
  </w:abstractNum>
  <w:abstractNum w:abstractNumId="86">
    <w:nsid w:val="49DA307D"/>
    <w:multiLevelType w:val="hybridMultilevel"/>
    <w:lvl w:ilvl="0">
      <w:lvlJc w:val="left"/>
      <w:lvlText w:val="%1."/>
      <w:numFmt w:val="decimal"/>
      <w:start w:val="9"/>
    </w:lvl>
    <w:lvl w:ilvl="1">
      <w:lvlJc w:val="left"/>
      <w:lvlText w:val="(%2)"/>
      <w:numFmt w:val="lowerLetter"/>
      <w:start w:val="1"/>
    </w:lvl>
  </w:abstractNum>
  <w:abstractNum w:abstractNumId="87">
    <w:nsid w:val="7055A5F5"/>
    <w:multiLevelType w:val="hybridMultilevel"/>
    <w:lvl w:ilvl="0">
      <w:lvlJc w:val="left"/>
      <w:lvlText w:val="(%1)"/>
      <w:numFmt w:val="lowerLetter"/>
      <w:start w:val="3"/>
    </w:lvl>
  </w:abstractNum>
  <w:abstractNum w:abstractNumId="88">
    <w:nsid w:val="5FB8370B"/>
    <w:multiLevelType w:val="hybridMultilevel"/>
    <w:lvl w:ilvl="0">
      <w:lvlJc w:val="left"/>
      <w:lvlText w:val="(%1)"/>
      <w:numFmt w:val="lowerRoman"/>
      <w:start w:val="1"/>
    </w:lvl>
  </w:abstractNum>
  <w:abstractNum w:abstractNumId="89">
    <w:nsid w:val="50801EE1"/>
    <w:multiLevelType w:val="hybridMultilevel"/>
    <w:lvl w:ilvl="0">
      <w:lvlJc w:val="left"/>
      <w:lvlText w:val="(%1)"/>
      <w:numFmt w:val="lowerRoman"/>
      <w:start w:val="3"/>
    </w:lvl>
  </w:abstractNum>
  <w:abstractNum w:abstractNumId="90">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1">
    <w:nsid w:val="5FB8011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92">
    <w:nsid w:val="6AA78F7F"/>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1"/>
      <w:numFmt w:val="lowerLetter"/>
      <w:start w:val="1"/>
    </w:lvl>
    <w:lvl w:ilvl="1">
      <w:lvlJc w:val="left"/>
      <w:lvlText w:val="(%2)"/>
      <w:numFmt w:val="lowerRoman"/>
      <w:start w:val="1"/>
    </w:lvl>
  </w:abstractNum>
  <w:abstractNum w:abstractNumId="95">
    <w:nsid w:val="6A5F7029"/>
    <w:multiLevelType w:val="hybridMultilevel"/>
    <w:lvl w:ilvl="0">
      <w:lvlJc w:val="left"/>
      <w:lvlText w:val="(%1)"/>
      <w:numFmt w:val="lowerLetter"/>
      <w:start w:val="4"/>
    </w:lvl>
    <w:lvl w:ilvl="1">
      <w:lvlJc w:val="left"/>
      <w:lvlText w:val="%2"/>
      <w:numFmt w:val="lowerRoman"/>
      <w:start w:val="1"/>
    </w:lvl>
  </w:abstractNum>
  <w:abstractNum w:abstractNumId="96">
    <w:nsid w:val="7D5E18F8"/>
    <w:multiLevelType w:val="hybridMultilevel"/>
    <w:lvl w:ilvl="0">
      <w:lvlJc w:val="left"/>
      <w:lvlText w:val="%1"/>
      <w:numFmt w:val="decimal"/>
      <w:start w:val="1"/>
    </w:lvl>
    <w:lvl w:ilvl="1">
      <w:lvlJc w:val="left"/>
      <w:lvlText w:val="(%2)"/>
      <w:numFmt w:val="lowerLetter"/>
      <w:start w:val="6"/>
    </w:lvl>
  </w:abstractNum>
  <w:abstractNum w:abstractNumId="97">
    <w:nsid w:val="5F3534A4"/>
    <w:multiLevelType w:val="hybridMultilevel"/>
    <w:lvl w:ilvl="0">
      <w:lvlJc w:val="left"/>
      <w:lvlText w:val="%1."/>
      <w:numFmt w:val="decimal"/>
      <w:start w:val="11"/>
    </w:lvl>
    <w:lvl w:ilvl="1">
      <w:lvlJc w:val="left"/>
      <w:lvlText w:val="%2"/>
      <w:numFmt w:val="lowerLetter"/>
      <w:start w:val="1"/>
    </w:lvl>
  </w:abstractNum>
  <w:abstractNum w:abstractNumId="98">
    <w:nsid w:val="73A1821B"/>
    <w:multiLevelType w:val="hybridMultilevel"/>
    <w:lvl w:ilvl="0">
      <w:lvlJc w:val="left"/>
      <w:lvlText w:val="%1."/>
      <w:numFmt w:val="decimal"/>
      <w:start w:val="12"/>
    </w:lvl>
  </w:abstractNum>
  <w:abstractNum w:abstractNumId="99">
    <w:nsid w:val="7DE67713"/>
    <w:multiLevelType w:val="hybridMultilevel"/>
    <w:lvl w:ilvl="0">
      <w:lvlJc w:val="left"/>
      <w:lvlText w:val="%1."/>
      <w:numFmt w:val="decimal"/>
      <w:start w:val="13"/>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decimal"/>
      <w:start w:val="1"/>
    </w:lvl>
    <w:lvl w:ilvl="1">
      <w:lvlJc w:val="left"/>
      <w:lvlText w:val="(%2)"/>
      <w:numFmt w:val="lowerLetter"/>
      <w:start w:val="1"/>
    </w:lvl>
  </w:abstractNum>
  <w:abstractNum w:abstractNumId="102">
    <w:nsid w:val="14FCE74E"/>
    <w:multiLevelType w:val="hybridMultilevel"/>
    <w:lvl w:ilvl="0">
      <w:lvlJc w:val="left"/>
      <w:lvlText w:val="%1."/>
      <w:numFmt w:val="decimal"/>
      <w:start w:val="1"/>
    </w:lvl>
    <w:lvl w:ilvl="1">
      <w:lvlJc w:val="left"/>
      <w:lvlText w:val="(%2)"/>
      <w:numFmt w:val="lowerLetter"/>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2019-12-09T08:11:06Z</dcterms:created>
  <dcterms:modified xsi:type="dcterms:W3CDTF">2019-12-09T08:11:06Z</dcterms:modified>
</cp:coreProperties>
</file>