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5" w:lineRule="exact"/>
        <w:rPr>
          <w:sz w:val="24"/>
          <w:szCs w:val="24"/>
          <w:color w:val="auto"/>
        </w:rPr>
      </w:pPr>
    </w:p>
    <w:p>
      <w:pPr>
        <w:ind w:left="360" w:right="80"/>
        <w:spacing w:after="0" w:line="23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-225425</wp:posOffset>
            </wp:positionV>
            <wp:extent cx="122555" cy="1225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555" cy="1225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8" w:lineRule="exact"/>
        <w:rPr>
          <w:sz w:val="24"/>
          <w:szCs w:val="24"/>
          <w:color w:val="auto"/>
        </w:rPr>
      </w:pPr>
    </w:p>
    <w:p>
      <w:pPr>
        <w:ind w:left="360"/>
        <w:spacing w:after="0" w:line="22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-660400</wp:posOffset>
            </wp:positionV>
            <wp:extent cx="122555" cy="1225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555" cy="1225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1"/>
        </w:trPr>
        <w:tc>
          <w:tcPr>
            <w:tcW w:w="628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5253990</wp:posOffset>
            </wp:positionH>
            <wp:positionV relativeFrom="paragraph">
              <wp:posOffset>-626110</wp:posOffset>
            </wp:positionV>
            <wp:extent cx="58420" cy="6394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3976370</wp:posOffset>
            </wp:positionH>
            <wp:positionV relativeFrom="paragraph">
              <wp:posOffset>-626110</wp:posOffset>
            </wp:positionV>
            <wp:extent cx="58420" cy="63944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-1648460</wp:posOffset>
            </wp:positionH>
            <wp:positionV relativeFrom="paragraph">
              <wp:posOffset>743585</wp:posOffset>
            </wp:positionV>
            <wp:extent cx="6993890" cy="63385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3890" cy="63385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4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260"/>
            <w:col w:w="8500"/>
          </w:cols>
          <w:pgMar w:left="460" w:top="217" w:right="359" w:bottom="471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O'Shaughnessy Timothy J</w:t>
        </w:r>
      </w:hyperlink>
    </w:p>
    <w:p>
      <w:pPr>
        <w:spacing w:after="0" w:line="29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0" w:lineRule="exact"/>
        <w:rPr>
          <w:sz w:val="24"/>
          <w:szCs w:val="24"/>
          <w:color w:val="auto"/>
        </w:rPr>
      </w:pPr>
    </w:p>
    <w:p>
      <w:pPr>
        <w:ind w:left="120" w:right="120"/>
        <w:spacing w:after="0" w:line="344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C/O GRAHAM HOLDINGS COMPANY 1300 NORTH 17TH STREET, SUITE 1700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Graham Holdings Co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GHC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6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2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11/01/2024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right="620"/>
        <w:spacing w:after="0" w:line="258" w:lineRule="auto"/>
        <w:tabs>
          <w:tab w:leader="none" w:pos="14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7" w:lineRule="exact"/>
        <w:rPr>
          <w:sz w:val="24"/>
          <w:szCs w:val="24"/>
          <w:color w:val="auto"/>
        </w:rPr>
      </w:pPr>
    </w:p>
    <w:p>
      <w:pPr>
        <w:ind w:left="520"/>
        <w:spacing w:after="0"/>
        <w:tabs>
          <w:tab w:leader="none" w:pos="2059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70" w:lineRule="exact"/>
        <w:rPr>
          <w:sz w:val="24"/>
          <w:szCs w:val="24"/>
          <w:color w:val="auto"/>
        </w:rPr>
      </w:pPr>
    </w:p>
    <w:p>
      <w:pPr>
        <w:jc w:val="right"/>
        <w:ind w:right="440"/>
        <w:spacing w:after="0"/>
        <w:tabs>
          <w:tab w:leader="none" w:pos="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520"/>
        <w:spacing w:after="0"/>
        <w:tabs>
          <w:tab w:leader="none" w:pos="2059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9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President and CEO</w:t>
      </w:r>
    </w:p>
    <w:p>
      <w:pPr>
        <w:spacing w:after="0" w:line="41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100" w:space="720"/>
            <w:col w:w="3340"/>
          </w:cols>
          <w:pgMar w:left="460" w:top="217" w:right="359" w:bottom="471" w:gutter="0" w:footer="0" w:header="0"/>
          <w:type w:val="continuous"/>
        </w:sectPr>
      </w:pPr>
    </w:p>
    <w:p>
      <w:pPr>
        <w:spacing w:after="0" w:line="20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9"/>
        </w:trPr>
        <w:tc>
          <w:tcPr>
            <w:tcW w:w="11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ARLINGTON</w:t>
            </w: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VA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22209</w:t>
            </w: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0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6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7" w:right="359" w:bottom="471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6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40" w:type="dxa"/>
            <w:vAlign w:val="bottom"/>
            <w:gridSpan w:val="2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8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1980" w:type="dxa"/>
            <w:vAlign w:val="bottom"/>
            <w:gridSpan w:val="4"/>
          </w:tcPr>
          <w:p>
            <w:pPr>
              <w:jc w:val="center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Disposed Of (D) (Instr. 3, 4 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80" w:type="dxa"/>
            <w:vAlign w:val="bottom"/>
            <w:gridSpan w:val="4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</w:tcPr>
          <w:p>
            <w:pPr>
              <w:ind w:left="6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8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8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gridSpan w:val="4"/>
            <w:vMerge w:val="restart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</w:tcPr>
          <w:p>
            <w:pPr>
              <w:ind w:left="1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jc w:val="center"/>
              <w:ind w:right="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(D)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B Common Stock</w:t>
            </w: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11/01/2024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25,754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9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719.15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1"/>
              </w:rPr>
              <w:t>47,578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91"/>
                <w:vertAlign w:val="superscript"/>
              </w:rPr>
              <w:t>(1)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B Common Stock</w:t>
            </w: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11/01/2024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23,858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(2)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9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843.67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23,720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B 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4,099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8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Spouse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8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Trust for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B 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5,600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8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spouse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and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children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(3)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0" w:type="dxa"/>
            <w:vAlign w:val="bottom"/>
            <w:gridSpan w:val="11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520" w:type="dxa"/>
            <w:vAlign w:val="bottom"/>
            <w:gridSpan w:val="9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0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Direct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Transaction(s)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jc w:val="center"/>
              <w:ind w:right="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Class B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jc w:val="right"/>
              <w:ind w:right="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4"/>
              </w:rPr>
              <w:t>25,754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jc w:val="center"/>
              <w:spacing w:after="0" w:line="20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3"/>
                <w:szCs w:val="23"/>
                <w:color w:val="0000FF"/>
                <w:vertAlign w:val="subscript"/>
              </w:rPr>
              <w:t>0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(4)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jc w:val="center"/>
              <w:ind w:right="10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719.15</w:t>
            </w:r>
          </w:p>
        </w:tc>
        <w:tc>
          <w:tcPr>
            <w:tcW w:w="1040" w:type="dxa"/>
            <w:vAlign w:val="bottom"/>
            <w:vMerge w:val="restart"/>
          </w:tcPr>
          <w:p>
            <w:pPr>
              <w:jc w:val="right"/>
              <w:ind w:right="14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11/01/2024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4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vMerge w:val="restart"/>
          </w:tcPr>
          <w:p>
            <w:pPr>
              <w:ind w:left="38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25,754</w:t>
            </w: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jc w:val="right"/>
              <w:ind w:right="36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11/03/2024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2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34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jc w:val="center"/>
              <w:ind w:right="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Class A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ind w:right="26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(5)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(5)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right"/>
              <w:ind w:right="2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(5)</w:t>
            </w:r>
          </w:p>
        </w:tc>
        <w:tc>
          <w:tcPr>
            <w:tcW w:w="640" w:type="dxa"/>
            <w:vAlign w:val="bottom"/>
          </w:tcPr>
          <w:p>
            <w:pPr>
              <w:jc w:val="center"/>
              <w:ind w:right="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Class B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right"/>
              <w:ind w:right="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2,700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jc w:val="right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2,700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3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I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Spouse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center"/>
              <w:ind w:right="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-2452370</wp:posOffset>
            </wp:positionV>
            <wp:extent cx="29210" cy="245745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24574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Includes 3 shares of Class B Common Stock held by the reporting person in his Graham Holdings Company 401(k) plan account.</w:t>
      </w:r>
    </w:p>
    <w:p>
      <w:pPr>
        <w:spacing w:after="0" w:line="43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options exercise was executed in anticipation of the November 3, 2024 expiration date on a net settlement basis.</w:t>
      </w:r>
    </w:p>
    <w:p>
      <w:pPr>
        <w:spacing w:after="0" w:line="43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reporting person is a trustee of the trust that owns the reported securities, but he is not a beneficiary of such trust. The reporting person disclaims beneficial ownership of the reported securities.</w:t>
      </w:r>
    </w:p>
    <w:p>
      <w:pPr>
        <w:spacing w:after="0" w:line="43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stock option is fully vested. After this exercise of 25,754 options, the reporting person has no vested and exercisable options remaining.</w:t>
      </w:r>
    </w:p>
    <w:p>
      <w:pPr>
        <w:spacing w:after="0" w:line="43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Shares of Class A Common Stock are convertible into shares of Class B Common Stock at any time on a one-for-one basis and have no expiration date.</w:t>
      </w:r>
    </w:p>
    <w:p>
      <w:pPr>
        <w:spacing w:after="0" w:line="55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Nicole Maddrey, attorney-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11/05/2024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440" w:type="dxa"/>
            <w:vAlign w:val="bottom"/>
            <w:tcBorders>
              <w:top w:val="single" w:sz="8" w:color="auto"/>
              <w:bottom w:val="single" w:sz="8" w:color="auto"/>
            </w:tcBorders>
            <w:vMerge w:val="restart"/>
          </w:tcPr>
          <w:p>
            <w:pPr>
              <w:spacing w:after="0" w:line="18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4"/>
              </w:rPr>
              <w:t>in-fact</w:t>
            </w:r>
          </w:p>
        </w:tc>
        <w:tc>
          <w:tcPr>
            <w:tcW w:w="1520" w:type="dxa"/>
            <w:vAlign w:val="bottom"/>
            <w:tcBorders>
              <w:top w:val="single" w:sz="8" w:color="auto"/>
              <w:bottom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44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both"/>
        <w:ind w:left="40" w:right="3600" w:firstLine="2"/>
        <w:spacing w:after="0" w:line="336" w:lineRule="auto"/>
        <w:tabs>
          <w:tab w:leader="none" w:pos="176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7" w:right="359" w:bottom="471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621362" TargetMode="External"/><Relationship Id="rId14" Type="http://schemas.openxmlformats.org/officeDocument/2006/relationships/hyperlink" Target="http://www.sec.gov/cgi-bin/browse-edgar?action=getcompany&amp;CIK=00001048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2024-11-05T15:49:18Z</dcterms:created>
  <dcterms:modified xsi:type="dcterms:W3CDTF">2024-11-05T15:49:18Z</dcterms:modified>
</cp:coreProperties>
</file>