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August 12, 2005</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Borders>
              <w:bottom w:val="single" w:sz="8" w:color="auto"/>
            </w:tcBorders>
          </w:tcPr>
          <w:p>
            <w:pPr>
              <w:jc w:val="center"/>
              <w:ind w:right="1064"/>
              <w:spacing w:after="0"/>
              <w:rPr>
                <w:sz w:val="20"/>
                <w:szCs w:val="20"/>
                <w:color w:val="auto"/>
              </w:rPr>
            </w:pPr>
            <w:r>
              <w:rPr>
                <w:rFonts w:ascii="Arial" w:cs="Arial" w:eastAsia="Arial" w:hAnsi="Arial"/>
                <w:sz w:val="18"/>
                <w:szCs w:val="18"/>
                <w:b w:val="1"/>
                <w:bCs w:val="1"/>
                <w:color w:val="auto"/>
                <w:w w:val="88"/>
              </w:rPr>
              <w:t>Delaware</w:t>
            </w:r>
          </w:p>
        </w:tc>
        <w:tc>
          <w:tcPr>
            <w:tcW w:w="2760" w:type="dxa"/>
            <w:vAlign w:val="bottom"/>
            <w:tcBorders>
              <w:bottom w:val="single" w:sz="8" w:color="auto"/>
            </w:tcBorders>
          </w:tcPr>
          <w:p>
            <w:pPr>
              <w:jc w:val="center"/>
              <w:ind w:right="1062"/>
              <w:spacing w:after="0"/>
              <w:rPr>
                <w:sz w:val="20"/>
                <w:szCs w:val="20"/>
                <w:color w:val="auto"/>
              </w:rPr>
            </w:pPr>
            <w:r>
              <w:rPr>
                <w:rFonts w:ascii="Arial" w:cs="Arial" w:eastAsia="Arial" w:hAnsi="Arial"/>
                <w:sz w:val="18"/>
                <w:szCs w:val="18"/>
                <w:b w:val="1"/>
                <w:bCs w:val="1"/>
                <w:color w:val="auto"/>
                <w:w w:val="89"/>
              </w:rPr>
              <w:t>1-6714</w:t>
            </w:r>
          </w:p>
        </w:tc>
        <w:tc>
          <w:tcPr>
            <w:tcW w:w="3620" w:type="dxa"/>
            <w:vAlign w:val="bottom"/>
            <w:tcBorders>
              <w:bottom w:val="single" w:sz="8" w:color="auto"/>
            </w:tcBorders>
          </w:tcPr>
          <w:p>
            <w:pPr>
              <w:jc w:val="right"/>
              <w:ind w:right="1324"/>
              <w:spacing w:after="0"/>
              <w:rPr>
                <w:sz w:val="20"/>
                <w:szCs w:val="20"/>
                <w:color w:val="auto"/>
              </w:rPr>
            </w:pPr>
            <w:r>
              <w:rPr>
                <w:rFonts w:ascii="Arial" w:cs="Arial" w:eastAsia="Arial" w:hAnsi="Arial"/>
                <w:sz w:val="18"/>
                <w:szCs w:val="18"/>
                <w:b w:val="1"/>
                <w:bCs w:val="1"/>
                <w:color w:val="auto"/>
              </w:rPr>
              <w:t>53-0182885</w:t>
            </w:r>
          </w:p>
        </w:tc>
      </w:tr>
      <w:tr>
        <w:trPr>
          <w:trHeight w:val="132"/>
        </w:trPr>
        <w:tc>
          <w:tcPr>
            <w:tcW w:w="5040" w:type="dxa"/>
            <w:vAlign w:val="bottom"/>
          </w:tcPr>
          <w:p>
            <w:pPr>
              <w:jc w:val="center"/>
              <w:ind w:right="1064"/>
              <w:spacing w:after="0" w:line="133" w:lineRule="exact"/>
              <w:rPr>
                <w:sz w:val="20"/>
                <w:szCs w:val="20"/>
                <w:color w:val="auto"/>
              </w:rPr>
            </w:pPr>
            <w:r>
              <w:rPr>
                <w:rFonts w:ascii="Arial" w:cs="Arial" w:eastAsia="Arial" w:hAnsi="Arial"/>
                <w:sz w:val="14"/>
                <w:szCs w:val="14"/>
                <w:color w:val="auto"/>
                <w:w w:val="88"/>
              </w:rPr>
              <w:t>(State or other jurisdiction</w:t>
            </w:r>
          </w:p>
        </w:tc>
        <w:tc>
          <w:tcPr>
            <w:tcW w:w="2760" w:type="dxa"/>
            <w:vAlign w:val="bottom"/>
          </w:tcPr>
          <w:p>
            <w:pPr>
              <w:jc w:val="center"/>
              <w:ind w:right="1082"/>
              <w:spacing w:after="0" w:line="133" w:lineRule="exact"/>
              <w:rPr>
                <w:sz w:val="20"/>
                <w:szCs w:val="20"/>
                <w:color w:val="auto"/>
              </w:rPr>
            </w:pPr>
            <w:r>
              <w:rPr>
                <w:rFonts w:ascii="Arial" w:cs="Arial" w:eastAsia="Arial" w:hAnsi="Arial"/>
                <w:sz w:val="14"/>
                <w:szCs w:val="14"/>
                <w:color w:val="auto"/>
                <w:w w:val="88"/>
              </w:rPr>
              <w:t>(Commission</w:t>
            </w:r>
          </w:p>
        </w:tc>
        <w:tc>
          <w:tcPr>
            <w:tcW w:w="3620" w:type="dxa"/>
            <w:vAlign w:val="bottom"/>
          </w:tcPr>
          <w:p>
            <w:pPr>
              <w:jc w:val="center"/>
              <w:spacing w:after="0" w:line="133" w:lineRule="exact"/>
              <w:rPr>
                <w:sz w:val="20"/>
                <w:szCs w:val="20"/>
                <w:color w:val="auto"/>
              </w:rPr>
            </w:pPr>
            <w:r>
              <w:rPr>
                <w:rFonts w:ascii="Arial" w:cs="Arial" w:eastAsia="Arial" w:hAnsi="Arial"/>
                <w:sz w:val="14"/>
                <w:szCs w:val="14"/>
                <w:color w:val="auto"/>
                <w:w w:val="89"/>
              </w:rPr>
              <w:t>(I.R.S. Employer</w:t>
            </w:r>
          </w:p>
        </w:tc>
      </w:tr>
      <w:tr>
        <w:trPr>
          <w:trHeight w:val="172"/>
        </w:trPr>
        <w:tc>
          <w:tcPr>
            <w:tcW w:w="5040" w:type="dxa"/>
            <w:vAlign w:val="bottom"/>
          </w:tcPr>
          <w:p>
            <w:pPr>
              <w:jc w:val="center"/>
              <w:ind w:right="1044"/>
              <w:spacing w:after="0"/>
              <w:rPr>
                <w:sz w:val="20"/>
                <w:szCs w:val="20"/>
                <w:color w:val="auto"/>
              </w:rPr>
            </w:pPr>
            <w:r>
              <w:rPr>
                <w:rFonts w:ascii="Arial" w:cs="Arial" w:eastAsia="Arial" w:hAnsi="Arial"/>
                <w:sz w:val="14"/>
                <w:szCs w:val="14"/>
                <w:color w:val="auto"/>
                <w:w w:val="90"/>
              </w:rPr>
              <w:t>of incorporation)</w:t>
            </w:r>
          </w:p>
        </w:tc>
        <w:tc>
          <w:tcPr>
            <w:tcW w:w="2760" w:type="dxa"/>
            <w:vAlign w:val="bottom"/>
          </w:tcPr>
          <w:p>
            <w:pPr>
              <w:jc w:val="center"/>
              <w:ind w:right="1082"/>
              <w:spacing w:after="0"/>
              <w:rPr>
                <w:sz w:val="20"/>
                <w:szCs w:val="20"/>
                <w:color w:val="auto"/>
              </w:rPr>
            </w:pPr>
            <w:r>
              <w:rPr>
                <w:rFonts w:ascii="Arial" w:cs="Arial" w:eastAsia="Arial" w:hAnsi="Arial"/>
                <w:sz w:val="14"/>
                <w:szCs w:val="14"/>
                <w:color w:val="auto"/>
                <w:w w:val="88"/>
              </w:rPr>
              <w:t>File Number)</w:t>
            </w:r>
          </w:p>
        </w:tc>
        <w:tc>
          <w:tcPr>
            <w:tcW w:w="3620" w:type="dxa"/>
            <w:vAlign w:val="bottom"/>
          </w:tcPr>
          <w:p>
            <w:pPr>
              <w:jc w:val="center"/>
              <w:spacing w:after="0"/>
              <w:rPr>
                <w:sz w:val="20"/>
                <w:szCs w:val="20"/>
                <w:color w:val="auto"/>
              </w:rPr>
            </w:pPr>
            <w:r>
              <w:rPr>
                <w:rFonts w:ascii="Arial" w:cs="Arial" w:eastAsia="Arial" w:hAnsi="Arial"/>
                <w:sz w:val="14"/>
                <w:szCs w:val="14"/>
                <w:color w:val="auto"/>
                <w:w w:val="91"/>
              </w:rPr>
              <w:t>Identification No.)</w:t>
            </w:r>
          </w:p>
        </w:tc>
      </w:tr>
      <w:tr>
        <w:trPr>
          <w:trHeight w:val="540"/>
        </w:trPr>
        <w:tc>
          <w:tcPr>
            <w:tcW w:w="5040" w:type="dxa"/>
            <w:vAlign w:val="bottom"/>
            <w:tcBorders>
              <w:bottom w:val="single" w:sz="8" w:color="auto"/>
            </w:tcBorders>
          </w:tcPr>
          <w:p>
            <w:pPr>
              <w:jc w:val="center"/>
              <w:ind w:right="1064"/>
              <w:spacing w:after="0"/>
              <w:rPr>
                <w:sz w:val="20"/>
                <w:szCs w:val="20"/>
                <w:color w:val="auto"/>
              </w:rPr>
            </w:pPr>
            <w:r>
              <w:rPr>
                <w:rFonts w:ascii="Arial" w:cs="Arial" w:eastAsia="Arial" w:hAnsi="Arial"/>
                <w:sz w:val="18"/>
                <w:szCs w:val="18"/>
                <w:b w:val="1"/>
                <w:bCs w:val="1"/>
                <w:color w:val="auto"/>
                <w:w w:val="88"/>
              </w:rPr>
              <w:t>1150 15th Street, N.W.</w:t>
            </w:r>
          </w:p>
        </w:tc>
        <w:tc>
          <w:tcPr>
            <w:tcW w:w="2760" w:type="dxa"/>
            <w:vAlign w:val="bottom"/>
            <w:tcBorders>
              <w:bottom w:val="single" w:sz="8" w:color="auto"/>
            </w:tcBorders>
          </w:tcPr>
          <w:p>
            <w:pPr>
              <w:jc w:val="center"/>
              <w:ind w:right="1082"/>
              <w:spacing w:after="0"/>
              <w:rPr>
                <w:sz w:val="20"/>
                <w:szCs w:val="20"/>
                <w:color w:val="auto"/>
              </w:rPr>
            </w:pPr>
            <w:r>
              <w:rPr>
                <w:rFonts w:ascii="Arial" w:cs="Arial" w:eastAsia="Arial" w:hAnsi="Arial"/>
                <w:sz w:val="18"/>
                <w:szCs w:val="18"/>
                <w:b w:val="1"/>
                <w:bCs w:val="1"/>
                <w:color w:val="auto"/>
                <w:w w:val="88"/>
              </w:rPr>
              <w:t>Washington, D.C.</w:t>
            </w:r>
          </w:p>
        </w:tc>
        <w:tc>
          <w:tcPr>
            <w:tcW w:w="3620" w:type="dxa"/>
            <w:vAlign w:val="bottom"/>
            <w:tcBorders>
              <w:bottom w:val="single" w:sz="8" w:color="auto"/>
            </w:tcBorders>
          </w:tcPr>
          <w:p>
            <w:pPr>
              <w:jc w:val="right"/>
              <w:ind w:right="1524"/>
              <w:spacing w:after="0"/>
              <w:rPr>
                <w:sz w:val="20"/>
                <w:szCs w:val="20"/>
                <w:color w:val="auto"/>
              </w:rPr>
            </w:pPr>
            <w:r>
              <w:rPr>
                <w:rFonts w:ascii="Arial" w:cs="Arial" w:eastAsia="Arial" w:hAnsi="Arial"/>
                <w:sz w:val="18"/>
                <w:szCs w:val="18"/>
                <w:b w:val="1"/>
                <w:bCs w:val="1"/>
                <w:color w:val="auto"/>
              </w:rPr>
              <w:t>20071</w:t>
            </w:r>
          </w:p>
        </w:tc>
      </w:tr>
      <w:tr>
        <w:trPr>
          <w:trHeight w:val="167"/>
        </w:trPr>
        <w:tc>
          <w:tcPr>
            <w:tcW w:w="5040" w:type="dxa"/>
            <w:vAlign w:val="bottom"/>
          </w:tcPr>
          <w:p>
            <w:pPr>
              <w:ind w:left="2760"/>
              <w:spacing w:after="0"/>
              <w:rPr>
                <w:sz w:val="20"/>
                <w:szCs w:val="20"/>
                <w:color w:val="auto"/>
              </w:rPr>
            </w:pPr>
            <w:r>
              <w:rPr>
                <w:rFonts w:ascii="Arial" w:cs="Arial" w:eastAsia="Arial" w:hAnsi="Arial"/>
                <w:sz w:val="14"/>
                <w:szCs w:val="14"/>
                <w:color w:val="auto"/>
                <w:w w:val="94"/>
              </w:rPr>
              <w:t>(Address of principal executive offices)</w:t>
            </w:r>
          </w:p>
        </w:tc>
        <w:tc>
          <w:tcPr>
            <w:tcW w:w="27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color w:val="auto"/>
                <w:w w:val="90"/>
              </w:rPr>
              <w:t>(Zip Code)</w:t>
            </w:r>
          </w:p>
        </w:tc>
      </w:tr>
    </w:tbl>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334-6000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w:t>
      </w:r>
    </w:p>
    <w:p>
      <w:pPr>
        <w:jc w:val="center"/>
        <w:spacing w:after="0" w:line="221" w:lineRule="auto"/>
        <w:rPr>
          <w:sz w:val="20"/>
          <w:szCs w:val="20"/>
          <w:color w:val="auto"/>
        </w:rPr>
      </w:pPr>
      <w:r>
        <w:rPr>
          <w:rFonts w:ascii="Arial" w:cs="Arial" w:eastAsia="Arial" w:hAnsi="Arial"/>
          <w:sz w:val="14"/>
          <w:szCs w:val="14"/>
          <w:color w:val="auto"/>
        </w:rPr>
        <w:t>address, if changed since</w:t>
      </w:r>
    </w:p>
    <w:p>
      <w:pPr>
        <w:jc w:val="center"/>
        <w:spacing w:after="0"/>
        <w:rPr>
          <w:sz w:val="20"/>
          <w:szCs w:val="20"/>
          <w:color w:val="auto"/>
        </w:rPr>
      </w:pPr>
      <w:r>
        <w:rPr>
          <w:rFonts w:ascii="Arial" w:cs="Arial" w:eastAsia="Arial" w:hAnsi="Arial"/>
          <w:sz w:val="14"/>
          <w:szCs w:val="14"/>
          <w:color w:val="auto"/>
        </w:rPr>
        <w:t>last report.)</w:t>
      </w:r>
    </w:p>
    <w:p>
      <w:pPr>
        <w:spacing w:after="0" w:line="127"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August 10, 2005, The Washington Post Company (the “Company”) entered into a new $250 million 364-day revolving credit agreement (the “2005 Credit Agreement”) with a group of banks. That facility replaced the Company’s $250 million 364-day revolving credit agreement dated as of August 11, 2004, which expired on August 10, 2005.</w:t>
      </w:r>
    </w:p>
    <w:p>
      <w:pPr>
        <w:spacing w:after="0" w:line="12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terms of the 2005 Credit Agreement are substantially the same as the terms of the revolving credit agreement it replaced. The Company is required to pay a facility fee at an annual rate, which depends on the Company’s long-term debt ratings, of between 0.04% and 0.10% of the amount of the facility. Any borrowings are made on an unsecured basis and bear interest, at the Company’s option, at Citibank’s base rate or at a rate based on LIBOR plus an applicable margin that also depends on the Company’s long-term debt ratings. The 2005 Credit Agreement will expire on August 9, 2006, and any outstanding borrowings must be repaid on or prior to that date, subject to the right of the Company to convert revolving credit borrowings into a term loan which would be payable on August 9, 2007. Together with the Company’s $350 million 5-Year Credit Agreement dated as of August 14, 2002 (the “2002 Credit Agreement”), the 2005 Credit Agreement supports the issuance of the Company’s commercial paper but the Company may also draw on the facility for general corporate purposes. The 2005 Credit Agreement contains terms and conditions, including remedies in the event of a default by the Company, typical of facilities of this type and, among other things, requires the Company to maintain at least $1 billion of consolidated shareholders’ equity. No borrowings are currently outstanding under either the 2002 Credit Agreement or the 2005 Credit Agreement.</w:t>
      </w:r>
    </w:p>
    <w:p>
      <w:pPr>
        <w:spacing w:after="0" w:line="10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description of the 2005 Credit Agreement is not complete and is qualified in its entirety by reference to the actual 2005 Credit Agreement, a copy of which is included in this report as Exhibit 4.1.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160" w:type="dxa"/>
            <w:vAlign w:val="bottom"/>
          </w:tcPr>
          <w:p>
            <w:pPr>
              <w:spacing w:after="0"/>
              <w:rPr>
                <w:sz w:val="19"/>
                <w:szCs w:val="19"/>
                <w:color w:val="auto"/>
              </w:rPr>
            </w:pPr>
          </w:p>
        </w:tc>
        <w:tc>
          <w:tcPr>
            <w:tcW w:w="10240" w:type="dxa"/>
            <w:vAlign w:val="bottom"/>
            <w:gridSpan w:val="4"/>
          </w:tcPr>
          <w:p>
            <w:pPr>
              <w:jc w:val="right"/>
              <w:ind w:right="6820"/>
              <w:spacing w:after="0"/>
              <w:rPr>
                <w:sz w:val="20"/>
                <w:szCs w:val="20"/>
                <w:color w:val="auto"/>
              </w:rPr>
            </w:pPr>
            <w:r>
              <w:rPr>
                <w:rFonts w:ascii="Arial" w:cs="Arial" w:eastAsia="Arial" w:hAnsi="Arial"/>
                <w:sz w:val="18"/>
                <w:szCs w:val="18"/>
                <w:b w:val="1"/>
                <w:bCs w:val="1"/>
                <w:color w:val="auto"/>
              </w:rPr>
              <w:t>9.01. Financial Statements and Exhibits</w:t>
            </w:r>
          </w:p>
        </w:tc>
      </w:tr>
      <w:tr>
        <w:trPr>
          <w:trHeight w:val="284"/>
        </w:trPr>
        <w:tc>
          <w:tcPr>
            <w:tcW w:w="4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(c) Exhibits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00" w:type="dxa"/>
            <w:vAlign w:val="bottom"/>
          </w:tcPr>
          <w:p>
            <w:pPr>
              <w:spacing w:after="0"/>
              <w:rPr>
                <w:sz w:val="24"/>
                <w:szCs w:val="24"/>
                <w:color w:val="auto"/>
              </w:rPr>
            </w:pPr>
          </w:p>
        </w:tc>
      </w:tr>
      <w:tr>
        <w:trPr>
          <w:trHeight w:val="312"/>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9360" w:type="dxa"/>
            <w:vAlign w:val="bottom"/>
            <w:gridSpan w:val="3"/>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900" w:type="dxa"/>
            <w:vAlign w:val="bottom"/>
          </w:tcPr>
          <w:p>
            <w:pPr>
              <w:spacing w:after="0"/>
              <w:rPr>
                <w:sz w:val="8"/>
                <w:szCs w:val="8"/>
                <w:color w:val="auto"/>
              </w:rPr>
            </w:pPr>
          </w:p>
        </w:tc>
      </w:tr>
      <w:tr>
        <w:trPr>
          <w:trHeight w:val="417"/>
        </w:trPr>
        <w:tc>
          <w:tcPr>
            <w:tcW w:w="420" w:type="dxa"/>
            <w:vAlign w:val="bottom"/>
          </w:tcPr>
          <w:p>
            <w:pPr>
              <w:spacing w:after="0"/>
              <w:rPr>
                <w:sz w:val="24"/>
                <w:szCs w:val="24"/>
                <w:color w:val="auto"/>
              </w:rPr>
            </w:pPr>
          </w:p>
        </w:tc>
        <w:tc>
          <w:tcPr>
            <w:tcW w:w="1040" w:type="dxa"/>
            <w:vAlign w:val="bottom"/>
            <w:gridSpan w:val="2"/>
          </w:tcPr>
          <w:p>
            <w:pPr>
              <w:jc w:val="right"/>
              <w:ind w:right="262"/>
              <w:spacing w:after="0"/>
              <w:rPr>
                <w:sz w:val="20"/>
                <w:szCs w:val="20"/>
                <w:color w:val="auto"/>
              </w:rPr>
            </w:pPr>
            <w:r>
              <w:rPr>
                <w:rFonts w:ascii="Arial" w:cs="Arial" w:eastAsia="Arial" w:hAnsi="Arial"/>
                <w:sz w:val="18"/>
                <w:szCs w:val="18"/>
                <w:color w:val="auto"/>
              </w:rPr>
              <w:t>4.1</w:t>
            </w:r>
          </w:p>
        </w:tc>
        <w:tc>
          <w:tcPr>
            <w:tcW w:w="9360" w:type="dxa"/>
            <w:vAlign w:val="bottom"/>
            <w:gridSpan w:val="3"/>
          </w:tcPr>
          <w:p>
            <w:pPr>
              <w:ind w:left="560"/>
              <w:spacing w:after="0"/>
              <w:rPr>
                <w:sz w:val="20"/>
                <w:szCs w:val="20"/>
                <w:color w:val="auto"/>
              </w:rPr>
            </w:pPr>
            <w:r>
              <w:rPr>
                <w:rFonts w:ascii="Arial" w:cs="Arial" w:eastAsia="Arial" w:hAnsi="Arial"/>
                <w:sz w:val="18"/>
                <w:szCs w:val="18"/>
                <w:color w:val="auto"/>
                <w:w w:val="88"/>
              </w:rPr>
              <w:t>364-Day Credit Agreement dated as of August 10, 2005, among the Company, Citibank, N.A., JP Morgan Chase Bank, N.A.,</w:t>
            </w:r>
          </w:p>
        </w:tc>
      </w:tr>
      <w:tr>
        <w:trPr>
          <w:trHeight w:val="222"/>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360" w:type="dxa"/>
            <w:vAlign w:val="bottom"/>
            <w:gridSpan w:val="3"/>
          </w:tcPr>
          <w:p>
            <w:pPr>
              <w:ind w:left="560"/>
              <w:spacing w:after="0"/>
              <w:rPr>
                <w:sz w:val="20"/>
                <w:szCs w:val="20"/>
                <w:color w:val="auto"/>
              </w:rPr>
            </w:pPr>
            <w:r>
              <w:rPr>
                <w:rFonts w:ascii="Arial" w:cs="Arial" w:eastAsia="Arial" w:hAnsi="Arial"/>
                <w:sz w:val="18"/>
                <w:szCs w:val="18"/>
                <w:color w:val="auto"/>
              </w:rPr>
              <w:t>Wachovia Bank, National Association, Suntrust Bank, The Bank of New York and PNC Bank, N.A.</w:t>
            </w:r>
          </w:p>
        </w:tc>
      </w:tr>
      <w:tr>
        <w:trPr>
          <w:trHeight w:val="365"/>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360" w:type="dxa"/>
            <w:vAlign w:val="bottom"/>
            <w:gridSpan w:val="3"/>
          </w:tcPr>
          <w:p>
            <w:pPr>
              <w:jc w:val="right"/>
              <w:ind w:right="506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40"/>
          </w:cols>
          <w:pgMar w:left="240" w:top="274" w:right="31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w w:val="99"/>
              </w:rPr>
              <w:t>The Washington Post Company</w:t>
            </w:r>
          </w:p>
        </w:tc>
      </w:tr>
      <w:tr>
        <w:trPr>
          <w:trHeight w:val="222"/>
        </w:trPr>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540" w:type="dxa"/>
            <w:vAlign w:val="bottom"/>
          </w:tcPr>
          <w:p>
            <w:pPr>
              <w:ind w:left="660"/>
              <w:spacing w:after="0"/>
              <w:rPr>
                <w:sz w:val="20"/>
                <w:szCs w:val="20"/>
                <w:color w:val="auto"/>
              </w:rPr>
            </w:pPr>
            <w:r>
              <w:rPr>
                <w:rFonts w:ascii="Arial" w:cs="Arial" w:eastAsia="Arial" w:hAnsi="Arial"/>
                <w:sz w:val="18"/>
                <w:szCs w:val="18"/>
                <w:color w:val="auto"/>
              </w:rPr>
              <w:t>(Registrant)</w:t>
            </w:r>
          </w:p>
        </w:tc>
      </w:tr>
      <w:tr>
        <w:trPr>
          <w:trHeight w:val="394"/>
        </w:trPr>
        <w:tc>
          <w:tcPr>
            <w:tcW w:w="3600" w:type="dxa"/>
            <w:vAlign w:val="bottom"/>
            <w:gridSpan w:val="3"/>
          </w:tcPr>
          <w:p>
            <w:pPr>
              <w:spacing w:after="0"/>
              <w:rPr>
                <w:sz w:val="20"/>
                <w:szCs w:val="20"/>
                <w:color w:val="auto"/>
              </w:rPr>
            </w:pPr>
            <w:r>
              <w:rPr>
                <w:rFonts w:ascii="Arial" w:cs="Arial" w:eastAsia="Arial" w:hAnsi="Arial"/>
                <w:sz w:val="18"/>
                <w:szCs w:val="18"/>
                <w:color w:val="auto"/>
              </w:rPr>
              <w:t>Date August 12, 2005</w:t>
            </w:r>
          </w:p>
        </w:tc>
        <w:tc>
          <w:tcPr>
            <w:tcW w:w="2220" w:type="dxa"/>
            <w:vAlign w:val="bottom"/>
          </w:tcPr>
          <w:p>
            <w:pPr>
              <w:spacing w:after="0"/>
              <w:rPr>
                <w:sz w:val="24"/>
                <w:szCs w:val="24"/>
                <w:color w:val="auto"/>
              </w:rPr>
            </w:pPr>
          </w:p>
        </w:tc>
        <w:tc>
          <w:tcPr>
            <w:tcW w:w="2540" w:type="dxa"/>
            <w:vAlign w:val="bottom"/>
          </w:tcPr>
          <w:p>
            <w:pPr>
              <w:ind w:left="360"/>
              <w:spacing w:after="0"/>
              <w:rPr>
                <w:sz w:val="20"/>
                <w:szCs w:val="20"/>
                <w:color w:val="auto"/>
              </w:rPr>
            </w:pPr>
            <w:r>
              <w:rPr>
                <w:rFonts w:ascii="Arial" w:cs="Arial" w:eastAsia="Arial" w:hAnsi="Arial"/>
                <w:sz w:val="18"/>
                <w:szCs w:val="18"/>
                <w:color w:val="auto"/>
              </w:rPr>
              <w:t>/s/ John B. Morse, Jr.</w:t>
            </w:r>
          </w:p>
        </w:tc>
      </w:tr>
      <w:tr>
        <w:trPr>
          <w:trHeight w:val="228"/>
        </w:trPr>
        <w:tc>
          <w:tcPr>
            <w:tcW w:w="3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540" w:type="dxa"/>
            <w:vAlign w:val="bottom"/>
            <w:tcBorders>
              <w:top w:val="single" w:sz="8" w:color="auto"/>
            </w:tcBorders>
          </w:tcPr>
          <w:p>
            <w:pPr>
              <w:jc w:val="center"/>
              <w:ind w:right="92"/>
              <w:spacing w:after="0"/>
              <w:rPr>
                <w:sz w:val="20"/>
                <w:szCs w:val="20"/>
                <w:color w:val="auto"/>
              </w:rPr>
            </w:pPr>
            <w:r>
              <w:rPr>
                <w:rFonts w:ascii="Arial" w:cs="Arial" w:eastAsia="Arial" w:hAnsi="Arial"/>
                <w:sz w:val="18"/>
                <w:szCs w:val="18"/>
                <w:color w:val="auto"/>
                <w:w w:val="87"/>
              </w:rPr>
              <w:t>John B. Morse, Jr.</w:t>
            </w:r>
          </w:p>
        </w:tc>
      </w:tr>
      <w:tr>
        <w:trPr>
          <w:trHeight w:val="216"/>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540" w:type="dxa"/>
            <w:vAlign w:val="bottom"/>
          </w:tcPr>
          <w:p>
            <w:pPr>
              <w:ind w:left="360"/>
              <w:spacing w:after="0"/>
              <w:rPr>
                <w:sz w:val="20"/>
                <w:szCs w:val="20"/>
                <w:color w:val="auto"/>
              </w:rPr>
            </w:pPr>
            <w:r>
              <w:rPr>
                <w:rFonts w:ascii="Arial" w:cs="Arial" w:eastAsia="Arial" w:hAnsi="Arial"/>
                <w:sz w:val="18"/>
                <w:szCs w:val="18"/>
                <w:color w:val="auto"/>
              </w:rPr>
              <w:t>Vice President—Finance</w:t>
            </w:r>
          </w:p>
        </w:tc>
      </w:tr>
      <w:tr>
        <w:trPr>
          <w:trHeight w:val="222"/>
        </w:trPr>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540" w:type="dxa"/>
            <w:vAlign w:val="bottom"/>
          </w:tcPr>
          <w:p>
            <w:pPr>
              <w:jc w:val="center"/>
              <w:ind w:right="92"/>
              <w:spacing w:after="0"/>
              <w:rPr>
                <w:sz w:val="20"/>
                <w:szCs w:val="20"/>
                <w:color w:val="auto"/>
              </w:rPr>
            </w:pPr>
            <w:r>
              <w:rPr>
                <w:rFonts w:ascii="Arial" w:cs="Arial" w:eastAsia="Arial" w:hAnsi="Arial"/>
                <w:sz w:val="18"/>
                <w:szCs w:val="18"/>
                <w:color w:val="auto"/>
                <w:w w:val="92"/>
              </w:rPr>
              <w:t>(Principal Financial Officer)</w:t>
            </w:r>
          </w:p>
        </w:tc>
      </w:tr>
      <w:tr>
        <w:trPr>
          <w:trHeight w:val="891"/>
        </w:trPr>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c>
          <w:tcPr>
            <w:tcW w:w="2540" w:type="dxa"/>
            <w:vAlign w:val="bottom"/>
          </w:tcPr>
          <w:p>
            <w:pPr>
              <w:spacing w:after="0"/>
              <w:rPr>
                <w:sz w:val="24"/>
                <w:szCs w:val="24"/>
                <w:color w:val="auto"/>
              </w:rPr>
            </w:pPr>
          </w:p>
        </w:tc>
      </w:tr>
    </w:tbl>
    <w:p>
      <w:pPr>
        <w:sectPr>
          <w:pgSz w:w="11900" w:h="16838" w:orient="portrait"/>
          <w:cols w:equalWidth="0" w:num="1">
            <w:col w:w="11000"/>
          </w:cols>
          <w:pgMar w:left="240" w:top="274" w:right="6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80" w:type="dxa"/>
            <w:vAlign w:val="bottom"/>
          </w:tcPr>
          <w:p>
            <w:pPr>
              <w:jc w:val="center"/>
              <w:ind w:right="472"/>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Exhibit</w:t>
            </w:r>
          </w:p>
        </w:tc>
        <w:tc>
          <w:tcPr>
            <w:tcW w:w="10280" w:type="dxa"/>
            <w:vAlign w:val="bottom"/>
          </w:tcPr>
          <w:p>
            <w:pPr>
              <w:spacing w:after="0"/>
              <w:rPr>
                <w:sz w:val="24"/>
                <w:szCs w:val="24"/>
                <w:color w:val="auto"/>
              </w:rPr>
            </w:pPr>
          </w:p>
        </w:tc>
      </w:tr>
      <w:tr>
        <w:trPr>
          <w:trHeight w:val="174"/>
        </w:trPr>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No.</w:t>
            </w:r>
          </w:p>
        </w:tc>
        <w:tc>
          <w:tcPr>
            <w:tcW w:w="10280" w:type="dxa"/>
            <w:vAlign w:val="bottom"/>
          </w:tcPr>
          <w:p>
            <w:pPr>
              <w:spacing w:after="0"/>
              <w:rPr>
                <w:sz w:val="15"/>
                <w:szCs w:val="15"/>
                <w:color w:val="auto"/>
              </w:rPr>
            </w:pPr>
          </w:p>
        </w:tc>
      </w:tr>
      <w:tr>
        <w:trPr>
          <w:trHeight w:val="95"/>
        </w:trPr>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80" w:type="dxa"/>
            <w:vAlign w:val="bottom"/>
          </w:tcPr>
          <w:p>
            <w:pPr>
              <w:spacing w:after="0"/>
              <w:rPr>
                <w:sz w:val="8"/>
                <w:szCs w:val="8"/>
                <w:color w:val="auto"/>
              </w:rPr>
            </w:pPr>
          </w:p>
        </w:tc>
      </w:tr>
      <w:tr>
        <w:trPr>
          <w:trHeight w:val="417"/>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0280" w:type="dxa"/>
            <w:vAlign w:val="bottom"/>
          </w:tcPr>
          <w:p>
            <w:pPr>
              <w:ind w:left="320"/>
              <w:spacing w:after="0"/>
              <w:rPr>
                <w:sz w:val="20"/>
                <w:szCs w:val="20"/>
                <w:color w:val="auto"/>
              </w:rPr>
            </w:pPr>
            <w:r>
              <w:rPr>
                <w:rFonts w:ascii="Arial" w:cs="Arial" w:eastAsia="Arial" w:hAnsi="Arial"/>
                <w:sz w:val="18"/>
                <w:szCs w:val="18"/>
                <w:color w:val="auto"/>
                <w:w w:val="88"/>
              </w:rPr>
              <w:t>364-DayCredit Agreement dated as of August 10, 2005, among the Company, Citibank, N.A., JP Morgan Chase Bank, N.A., Wachovia Bank,</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National Association, Suntrust Bank, The Bank of New York and PNC Bank, N.A.</w:t>
            </w:r>
          </w:p>
        </w:tc>
      </w:tr>
      <w:tr>
        <w:trPr>
          <w:trHeight w:val="365"/>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80" w:type="dxa"/>
            <w:vAlign w:val="bottom"/>
          </w:tcPr>
          <w:p>
            <w:pPr>
              <w:jc w:val="right"/>
              <w:ind w:right="5292"/>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140"/>
          </w:cols>
          <w:pgMar w:left="240" w:top="274"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COPY</w:t>
      </w:r>
    </w:p>
    <w:p>
      <w:pPr>
        <w:spacing w:after="0" w:line="16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U.S. $250,000,000</w:t>
      </w:r>
    </w:p>
    <w:p>
      <w:pPr>
        <w:spacing w:after="0" w:line="15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364-DAY CREDIT AGREEMENT</w:t>
      </w:r>
    </w:p>
    <w:p>
      <w:pPr>
        <w:spacing w:after="0" w:line="164"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August 10, 2005</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15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u w:val="single" w:color="auto"/>
          <w:color w:val="auto"/>
        </w:rPr>
        <w:t>as Borrower</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THE INITIAL LENDERS NAMED HEREIN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as Initial Lenders</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CITIBANK, N.A.</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auto"/>
        </w:rPr>
        <w:t>as Administrative Agent</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JPMORGAN CHASE BANK, N.A.</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WACHOVIA BANK, NATIONAL ASSOCIATION</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SUNTRUST BANK</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Syndication Agents</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CITIGROUP GLOBAL MARKETS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J.P. MORGAN SECURITIES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Joint Lead Arrangers and Joint Book Managers</w:t>
      </w:r>
    </w:p>
    <w:p>
      <w:pPr>
        <w:sectPr>
          <w:pgSz w:w="11900" w:h="16838" w:orient="portrait"/>
          <w:cols w:equalWidth="0" w:num="1">
            <w:col w:w="10220"/>
          </w:cols>
          <w:pgMar w:left="14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1280" w:type="dxa"/>
            <w:vAlign w:val="bottom"/>
          </w:tcPr>
          <w:p>
            <w:pPr>
              <w:spacing w:after="0"/>
              <w:rPr>
                <w:sz w:val="19"/>
                <w:szCs w:val="19"/>
                <w:color w:val="auto"/>
              </w:rPr>
            </w:pPr>
          </w:p>
        </w:tc>
        <w:tc>
          <w:tcPr>
            <w:tcW w:w="9860" w:type="dxa"/>
            <w:vAlign w:val="bottom"/>
          </w:tcPr>
          <w:p>
            <w:pPr>
              <w:ind w:left="354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28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9860" w:type="dxa"/>
            <w:vAlign w:val="bottom"/>
            <w:vMerge w:val="restart"/>
          </w:tcPr>
          <w:p>
            <w:pPr>
              <w:jc w:val="center"/>
              <w:ind w:right="1292"/>
              <w:spacing w:after="0"/>
              <w:rPr>
                <w:sz w:val="20"/>
                <w:szCs w:val="20"/>
                <w:color w:val="auto"/>
              </w:rPr>
            </w:pPr>
            <w:r>
              <w:rPr>
                <w:rFonts w:ascii="Arial" w:cs="Arial" w:eastAsia="Arial" w:hAnsi="Arial"/>
                <w:sz w:val="18"/>
                <w:szCs w:val="18"/>
                <w:color w:val="auto"/>
                <w:w w:val="95"/>
              </w:rPr>
              <w:t>ARTICLE I DEFINITIONS AND ACCOUNTING TERMS</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280" w:type="dxa"/>
            <w:vAlign w:val="bottom"/>
          </w:tcPr>
          <w:p>
            <w:pPr>
              <w:spacing w:after="0"/>
              <w:rPr>
                <w:sz w:val="24"/>
                <w:szCs w:val="24"/>
                <w:color w:val="auto"/>
              </w:rPr>
            </w:pPr>
          </w:p>
        </w:tc>
        <w:tc>
          <w:tcPr>
            <w:tcW w:w="9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140" w:type="dxa"/>
            <w:vAlign w:val="bottom"/>
            <w:gridSpan w:val="2"/>
          </w:tcPr>
          <w:p>
            <w:pPr>
              <w:spacing w:after="0"/>
              <w:rPr>
                <w:sz w:val="20"/>
                <w:szCs w:val="20"/>
                <w:color w:val="auto"/>
              </w:rPr>
            </w:pPr>
            <w:r>
              <w:rPr>
                <w:rFonts w:ascii="Arial" w:cs="Arial" w:eastAsia="Arial" w:hAnsi="Arial"/>
                <w:sz w:val="18"/>
                <w:szCs w:val="18"/>
                <w:color w:val="auto"/>
              </w:rPr>
              <w:t>SECTION 1.01.   Certain 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1.02.   Computation of Time Periods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20"/>
                <w:szCs w:val="20"/>
                <w:color w:val="auto"/>
              </w:rPr>
            </w:pPr>
            <w:r>
              <w:rPr>
                <w:rFonts w:ascii="Arial" w:cs="Arial" w:eastAsia="Arial" w:hAnsi="Arial"/>
                <w:sz w:val="18"/>
                <w:szCs w:val="18"/>
                <w:color w:val="auto"/>
              </w:rPr>
              <w:t>SECTION 1.03.</w:t>
            </w:r>
          </w:p>
        </w:tc>
        <w:tc>
          <w:tcPr>
            <w:tcW w:w="9860" w:type="dxa"/>
            <w:vAlign w:val="bottom"/>
          </w:tcPr>
          <w:p>
            <w:pPr>
              <w:ind w:left="120"/>
              <w:spacing w:after="0"/>
              <w:rPr>
                <w:sz w:val="20"/>
                <w:szCs w:val="20"/>
                <w:color w:val="auto"/>
              </w:rPr>
            </w:pPr>
            <w:r>
              <w:rPr>
                <w:rFonts w:ascii="Arial" w:cs="Arial" w:eastAsia="Arial" w:hAnsi="Arial"/>
                <w:sz w:val="18"/>
                <w:szCs w:val="18"/>
                <w:color w:val="auto"/>
              </w:rPr>
              <w:t>Accounting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860" w:type="dxa"/>
            <w:vAlign w:val="bottom"/>
          </w:tcPr>
          <w:p>
            <w:pPr>
              <w:jc w:val="center"/>
              <w:ind w:right="1292"/>
              <w:spacing w:after="0"/>
              <w:rPr>
                <w:sz w:val="20"/>
                <w:szCs w:val="20"/>
                <w:color w:val="auto"/>
              </w:rPr>
            </w:pPr>
            <w:r>
              <w:rPr>
                <w:rFonts w:ascii="Arial" w:cs="Arial" w:eastAsia="Arial" w:hAnsi="Arial"/>
                <w:sz w:val="18"/>
                <w:szCs w:val="18"/>
                <w:color w:val="auto"/>
                <w:w w:val="94"/>
              </w:rPr>
              <w:t>ARTICLE II AMOUNTS AND TERMS OF THE ADVANCES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2.01.   The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2.02.   Making the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2.03.   The Competitive Bid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2.04.</w:t>
            </w:r>
          </w:p>
        </w:tc>
        <w:tc>
          <w:tcPr>
            <w:tcW w:w="9860" w:type="dxa"/>
            <w:vAlign w:val="bottom"/>
          </w:tcPr>
          <w:p>
            <w:pPr>
              <w:ind w:left="120"/>
              <w:spacing w:after="0"/>
              <w:rPr>
                <w:sz w:val="20"/>
                <w:szCs w:val="20"/>
                <w:color w:val="auto"/>
              </w:rPr>
            </w:pPr>
            <w:r>
              <w:rPr>
                <w:rFonts w:ascii="Arial" w:cs="Arial" w:eastAsia="Arial" w:hAnsi="Arial"/>
                <w:sz w:val="18"/>
                <w:szCs w:val="18"/>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2.05.   Termination, Reduction or Increase of the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2.06.   Repayment of Revolving Credit Advances; Term Loan Election</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2.07.   Interest on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2.08.   Interest Rate Determination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2.09.   Optional Conversion of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2.10.   Optional Prepayments of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2.11.</w:t>
            </w:r>
          </w:p>
        </w:tc>
        <w:tc>
          <w:tcPr>
            <w:tcW w:w="9860" w:type="dxa"/>
            <w:vAlign w:val="bottom"/>
          </w:tcPr>
          <w:p>
            <w:pPr>
              <w:ind w:left="120"/>
              <w:spacing w:after="0"/>
              <w:rPr>
                <w:sz w:val="20"/>
                <w:szCs w:val="20"/>
                <w:color w:val="auto"/>
              </w:rPr>
            </w:pPr>
            <w:r>
              <w:rPr>
                <w:rFonts w:ascii="Arial" w:cs="Arial" w:eastAsia="Arial" w:hAnsi="Arial"/>
                <w:sz w:val="18"/>
                <w:szCs w:val="18"/>
                <w:color w:val="auto"/>
              </w:rPr>
              <w:t>Increased Costs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2.12.</w:t>
            </w:r>
          </w:p>
        </w:tc>
        <w:tc>
          <w:tcPr>
            <w:tcW w:w="9860" w:type="dxa"/>
            <w:vAlign w:val="bottom"/>
          </w:tcPr>
          <w:p>
            <w:pPr>
              <w:ind w:left="120"/>
              <w:spacing w:after="0"/>
              <w:rPr>
                <w:sz w:val="20"/>
                <w:szCs w:val="20"/>
                <w:color w:val="auto"/>
              </w:rPr>
            </w:pPr>
            <w:r>
              <w:rPr>
                <w:rFonts w:ascii="Arial" w:cs="Arial" w:eastAsia="Arial" w:hAnsi="Arial"/>
                <w:sz w:val="18"/>
                <w:szCs w:val="18"/>
                <w:color w:val="auto"/>
              </w:rPr>
              <w:t>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2.13.   Payments and Computations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2.14.</w:t>
            </w:r>
          </w:p>
        </w:tc>
        <w:tc>
          <w:tcPr>
            <w:tcW w:w="9860" w:type="dxa"/>
            <w:vAlign w:val="bottom"/>
          </w:tcPr>
          <w:p>
            <w:pPr>
              <w:ind w:left="12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2.15.   Sharing of Payments, Etc</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2.16.</w:t>
            </w:r>
          </w:p>
        </w:tc>
        <w:tc>
          <w:tcPr>
            <w:tcW w:w="986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2.17.   Extension of Termination Date</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860" w:type="dxa"/>
            <w:vAlign w:val="bottom"/>
          </w:tcPr>
          <w:p>
            <w:pPr>
              <w:jc w:val="center"/>
              <w:ind w:right="1292"/>
              <w:spacing w:after="0"/>
              <w:rPr>
                <w:sz w:val="20"/>
                <w:szCs w:val="20"/>
                <w:color w:val="auto"/>
              </w:rPr>
            </w:pPr>
            <w:r>
              <w:rPr>
                <w:rFonts w:ascii="Arial" w:cs="Arial" w:eastAsia="Arial" w:hAnsi="Arial"/>
                <w:sz w:val="18"/>
                <w:szCs w:val="18"/>
                <w:color w:val="auto"/>
                <w:w w:val="95"/>
              </w:rPr>
              <w:t>ARTICLE III CONDITIONS TO EFFECTIVENESS AND LENDING</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3.01.   Conditions Precedent to Effectiveness of Sections 2.01 and 2.03</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3.02.   Conditions Precedent to Each Revolving Credit Borrowing, Increase Date and Extension Date</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SECTION 3.03.   Conditions Precedent to Each Competitive Bid Borrowing</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1140" w:type="dxa"/>
            <w:vAlign w:val="bottom"/>
            <w:gridSpan w:val="2"/>
          </w:tcPr>
          <w:p>
            <w:pPr>
              <w:spacing w:after="0"/>
              <w:rPr>
                <w:sz w:val="20"/>
                <w:szCs w:val="20"/>
                <w:color w:val="auto"/>
              </w:rPr>
            </w:pPr>
            <w:r>
              <w:rPr>
                <w:rFonts w:ascii="Arial" w:cs="Arial" w:eastAsia="Arial" w:hAnsi="Arial"/>
                <w:sz w:val="18"/>
                <w:szCs w:val="18"/>
                <w:color w:val="auto"/>
              </w:rPr>
              <w:t>SECTION 3.04.   Determinations Under Section 3.01</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860" w:type="dxa"/>
            <w:vAlign w:val="bottom"/>
          </w:tcPr>
          <w:p>
            <w:pPr>
              <w:jc w:val="center"/>
              <w:ind w:right="1292"/>
              <w:spacing w:after="0"/>
              <w:rPr>
                <w:sz w:val="20"/>
                <w:szCs w:val="20"/>
                <w:color w:val="auto"/>
              </w:rPr>
            </w:pPr>
            <w:r>
              <w:rPr>
                <w:rFonts w:ascii="Arial" w:cs="Arial" w:eastAsia="Arial" w:hAnsi="Arial"/>
                <w:sz w:val="18"/>
                <w:szCs w:val="18"/>
                <w:color w:val="auto"/>
                <w:w w:val="93"/>
              </w:rPr>
              <w:t>ARTICLE IV REPRESENTATIONS AND WARRANTIES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SECTION 4.01.   Representations and Warranties of the Borrower</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22"/>
        </w:trPr>
        <w:tc>
          <w:tcPr>
            <w:tcW w:w="1300" w:type="dxa"/>
            <w:vAlign w:val="bottom"/>
          </w:tcPr>
          <w:p>
            <w:pPr>
              <w:spacing w:after="0"/>
              <w:rPr>
                <w:sz w:val="19"/>
                <w:szCs w:val="19"/>
                <w:color w:val="auto"/>
              </w:rPr>
            </w:pPr>
          </w:p>
        </w:tc>
        <w:tc>
          <w:tcPr>
            <w:tcW w:w="8000" w:type="dxa"/>
            <w:vAlign w:val="bottom"/>
          </w:tcPr>
          <w:p>
            <w:pPr>
              <w:jc w:val="center"/>
              <w:ind w:left="332"/>
              <w:spacing w:after="0"/>
              <w:rPr>
                <w:sz w:val="20"/>
                <w:szCs w:val="20"/>
                <w:color w:val="auto"/>
              </w:rPr>
            </w:pPr>
            <w:r>
              <w:rPr>
                <w:rFonts w:ascii="Arial" w:cs="Arial" w:eastAsia="Arial" w:hAnsi="Arial"/>
                <w:sz w:val="18"/>
                <w:szCs w:val="18"/>
                <w:color w:val="auto"/>
                <w:w w:val="93"/>
              </w:rPr>
              <w:t>ARTICLE V COVENANTS OF THE BORROWER</w:t>
            </w:r>
          </w:p>
        </w:tc>
        <w:tc>
          <w:tcPr>
            <w:tcW w:w="2120" w:type="dxa"/>
            <w:vAlign w:val="bottom"/>
          </w:tcPr>
          <w:p>
            <w:pPr>
              <w:spacing w:after="0"/>
              <w:rPr>
                <w:sz w:val="19"/>
                <w:szCs w:val="19"/>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SECTION 5.01.</w:t>
            </w:r>
          </w:p>
        </w:tc>
        <w:tc>
          <w:tcPr>
            <w:tcW w:w="8000" w:type="dxa"/>
            <w:vAlign w:val="bottom"/>
          </w:tcPr>
          <w:p>
            <w:pPr>
              <w:ind w:left="160"/>
              <w:spacing w:after="0"/>
              <w:rPr>
                <w:sz w:val="20"/>
                <w:szCs w:val="20"/>
                <w:color w:val="auto"/>
              </w:rPr>
            </w:pPr>
            <w:r>
              <w:rPr>
                <w:rFonts w:ascii="Arial" w:cs="Arial" w:eastAsia="Arial" w:hAnsi="Arial"/>
                <w:sz w:val="18"/>
                <w:szCs w:val="18"/>
                <w:color w:val="auto"/>
              </w:rPr>
              <w:t>Affirmative Covenants</w:t>
            </w:r>
          </w:p>
        </w:tc>
        <w:tc>
          <w:tcPr>
            <w:tcW w:w="2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5.02.</w:t>
            </w:r>
          </w:p>
        </w:tc>
        <w:tc>
          <w:tcPr>
            <w:tcW w:w="8000" w:type="dxa"/>
            <w:vAlign w:val="bottom"/>
          </w:tcPr>
          <w:p>
            <w:pPr>
              <w:ind w:left="160"/>
              <w:spacing w:after="0"/>
              <w:rPr>
                <w:sz w:val="20"/>
                <w:szCs w:val="20"/>
                <w:color w:val="auto"/>
              </w:rPr>
            </w:pPr>
            <w:r>
              <w:rPr>
                <w:rFonts w:ascii="Arial" w:cs="Arial" w:eastAsia="Arial" w:hAnsi="Arial"/>
                <w:sz w:val="18"/>
                <w:szCs w:val="18"/>
                <w:color w:val="auto"/>
              </w:rPr>
              <w:t>Negative Covenants</w:t>
            </w:r>
          </w:p>
        </w:tc>
        <w:tc>
          <w:tcPr>
            <w:tcW w:w="2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5.03.</w:t>
            </w:r>
          </w:p>
        </w:tc>
        <w:tc>
          <w:tcPr>
            <w:tcW w:w="8000" w:type="dxa"/>
            <w:vAlign w:val="bottom"/>
          </w:tcPr>
          <w:p>
            <w:pPr>
              <w:ind w:left="160"/>
              <w:spacing w:after="0"/>
              <w:rPr>
                <w:sz w:val="20"/>
                <w:szCs w:val="20"/>
                <w:color w:val="auto"/>
              </w:rPr>
            </w:pPr>
            <w:r>
              <w:rPr>
                <w:rFonts w:ascii="Arial" w:cs="Arial" w:eastAsia="Arial" w:hAnsi="Arial"/>
                <w:sz w:val="18"/>
                <w:szCs w:val="18"/>
                <w:color w:val="auto"/>
              </w:rPr>
              <w:t>Financial Covenant</w:t>
            </w:r>
          </w:p>
        </w:tc>
        <w:tc>
          <w:tcPr>
            <w:tcW w:w="2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300" w:type="dxa"/>
            <w:vAlign w:val="bottom"/>
          </w:tcPr>
          <w:p>
            <w:pPr>
              <w:spacing w:after="0"/>
              <w:rPr>
                <w:sz w:val="24"/>
                <w:szCs w:val="24"/>
                <w:color w:val="auto"/>
              </w:rPr>
            </w:pPr>
          </w:p>
        </w:tc>
        <w:tc>
          <w:tcPr>
            <w:tcW w:w="8000" w:type="dxa"/>
            <w:vAlign w:val="bottom"/>
          </w:tcPr>
          <w:p>
            <w:pPr>
              <w:jc w:val="center"/>
              <w:ind w:left="352"/>
              <w:spacing w:after="0"/>
              <w:rPr>
                <w:sz w:val="20"/>
                <w:szCs w:val="20"/>
                <w:color w:val="auto"/>
              </w:rPr>
            </w:pPr>
            <w:r>
              <w:rPr>
                <w:rFonts w:ascii="Arial" w:cs="Arial" w:eastAsia="Arial" w:hAnsi="Arial"/>
                <w:sz w:val="18"/>
                <w:szCs w:val="18"/>
                <w:color w:val="auto"/>
                <w:w w:val="94"/>
              </w:rPr>
              <w:t>ARTICLE VI EVENTS OF DEFAULT</w:t>
            </w:r>
          </w:p>
        </w:tc>
        <w:tc>
          <w:tcPr>
            <w:tcW w:w="2120" w:type="dxa"/>
            <w:vAlign w:val="bottom"/>
          </w:tcPr>
          <w:p>
            <w:pPr>
              <w:spacing w:after="0"/>
              <w:rPr>
                <w:sz w:val="24"/>
                <w:szCs w:val="24"/>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SECTION 6.01.</w:t>
            </w:r>
          </w:p>
        </w:tc>
        <w:tc>
          <w:tcPr>
            <w:tcW w:w="8000" w:type="dxa"/>
            <w:vAlign w:val="bottom"/>
          </w:tcPr>
          <w:p>
            <w:pPr>
              <w:ind w:left="160"/>
              <w:spacing w:after="0"/>
              <w:rPr>
                <w:sz w:val="20"/>
                <w:szCs w:val="20"/>
                <w:color w:val="auto"/>
              </w:rPr>
            </w:pPr>
            <w:r>
              <w:rPr>
                <w:rFonts w:ascii="Arial" w:cs="Arial" w:eastAsia="Arial" w:hAnsi="Arial"/>
                <w:sz w:val="18"/>
                <w:szCs w:val="18"/>
                <w:color w:val="auto"/>
              </w:rPr>
              <w:t>Events of Default</w:t>
            </w:r>
          </w:p>
        </w:tc>
        <w:tc>
          <w:tcPr>
            <w:tcW w:w="2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300" w:type="dxa"/>
            <w:vAlign w:val="bottom"/>
          </w:tcPr>
          <w:p>
            <w:pPr>
              <w:spacing w:after="0"/>
              <w:rPr>
                <w:sz w:val="24"/>
                <w:szCs w:val="24"/>
                <w:color w:val="auto"/>
              </w:rPr>
            </w:pPr>
          </w:p>
        </w:tc>
        <w:tc>
          <w:tcPr>
            <w:tcW w:w="8000" w:type="dxa"/>
            <w:vAlign w:val="bottom"/>
          </w:tcPr>
          <w:p>
            <w:pPr>
              <w:jc w:val="center"/>
              <w:ind w:left="352"/>
              <w:spacing w:after="0"/>
              <w:rPr>
                <w:sz w:val="20"/>
                <w:szCs w:val="20"/>
                <w:color w:val="auto"/>
              </w:rPr>
            </w:pPr>
            <w:r>
              <w:rPr>
                <w:rFonts w:ascii="Arial" w:cs="Arial" w:eastAsia="Arial" w:hAnsi="Arial"/>
                <w:sz w:val="18"/>
                <w:szCs w:val="18"/>
                <w:color w:val="auto"/>
                <w:w w:val="96"/>
              </w:rPr>
              <w:t>ARTICLE VII THE AGENT</w:t>
            </w:r>
          </w:p>
        </w:tc>
        <w:tc>
          <w:tcPr>
            <w:tcW w:w="2120" w:type="dxa"/>
            <w:vAlign w:val="bottom"/>
          </w:tcPr>
          <w:p>
            <w:pPr>
              <w:spacing w:after="0"/>
              <w:rPr>
                <w:sz w:val="24"/>
                <w:szCs w:val="24"/>
                <w:color w:val="auto"/>
              </w:rPr>
            </w:pPr>
          </w:p>
        </w:tc>
      </w:tr>
      <w:tr>
        <w:trPr>
          <w:trHeight w:val="426"/>
        </w:trPr>
        <w:tc>
          <w:tcPr>
            <w:tcW w:w="9300" w:type="dxa"/>
            <w:vAlign w:val="bottom"/>
            <w:gridSpan w:val="2"/>
          </w:tcPr>
          <w:p>
            <w:pPr>
              <w:spacing w:after="0"/>
              <w:rPr>
                <w:sz w:val="20"/>
                <w:szCs w:val="20"/>
                <w:color w:val="auto"/>
              </w:rPr>
            </w:pPr>
            <w:r>
              <w:rPr>
                <w:rFonts w:ascii="Arial" w:cs="Arial" w:eastAsia="Arial" w:hAnsi="Arial"/>
                <w:sz w:val="18"/>
                <w:szCs w:val="18"/>
                <w:color w:val="auto"/>
              </w:rPr>
              <w:t>SECTION 7.01.    Authorization and Action</w:t>
            </w:r>
          </w:p>
        </w:tc>
        <w:tc>
          <w:tcPr>
            <w:tcW w:w="2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SECTION 7.02.    Agent’s Reliance, Etc</w:t>
            </w:r>
          </w:p>
        </w:tc>
        <w:tc>
          <w:tcPr>
            <w:tcW w:w="2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SECTION 7.03.    Citibank and Affiliates</w:t>
            </w:r>
          </w:p>
        </w:tc>
        <w:tc>
          <w:tcPr>
            <w:tcW w:w="2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SECTION 7.04.    Lender Credit Decision</w:t>
            </w:r>
          </w:p>
        </w:tc>
        <w:tc>
          <w:tcPr>
            <w:tcW w:w="2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7.05.</w:t>
            </w:r>
          </w:p>
        </w:tc>
        <w:tc>
          <w:tcPr>
            <w:tcW w:w="800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2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7.06.</w:t>
            </w:r>
          </w:p>
        </w:tc>
        <w:tc>
          <w:tcPr>
            <w:tcW w:w="8000" w:type="dxa"/>
            <w:vAlign w:val="bottom"/>
          </w:tcPr>
          <w:p>
            <w:pPr>
              <w:ind w:left="160"/>
              <w:spacing w:after="0"/>
              <w:rPr>
                <w:sz w:val="20"/>
                <w:szCs w:val="20"/>
                <w:color w:val="auto"/>
              </w:rPr>
            </w:pPr>
            <w:r>
              <w:rPr>
                <w:rFonts w:ascii="Arial" w:cs="Arial" w:eastAsia="Arial" w:hAnsi="Arial"/>
                <w:sz w:val="18"/>
                <w:szCs w:val="18"/>
                <w:color w:val="auto"/>
              </w:rPr>
              <w:t>Successor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9300" w:type="dxa"/>
            <w:vAlign w:val="bottom"/>
            <w:gridSpan w:val="2"/>
          </w:tcPr>
          <w:p>
            <w:pPr>
              <w:spacing w:after="0"/>
              <w:rPr>
                <w:sz w:val="20"/>
                <w:szCs w:val="20"/>
                <w:color w:val="auto"/>
              </w:rPr>
            </w:pPr>
            <w:r>
              <w:rPr>
                <w:rFonts w:ascii="Arial" w:cs="Arial" w:eastAsia="Arial" w:hAnsi="Arial"/>
                <w:sz w:val="18"/>
                <w:szCs w:val="18"/>
                <w:color w:val="auto"/>
              </w:rPr>
              <w:t>SECTION 7.07.    Documentation Agents and Syndication Agents</w:t>
            </w:r>
          </w:p>
        </w:tc>
        <w:tc>
          <w:tcPr>
            <w:tcW w:w="2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300" w:type="dxa"/>
            <w:vAlign w:val="bottom"/>
          </w:tcPr>
          <w:p>
            <w:pPr>
              <w:spacing w:after="0"/>
              <w:rPr>
                <w:sz w:val="24"/>
                <w:szCs w:val="24"/>
                <w:color w:val="auto"/>
              </w:rPr>
            </w:pPr>
          </w:p>
        </w:tc>
        <w:tc>
          <w:tcPr>
            <w:tcW w:w="8000" w:type="dxa"/>
            <w:vAlign w:val="bottom"/>
          </w:tcPr>
          <w:p>
            <w:pPr>
              <w:jc w:val="center"/>
              <w:ind w:left="352"/>
              <w:spacing w:after="0"/>
              <w:rPr>
                <w:sz w:val="20"/>
                <w:szCs w:val="20"/>
                <w:color w:val="auto"/>
              </w:rPr>
            </w:pPr>
            <w:r>
              <w:rPr>
                <w:rFonts w:ascii="Arial" w:cs="Arial" w:eastAsia="Arial" w:hAnsi="Arial"/>
                <w:sz w:val="18"/>
                <w:szCs w:val="18"/>
                <w:color w:val="auto"/>
                <w:w w:val="97"/>
              </w:rPr>
              <w:t>ARTICLE VIII MISCELLANEOUS</w:t>
            </w:r>
          </w:p>
        </w:tc>
        <w:tc>
          <w:tcPr>
            <w:tcW w:w="2120" w:type="dxa"/>
            <w:vAlign w:val="bottom"/>
          </w:tcPr>
          <w:p>
            <w:pPr>
              <w:spacing w:after="0"/>
              <w:rPr>
                <w:sz w:val="24"/>
                <w:szCs w:val="24"/>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SECTION 8.01.</w:t>
            </w:r>
          </w:p>
        </w:tc>
        <w:tc>
          <w:tcPr>
            <w:tcW w:w="8000" w:type="dxa"/>
            <w:vAlign w:val="bottom"/>
          </w:tcPr>
          <w:p>
            <w:pPr>
              <w:ind w:left="160"/>
              <w:spacing w:after="0"/>
              <w:rPr>
                <w:sz w:val="20"/>
                <w:szCs w:val="20"/>
                <w:color w:val="auto"/>
              </w:rPr>
            </w:pPr>
            <w:r>
              <w:rPr>
                <w:rFonts w:ascii="Arial" w:cs="Arial" w:eastAsia="Arial" w:hAnsi="Arial"/>
                <w:sz w:val="18"/>
                <w:szCs w:val="18"/>
                <w:color w:val="auto"/>
              </w:rPr>
              <w:t>Amendments, Etc</w:t>
            </w:r>
          </w:p>
        </w:tc>
        <w:tc>
          <w:tcPr>
            <w:tcW w:w="2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8.02.</w:t>
            </w:r>
          </w:p>
        </w:tc>
        <w:tc>
          <w:tcPr>
            <w:tcW w:w="8000" w:type="dxa"/>
            <w:vAlign w:val="bottom"/>
          </w:tcPr>
          <w:p>
            <w:pPr>
              <w:ind w:left="160"/>
              <w:spacing w:after="0"/>
              <w:rPr>
                <w:sz w:val="20"/>
                <w:szCs w:val="20"/>
                <w:color w:val="auto"/>
              </w:rPr>
            </w:pPr>
            <w:r>
              <w:rPr>
                <w:rFonts w:ascii="Arial" w:cs="Arial" w:eastAsia="Arial" w:hAnsi="Arial"/>
                <w:sz w:val="18"/>
                <w:szCs w:val="18"/>
                <w:color w:val="auto"/>
              </w:rPr>
              <w:t>Notices, Etc</w:t>
            </w:r>
          </w:p>
        </w:tc>
        <w:tc>
          <w:tcPr>
            <w:tcW w:w="2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SECTION 8.03.    No Waiver; Remedies</w:t>
            </w:r>
          </w:p>
        </w:tc>
        <w:tc>
          <w:tcPr>
            <w:tcW w:w="2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8.04.</w:t>
            </w:r>
          </w:p>
        </w:tc>
        <w:tc>
          <w:tcPr>
            <w:tcW w:w="8000" w:type="dxa"/>
            <w:vAlign w:val="bottom"/>
          </w:tcPr>
          <w:p>
            <w:pPr>
              <w:ind w:left="160"/>
              <w:spacing w:after="0"/>
              <w:rPr>
                <w:sz w:val="20"/>
                <w:szCs w:val="20"/>
                <w:color w:val="auto"/>
              </w:rPr>
            </w:pPr>
            <w:r>
              <w:rPr>
                <w:rFonts w:ascii="Arial" w:cs="Arial" w:eastAsia="Arial" w:hAnsi="Arial"/>
                <w:sz w:val="18"/>
                <w:szCs w:val="18"/>
                <w:color w:val="auto"/>
              </w:rPr>
              <w:t>Costs and Expenses</w:t>
            </w:r>
          </w:p>
        </w:tc>
        <w:tc>
          <w:tcPr>
            <w:tcW w:w="2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8.05.</w:t>
            </w:r>
          </w:p>
        </w:tc>
        <w:tc>
          <w:tcPr>
            <w:tcW w:w="8000" w:type="dxa"/>
            <w:vAlign w:val="bottom"/>
          </w:tcPr>
          <w:p>
            <w:pPr>
              <w:ind w:left="160"/>
              <w:spacing w:after="0"/>
              <w:rPr>
                <w:sz w:val="20"/>
                <w:szCs w:val="20"/>
                <w:color w:val="auto"/>
              </w:rPr>
            </w:pPr>
            <w:r>
              <w:rPr>
                <w:rFonts w:ascii="Arial" w:cs="Arial" w:eastAsia="Arial" w:hAnsi="Arial"/>
                <w:sz w:val="18"/>
                <w:szCs w:val="18"/>
                <w:color w:val="auto"/>
              </w:rPr>
              <w:t>Right of Set-off</w:t>
            </w:r>
          </w:p>
        </w:tc>
        <w:tc>
          <w:tcPr>
            <w:tcW w:w="2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8.06.</w:t>
            </w:r>
          </w:p>
        </w:tc>
        <w:tc>
          <w:tcPr>
            <w:tcW w:w="8000" w:type="dxa"/>
            <w:vAlign w:val="bottom"/>
          </w:tcPr>
          <w:p>
            <w:pPr>
              <w:ind w:left="160"/>
              <w:spacing w:after="0"/>
              <w:rPr>
                <w:sz w:val="20"/>
                <w:szCs w:val="20"/>
                <w:color w:val="auto"/>
              </w:rPr>
            </w:pPr>
            <w:r>
              <w:rPr>
                <w:rFonts w:ascii="Arial" w:cs="Arial" w:eastAsia="Arial" w:hAnsi="Arial"/>
                <w:sz w:val="18"/>
                <w:szCs w:val="18"/>
                <w:color w:val="auto"/>
              </w:rPr>
              <w:t>Binding Effect</w:t>
            </w:r>
          </w:p>
        </w:tc>
        <w:tc>
          <w:tcPr>
            <w:tcW w:w="2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SECTION 8.07.    Assignments and Participations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8.08.</w:t>
            </w:r>
          </w:p>
        </w:tc>
        <w:tc>
          <w:tcPr>
            <w:tcW w:w="800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8.09.</w:t>
            </w:r>
          </w:p>
        </w:tc>
        <w:tc>
          <w:tcPr>
            <w:tcW w:w="800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SECTION 8.10.    Execution in Counterparts</w:t>
            </w: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8.11.</w:t>
            </w:r>
          </w:p>
        </w:tc>
        <w:tc>
          <w:tcPr>
            <w:tcW w:w="8000" w:type="dxa"/>
            <w:vAlign w:val="bottom"/>
          </w:tcPr>
          <w:p>
            <w:pPr>
              <w:ind w:left="160"/>
              <w:spacing w:after="0"/>
              <w:rPr>
                <w:sz w:val="20"/>
                <w:szCs w:val="20"/>
                <w:color w:val="auto"/>
              </w:rPr>
            </w:pPr>
            <w:r>
              <w:rPr>
                <w:rFonts w:ascii="Arial" w:cs="Arial" w:eastAsia="Arial" w:hAnsi="Arial"/>
                <w:sz w:val="18"/>
                <w:szCs w:val="18"/>
                <w:color w:val="auto"/>
              </w:rPr>
              <w:t>Jurisdiction, Etc</w:t>
            </w: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8.12.</w:t>
            </w:r>
          </w:p>
        </w:tc>
        <w:tc>
          <w:tcPr>
            <w:tcW w:w="8000" w:type="dxa"/>
            <w:vAlign w:val="bottom"/>
          </w:tcPr>
          <w:p>
            <w:pPr>
              <w:ind w:left="160"/>
              <w:spacing w:after="0"/>
              <w:rPr>
                <w:sz w:val="20"/>
                <w:szCs w:val="20"/>
                <w:color w:val="auto"/>
              </w:rPr>
            </w:pPr>
            <w:r>
              <w:rPr>
                <w:rFonts w:ascii="Arial" w:cs="Arial" w:eastAsia="Arial" w:hAnsi="Arial"/>
                <w:sz w:val="18"/>
                <w:szCs w:val="18"/>
                <w:color w:val="auto"/>
              </w:rPr>
              <w:t>Patriot Act Notice</w:t>
            </w: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8.13.</w:t>
            </w:r>
          </w:p>
        </w:tc>
        <w:tc>
          <w:tcPr>
            <w:tcW w:w="8000" w:type="dxa"/>
            <w:vAlign w:val="bottom"/>
          </w:tcPr>
          <w:p>
            <w:pPr>
              <w:ind w:left="160"/>
              <w:spacing w:after="0"/>
              <w:rPr>
                <w:sz w:val="20"/>
                <w:szCs w:val="20"/>
                <w:color w:val="auto"/>
              </w:rPr>
            </w:pPr>
            <w:r>
              <w:rPr>
                <w:rFonts w:ascii="Arial" w:cs="Arial" w:eastAsia="Arial" w:hAnsi="Arial"/>
                <w:sz w:val="18"/>
                <w:szCs w:val="18"/>
                <w:color w:val="auto"/>
              </w:rPr>
              <w:t>Waiver of Jury Trial</w:t>
            </w:r>
          </w:p>
        </w:tc>
        <w:tc>
          <w:tcPr>
            <w:tcW w:w="2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65"/>
        </w:trPr>
        <w:tc>
          <w:tcPr>
            <w:tcW w:w="1300" w:type="dxa"/>
            <w:vAlign w:val="bottom"/>
          </w:tcPr>
          <w:p>
            <w:pPr>
              <w:spacing w:after="0"/>
              <w:rPr>
                <w:sz w:val="24"/>
                <w:szCs w:val="24"/>
                <w:color w:val="auto"/>
              </w:rPr>
            </w:pPr>
          </w:p>
        </w:tc>
        <w:tc>
          <w:tcPr>
            <w:tcW w:w="8000" w:type="dxa"/>
            <w:vAlign w:val="bottom"/>
          </w:tcPr>
          <w:p>
            <w:pPr>
              <w:ind w:left="4380"/>
              <w:spacing w:after="0"/>
              <w:rPr>
                <w:sz w:val="20"/>
                <w:szCs w:val="20"/>
                <w:color w:val="auto"/>
              </w:rPr>
            </w:pPr>
            <w:r>
              <w:rPr>
                <w:rFonts w:ascii="Arial" w:cs="Arial" w:eastAsia="Arial" w:hAnsi="Arial"/>
                <w:sz w:val="18"/>
                <w:szCs w:val="18"/>
                <w:color w:val="auto"/>
              </w:rPr>
              <w:t>2</w:t>
            </w:r>
          </w:p>
        </w:tc>
        <w:tc>
          <w:tcPr>
            <w:tcW w:w="2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I - List of Applicable Lending Offices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Schedule 5.02(a) - Existing Liens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4032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Exhibit A-1</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360" w:type="dxa"/>
            <w:vAlign w:val="bottom"/>
          </w:tcPr>
          <w:p>
            <w:pPr>
              <w:ind w:left="220"/>
              <w:spacing w:after="0"/>
              <w:rPr>
                <w:sz w:val="20"/>
                <w:szCs w:val="20"/>
                <w:color w:val="auto"/>
              </w:rPr>
            </w:pPr>
            <w:r>
              <w:rPr>
                <w:rFonts w:ascii="Arial" w:cs="Arial" w:eastAsia="Arial" w:hAnsi="Arial"/>
                <w:sz w:val="18"/>
                <w:szCs w:val="18"/>
                <w:color w:val="auto"/>
              </w:rPr>
              <w:t>Form of Revolving Credit Note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Exhibit A-2</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360" w:type="dxa"/>
            <w:vAlign w:val="bottom"/>
          </w:tcPr>
          <w:p>
            <w:pPr>
              <w:ind w:left="220"/>
              <w:spacing w:after="0"/>
              <w:rPr>
                <w:sz w:val="20"/>
                <w:szCs w:val="20"/>
                <w:color w:val="auto"/>
              </w:rPr>
            </w:pPr>
            <w:r>
              <w:rPr>
                <w:rFonts w:ascii="Arial" w:cs="Arial" w:eastAsia="Arial" w:hAnsi="Arial"/>
                <w:sz w:val="18"/>
                <w:szCs w:val="18"/>
                <w:color w:val="auto"/>
              </w:rPr>
              <w:t>Form of Competitive Bid Note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Exhibit B-1</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360" w:type="dxa"/>
            <w:vAlign w:val="bottom"/>
          </w:tcPr>
          <w:p>
            <w:pPr>
              <w:ind w:left="220"/>
              <w:spacing w:after="0"/>
              <w:rPr>
                <w:sz w:val="20"/>
                <w:szCs w:val="20"/>
                <w:color w:val="auto"/>
              </w:rPr>
            </w:pPr>
            <w:r>
              <w:rPr>
                <w:rFonts w:ascii="Arial" w:cs="Arial" w:eastAsia="Arial" w:hAnsi="Arial"/>
                <w:sz w:val="18"/>
                <w:szCs w:val="18"/>
                <w:color w:val="auto"/>
              </w:rPr>
              <w:t>Form of Notice of Revolving Credit Borrowing</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Exhibit B-2</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360" w:type="dxa"/>
            <w:vAlign w:val="bottom"/>
          </w:tcPr>
          <w:p>
            <w:pPr>
              <w:ind w:left="220"/>
              <w:spacing w:after="0"/>
              <w:rPr>
                <w:sz w:val="20"/>
                <w:szCs w:val="20"/>
                <w:color w:val="auto"/>
              </w:rPr>
            </w:pPr>
            <w:r>
              <w:rPr>
                <w:rFonts w:ascii="Arial" w:cs="Arial" w:eastAsia="Arial" w:hAnsi="Arial"/>
                <w:sz w:val="18"/>
                <w:szCs w:val="18"/>
                <w:color w:val="auto"/>
              </w:rPr>
              <w:t>Form of Notice of Competitive Bid Borrowing</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Exhibit C</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360" w:type="dxa"/>
            <w:vAlign w:val="bottom"/>
          </w:tcPr>
          <w:p>
            <w:pPr>
              <w:ind w:left="220"/>
              <w:spacing w:after="0"/>
              <w:rPr>
                <w:sz w:val="20"/>
                <w:szCs w:val="20"/>
                <w:color w:val="auto"/>
              </w:rPr>
            </w:pPr>
            <w:r>
              <w:rPr>
                <w:rFonts w:ascii="Arial" w:cs="Arial" w:eastAsia="Arial" w:hAnsi="Arial"/>
                <w:sz w:val="18"/>
                <w:szCs w:val="18"/>
                <w:color w:val="auto"/>
              </w:rPr>
              <w:t>Form of Assignment and Acceptance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Exhibit D</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360" w:type="dxa"/>
            <w:vAlign w:val="bottom"/>
          </w:tcPr>
          <w:p>
            <w:pPr>
              <w:ind w:left="220"/>
              <w:spacing w:after="0"/>
              <w:rPr>
                <w:sz w:val="20"/>
                <w:szCs w:val="20"/>
                <w:color w:val="auto"/>
              </w:rPr>
            </w:pPr>
            <w:r>
              <w:rPr>
                <w:rFonts w:ascii="Arial" w:cs="Arial" w:eastAsia="Arial" w:hAnsi="Arial"/>
                <w:sz w:val="18"/>
                <w:szCs w:val="18"/>
                <w:color w:val="auto"/>
              </w:rPr>
              <w:t>Form of Assumption Agreement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Exhibit E-1</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360" w:type="dxa"/>
            <w:vAlign w:val="bottom"/>
          </w:tcPr>
          <w:p>
            <w:pPr>
              <w:ind w:left="220"/>
              <w:spacing w:after="0"/>
              <w:rPr>
                <w:sz w:val="20"/>
                <w:szCs w:val="20"/>
                <w:color w:val="auto"/>
              </w:rPr>
            </w:pPr>
            <w:r>
              <w:rPr>
                <w:rFonts w:ascii="Arial" w:cs="Arial" w:eastAsia="Arial" w:hAnsi="Arial"/>
                <w:sz w:val="18"/>
                <w:szCs w:val="18"/>
                <w:color w:val="auto"/>
              </w:rPr>
              <w:t>Form of Opinion of Counsel for the Borrower</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Exhibit E-2</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360" w:type="dxa"/>
            <w:vAlign w:val="bottom"/>
          </w:tcPr>
          <w:p>
            <w:pPr>
              <w:ind w:left="220"/>
              <w:spacing w:after="0"/>
              <w:rPr>
                <w:sz w:val="20"/>
                <w:szCs w:val="20"/>
                <w:color w:val="auto"/>
              </w:rPr>
            </w:pPr>
            <w:r>
              <w:rPr>
                <w:rFonts w:ascii="Arial" w:cs="Arial" w:eastAsia="Arial" w:hAnsi="Arial"/>
                <w:sz w:val="18"/>
                <w:szCs w:val="18"/>
                <w:color w:val="auto"/>
                <w:w w:val="89"/>
              </w:rPr>
              <w:t>Form of Opinion of Counsel for the Newspaper Subsidiary</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Exhibit F</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360" w:type="dxa"/>
            <w:vAlign w:val="bottom"/>
          </w:tcPr>
          <w:p>
            <w:pPr>
              <w:ind w:left="220"/>
              <w:spacing w:after="0"/>
              <w:rPr>
                <w:sz w:val="20"/>
                <w:szCs w:val="20"/>
                <w:color w:val="auto"/>
              </w:rPr>
            </w:pPr>
            <w:r>
              <w:rPr>
                <w:rFonts w:ascii="Arial" w:cs="Arial" w:eastAsia="Arial" w:hAnsi="Arial"/>
                <w:sz w:val="18"/>
                <w:szCs w:val="18"/>
                <w:color w:val="auto"/>
              </w:rPr>
              <w:t>Form of Subsidiary Guaranty</w:t>
            </w:r>
          </w:p>
        </w:tc>
      </w:tr>
    </w:tbl>
    <w:p>
      <w:pPr>
        <w:spacing w:after="0" w:line="14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8" w:name="page9"/>
    <w:bookmarkEnd w:id="8"/>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364-DAY CREDIT AGREEMENT</w:t>
      </w:r>
    </w:p>
    <w:p>
      <w:pPr>
        <w:spacing w:after="0" w:line="7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Dated as of August 10, 2005</w:t>
      </w:r>
    </w:p>
    <w:p>
      <w:pPr>
        <w:spacing w:after="0" w:line="15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Washington Post Company,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banks, financial institutions and other institutional lenders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listed on the signature pages hereof, and Citibank, N.A. (“</w:t>
      </w:r>
      <w:r>
        <w:rPr>
          <w:rFonts w:ascii="Arial" w:cs="Arial" w:eastAsia="Arial" w:hAnsi="Arial"/>
          <w:sz w:val="18"/>
          <w:szCs w:val="18"/>
          <w:u w:val="single" w:color="auto"/>
          <w:color w:val="auto"/>
        </w:rPr>
        <w:t>Citibank</w:t>
      </w:r>
      <w:r>
        <w:rPr>
          <w:rFonts w:ascii="Arial" w:cs="Arial" w:eastAsia="Arial" w:hAnsi="Arial"/>
          <w:sz w:val="18"/>
          <w:szCs w:val="18"/>
          <w:color w:val="auto"/>
        </w:rPr>
        <w:t>”), as administrative agent (the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Lenders (as hereinafter defined), agree as follows: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ACCOUNTING TERMS</w:t>
      </w:r>
    </w:p>
    <w:p>
      <w:pPr>
        <w:spacing w:after="0" w:line="158"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Agreement, the following terms shall have the following meanings (such meanings to be equally applicable to both the singular and plural forms of the terms defined):</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 Revolving Credit Advance or a Competitive Bid Advance.</w:t>
      </w:r>
    </w:p>
    <w:p>
      <w:pPr>
        <w:spacing w:after="0" w:line="77"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vote 10% or more of the Voting Stock of such Person or to direct or cause the direction of the management and policies of such Person, whether through the ownership of Voting Stock, by contract or otherwise.</w:t>
      </w:r>
    </w:p>
    <w:p>
      <w:pPr>
        <w:spacing w:after="0" w:line="48" w:lineRule="exact"/>
        <w:rPr>
          <w:sz w:val="20"/>
          <w:szCs w:val="20"/>
          <w:color w:val="auto"/>
        </w:rPr>
      </w:pPr>
    </w:p>
    <w:p>
      <w:pPr>
        <w:ind w:left="460"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Account</w:t>
      </w:r>
      <w:r>
        <w:rPr>
          <w:rFonts w:ascii="Arial" w:cs="Arial" w:eastAsia="Arial" w:hAnsi="Arial"/>
          <w:sz w:val="18"/>
          <w:szCs w:val="18"/>
          <w:color w:val="auto"/>
        </w:rPr>
        <w:t>” means the account of the Agent maintained by the Agent at Citibank with its office at 388 Greenwich Street, New York, New York 10013, Account No. 36852248, Attention: Bank Loans Syndications.</w:t>
      </w:r>
    </w:p>
    <w:p>
      <w:pPr>
        <w:spacing w:after="0" w:line="37" w:lineRule="exact"/>
        <w:rPr>
          <w:sz w:val="20"/>
          <w:szCs w:val="20"/>
          <w:color w:val="auto"/>
        </w:rPr>
      </w:pPr>
    </w:p>
    <w:p>
      <w:pPr>
        <w:ind w:left="460" w:right="2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Lending Office</w:t>
      </w:r>
      <w:r>
        <w:rPr>
          <w:rFonts w:ascii="Arial" w:cs="Arial" w:eastAsia="Arial" w:hAnsi="Arial"/>
          <w:sz w:val="16"/>
          <w:szCs w:val="16"/>
          <w:color w:val="auto"/>
        </w:rPr>
        <w:t>” means, with respect to each Lender, such Lender’s Domestic Lending Office in the case of a Base Rate Advance and such Lender’s Eurodollar Lending Office in the case of a Eurodollar Rate Advance and, in the case of a Competitive Bid Advance, the office of such Lender notified by such Lender to the Agent as its Applicable Lending Office with respect to such Competitive Bid Advance.</w:t>
      </w:r>
    </w:p>
    <w:p>
      <w:pPr>
        <w:spacing w:after="0" w:line="12" w:lineRule="exact"/>
        <w:rPr>
          <w:sz w:val="20"/>
          <w:szCs w:val="20"/>
          <w:color w:val="auto"/>
        </w:rPr>
      </w:pPr>
    </w:p>
    <w:p>
      <w:pPr>
        <w:ind w:left="460" w:right="4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as of any date, (a) for Base Rate Advances, 0% per annum and (b) for Eurodollar Rate Advances, a percentage per annum determined by reference to the Performance Level in effect on such date as set forth below:</w:t>
      </w:r>
    </w:p>
    <w:p>
      <w:pPr>
        <w:spacing w:after="0" w:line="102"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Applicable Margin</w:t>
            </w:r>
          </w:p>
        </w:tc>
        <w:tc>
          <w:tcPr>
            <w:tcW w:w="12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Applicable Margin for</w:t>
            </w:r>
          </w:p>
        </w:tc>
      </w:tr>
      <w:tr>
        <w:trPr>
          <w:trHeight w:val="149"/>
        </w:trPr>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for Eurodollar Rate</w:t>
            </w:r>
          </w:p>
        </w:tc>
        <w:tc>
          <w:tcPr>
            <w:tcW w:w="1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Eurodollar Rate</w:t>
            </w:r>
          </w:p>
        </w:tc>
      </w:tr>
      <w:tr>
        <w:trPr>
          <w:trHeight w:val="149"/>
        </w:trPr>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Advances Prior to</w:t>
            </w:r>
          </w:p>
        </w:tc>
        <w:tc>
          <w:tcPr>
            <w:tcW w:w="1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Advances On and After</w:t>
            </w:r>
          </w:p>
        </w:tc>
      </w:tr>
      <w:tr>
        <w:trPr>
          <w:trHeight w:val="149"/>
        </w:trPr>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Term Loan</w:t>
            </w:r>
          </w:p>
        </w:tc>
        <w:tc>
          <w:tcPr>
            <w:tcW w:w="1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 Loan Conversion</w:t>
            </w:r>
          </w:p>
        </w:tc>
      </w:tr>
      <w:tr>
        <w:trPr>
          <w:trHeight w:val="174"/>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Performance Level</w:t>
            </w:r>
          </w:p>
        </w:tc>
        <w:tc>
          <w:tcPr>
            <w:tcW w:w="14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Conversion Date</w:t>
            </w:r>
          </w:p>
        </w:tc>
        <w:tc>
          <w:tcPr>
            <w:tcW w:w="12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95"/>
        </w:trPr>
        <w:tc>
          <w:tcPr>
            <w:tcW w:w="134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r>
        <w:trPr>
          <w:trHeight w:val="309"/>
        </w:trPr>
        <w:tc>
          <w:tcPr>
            <w:tcW w:w="1340" w:type="dxa"/>
            <w:vAlign w:val="bottom"/>
          </w:tcPr>
          <w:p>
            <w:pPr>
              <w:jc w:val="center"/>
              <w:spacing w:after="0"/>
              <w:rPr>
                <w:sz w:val="20"/>
                <w:szCs w:val="20"/>
                <w:color w:val="auto"/>
              </w:rPr>
            </w:pPr>
            <w:r>
              <w:rPr>
                <w:rFonts w:ascii="Arial" w:cs="Arial" w:eastAsia="Arial" w:hAnsi="Arial"/>
                <w:sz w:val="18"/>
                <w:szCs w:val="18"/>
                <w:color w:val="auto"/>
              </w:rPr>
              <w:t>I</w:t>
            </w:r>
          </w:p>
        </w:tc>
        <w:tc>
          <w:tcPr>
            <w:tcW w:w="2640" w:type="dxa"/>
            <w:vAlign w:val="bottom"/>
            <w:gridSpan w:val="2"/>
          </w:tcPr>
          <w:p>
            <w:pPr>
              <w:jc w:val="center"/>
              <w:ind w:left="1412"/>
              <w:spacing w:after="0"/>
              <w:rPr>
                <w:sz w:val="20"/>
                <w:szCs w:val="20"/>
                <w:color w:val="auto"/>
              </w:rPr>
            </w:pPr>
            <w:r>
              <w:rPr>
                <w:rFonts w:ascii="Arial" w:cs="Arial" w:eastAsia="Arial" w:hAnsi="Arial"/>
                <w:sz w:val="18"/>
                <w:szCs w:val="18"/>
                <w:color w:val="auto"/>
                <w:w w:val="88"/>
              </w:rPr>
              <w:t>0.160%</w:t>
            </w:r>
          </w:p>
        </w:tc>
        <w:tc>
          <w:tcPr>
            <w:tcW w:w="2620" w:type="dxa"/>
            <w:vAlign w:val="bottom"/>
            <w:gridSpan w:val="2"/>
          </w:tcPr>
          <w:p>
            <w:pPr>
              <w:jc w:val="center"/>
              <w:ind w:left="1152"/>
              <w:spacing w:after="0"/>
              <w:rPr>
                <w:sz w:val="20"/>
                <w:szCs w:val="20"/>
                <w:color w:val="auto"/>
              </w:rPr>
            </w:pPr>
            <w:r>
              <w:rPr>
                <w:rFonts w:ascii="Arial" w:cs="Arial" w:eastAsia="Arial" w:hAnsi="Arial"/>
                <w:sz w:val="18"/>
                <w:szCs w:val="18"/>
                <w:color w:val="auto"/>
                <w:w w:val="88"/>
              </w:rPr>
              <w:t>0.350%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II</w:t>
            </w:r>
          </w:p>
        </w:tc>
        <w:tc>
          <w:tcPr>
            <w:tcW w:w="2640" w:type="dxa"/>
            <w:vAlign w:val="bottom"/>
            <w:gridSpan w:val="2"/>
          </w:tcPr>
          <w:p>
            <w:pPr>
              <w:jc w:val="center"/>
              <w:ind w:left="1412"/>
              <w:spacing w:after="0"/>
              <w:rPr>
                <w:sz w:val="20"/>
                <w:szCs w:val="20"/>
                <w:color w:val="auto"/>
              </w:rPr>
            </w:pPr>
            <w:r>
              <w:rPr>
                <w:rFonts w:ascii="Arial" w:cs="Arial" w:eastAsia="Arial" w:hAnsi="Arial"/>
                <w:sz w:val="18"/>
                <w:szCs w:val="18"/>
                <w:color w:val="auto"/>
                <w:w w:val="88"/>
              </w:rPr>
              <w:t>0.200%</w:t>
            </w:r>
          </w:p>
        </w:tc>
        <w:tc>
          <w:tcPr>
            <w:tcW w:w="2620" w:type="dxa"/>
            <w:vAlign w:val="bottom"/>
            <w:gridSpan w:val="2"/>
          </w:tcPr>
          <w:p>
            <w:pPr>
              <w:jc w:val="center"/>
              <w:ind w:left="1152"/>
              <w:spacing w:after="0"/>
              <w:rPr>
                <w:sz w:val="20"/>
                <w:szCs w:val="20"/>
                <w:color w:val="auto"/>
              </w:rPr>
            </w:pPr>
            <w:r>
              <w:rPr>
                <w:rFonts w:ascii="Arial" w:cs="Arial" w:eastAsia="Arial" w:hAnsi="Arial"/>
                <w:sz w:val="18"/>
                <w:szCs w:val="18"/>
                <w:color w:val="auto"/>
                <w:w w:val="88"/>
              </w:rPr>
              <w:t>0.400%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III</w:t>
            </w:r>
          </w:p>
        </w:tc>
        <w:tc>
          <w:tcPr>
            <w:tcW w:w="2640" w:type="dxa"/>
            <w:vAlign w:val="bottom"/>
            <w:gridSpan w:val="2"/>
          </w:tcPr>
          <w:p>
            <w:pPr>
              <w:jc w:val="center"/>
              <w:ind w:left="1412"/>
              <w:spacing w:after="0"/>
              <w:rPr>
                <w:sz w:val="20"/>
                <w:szCs w:val="20"/>
                <w:color w:val="auto"/>
              </w:rPr>
            </w:pPr>
            <w:r>
              <w:rPr>
                <w:rFonts w:ascii="Arial" w:cs="Arial" w:eastAsia="Arial" w:hAnsi="Arial"/>
                <w:sz w:val="18"/>
                <w:szCs w:val="18"/>
                <w:color w:val="auto"/>
                <w:w w:val="88"/>
              </w:rPr>
              <w:t>0.240%</w:t>
            </w:r>
          </w:p>
        </w:tc>
        <w:tc>
          <w:tcPr>
            <w:tcW w:w="2620" w:type="dxa"/>
            <w:vAlign w:val="bottom"/>
            <w:gridSpan w:val="2"/>
          </w:tcPr>
          <w:p>
            <w:pPr>
              <w:jc w:val="center"/>
              <w:ind w:left="1152"/>
              <w:spacing w:after="0"/>
              <w:rPr>
                <w:sz w:val="20"/>
                <w:szCs w:val="20"/>
                <w:color w:val="auto"/>
              </w:rPr>
            </w:pPr>
            <w:r>
              <w:rPr>
                <w:rFonts w:ascii="Arial" w:cs="Arial" w:eastAsia="Arial" w:hAnsi="Arial"/>
                <w:sz w:val="18"/>
                <w:szCs w:val="18"/>
                <w:color w:val="auto"/>
                <w:w w:val="88"/>
              </w:rPr>
              <w:t>0.450%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IV</w:t>
            </w:r>
          </w:p>
        </w:tc>
        <w:tc>
          <w:tcPr>
            <w:tcW w:w="2640" w:type="dxa"/>
            <w:vAlign w:val="bottom"/>
            <w:gridSpan w:val="2"/>
          </w:tcPr>
          <w:p>
            <w:pPr>
              <w:jc w:val="center"/>
              <w:ind w:left="1412"/>
              <w:spacing w:after="0"/>
              <w:rPr>
                <w:sz w:val="20"/>
                <w:szCs w:val="20"/>
                <w:color w:val="auto"/>
              </w:rPr>
            </w:pPr>
            <w:r>
              <w:rPr>
                <w:rFonts w:ascii="Arial" w:cs="Arial" w:eastAsia="Arial" w:hAnsi="Arial"/>
                <w:sz w:val="18"/>
                <w:szCs w:val="18"/>
                <w:color w:val="auto"/>
                <w:w w:val="88"/>
              </w:rPr>
              <w:t>0.280%</w:t>
            </w:r>
          </w:p>
        </w:tc>
        <w:tc>
          <w:tcPr>
            <w:tcW w:w="2620" w:type="dxa"/>
            <w:vAlign w:val="bottom"/>
            <w:gridSpan w:val="2"/>
          </w:tcPr>
          <w:p>
            <w:pPr>
              <w:jc w:val="center"/>
              <w:ind w:left="1152"/>
              <w:spacing w:after="0"/>
              <w:rPr>
                <w:sz w:val="20"/>
                <w:szCs w:val="20"/>
                <w:color w:val="auto"/>
              </w:rPr>
            </w:pPr>
            <w:r>
              <w:rPr>
                <w:rFonts w:ascii="Arial" w:cs="Arial" w:eastAsia="Arial" w:hAnsi="Arial"/>
                <w:sz w:val="18"/>
                <w:szCs w:val="18"/>
                <w:color w:val="auto"/>
                <w:w w:val="88"/>
              </w:rPr>
              <w:t>0.500%</w:t>
            </w:r>
          </w:p>
        </w:tc>
      </w:tr>
      <w:tr>
        <w:trPr>
          <w:trHeight w:val="222"/>
        </w:trPr>
        <w:tc>
          <w:tcPr>
            <w:tcW w:w="1340" w:type="dxa"/>
            <w:vAlign w:val="bottom"/>
          </w:tcPr>
          <w:p>
            <w:pPr>
              <w:jc w:val="center"/>
              <w:spacing w:after="0"/>
              <w:rPr>
                <w:sz w:val="20"/>
                <w:szCs w:val="20"/>
                <w:color w:val="auto"/>
              </w:rPr>
            </w:pPr>
            <w:r>
              <w:rPr>
                <w:rFonts w:ascii="Arial" w:cs="Arial" w:eastAsia="Arial" w:hAnsi="Arial"/>
                <w:sz w:val="18"/>
                <w:szCs w:val="18"/>
                <w:color w:val="auto"/>
                <w:w w:val="99"/>
              </w:rPr>
              <w:t>V</w:t>
            </w:r>
          </w:p>
        </w:tc>
        <w:tc>
          <w:tcPr>
            <w:tcW w:w="2640" w:type="dxa"/>
            <w:vAlign w:val="bottom"/>
            <w:gridSpan w:val="2"/>
          </w:tcPr>
          <w:p>
            <w:pPr>
              <w:jc w:val="center"/>
              <w:ind w:left="1412"/>
              <w:spacing w:after="0"/>
              <w:rPr>
                <w:sz w:val="20"/>
                <w:szCs w:val="20"/>
                <w:color w:val="auto"/>
              </w:rPr>
            </w:pPr>
            <w:r>
              <w:rPr>
                <w:rFonts w:ascii="Arial" w:cs="Arial" w:eastAsia="Arial" w:hAnsi="Arial"/>
                <w:sz w:val="18"/>
                <w:szCs w:val="18"/>
                <w:color w:val="auto"/>
                <w:w w:val="88"/>
              </w:rPr>
              <w:t>0.450%</w:t>
            </w:r>
          </w:p>
        </w:tc>
        <w:tc>
          <w:tcPr>
            <w:tcW w:w="2620" w:type="dxa"/>
            <w:vAlign w:val="bottom"/>
            <w:gridSpan w:val="2"/>
          </w:tcPr>
          <w:p>
            <w:pPr>
              <w:jc w:val="center"/>
              <w:ind w:left="1152"/>
              <w:spacing w:after="0"/>
              <w:rPr>
                <w:sz w:val="20"/>
                <w:szCs w:val="20"/>
                <w:color w:val="auto"/>
              </w:rPr>
            </w:pPr>
            <w:r>
              <w:rPr>
                <w:rFonts w:ascii="Arial" w:cs="Arial" w:eastAsia="Arial" w:hAnsi="Arial"/>
                <w:sz w:val="18"/>
                <w:szCs w:val="18"/>
                <w:color w:val="auto"/>
                <w:w w:val="88"/>
              </w:rPr>
              <w:t>0.750%</w:t>
            </w:r>
          </w:p>
        </w:tc>
      </w:tr>
    </w:tbl>
    <w:p>
      <w:pPr>
        <w:sectPr>
          <w:pgSz w:w="11900" w:h="16838" w:orient="portrait"/>
          <w:cols w:equalWidth="0" w:num="1">
            <w:col w:w="11400"/>
          </w:cols>
          <w:pgMar w:left="240" w:top="280" w:right="259" w:bottom="1440" w:gutter="0" w:footer="0" w:header="0"/>
        </w:sectPr>
      </w:pPr>
    </w:p>
    <w:bookmarkStart w:id="9" w:name="page10"/>
    <w:bookmarkEnd w:id="9"/>
    <w:p>
      <w:pPr>
        <w:ind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as of any date, a percentage per annum determined by reference to the Performance Level in effect on such date as set forth below:</w:t>
      </w:r>
    </w:p>
    <w:p>
      <w:pPr>
        <w:spacing w:after="0" w:line="114" w:lineRule="exact"/>
        <w:rPr>
          <w:sz w:val="20"/>
          <w:szCs w:val="20"/>
          <w:color w:val="auto"/>
        </w:rPr>
      </w:pPr>
    </w:p>
    <w:tbl>
      <w:tblPr>
        <w:tblLayout w:type="fixed"/>
        <w:tblInd w:w="2600" w:type="dxa"/>
        <w:tblCellMar>
          <w:top w:w="0" w:type="dxa"/>
          <w:left w:w="0" w:type="dxa"/>
          <w:bottom w:w="0" w:type="dxa"/>
          <w:right w:w="0" w:type="dxa"/>
        </w:tblCellMar>
      </w:tblPr>
      <w:tr>
        <w:trPr>
          <w:trHeight w:val="174"/>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Performance Level</w:t>
            </w:r>
          </w:p>
        </w:tc>
        <w:tc>
          <w:tcPr>
            <w:tcW w:w="34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Applicable Percentage</w:t>
            </w:r>
          </w:p>
        </w:tc>
      </w:tr>
      <w:tr>
        <w:trPr>
          <w:trHeight w:val="95"/>
        </w:trPr>
        <w:tc>
          <w:tcPr>
            <w:tcW w:w="134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309"/>
        </w:trPr>
        <w:tc>
          <w:tcPr>
            <w:tcW w:w="1340" w:type="dxa"/>
            <w:vAlign w:val="bottom"/>
          </w:tcPr>
          <w:p>
            <w:pPr>
              <w:jc w:val="center"/>
              <w:spacing w:after="0"/>
              <w:rPr>
                <w:sz w:val="20"/>
                <w:szCs w:val="20"/>
                <w:color w:val="auto"/>
              </w:rPr>
            </w:pPr>
            <w:r>
              <w:rPr>
                <w:rFonts w:ascii="Arial" w:cs="Arial" w:eastAsia="Arial" w:hAnsi="Arial"/>
                <w:sz w:val="18"/>
                <w:szCs w:val="18"/>
                <w:color w:val="auto"/>
              </w:rPr>
              <w:t>I</w:t>
            </w:r>
          </w:p>
        </w:tc>
        <w:tc>
          <w:tcPr>
            <w:tcW w:w="4740" w:type="dxa"/>
            <w:vAlign w:val="bottom"/>
            <w:gridSpan w:val="2"/>
          </w:tcPr>
          <w:p>
            <w:pPr>
              <w:jc w:val="center"/>
              <w:ind w:left="3352"/>
              <w:spacing w:after="0"/>
              <w:rPr>
                <w:sz w:val="20"/>
                <w:szCs w:val="20"/>
                <w:color w:val="auto"/>
              </w:rPr>
            </w:pPr>
            <w:r>
              <w:rPr>
                <w:rFonts w:ascii="Arial" w:cs="Arial" w:eastAsia="Arial" w:hAnsi="Arial"/>
                <w:sz w:val="18"/>
                <w:szCs w:val="18"/>
                <w:color w:val="auto"/>
                <w:w w:val="88"/>
              </w:rPr>
              <w:t>0.040%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II</w:t>
            </w:r>
          </w:p>
        </w:tc>
        <w:tc>
          <w:tcPr>
            <w:tcW w:w="4740" w:type="dxa"/>
            <w:vAlign w:val="bottom"/>
            <w:gridSpan w:val="2"/>
          </w:tcPr>
          <w:p>
            <w:pPr>
              <w:jc w:val="center"/>
              <w:ind w:left="3352"/>
              <w:spacing w:after="0"/>
              <w:rPr>
                <w:sz w:val="20"/>
                <w:szCs w:val="20"/>
                <w:color w:val="auto"/>
              </w:rPr>
            </w:pPr>
            <w:r>
              <w:rPr>
                <w:rFonts w:ascii="Arial" w:cs="Arial" w:eastAsia="Arial" w:hAnsi="Arial"/>
                <w:sz w:val="18"/>
                <w:szCs w:val="18"/>
                <w:color w:val="auto"/>
                <w:w w:val="88"/>
              </w:rPr>
              <w:t>0.050%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III</w:t>
            </w:r>
          </w:p>
        </w:tc>
        <w:tc>
          <w:tcPr>
            <w:tcW w:w="4740" w:type="dxa"/>
            <w:vAlign w:val="bottom"/>
            <w:gridSpan w:val="2"/>
          </w:tcPr>
          <w:p>
            <w:pPr>
              <w:jc w:val="center"/>
              <w:ind w:left="3352"/>
              <w:spacing w:after="0"/>
              <w:rPr>
                <w:sz w:val="20"/>
                <w:szCs w:val="20"/>
                <w:color w:val="auto"/>
              </w:rPr>
            </w:pPr>
            <w:r>
              <w:rPr>
                <w:rFonts w:ascii="Arial" w:cs="Arial" w:eastAsia="Arial" w:hAnsi="Arial"/>
                <w:sz w:val="18"/>
                <w:szCs w:val="18"/>
                <w:color w:val="auto"/>
                <w:w w:val="88"/>
              </w:rPr>
              <w:t>0.060%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IV</w:t>
            </w:r>
          </w:p>
        </w:tc>
        <w:tc>
          <w:tcPr>
            <w:tcW w:w="4740" w:type="dxa"/>
            <w:vAlign w:val="bottom"/>
            <w:gridSpan w:val="2"/>
          </w:tcPr>
          <w:p>
            <w:pPr>
              <w:jc w:val="center"/>
              <w:ind w:left="3352"/>
              <w:spacing w:after="0"/>
              <w:rPr>
                <w:sz w:val="20"/>
                <w:szCs w:val="20"/>
                <w:color w:val="auto"/>
              </w:rPr>
            </w:pPr>
            <w:r>
              <w:rPr>
                <w:rFonts w:ascii="Arial" w:cs="Arial" w:eastAsia="Arial" w:hAnsi="Arial"/>
                <w:sz w:val="18"/>
                <w:szCs w:val="18"/>
                <w:color w:val="auto"/>
                <w:w w:val="88"/>
              </w:rPr>
              <w:t>0.070%</w:t>
            </w:r>
          </w:p>
        </w:tc>
      </w:tr>
      <w:tr>
        <w:trPr>
          <w:trHeight w:val="222"/>
        </w:trPr>
        <w:tc>
          <w:tcPr>
            <w:tcW w:w="1340" w:type="dxa"/>
            <w:vAlign w:val="bottom"/>
          </w:tcPr>
          <w:p>
            <w:pPr>
              <w:jc w:val="center"/>
              <w:spacing w:after="0"/>
              <w:rPr>
                <w:sz w:val="20"/>
                <w:szCs w:val="20"/>
                <w:color w:val="auto"/>
              </w:rPr>
            </w:pPr>
            <w:r>
              <w:rPr>
                <w:rFonts w:ascii="Arial" w:cs="Arial" w:eastAsia="Arial" w:hAnsi="Arial"/>
                <w:sz w:val="18"/>
                <w:szCs w:val="18"/>
                <w:color w:val="auto"/>
              </w:rPr>
              <w:t>V</w:t>
            </w:r>
          </w:p>
        </w:tc>
        <w:tc>
          <w:tcPr>
            <w:tcW w:w="4740" w:type="dxa"/>
            <w:vAlign w:val="bottom"/>
            <w:gridSpan w:val="2"/>
          </w:tcPr>
          <w:p>
            <w:pPr>
              <w:jc w:val="center"/>
              <w:ind w:left="3352"/>
              <w:spacing w:after="0"/>
              <w:rPr>
                <w:sz w:val="20"/>
                <w:szCs w:val="20"/>
                <w:color w:val="auto"/>
              </w:rPr>
            </w:pPr>
            <w:r>
              <w:rPr>
                <w:rFonts w:ascii="Arial" w:cs="Arial" w:eastAsia="Arial" w:hAnsi="Arial"/>
                <w:sz w:val="18"/>
                <w:szCs w:val="18"/>
                <w:color w:val="auto"/>
                <w:w w:val="88"/>
              </w:rPr>
              <w:t>0.100%</w:t>
            </w:r>
          </w:p>
        </w:tc>
      </w:tr>
    </w:tbl>
    <w:p>
      <w:pPr>
        <w:spacing w:after="0" w:line="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Utilization Fee</w:t>
      </w:r>
      <w:r>
        <w:rPr>
          <w:rFonts w:ascii="Arial" w:cs="Arial" w:eastAsia="Arial" w:hAnsi="Arial"/>
          <w:sz w:val="16"/>
          <w:szCs w:val="16"/>
          <w:color w:val="auto"/>
        </w:rPr>
        <w:t>” means, as of any date prior to the Term Loan Conversion Date on which the aggregate Advances exceed 50%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Commitments, a percentage per annum determined by reference to the Performance Level in effect on such date as set forth below:</w:t>
      </w:r>
    </w:p>
    <w:p>
      <w:pPr>
        <w:spacing w:after="0" w:line="134"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Applicable Utilization</w:t>
            </w:r>
          </w:p>
        </w:tc>
      </w:tr>
      <w:tr>
        <w:trPr>
          <w:trHeight w:val="174"/>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Performance Level</w:t>
            </w:r>
          </w:p>
        </w:tc>
        <w:tc>
          <w:tcPr>
            <w:tcW w:w="34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2"/>
              </w:rPr>
              <w:t>Fee</w:t>
            </w:r>
          </w:p>
        </w:tc>
      </w:tr>
      <w:tr>
        <w:trPr>
          <w:trHeight w:val="95"/>
        </w:trPr>
        <w:tc>
          <w:tcPr>
            <w:tcW w:w="134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r>
      <w:tr>
        <w:trPr>
          <w:trHeight w:val="309"/>
        </w:trPr>
        <w:tc>
          <w:tcPr>
            <w:tcW w:w="1340" w:type="dxa"/>
            <w:vAlign w:val="bottom"/>
          </w:tcPr>
          <w:p>
            <w:pPr>
              <w:jc w:val="center"/>
              <w:spacing w:after="0"/>
              <w:rPr>
                <w:sz w:val="20"/>
                <w:szCs w:val="20"/>
                <w:color w:val="auto"/>
              </w:rPr>
            </w:pPr>
            <w:r>
              <w:rPr>
                <w:rFonts w:ascii="Arial" w:cs="Arial" w:eastAsia="Arial" w:hAnsi="Arial"/>
                <w:sz w:val="18"/>
                <w:szCs w:val="18"/>
                <w:color w:val="auto"/>
              </w:rPr>
              <w:t>I</w:t>
            </w:r>
          </w:p>
        </w:tc>
        <w:tc>
          <w:tcPr>
            <w:tcW w:w="4720" w:type="dxa"/>
            <w:vAlign w:val="bottom"/>
            <w:gridSpan w:val="2"/>
          </w:tcPr>
          <w:p>
            <w:pPr>
              <w:jc w:val="center"/>
              <w:ind w:left="3372"/>
              <w:spacing w:after="0"/>
              <w:rPr>
                <w:sz w:val="20"/>
                <w:szCs w:val="20"/>
                <w:color w:val="auto"/>
              </w:rPr>
            </w:pPr>
            <w:r>
              <w:rPr>
                <w:rFonts w:ascii="Arial" w:cs="Arial" w:eastAsia="Arial" w:hAnsi="Arial"/>
                <w:sz w:val="18"/>
                <w:szCs w:val="18"/>
                <w:color w:val="auto"/>
                <w:w w:val="88"/>
              </w:rPr>
              <w:t>0.050%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II</w:t>
            </w:r>
          </w:p>
        </w:tc>
        <w:tc>
          <w:tcPr>
            <w:tcW w:w="4720" w:type="dxa"/>
            <w:vAlign w:val="bottom"/>
            <w:gridSpan w:val="2"/>
          </w:tcPr>
          <w:p>
            <w:pPr>
              <w:jc w:val="center"/>
              <w:ind w:left="3372"/>
              <w:spacing w:after="0"/>
              <w:rPr>
                <w:sz w:val="20"/>
                <w:szCs w:val="20"/>
                <w:color w:val="auto"/>
              </w:rPr>
            </w:pPr>
            <w:r>
              <w:rPr>
                <w:rFonts w:ascii="Arial" w:cs="Arial" w:eastAsia="Arial" w:hAnsi="Arial"/>
                <w:sz w:val="18"/>
                <w:szCs w:val="18"/>
                <w:color w:val="auto"/>
                <w:w w:val="88"/>
              </w:rPr>
              <w:t>0.050%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III</w:t>
            </w:r>
          </w:p>
        </w:tc>
        <w:tc>
          <w:tcPr>
            <w:tcW w:w="4720" w:type="dxa"/>
            <w:vAlign w:val="bottom"/>
            <w:gridSpan w:val="2"/>
          </w:tcPr>
          <w:p>
            <w:pPr>
              <w:jc w:val="center"/>
              <w:ind w:left="3372"/>
              <w:spacing w:after="0"/>
              <w:rPr>
                <w:sz w:val="20"/>
                <w:szCs w:val="20"/>
                <w:color w:val="auto"/>
              </w:rPr>
            </w:pPr>
            <w:r>
              <w:rPr>
                <w:rFonts w:ascii="Arial" w:cs="Arial" w:eastAsia="Arial" w:hAnsi="Arial"/>
                <w:sz w:val="18"/>
                <w:szCs w:val="18"/>
                <w:color w:val="auto"/>
                <w:w w:val="88"/>
              </w:rPr>
              <w:t>0.050%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IV</w:t>
            </w:r>
          </w:p>
        </w:tc>
        <w:tc>
          <w:tcPr>
            <w:tcW w:w="4720" w:type="dxa"/>
            <w:vAlign w:val="bottom"/>
            <w:gridSpan w:val="2"/>
          </w:tcPr>
          <w:p>
            <w:pPr>
              <w:jc w:val="center"/>
              <w:ind w:left="3372"/>
              <w:spacing w:after="0"/>
              <w:rPr>
                <w:sz w:val="20"/>
                <w:szCs w:val="20"/>
                <w:color w:val="auto"/>
              </w:rPr>
            </w:pPr>
            <w:r>
              <w:rPr>
                <w:rFonts w:ascii="Arial" w:cs="Arial" w:eastAsia="Arial" w:hAnsi="Arial"/>
                <w:sz w:val="18"/>
                <w:szCs w:val="18"/>
                <w:color w:val="auto"/>
                <w:w w:val="88"/>
              </w:rPr>
              <w:t>0.050%</w:t>
            </w:r>
          </w:p>
        </w:tc>
      </w:tr>
      <w:tr>
        <w:trPr>
          <w:trHeight w:val="222"/>
        </w:trPr>
        <w:tc>
          <w:tcPr>
            <w:tcW w:w="1340" w:type="dxa"/>
            <w:vAlign w:val="bottom"/>
          </w:tcPr>
          <w:p>
            <w:pPr>
              <w:jc w:val="center"/>
              <w:spacing w:after="0"/>
              <w:rPr>
                <w:sz w:val="20"/>
                <w:szCs w:val="20"/>
                <w:color w:val="auto"/>
              </w:rPr>
            </w:pPr>
            <w:r>
              <w:rPr>
                <w:rFonts w:ascii="Arial" w:cs="Arial" w:eastAsia="Arial" w:hAnsi="Arial"/>
                <w:sz w:val="18"/>
                <w:szCs w:val="18"/>
                <w:color w:val="auto"/>
                <w:w w:val="99"/>
              </w:rPr>
              <w:t>V</w:t>
            </w:r>
          </w:p>
        </w:tc>
        <w:tc>
          <w:tcPr>
            <w:tcW w:w="4720" w:type="dxa"/>
            <w:vAlign w:val="bottom"/>
            <w:gridSpan w:val="2"/>
          </w:tcPr>
          <w:p>
            <w:pPr>
              <w:jc w:val="center"/>
              <w:ind w:left="3372"/>
              <w:spacing w:after="0"/>
              <w:rPr>
                <w:sz w:val="20"/>
                <w:szCs w:val="20"/>
                <w:color w:val="auto"/>
              </w:rPr>
            </w:pPr>
            <w:r>
              <w:rPr>
                <w:rFonts w:ascii="Arial" w:cs="Arial" w:eastAsia="Arial" w:hAnsi="Arial"/>
                <w:sz w:val="18"/>
                <w:szCs w:val="18"/>
                <w:color w:val="auto"/>
                <w:w w:val="88"/>
              </w:rPr>
              <w:t>0.100%</w:t>
            </w:r>
          </w:p>
        </w:tc>
      </w:tr>
      <w:tr>
        <w:trPr>
          <w:trHeight w:val="365"/>
        </w:trPr>
        <w:tc>
          <w:tcPr>
            <w:tcW w:w="1340" w:type="dxa"/>
            <w:vAlign w:val="bottom"/>
          </w:tcPr>
          <w:p>
            <w:pPr>
              <w:spacing w:after="0"/>
              <w:rPr>
                <w:sz w:val="24"/>
                <w:szCs w:val="24"/>
                <w:color w:val="auto"/>
              </w:rPr>
            </w:pPr>
          </w:p>
        </w:tc>
        <w:tc>
          <w:tcPr>
            <w:tcW w:w="3440" w:type="dxa"/>
            <w:vAlign w:val="bottom"/>
          </w:tcPr>
          <w:p>
            <w:pPr>
              <w:jc w:val="right"/>
              <w:ind w:right="2012"/>
              <w:spacing w:after="0"/>
              <w:rPr>
                <w:sz w:val="20"/>
                <w:szCs w:val="20"/>
                <w:color w:val="auto"/>
              </w:rPr>
            </w:pPr>
            <w:r>
              <w:rPr>
                <w:rFonts w:ascii="Arial" w:cs="Arial" w:eastAsia="Arial" w:hAnsi="Arial"/>
                <w:sz w:val="18"/>
                <w:szCs w:val="18"/>
                <w:color w:val="auto"/>
              </w:rPr>
              <w:t>2</w:t>
            </w:r>
          </w:p>
        </w:tc>
        <w:tc>
          <w:tcPr>
            <w:tcW w:w="1280" w:type="dxa"/>
            <w:vAlign w:val="bottom"/>
          </w:tcPr>
          <w:p>
            <w:pPr>
              <w:spacing w:after="0"/>
              <w:rPr>
                <w:sz w:val="24"/>
                <w:szCs w:val="24"/>
                <w:color w:val="auto"/>
              </w:rPr>
            </w:pPr>
          </w:p>
        </w:tc>
      </w:tr>
    </w:tbl>
    <w:p>
      <w:pPr>
        <w:sectPr>
          <w:pgSz w:w="11900" w:h="16838" w:orient="portrait"/>
          <w:cols w:equalWidth="0" w:num="1">
            <w:col w:w="10800"/>
          </w:cols>
          <w:pgMar w:left="700" w:top="280" w:right="399" w:bottom="1440" w:gutter="0" w:footer="0" w:header="0"/>
        </w:sectPr>
      </w:pPr>
    </w:p>
    <w:bookmarkStart w:id="10" w:name="page11"/>
    <w:bookmarkEnd w:id="10"/>
    <w:p>
      <w:pPr>
        <w:ind w:right="1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means an assignment and acceptance entered into by a Lender and an Eligible Assignee, accepted and approved by the Agent and approved by the Borrower, in substantially the form of Exhibit C hereto.</w:t>
      </w:r>
    </w:p>
    <w:p>
      <w:pPr>
        <w:spacing w:after="0" w:line="37"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means an Eligible Assignee not previously a Lender that becomes a Lender hereunder pursuant to either Section 2.05(b) or Section 2.17.</w:t>
      </w:r>
    </w:p>
    <w:p>
      <w:pPr>
        <w:spacing w:after="0" w:line="37" w:lineRule="exact"/>
        <w:rPr>
          <w:sz w:val="20"/>
          <w:szCs w:val="20"/>
          <w:color w:val="auto"/>
        </w:rPr>
      </w:pPr>
    </w:p>
    <w:p>
      <w:pPr>
        <w:ind w:right="40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Assumption Agreement</w:t>
      </w:r>
      <w:r>
        <w:rPr>
          <w:rFonts w:ascii="Arial" w:cs="Arial" w:eastAsia="Arial" w:hAnsi="Arial"/>
          <w:sz w:val="16"/>
          <w:szCs w:val="16"/>
          <w:color w:val="auto"/>
        </w:rPr>
        <w:t>” means an agreement in substantially the form of Exhibit D hereto by which an Eligible Assignee agrees to become a Lender hereunder pursuant to either Section 2.05(b) or Section 2.17, in each case agreeing to be bound by all obligations of a Lender hereunder.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Base Rate</w:t>
      </w:r>
      <w:r>
        <w:rPr>
          <w:rFonts w:ascii="Arial" w:cs="Arial" w:eastAsia="Arial" w:hAnsi="Arial"/>
          <w:sz w:val="15"/>
          <w:szCs w:val="15"/>
          <w:color w:val="auto"/>
        </w:rPr>
        <w:t>” means a fluctuating interest rate per annum in effect from time to time, which rate per annum shall at all times be equal to the higher of:</w:t>
      </w:r>
    </w:p>
    <w:p>
      <w:pPr>
        <w:spacing w:after="0" w:line="111" w:lineRule="exact"/>
        <w:rPr>
          <w:sz w:val="20"/>
          <w:szCs w:val="20"/>
          <w:color w:val="auto"/>
        </w:rPr>
      </w:pPr>
    </w:p>
    <w:p>
      <w:pPr>
        <w:ind w:left="1120" w:hanging="239"/>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of interest announced publicly by Citibank in New York, New York, from time to time, as Citibank’s base rate; and</w:t>
      </w:r>
    </w:p>
    <w:p>
      <w:pPr>
        <w:spacing w:after="0" w:line="76" w:lineRule="exact"/>
        <w:rPr>
          <w:rFonts w:ascii="Arial" w:cs="Arial" w:eastAsia="Arial" w:hAnsi="Arial"/>
          <w:sz w:val="18"/>
          <w:szCs w:val="18"/>
          <w:color w:val="auto"/>
        </w:rPr>
      </w:pPr>
    </w:p>
    <w:p>
      <w:pPr>
        <w:ind w:left="1120" w:hanging="239"/>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 of one percent per annum above the Federal Funds Rate.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means a Revolving Credit Advance that bears interest as provided in Section 2.07(a)(i).</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or a Competitive Bid Borrowing.</w:t>
      </w:r>
    </w:p>
    <w:p>
      <w:pPr>
        <w:spacing w:after="0" w:line="77" w:lineRule="exact"/>
        <w:rPr>
          <w:sz w:val="20"/>
          <w:szCs w:val="20"/>
          <w:color w:val="auto"/>
        </w:rPr>
      </w:pPr>
    </w:p>
    <w:p>
      <w:pPr>
        <w:ind w:right="44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of the year on which banks are not required or authorized by law to close in New York City and, if the applicable Business Day relates to any Eurodollar Rate Advances, on which dealings are carried on in the London interbank market.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means, with respect to any Lender at any time (i) the amount set forth opposite such Lender’s name on the signature pages hereof,</w:t>
      </w:r>
    </w:p>
    <w:p>
      <w:pPr>
        <w:spacing w:after="0" w:line="38" w:lineRule="exact"/>
        <w:rPr>
          <w:sz w:val="20"/>
          <w:szCs w:val="20"/>
          <w:color w:val="auto"/>
        </w:rPr>
      </w:pPr>
    </w:p>
    <w:p>
      <w:pPr>
        <w:ind w:right="40" w:firstLine="4"/>
        <w:spacing w:after="0" w:line="254"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such Lender has become a Lender hereunder pursuant to an Assumption Agreement, the amount set forth as its Commitment in such Assumption Agreement or (iii) if such Lender has entered into one or more Assignments and Acceptances, the amount set forth for such Lender in the Register maintained by the Agent pursuant to Section 8.07(d), as such amount may be increased, terminated or reduced, as the case may be, at or prior to such time pursuant to Section 2.05.</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has the meaning specified in Section 2.05(b)(i).</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specified in Section 2.05(b)(i).</w:t>
      </w:r>
    </w:p>
    <w:p>
      <w:pPr>
        <w:spacing w:after="0" w:line="77"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Advance</w:t>
      </w:r>
      <w:r>
        <w:rPr>
          <w:rFonts w:ascii="Arial" w:cs="Arial" w:eastAsia="Arial" w:hAnsi="Arial"/>
          <w:sz w:val="18"/>
          <w:szCs w:val="18"/>
          <w:color w:val="auto"/>
        </w:rPr>
        <w:t>” means an advance by a Lender to the Borrower as part of a Competitive Bid Borrowing resulting from the competitive bidding procedure described in Section 2.03 and refers to a Fixed Rate Advance or a LIBO Rate Advance.</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700" w:top="280" w:right="319" w:bottom="1440" w:gutter="0" w:footer="0" w:header="0"/>
        </w:sectPr>
      </w:pPr>
    </w:p>
    <w:bookmarkStart w:id="11" w:name="page12"/>
    <w:bookmarkEnd w:id="11"/>
    <w:p>
      <w:pPr>
        <w:jc w:val="both"/>
        <w:ind w:right="20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Competitive Bid Borrowing</w:t>
      </w:r>
      <w:r>
        <w:rPr>
          <w:rFonts w:ascii="Arial" w:cs="Arial" w:eastAsia="Arial" w:hAnsi="Arial"/>
          <w:sz w:val="18"/>
          <w:szCs w:val="18"/>
          <w:color w:val="auto"/>
        </w:rPr>
        <w:t>” means a borrowing consisting of simultaneous Competitive Bid Advances from each of the Lenders whose offer to make one or more Competitive Bid Advances as part of such borrowing has been accepted under the competitive bidding procedure described in Section 2.03.</w:t>
      </w:r>
    </w:p>
    <w:p>
      <w:pPr>
        <w:spacing w:after="0" w:line="46" w:lineRule="exact"/>
        <w:rPr>
          <w:sz w:val="20"/>
          <w:szCs w:val="20"/>
          <w:color w:val="auto"/>
        </w:rPr>
      </w:pPr>
    </w:p>
    <w:p>
      <w:pPr>
        <w:jc w:val="both"/>
        <w:ind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Note</w:t>
      </w:r>
      <w:r>
        <w:rPr>
          <w:rFonts w:ascii="Arial" w:cs="Arial" w:eastAsia="Arial" w:hAnsi="Arial"/>
          <w:sz w:val="18"/>
          <w:szCs w:val="18"/>
          <w:color w:val="auto"/>
        </w:rPr>
        <w:t>” means a promissory note of the Borrower (bearing an original or facsimile signature) payable to the order of any Lender, in substantially the form of Exhibit A-2 hereto, evidencing the indebtedness of the Borrower to such Lender resulting from a Competitive Bid Advance made by such Lender.</w:t>
      </w:r>
    </w:p>
    <w:p>
      <w:pPr>
        <w:spacing w:after="0" w:line="46"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information that the Borrower furnishes to the Agent or any Lender in a writing designated as confidential, but does not include any such information that is or becomes generally available to the public or that is or becomes available to the Agent or such Lender from a source other than the Borrower that is not, to the best of the Agent’s or such Lender’s knowledge, acting in violation of a confidentiality agreement with or for the benefit of the Borrower.</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Consenting Lender</w:t>
      </w:r>
      <w:r>
        <w:rPr>
          <w:rFonts w:ascii="Arial" w:cs="Arial" w:eastAsia="Arial" w:hAnsi="Arial"/>
          <w:sz w:val="18"/>
          <w:szCs w:val="18"/>
          <w:color w:val="auto"/>
        </w:rPr>
        <w:t>” has the meaning specified in Section 2.17(b).</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77" w:lineRule="exact"/>
        <w:rPr>
          <w:sz w:val="20"/>
          <w:szCs w:val="20"/>
          <w:color w:val="auto"/>
        </w:rPr>
      </w:pPr>
    </w:p>
    <w:p>
      <w:pPr>
        <w:ind w:right="1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means individuals who at the date hereof are directors of the Borrower and any other director (a) whose election or nomination was approved by a majority of the then Continuing Directors or (b) who was nominated by management at a time when Continuing Directors constituted a majority of the board of directors of the Borrower.</w:t>
      </w:r>
    </w:p>
    <w:p>
      <w:pPr>
        <w:spacing w:after="0" w:line="46"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each refers to a conversion of Revolving Credit Advances of one Type into Revolving Credit Advances of the other Type pursuant to Section 2.08 or 2.09.</w:t>
      </w:r>
    </w:p>
    <w:p>
      <w:pPr>
        <w:spacing w:after="0" w:line="37" w:lineRule="exact"/>
        <w:rPr>
          <w:sz w:val="20"/>
          <w:szCs w:val="20"/>
          <w:color w:val="auto"/>
        </w:rPr>
      </w:pPr>
    </w:p>
    <w:p>
      <w:pPr>
        <w:ind w:right="20" w:firstLine="43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12" w:name="page13"/>
    <w:bookmarkEnd w:id="12"/>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 referred to in clauses (a) 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50"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or any event that would constitute an Event of Default but for the requirement that notice be given or time elapse or both.</w:t>
      </w:r>
    </w:p>
    <w:p>
      <w:pPr>
        <w:spacing w:after="0" w:line="37" w:lineRule="exact"/>
        <w:rPr>
          <w:sz w:val="20"/>
          <w:szCs w:val="20"/>
          <w:color w:val="auto"/>
        </w:rPr>
      </w:pPr>
    </w:p>
    <w:p>
      <w:pPr>
        <w:ind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means, with respect to any Initial Lender, the office of such Lender specified as its “Domestic Lending Office” opposite its name on Schedule I hereto and, with respect to any other Lender, the office of such Lender specified as its “Domestic Lending Office” in the Assumption Agreement or in the Assignment and Acceptance pursuant to which it became a Lender, or such other office of such Lender as such Lender may from time to time specify to the Borrower and the Agent.</w:t>
      </w:r>
    </w:p>
    <w:p>
      <w:pPr>
        <w:spacing w:after="0" w:line="49"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Downgrade</w:t>
      </w:r>
      <w:r>
        <w:rPr>
          <w:rFonts w:ascii="Arial" w:cs="Arial" w:eastAsia="Arial" w:hAnsi="Arial"/>
          <w:sz w:val="18"/>
          <w:szCs w:val="18"/>
          <w:color w:val="auto"/>
        </w:rPr>
        <w:t>” means, with respect to any Lender, the lowest rating that has been most recently announced for any class of non-credit enhanced long-term senior unsecured debt issued by such Lender is lower than BBB- by S&amp;P or Baa3 by Moody’s.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specified in Section 3.01.</w:t>
      </w:r>
    </w:p>
    <w:p>
      <w:pPr>
        <w:spacing w:after="0" w:line="77"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 a Lender; (b) an Affiliate of a Lender; (c) a commercial bank organized under the laws of the United States, or any State thereof, and having total assets in excess of $5,000,000,000; (d) a savings and loan association or savings bank organized under the laws of the United States, or any State thereof, and having total assets in excess of $5,000,000,000; (e)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(e); (f) the central bank of any country that is a member of the Organization for Economic Cooperation and Development; and (g) any other Person approved by the Agent and the Borrower, such approval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an Affiliate of the Borrower shall qualify as an Eligible Assignee.</w:t>
      </w:r>
    </w:p>
    <w:p>
      <w:pPr>
        <w:spacing w:after="0" w:line="25"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Action</w:t>
      </w:r>
      <w:r>
        <w:rPr>
          <w:rFonts w:ascii="Arial" w:cs="Arial" w:eastAsia="Arial" w:hAnsi="Arial"/>
          <w:sz w:val="18"/>
          <w:szCs w:val="18"/>
          <w:color w:val="auto"/>
        </w:rPr>
        <w:t>” means any action, suit, demand, demand letter, claim, notice of non-compliance or violation, notice of liability or potential liability, consent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13" w:name="page14"/>
    <w:bookmarkEnd w:id="13"/>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49" w:lineRule="exact"/>
        <w:rPr>
          <w:sz w:val="20"/>
          <w:szCs w:val="20"/>
          <w:color w:val="auto"/>
        </w:rPr>
      </w:pPr>
    </w:p>
    <w:p>
      <w:pPr>
        <w:ind w:right="2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100"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37" w:lineRule="exact"/>
        <w:rPr>
          <w:sz w:val="20"/>
          <w:szCs w:val="20"/>
          <w:color w:val="auto"/>
        </w:rPr>
      </w:pPr>
    </w:p>
    <w:p>
      <w:pPr>
        <w:ind w:right="100" w:firstLine="438"/>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 Affiliate</w:t>
      </w:r>
      <w:r>
        <w:rPr>
          <w:rFonts w:ascii="Arial" w:cs="Arial" w:eastAsia="Arial" w:hAnsi="Arial"/>
          <w:sz w:val="15"/>
          <w:szCs w:val="15"/>
          <w:color w:val="auto"/>
        </w:rPr>
        <w:t>” means any Person that for purposes of Title IV of ERISA is a member of the Borrower’s controlled group, or under common control with the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2" w:lineRule="exact"/>
        <w:rPr>
          <w:sz w:val="20"/>
          <w:szCs w:val="20"/>
          <w:color w:val="auto"/>
        </w:rPr>
      </w:pPr>
    </w:p>
    <w:p>
      <w:pPr>
        <w:ind w:firstLine="43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302(f) of ERISA shall have been met with respect to any Plan; (g) the adoption of an amendment to a Plan requiring the provision of security to such Plan pursuant to Section 307 of ERISA; or</w:t>
      </w:r>
    </w:p>
    <w:p>
      <w:pPr>
        <w:spacing w:after="0" w:line="5" w:lineRule="exact"/>
        <w:rPr>
          <w:sz w:val="20"/>
          <w:szCs w:val="20"/>
          <w:color w:val="auto"/>
        </w:rPr>
      </w:pPr>
    </w:p>
    <w:p>
      <w:pPr>
        <w:ind w:left="5220" w:right="3540" w:hanging="5216"/>
        <w:spacing w:after="0" w:line="433" w:lineRule="auto"/>
        <w:tabs>
          <w:tab w:leader="none" w:pos="26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institution by the PBGC of proceedings to terminate a Plan pursuant to Section 4042 of ERISA, or 6</w:t>
      </w:r>
    </w:p>
    <w:p>
      <w:pPr>
        <w:sectPr>
          <w:pgSz w:w="11900" w:h="16838" w:orient="portrait"/>
          <w:cols w:equalWidth="0" w:num="1">
            <w:col w:w="10960"/>
          </w:cols>
          <w:pgMar w:left="700" w:top="280" w:right="239" w:bottom="1440" w:gutter="0" w:footer="0" w:header="0"/>
        </w:sectPr>
      </w:pPr>
    </w:p>
    <w:bookmarkStart w:id="14" w:name="page15"/>
    <w:bookmarkEnd w:id="1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occurrence of any event or condition described in Section 4042 of ERISA that constitutes grounds for the termination of, or the appointment of a trustee to administer, a Plan.</w:t>
      </w:r>
    </w:p>
    <w:p>
      <w:pPr>
        <w:spacing w:after="0" w:line="37" w:lineRule="exact"/>
        <w:rPr>
          <w:sz w:val="20"/>
          <w:szCs w:val="20"/>
          <w:color w:val="auto"/>
        </w:rPr>
      </w:pPr>
    </w:p>
    <w:p>
      <w:pPr>
        <w:jc w:val="both"/>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has the meaning assigned to that term in Regulation D of the Board of Governors of the Federal Reserve System, as in effect from time to time.</w:t>
      </w:r>
    </w:p>
    <w:p>
      <w:pPr>
        <w:spacing w:after="0" w:line="37" w:lineRule="exact"/>
        <w:rPr>
          <w:sz w:val="20"/>
          <w:szCs w:val="20"/>
          <w:color w:val="auto"/>
        </w:rPr>
      </w:pPr>
    </w:p>
    <w:p>
      <w:pPr>
        <w:jc w:val="both"/>
        <w:ind w:right="280" w:firstLine="438"/>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Eurocurrency Reserve Requirements</w:t>
      </w:r>
      <w:r>
        <w:rPr>
          <w:rFonts w:ascii="Arial" w:cs="Arial" w:eastAsia="Arial" w:hAnsi="Arial"/>
          <w:sz w:val="15"/>
          <w:szCs w:val="15"/>
          <w:color w:val="auto"/>
        </w:rPr>
        <w:t>” means the aggregate of the maximum reserve percentages (including any marginal, special, emergency or supplemental reserves) expressed as a decimal established by the Board of Governors of the Federal Reserve System and any other banking authority to which any Lender is subject and applicable to Eurocurrency Liabilities, or any similar category of assets or liabilities relating to eurocurrency fundings. Eurocurrency Reserve Requirements shall be adjusted automatically on and as of the effective date of any change in any reserve percentage.</w:t>
      </w:r>
    </w:p>
    <w:p>
      <w:pPr>
        <w:spacing w:after="0" w:line="3" w:lineRule="exact"/>
        <w:rPr>
          <w:sz w:val="20"/>
          <w:szCs w:val="20"/>
          <w:color w:val="auto"/>
        </w:rPr>
      </w:pPr>
    </w:p>
    <w:p>
      <w:pPr>
        <w:ind w:right="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Lending Office</w:t>
      </w:r>
      <w:r>
        <w:rPr>
          <w:rFonts w:ascii="Arial" w:cs="Arial" w:eastAsia="Arial" w:hAnsi="Arial"/>
          <w:sz w:val="16"/>
          <w:szCs w:val="16"/>
          <w:color w:val="auto"/>
        </w:rPr>
        <w:t>” means, with respect to any Initial Lender, the office of such Lender specified as its “Eurodollar Lending Office” opposite its name on Schedule I hereto and, with respect to any other Lender, the office of such Lender specified as its “Eurodollar Lending Office” in the Assumption Agreement or in the Assignment and Acceptance pursuant to which it became a Lender (or, if no such office is specified, its Domestic Lending Office), or such other office of such Lender as such Lender may from time to time specify to the Borrower and the Agent.</w:t>
      </w:r>
    </w:p>
    <w:p>
      <w:pPr>
        <w:spacing w:after="0" w:line="18"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means, for any Interest Period for each Eurodollar Rate Advance comprising part of the same Revolving Credit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such Reference Bank’s Eurodollar Rate Advance comprising part of such Revolving Credit Borrowing to be outstanding during such Interest Period and for a period equal to such Interest Period. The Eurodollar Rate for any Interest Period for each Eurodollar Rate Advance comprising part of the same Revolving Credit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Advance</w:t>
      </w:r>
      <w:r>
        <w:rPr>
          <w:rFonts w:ascii="Arial" w:cs="Arial" w:eastAsia="Arial" w:hAnsi="Arial"/>
          <w:sz w:val="18"/>
          <w:szCs w:val="18"/>
          <w:color w:val="auto"/>
        </w:rPr>
        <w:t>” means a Revolving Credit Advance that bears interest as provided in Section 2.07(a)(ii).</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has the meaning specified in Section 6.01.</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has the meaning specified in Section 2.17(b).</w:t>
      </w:r>
    </w:p>
    <w:p>
      <w:pPr>
        <w:spacing w:after="0" w:line="77"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period, a fluctuating interest rate per annum equal for each day during such period to the weighted average of the rates on overnight Federal funds transactions with members of the Federal Reserve System arranged by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5" w:name="page16"/>
    <w:bookmarkEnd w:id="15"/>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 with the consent of the Borrower.</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Advances</w:t>
      </w:r>
      <w:r>
        <w:rPr>
          <w:rFonts w:ascii="Arial" w:cs="Arial" w:eastAsia="Arial" w:hAnsi="Arial"/>
          <w:sz w:val="18"/>
          <w:szCs w:val="18"/>
          <w:color w:val="auto"/>
        </w:rPr>
        <w:t>” has the meaning specified in Section 2.03(a)(i).</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specified in Section 1.03.</w:t>
      </w:r>
    </w:p>
    <w:p>
      <w:pPr>
        <w:spacing w:after="0" w:line="77"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Interests</w:t>
      </w:r>
      <w:r>
        <w:rPr>
          <w:rFonts w:ascii="Arial" w:cs="Arial" w:eastAsia="Arial" w:hAnsi="Arial"/>
          <w:sz w:val="18"/>
          <w:szCs w:val="18"/>
          <w:color w:val="auto"/>
        </w:rPr>
        <w:t>” shall mean Donald E. Graham and his siblings, their descendants and any relative by marriage of the foregoing, and any trust for the benefit of any of the foregoing whether as an income or residual beneficiary.</w:t>
      </w:r>
    </w:p>
    <w:p>
      <w:pPr>
        <w:spacing w:after="0" w:line="37"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has the meaning specified in Section 2.05(b)(i).</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specified in Section 2.05(b)(i).</w:t>
      </w:r>
    </w:p>
    <w:p>
      <w:pPr>
        <w:spacing w:after="0" w:line="77" w:lineRule="exact"/>
        <w:rPr>
          <w:sz w:val="20"/>
          <w:szCs w:val="20"/>
          <w:color w:val="auto"/>
        </w:rPr>
      </w:pPr>
    </w:p>
    <w:p>
      <w:pPr>
        <w:ind w:right="2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each Eurodollar Rate Advance comprising part of the same Revolving Credit Borrowing and each LIBO Rate Advance comprising part of the same Competitive Bid Borrowing, the period commencing on the date of such Eurodollar Rate Advance or LIBO Rate Advance or the date of the Conversion of any Base Rate Advance into such Eurodollar Rate Advance and ending on the last day of the period selected by the Borrower pursuant to the provisions below and, thereafter, with respect to Eurodollar Rate Advances, each subsequent period commencing on the last day of the immediately preceding Interest Period and ending on the last day of the period selected by the Borrower pursuant to the provisions below. The duration of each such Interest Period shall be one, two, three or six months or, if available to all the Lenders, nine or twelve months, as the Borrower may, upon notice received by the Agent not later than 11:00 A.M. (New York City time) on the third Business Day prior to the first day of such Interest Period, select;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4" w:lineRule="exact"/>
        <w:rPr>
          <w:sz w:val="20"/>
          <w:szCs w:val="20"/>
          <w:color w:val="auto"/>
        </w:rPr>
      </w:pPr>
    </w:p>
    <w:p>
      <w:pPr>
        <w:ind w:left="460" w:right="240" w:firstLine="421"/>
        <w:spacing w:after="0" w:line="347" w:lineRule="auto"/>
        <w:tabs>
          <w:tab w:leader="none" w:pos="1089"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Borrower may not select any Interest Period that ends after the Termination Date in effect at the time of such selection or, if the Revolving Credit Advances have been converted to a term loan pursuant to Section 2.06 prior to such selection, that ends after the Maturity Date;</w:t>
      </w:r>
    </w:p>
    <w:p>
      <w:pPr>
        <w:ind w:left="460" w:right="120" w:firstLine="421"/>
        <w:spacing w:after="0" w:line="332" w:lineRule="auto"/>
        <w:tabs>
          <w:tab w:leader="none" w:pos="113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Interest Periods commencing on the same date for Eurodollar Rate Advances comprising part of the same Revolving Credit Borrowing or for LIBO Rate Advances comprising part of the same Competitive Bid Borrowing shall be of the same duration;</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16" w:name="page17"/>
    <w:bookmarkEnd w:id="16"/>
    <w:p>
      <w:pPr>
        <w:ind w:left="460" w:right="20" w:firstLine="421"/>
        <w:spacing w:after="0" w:line="331" w:lineRule="auto"/>
        <w:tabs>
          <w:tab w:leader="none" w:pos="1187" w:val="left"/>
        </w:tabs>
        <w:numPr>
          <w:ilvl w:val="0"/>
          <w:numId w:val="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extension would cause the last day of such Interest Period to occur in the next following calendar month, the last day of such Interest Period shall occur on the next preceding Business Day; and</w:t>
      </w:r>
    </w:p>
    <w:p>
      <w:pPr>
        <w:spacing w:after="0" w:line="2" w:lineRule="exact"/>
        <w:rPr>
          <w:rFonts w:ascii="Arial" w:cs="Arial" w:eastAsia="Arial" w:hAnsi="Arial"/>
          <w:sz w:val="15"/>
          <w:szCs w:val="15"/>
          <w:color w:val="auto"/>
        </w:rPr>
      </w:pPr>
    </w:p>
    <w:p>
      <w:pPr>
        <w:jc w:val="both"/>
        <w:ind w:left="460" w:right="80" w:firstLine="421"/>
        <w:spacing w:after="0" w:line="259" w:lineRule="auto"/>
        <w:tabs>
          <w:tab w:leader="none" w:pos="1177"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46"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from time to time, and the regulations promulgated and rulings issued thereunder.</w:t>
      </w:r>
    </w:p>
    <w:p>
      <w:pPr>
        <w:spacing w:after="0" w:line="37"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Initial Lenders, each Assuming Lender that shall become a party hereto pursuant to either Section 2.05(b) or Section 2.17 and each Person that shall become a party hereto pursuant to Section 8.07.</w:t>
      </w:r>
    </w:p>
    <w:p>
      <w:pPr>
        <w:spacing w:after="0" w:line="37"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for any Interest Period for all LIBO Rate Advances comprising part of the same Competitive Bid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the amount that would be the Reference Banks’ respective ratable shares of such Borrowing if such Borrowing were to be a Revolving Credit Borrowing to be outstanding during such Interest Period and for a period equal to such Interest Period. The LIBO Rate for any Interest Period for each LIBO Rate Advance comprising part of the same Competitive Bid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 Advances</w:t>
      </w:r>
      <w:r>
        <w:rPr>
          <w:rFonts w:ascii="Arial" w:cs="Arial" w:eastAsia="Arial" w:hAnsi="Arial"/>
          <w:sz w:val="18"/>
          <w:szCs w:val="18"/>
          <w:color w:val="auto"/>
        </w:rPr>
        <w:t>” has the meaning specified in Section 2.03(a)(i).</w:t>
      </w:r>
    </w:p>
    <w:p>
      <w:pPr>
        <w:spacing w:after="0" w:line="77" w:lineRule="exact"/>
        <w:rPr>
          <w:sz w:val="20"/>
          <w:szCs w:val="20"/>
          <w:color w:val="auto"/>
        </w:rPr>
      </w:pPr>
    </w:p>
    <w:p>
      <w:pPr>
        <w:ind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w:t>
      </w:r>
      <w:r>
        <w:rPr>
          <w:rFonts w:ascii="Arial" w:cs="Arial" w:eastAsia="Arial" w:hAnsi="Arial"/>
          <w:sz w:val="18"/>
          <w:szCs w:val="18"/>
          <w:color w:val="auto"/>
        </w:rPr>
        <w:t>” means this Agreement, the Notes and the Subsidiary Guaranty.</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Loan Party</w:t>
      </w:r>
      <w:r>
        <w:rPr>
          <w:rFonts w:ascii="Arial" w:cs="Arial" w:eastAsia="Arial" w:hAnsi="Arial"/>
          <w:sz w:val="18"/>
          <w:szCs w:val="18"/>
          <w:color w:val="auto"/>
        </w:rPr>
        <w:t>” means the Borrower and, so long as the Subsidiary Guaranty is in effect, the Newspaper Subsidiary.</w:t>
      </w:r>
    </w:p>
    <w:p>
      <w:pPr>
        <w:spacing w:after="0" w:line="77"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under Regulation U of the Board of Governors of the Federal Reserve System of the United States as from time to time in effect and all official rulings and interpretations thereunder or thereof.</w:t>
      </w:r>
    </w:p>
    <w:p>
      <w:pPr>
        <w:spacing w:after="0" w:line="37"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any material adverse change in the business, financial condition or results of operations of the Borrower and its Subsidiaries taken as a whole.</w:t>
      </w:r>
    </w:p>
    <w:p>
      <w:pPr>
        <w:spacing w:after="0" w:line="37"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financial condition or results of operations of the Borrower and its Subsidiaries taken as a whole, (b) the rights and remedies of the Agent or any Lender under this Agreement or any Note or (c) the ability of the Borrower to perform its obligations under this Agreement or any Note.</w:t>
      </w:r>
    </w:p>
    <w:p>
      <w:pPr>
        <w:spacing w:after="0" w:line="46" w:lineRule="exact"/>
        <w:rPr>
          <w:sz w:val="20"/>
          <w:szCs w:val="20"/>
          <w:color w:val="auto"/>
        </w:rPr>
      </w:pPr>
    </w:p>
    <w:p>
      <w:pPr>
        <w:ind w:right="5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earlier of (a) the first anniversary of the Termination Date and (b) the date of termination in whole of the aggregate Commitments pursuant to Section 2.05 or 6.01.</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77" w:lineRule="exact"/>
        <w:rPr>
          <w:sz w:val="20"/>
          <w:szCs w:val="20"/>
          <w:color w:val="auto"/>
        </w:rPr>
      </w:pPr>
    </w:p>
    <w:p>
      <w:pPr>
        <w:ind w:right="3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46" w:lineRule="exact"/>
        <w:rPr>
          <w:sz w:val="20"/>
          <w:szCs w:val="20"/>
          <w:color w:val="auto"/>
        </w:rPr>
      </w:pPr>
    </w:p>
    <w:p>
      <w:pPr>
        <w:ind w:right="2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Newspaper Subsidiary</w:t>
      </w:r>
      <w:r>
        <w:rPr>
          <w:rFonts w:ascii="Arial" w:cs="Arial" w:eastAsia="Arial" w:hAnsi="Arial"/>
          <w:sz w:val="18"/>
          <w:szCs w:val="18"/>
          <w:color w:val="auto"/>
        </w:rPr>
        <w:t>” means WP Company LLC, a Delaware limited liability company.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specified in Section 2.17(b).</w:t>
      </w:r>
    </w:p>
    <w:p>
      <w:pPr>
        <w:spacing w:after="0" w:line="77"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Debt</w:t>
      </w:r>
      <w:r>
        <w:rPr>
          <w:rFonts w:ascii="Arial" w:cs="Arial" w:eastAsia="Arial" w:hAnsi="Arial"/>
          <w:sz w:val="18"/>
          <w:szCs w:val="18"/>
          <w:color w:val="auto"/>
        </w:rPr>
        <w:t>” shall mean Debt of the Borrower or its Subsidiaries incurred (a) as to which neither the Borrower nor any of its Subsidiaries (i) provides credit support (including any undertaking, agreement or instrument which would constitute Debt)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8" w:name="page19"/>
    <w:bookmarkEnd w:id="18"/>
    <w:p>
      <w:pPr>
        <w:ind w:right="3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be expected to have a Material Adverse Effect) for repayment of the principal of and interest on such Debt and any fees, indemnities, expenses, reimbursements or other amounts of whatever nature accrued or payable in connection with such Debt.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Revolving Credit Note or a Competitive Bid Note.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Competitive Bid Borrowing</w:t>
      </w:r>
      <w:r>
        <w:rPr>
          <w:rFonts w:ascii="Arial" w:cs="Arial" w:eastAsia="Arial" w:hAnsi="Arial"/>
          <w:sz w:val="18"/>
          <w:szCs w:val="18"/>
          <w:color w:val="auto"/>
        </w:rPr>
        <w:t>” has the meaning specified in Section 2.03(a).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Revolving Credit Borrowing</w:t>
      </w:r>
      <w:r>
        <w:rPr>
          <w:rFonts w:ascii="Arial" w:cs="Arial" w:eastAsia="Arial" w:hAnsi="Arial"/>
          <w:sz w:val="18"/>
          <w:szCs w:val="18"/>
          <w:color w:val="auto"/>
        </w:rPr>
        <w:t>” has the meaning specified in Section 2.02(a).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w:t>
      </w:r>
    </w:p>
    <w:p>
      <w:pPr>
        <w:spacing w:after="0" w:line="77"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Level</w:t>
      </w:r>
      <w:r>
        <w:rPr>
          <w:rFonts w:ascii="Arial" w:cs="Arial" w:eastAsia="Arial" w:hAnsi="Arial"/>
          <w:sz w:val="18"/>
          <w:szCs w:val="18"/>
          <w:color w:val="auto"/>
        </w:rPr>
        <w:t>” means, as of any date of the determination, the level set forth below as then in effect, as determined in accordance with the following provisions of this definition:</w:t>
      </w:r>
    </w:p>
    <w:p>
      <w:pPr>
        <w:spacing w:after="0" w:line="37"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6"/>
          <w:szCs w:val="16"/>
          <w:color w:val="auto"/>
        </w:rPr>
        <w:t>Public Debt Rating of not lower than AA - by S&amp;P or not lower than Aa3 by Moody’s.</w:t>
      </w:r>
    </w:p>
    <w:p>
      <w:pPr>
        <w:spacing w:after="0" w:line="117"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Public Debt Rating of lower than Level I but not lower than A+ by S&amp;P or A1 by Moody’s.</w:t>
      </w:r>
    </w:p>
    <w:p>
      <w:pPr>
        <w:spacing w:after="0" w:line="117"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8"/>
          <w:szCs w:val="18"/>
          <w:color w:val="auto"/>
        </w:rPr>
        <w:t>Level III:</w:t>
      </w:r>
      <w:r>
        <w:rPr>
          <w:sz w:val="20"/>
          <w:szCs w:val="20"/>
          <w:color w:val="auto"/>
        </w:rPr>
        <w:tab/>
      </w:r>
      <w:r>
        <w:rPr>
          <w:rFonts w:ascii="Arial" w:cs="Arial" w:eastAsia="Arial" w:hAnsi="Arial"/>
          <w:sz w:val="16"/>
          <w:szCs w:val="16"/>
          <w:color w:val="auto"/>
        </w:rPr>
        <w:t>Public Debt Rating of lower than Level II but not lower than A by S&amp;P or A2 by Moody’s.</w:t>
      </w:r>
    </w:p>
    <w:p>
      <w:pPr>
        <w:spacing w:after="0" w:line="117"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8"/>
          <w:szCs w:val="18"/>
          <w:color w:val="auto"/>
        </w:rPr>
        <w:t>Level IV:</w:t>
      </w:r>
      <w:r>
        <w:rPr>
          <w:sz w:val="20"/>
          <w:szCs w:val="20"/>
          <w:color w:val="auto"/>
        </w:rPr>
        <w:tab/>
      </w:r>
      <w:r>
        <w:rPr>
          <w:rFonts w:ascii="Arial" w:cs="Arial" w:eastAsia="Arial" w:hAnsi="Arial"/>
          <w:sz w:val="16"/>
          <w:szCs w:val="16"/>
          <w:color w:val="auto"/>
        </w:rPr>
        <w:t>Public Debt Rating of lower than Level III but not lower than A - by S&amp;P and A3 by Moody’s.</w:t>
      </w:r>
    </w:p>
    <w:p>
      <w:pPr>
        <w:spacing w:after="0" w:line="117"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8"/>
          <w:szCs w:val="18"/>
          <w:color w:val="auto"/>
        </w:rPr>
        <w:t>Level V:</w:t>
      </w:r>
      <w:r>
        <w:rPr>
          <w:sz w:val="20"/>
          <w:szCs w:val="20"/>
          <w:color w:val="auto"/>
        </w:rPr>
        <w:tab/>
      </w:r>
      <w:r>
        <w:rPr>
          <w:rFonts w:ascii="Arial" w:cs="Arial" w:eastAsia="Arial" w:hAnsi="Arial"/>
          <w:sz w:val="16"/>
          <w:szCs w:val="16"/>
          <w:color w:val="auto"/>
        </w:rPr>
        <w:t>Public Debt Rating of lower than Level IV.</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For purposes of the foregoing, (a) if only one of S&amp;P and Moody’s shall have in effect a Public Debt Rating, the Performance Level shall be determined by reference to the available rating and (b) if the Public Debt Ratings established by S&amp;P and Moody’s shall fall within different Performance Levels, the Performance Level shall be based upon the higher rating,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lower of such ratings is more than one level below the higher of such ratings, the Performance Level shall be based on the level immediately above such lower rating.</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any of the following:</w:t>
      </w:r>
    </w:p>
    <w:p>
      <w:pPr>
        <w:spacing w:after="0" w:line="77" w:lineRule="exact"/>
        <w:rPr>
          <w:sz w:val="20"/>
          <w:szCs w:val="20"/>
          <w:color w:val="auto"/>
        </w:rPr>
      </w:pPr>
    </w:p>
    <w:p>
      <w:pPr>
        <w:ind w:left="680" w:hanging="237"/>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Liens for taxes, assessments and governmental charges or levies to the extent not required to be paid under Section 5.01(b) hereof;</w:t>
      </w:r>
    </w:p>
    <w:p>
      <w:pPr>
        <w:spacing w:after="0" w:line="99" w:lineRule="exact"/>
        <w:rPr>
          <w:rFonts w:ascii="Arial" w:cs="Arial" w:eastAsia="Arial" w:hAnsi="Arial"/>
          <w:sz w:val="16"/>
          <w:szCs w:val="16"/>
          <w:color w:val="auto"/>
        </w:rPr>
      </w:pPr>
    </w:p>
    <w:p>
      <w:pPr>
        <w:ind w:right="120" w:firstLine="443"/>
        <w:spacing w:after="0" w:line="306"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Liens imposed by law, such as materialmen’s, mechanics’, carriers’, workmen’s and repairmen’s Liens and other similar Liens arising in the ordinary course of business securing obligations (other than Debt) that (i) are not overdue for a period of more than 120 days or (ii) are being contested in good faith and by proper proceedings and as to which appropriate reserves are being maintained in accordance with GAAP;</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19" w:name="page20"/>
    <w:bookmarkEnd w:id="19"/>
    <w:p>
      <w:pPr>
        <w:ind w:left="680" w:hanging="237"/>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Pledges or deposits to secure obligations under workers’ compensation laws or similar legislation or to secure public or statutory obligations;</w:t>
      </w:r>
    </w:p>
    <w:p>
      <w:pPr>
        <w:spacing w:after="0" w:line="99" w:lineRule="exact"/>
        <w:rPr>
          <w:rFonts w:ascii="Arial" w:cs="Arial" w:eastAsia="Arial" w:hAnsi="Arial"/>
          <w:sz w:val="16"/>
          <w:szCs w:val="16"/>
          <w:color w:val="auto"/>
        </w:rPr>
      </w:pPr>
    </w:p>
    <w:p>
      <w:pPr>
        <w:ind w:right="260" w:firstLine="443"/>
        <w:spacing w:after="0" w:line="268" w:lineRule="auto"/>
        <w:tabs>
          <w:tab w:leader="none" w:pos="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37" w:lineRule="exact"/>
        <w:rPr>
          <w:rFonts w:ascii="Arial" w:cs="Arial" w:eastAsia="Arial" w:hAnsi="Arial"/>
          <w:sz w:val="18"/>
          <w:szCs w:val="18"/>
          <w:color w:val="auto"/>
        </w:rPr>
      </w:pPr>
    </w:p>
    <w:p>
      <w:pPr>
        <w:ind w:right="180" w:firstLine="443"/>
        <w:spacing w:after="0" w:line="268" w:lineRule="auto"/>
        <w:tabs>
          <w:tab w:leader="none" w:pos="677"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Easements, rights of way and other encumbrances on title to real property that do not materially adversely affect the use of such property for its present purposes.</w:t>
      </w:r>
    </w:p>
    <w:p>
      <w:pPr>
        <w:spacing w:after="0" w:line="37"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37"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 subject to the provisions of Title IV of ERISA or Section 412 of the Internal Revenue Code or Section 302 of ERISA.</w:t>
      </w:r>
    </w:p>
    <w:p>
      <w:pPr>
        <w:spacing w:after="0" w:line="37" w:lineRule="exact"/>
        <w:rPr>
          <w:sz w:val="20"/>
          <w:szCs w:val="20"/>
          <w:color w:val="auto"/>
        </w:rPr>
      </w:pPr>
    </w:p>
    <w:p>
      <w:pPr>
        <w:jc w:val="both"/>
        <w:ind w:right="120" w:firstLine="438"/>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 Rata Share</w:t>
      </w:r>
      <w:r>
        <w:rPr>
          <w:rFonts w:ascii="Arial" w:cs="Arial" w:eastAsia="Arial" w:hAnsi="Arial"/>
          <w:sz w:val="15"/>
          <w:szCs w:val="15"/>
          <w:color w:val="auto"/>
        </w:rPr>
        <w:t>” of any amount means, with respect to any Lender at any time, the product of such amount times a fraction the numerator of which is the amount of such Lender’s Commitment at such time and the denominator of which is the aggregate of the Commitments of the Lenders at such time.</w:t>
      </w:r>
    </w:p>
    <w:p>
      <w:pPr>
        <w:spacing w:after="0" w:line="1"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Debt Rating</w:t>
      </w:r>
      <w:r>
        <w:rPr>
          <w:rFonts w:ascii="Arial" w:cs="Arial" w:eastAsia="Arial" w:hAnsi="Arial"/>
          <w:sz w:val="16"/>
          <w:szCs w:val="16"/>
          <w:color w:val="auto"/>
        </w:rPr>
        <w:t>” means, as of any date, the lowest rating that has been most recently announced by either S&amp;P or Moody’s, as the case may be, for any class of non-credit enhanced long-term senior unsecured debt issued by the Borrower. For purposes of the foregoing, (a) if any rating established by S&amp;P or Moody’s shall be changed, such change shall be effective as of the date on which such change is first announced publicly by the rating agency making such change; and (b)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Citibank, JPMorgan Chase Bank, N.A. and Wachovia Bank, National Association.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8.07(d).</w:t>
      </w:r>
    </w:p>
    <w:p>
      <w:pPr>
        <w:spacing w:after="0" w:line="77" w:lineRule="exact"/>
        <w:rPr>
          <w:sz w:val="20"/>
          <w:szCs w:val="20"/>
          <w:color w:val="auto"/>
        </w:rPr>
      </w:pPr>
    </w:p>
    <w:p>
      <w:pPr>
        <w:jc w:val="both"/>
        <w:ind w:right="1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Lenders owed at least a majority in interest of the then aggregate unpaid principal amount of the Revolving Credit Advances owing to Lenders or, if no such principal amount is then outstanding, Lenders having at least a majority in interest of the Commitments.</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20" w:name="page21"/>
    <w:bookmarkEnd w:id="20"/>
    <w:p>
      <w:pPr>
        <w:ind w:right="3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Revolving Credit Advance</w:t>
      </w:r>
      <w:r>
        <w:rPr>
          <w:rFonts w:ascii="Arial" w:cs="Arial" w:eastAsia="Arial" w:hAnsi="Arial"/>
          <w:sz w:val="18"/>
          <w:szCs w:val="18"/>
          <w:color w:val="auto"/>
        </w:rPr>
        <w:t>” means an advance by a Lender to the Borrower as part of a Revolving Credit Borrowing and refers to a Base Rate Advance or a Eurodollar Rate Advance (each of which shall be a “Type” of Revolving Credit Advance).</w:t>
      </w:r>
    </w:p>
    <w:p>
      <w:pPr>
        <w:spacing w:after="0" w:line="37"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means a borrowing consisting of simultaneous Revolving Credit Advances of the same Type made by each of the Lenders pursuant to Section 2.01.</w:t>
      </w:r>
    </w:p>
    <w:p>
      <w:pPr>
        <w:spacing w:after="0" w:line="37"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means a promissory note of the Borrower (bearing an original or facsimile signature) payable to the order of any Lender, in substantially the form of Exhibit A-1 hereto, evidencing the aggregate indebtedness of the Borrower to such Lender resulting from the Revolving Credit Advances made by such Lender.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a division of The McGraw-Hill Companies, Inc.</w:t>
      </w:r>
    </w:p>
    <w:p>
      <w:pPr>
        <w:spacing w:after="0" w:line="77"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“shareholders’ equity” as such term is construed in accordance with GAAP and as reported in the Borrower’s reports and registration statements filed with the Securities and Exchange Commission or any national securities exchange.</w:t>
      </w:r>
    </w:p>
    <w:p>
      <w:pPr>
        <w:spacing w:after="0" w:line="37" w:lineRule="exact"/>
        <w:rPr>
          <w:sz w:val="20"/>
          <w:szCs w:val="20"/>
          <w:color w:val="auto"/>
        </w:rPr>
      </w:pPr>
    </w:p>
    <w:p>
      <w:pPr>
        <w:ind w:right="7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shall mean any Subsidiary that would be a “significant subsidiary” within the meaning of Rule 1-02 of the SEC’s Regulation S-X and shall include, so long as the Subsidiary Guaranty is in effect, the Newspaper Subsidiary.</w:t>
      </w:r>
    </w:p>
    <w:p>
      <w:pPr>
        <w:spacing w:after="0" w:line="37" w:lineRule="exact"/>
        <w:rPr>
          <w:sz w:val="20"/>
          <w:szCs w:val="20"/>
          <w:color w:val="auto"/>
        </w:rPr>
      </w:pPr>
    </w:p>
    <w:p>
      <w:pPr>
        <w:ind w:right="2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Single Employer Plan</w:t>
      </w:r>
      <w:r>
        <w:rPr>
          <w:rFonts w:ascii="Arial" w:cs="Arial" w:eastAsia="Arial" w:hAnsi="Arial"/>
          <w:sz w:val="16"/>
          <w:szCs w:val="16"/>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2"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has the meaning specified in Section 3.01(c)(iv).</w:t>
      </w:r>
    </w:p>
    <w:p>
      <w:pPr>
        <w:spacing w:after="0" w:line="77"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Conversion Date</w:t>
      </w:r>
      <w:r>
        <w:rPr>
          <w:rFonts w:ascii="Arial" w:cs="Arial" w:eastAsia="Arial" w:hAnsi="Arial"/>
          <w:sz w:val="18"/>
          <w:szCs w:val="18"/>
          <w:color w:val="auto"/>
        </w:rPr>
        <w:t>” means the Termination Date on which all Revolving Credit Advances outstanding on such date are converted into a term loan pursuant to Section 2.06.</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700" w:top="280" w:right="299" w:bottom="1440" w:gutter="0" w:footer="0" w:header="0"/>
        </w:sectPr>
      </w:pPr>
    </w:p>
    <w:bookmarkStart w:id="21" w:name="page22"/>
    <w:bookmarkEnd w:id="2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Term Loan Election</w:t>
      </w:r>
      <w:r>
        <w:rPr>
          <w:rFonts w:ascii="Arial" w:cs="Arial" w:eastAsia="Arial" w:hAnsi="Arial"/>
          <w:sz w:val="18"/>
          <w:szCs w:val="18"/>
          <w:color w:val="auto"/>
        </w:rPr>
        <w:t>” has the meaning specified in Section 2.06.</w:t>
      </w:r>
    </w:p>
    <w:p>
      <w:pPr>
        <w:spacing w:after="0" w:line="77"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the earlier of (a) August 9, 2006, subject to the extension thereof pursuant to Section 2.17 and (b) the date of termination in whole of the Commitments pursuant to Section 2.05 or 6.01;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Termination Date of any Lender that is a Non-Consenting Lender to any requested extension pursuant to Section 2.17 shall be the Termination Date in effect immediately prior to the applicable Extension Date for all purposes of this Agreement.</w:t>
      </w:r>
    </w:p>
    <w:p>
      <w:pPr>
        <w:spacing w:after="0" w:line="49"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Commitment</w:t>
      </w:r>
      <w:r>
        <w:rPr>
          <w:rFonts w:ascii="Arial" w:cs="Arial" w:eastAsia="Arial" w:hAnsi="Arial"/>
          <w:sz w:val="18"/>
          <w:szCs w:val="18"/>
          <w:color w:val="auto"/>
        </w:rPr>
        <w:t>” means, with respect to any Lender at any time, (a) such Lender’s Commitment at such time minus (b) the sum of (i) the aggregate principal amount of all Revolving Credit Advances made by such Lender and outstanding at such time, plus (ii) such Lender’s Pro Rata Share of the aggregate principal amount of the Competitive Bid Advances then outstanding.</w:t>
      </w:r>
    </w:p>
    <w:p>
      <w:pPr>
        <w:spacing w:after="0" w:line="46" w:lineRule="exact"/>
        <w:rPr>
          <w:sz w:val="20"/>
          <w:szCs w:val="20"/>
          <w:color w:val="auto"/>
        </w:rPr>
      </w:pPr>
    </w:p>
    <w:p>
      <w:pPr>
        <w:ind w:left="460" w:right="3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means capital stock issued by a corporation, or equivalent interests in any other Person, the holders of which are ordinarily, in the absence of contingencies, entitled to vote for the election of not less than a majority of the directors (or persons performing similar functions) of such Person, even if the right so to vote has been suspended by the happening of such a contingency.</w:t>
      </w:r>
    </w:p>
    <w:p>
      <w:pPr>
        <w:spacing w:after="0" w:line="93"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18"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All terms of an accounting or financial nature shall be construed in accordance with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notifies the Agent that the Borrower wishes to amend any covenant in Article V or any related definition to eliminate the effect of any change in GAAP occurring after the date of this Agreement on the operation of such covenant, or if the Agent notifies the Borrower that the Required Lenders wish to amend Article V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AND TERMS OF THE ADVANCES</w:t>
      </w:r>
    </w:p>
    <w:p>
      <w:pPr>
        <w:spacing w:after="0" w:line="15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Revolving Credit Advances</w:t>
      </w:r>
      <w:r>
        <w:rPr>
          <w:rFonts w:ascii="Arial" w:cs="Arial" w:eastAsia="Arial" w:hAnsi="Arial"/>
          <w:sz w:val="18"/>
          <w:szCs w:val="18"/>
          <w:color w:val="auto"/>
        </w:rPr>
        <w:t>. Each Lender severally agrees, on the terms and conditions hereinafter set forth, to make Revolving Credit Advances to the Borrower from time to time on any Business Day during the period from the Effective Date until the Termination Date in an amount for each such Advance not to exceed such Lender’s Unused Commitment. Each Revolving Credit Borrowing shall be in an aggregate amount of $5,000,000 or an integral multiple of $1,000,000 in excess thereof (or, if less, an aggregate amount equal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2" w:name="page23"/>
    <w:bookmarkEnd w:id="22"/>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by which the aggregate amount of a proposed Competitive Bid Borrowing requested by the Borrower exceeds the aggregate amount of Competitive Bid Advances offered to be made by the Lenders and accepted by the Borrower in respect of such Competitive Bid Borrowing, if such Competitive Bid Borrowing is made on the same date as such Revolving Credit Borrowing) and shall consist of Revolving Credit Advances of the same Type made on the same day by the Lenders ratably according to their respective Commitments. Within the limits of each Lender’s Unused Commitment in effect from time to time, the Borrower may borrow under this Section 2.01, prepay pursuant to Section 2.10 and reborrow under this Section 2.01.</w:t>
      </w:r>
    </w:p>
    <w:p>
      <w:pPr>
        <w:spacing w:after="0" w:line="10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Making the Revolving Credit Advances</w:t>
      </w:r>
      <w:r>
        <w:rPr>
          <w:rFonts w:ascii="Arial" w:cs="Arial" w:eastAsia="Arial" w:hAnsi="Arial"/>
          <w:sz w:val="16"/>
          <w:szCs w:val="16"/>
          <w:color w:val="auto"/>
        </w:rPr>
        <w:t>. (a) Each Revolving Credit Borrowing shall be made on notice, given not later than 11:00 A.M. (New York City time) on the third Business Day prior to the date of the proposed Revolving Credit Borrowing in the case of a Revolving Credit Borrowing consisting of Eurodollar Rate Advances, or the date of the proposed Revolving Credit Borrowing in the case of a Revolving Credit Borrowing consisting of Base Rate Advances, by the Borrower to the Agent, which shall give to each Lender prompt notice thereof by telecopier. Each such notice of a Revolving Credit Borrowing (a “</w:t>
      </w:r>
      <w:r>
        <w:rPr>
          <w:rFonts w:ascii="Arial" w:cs="Arial" w:eastAsia="Arial" w:hAnsi="Arial"/>
          <w:sz w:val="16"/>
          <w:szCs w:val="16"/>
          <w:u w:val="single" w:color="auto"/>
          <w:color w:val="auto"/>
        </w:rPr>
        <w:t>Notice of Revolving Credit Borrowing</w:t>
      </w:r>
      <w:r>
        <w:rPr>
          <w:rFonts w:ascii="Arial" w:cs="Arial" w:eastAsia="Arial" w:hAnsi="Arial"/>
          <w:sz w:val="16"/>
          <w:szCs w:val="16"/>
          <w:color w:val="auto"/>
        </w:rPr>
        <w:t>”) shall be by telephone, confirmed at once in writing, or telecopier in substantially the form of Exhibit B-1 hereto, specifying therein the requested (i) date of such Revolving Credit Borrowing, (ii) Type of Advances comprising such Revolving Credit Borrowing, (iii) aggregate amount of such Revolving Credit Borrowing, and (iv) in the case of a Revolving Credit Borrowing consisting of Eurodollar Rate Advances, initial Interest Period for each such Revolving Credit Advance. Each Lender shall, before 1:00 P.M. (New York City time) on the date of such Revolving Credit Borrowing, make available for the account of its Applicable Lending Office to the Agent at the Agent’s Account, in same day funds, such Lender’s ratable portion of such Revolving Credit Borrowing. After the Agent’s receipt of such funds and upon fulfillment of the applicable conditions set forth in Article III, the Agent will make such funds available to the Borrower at the Agent’s address referred to in Section 8.02.</w:t>
      </w:r>
    </w:p>
    <w:p>
      <w:pPr>
        <w:spacing w:after="0" w:line="114" w:lineRule="exact"/>
        <w:rPr>
          <w:sz w:val="20"/>
          <w:szCs w:val="20"/>
          <w:color w:val="auto"/>
        </w:rPr>
      </w:pPr>
    </w:p>
    <w:p>
      <w:pPr>
        <w:ind w:firstLine="921"/>
        <w:spacing w:after="0" w:line="256" w:lineRule="auto"/>
        <w:tabs>
          <w:tab w:leader="none" w:pos="1162"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Anything in subsection (a) above to the contrary notwithstanding, (i) the Borrower may not select Eurodollar Rate Advances for any Revolving Credit Borrowing if the aggregate amount of such Revolving Credit Borrowing is less than $10,000,000 or if the obligation of the Lenders to make Eurodollar Rate Advances shall then be suspended pursuant to Section 2.08 or 2.12 and (ii) the Eurodollar Rate Advances may not be outstanding as part of more than fifteen separate Revolving Credit Borrowings.</w:t>
      </w:r>
    </w:p>
    <w:p>
      <w:pPr>
        <w:spacing w:after="0" w:line="129" w:lineRule="exact"/>
        <w:rPr>
          <w:rFonts w:ascii="Arial" w:cs="Arial" w:eastAsia="Arial" w:hAnsi="Arial"/>
          <w:sz w:val="18"/>
          <w:szCs w:val="18"/>
          <w:color w:val="auto"/>
        </w:rPr>
      </w:pPr>
    </w:p>
    <w:p>
      <w:pPr>
        <w:ind w:right="280" w:firstLine="921"/>
        <w:spacing w:after="0" w:line="290" w:lineRule="auto"/>
        <w:tabs>
          <w:tab w:leader="none" w:pos="1152"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Notice of Revolving Credit Borrowing shall be irrevocable and binding on the Borrower. In the case of any Revolving Credit Borrowing that the related Notice of Revolving Credit Borrowing specifies is to be comprised of Eurodollar Rate Advances, the Borrower shall indemnify each Lender against any loss, cost or expense incurred by such Lender as a result of any failure to fulfill on or before the date specified in such Notice of Revolving Credit Borrowing for such Revolving Credit Borrowing the applicable conditions set forth in Article III, including, without limitation, any loss (excluding loss of anticipated profits),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3" w:name="page24"/>
    <w:bookmarkEnd w:id="23"/>
    <w:p>
      <w:pPr>
        <w:ind w:firstLine="921"/>
        <w:spacing w:after="0" w:line="288" w:lineRule="auto"/>
        <w:tabs>
          <w:tab w:leader="none" w:pos="1162"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the Agent shall have received notice from a Lender prior to the date of any Revolving Credit Borrowing that such Lender will not make available to the Agent such Lender’s ratable portion of such Revolving Credit Borrowing, the Agent may assume that such Lender has made such portion available to the Agent on the date of such Revolving Credit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the Advances comprising such Borrowing and (ii) in the case of such Lender, the Federal Funds Rate. If such Lender shall repay to the Agent such corresponding amount, such amount so repaid shall constitute such Lender’s Revolving Credit Advance as part of such Revolving Credit Borrowing for purposes of this Agreement.</w:t>
      </w:r>
    </w:p>
    <w:p>
      <w:pPr>
        <w:spacing w:after="0" w:line="106" w:lineRule="exact"/>
        <w:rPr>
          <w:rFonts w:ascii="Arial" w:cs="Arial" w:eastAsia="Arial" w:hAnsi="Arial"/>
          <w:sz w:val="16"/>
          <w:szCs w:val="16"/>
          <w:color w:val="auto"/>
        </w:rPr>
      </w:pPr>
    </w:p>
    <w:p>
      <w:pPr>
        <w:jc w:val="both"/>
        <w:ind w:right="60" w:firstLine="921"/>
        <w:spacing w:after="0" w:line="306" w:lineRule="auto"/>
        <w:tabs>
          <w:tab w:leader="none" w:pos="11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failure of any Lender to make the Revolving Credit Advance to be made by it as part of any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93" w:lineRule="exact"/>
        <w:rPr>
          <w:sz w:val="20"/>
          <w:szCs w:val="20"/>
          <w:color w:val="auto"/>
        </w:rPr>
      </w:pPr>
    </w:p>
    <w:p>
      <w:pPr>
        <w:jc w:val="both"/>
        <w:ind w:right="100" w:firstLine="913"/>
        <w:spacing w:after="0" w:line="25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The Competitive Bid Advances</w:t>
      </w:r>
      <w:r>
        <w:rPr>
          <w:rFonts w:ascii="Arial" w:cs="Arial" w:eastAsia="Arial" w:hAnsi="Arial"/>
          <w:sz w:val="18"/>
          <w:szCs w:val="18"/>
          <w:color w:val="auto"/>
        </w:rPr>
        <w:t xml:space="preserve">. (a) Each Lender severally agrees that the Borrower may make Competitive Bid Borrowings under this Section 2.03 from time to time on any Business Day during the period from the date hereof until the date occurring 30 days prior to the Termination Date in the manner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each Competitive Bid Borrowing shall not exceed the aggregate amount of the Unused Commitments of the Lenders on such Business Day.</w:t>
      </w:r>
    </w:p>
    <w:p>
      <w:pPr>
        <w:spacing w:after="0" w:line="130" w:lineRule="exact"/>
        <w:rPr>
          <w:sz w:val="20"/>
          <w:szCs w:val="20"/>
          <w:color w:val="auto"/>
        </w:rPr>
      </w:pPr>
    </w:p>
    <w:p>
      <w:pPr>
        <w:jc w:val="center"/>
        <w:ind w:left="460" w:right="180" w:firstLine="443"/>
        <w:spacing w:after="0" w:line="286" w:lineRule="auto"/>
        <w:tabs>
          <w:tab w:leader="none" w:pos="1108"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Borrower may request a Competitive Bid Borrowing under this Section 2.03 by delivering to the Agent, by telecopier, a notice of a Competitive Bid Borrowing (a “</w:t>
      </w:r>
      <w:r>
        <w:rPr>
          <w:rFonts w:ascii="Arial" w:cs="Arial" w:eastAsia="Arial" w:hAnsi="Arial"/>
          <w:sz w:val="16"/>
          <w:szCs w:val="16"/>
          <w:u w:val="single" w:color="auto"/>
          <w:color w:val="auto"/>
        </w:rPr>
        <w:t>Notice of Competitive Bid Borrowing</w:t>
      </w:r>
      <w:r>
        <w:rPr>
          <w:rFonts w:ascii="Arial" w:cs="Arial" w:eastAsia="Arial" w:hAnsi="Arial"/>
          <w:sz w:val="16"/>
          <w:szCs w:val="16"/>
          <w:color w:val="auto"/>
        </w:rPr>
        <w:t>”), in substantially the form of Exhibit B-2 hereto, specifying therein the requested</w:t>
      </w:r>
    </w:p>
    <w:p>
      <w:pPr>
        <w:ind w:left="460" w:right="20" w:firstLine="4"/>
        <w:spacing w:after="0" w:line="281" w:lineRule="auto"/>
        <w:tabs>
          <w:tab w:leader="none" w:pos="7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date of such proposed Competitive Bid Borrowing, (v) aggregate amount of such proposed Competitive Bid Borrowing, (w) maturity date for repayment of each Advance to be made as part of such Competitive Bid Borrowing (which maturity date may not be earlier than the date occurring 30 days after the date of such Competitive Bid Borrowing or later than the earlier of (I) 360 days after the date of such Competitive Bid Borrowing and (II) the Termination Date), (x) in the case of a Competitive Bid Advance consisting of LIBO Rate Advances, the Interest Period thereof, (y) interest payment date or dates relating thereto, and (z) other terms (if any) to be applicable to such Competitive Bid Borrowing, not later than 10:00 A.M. (New York City time)</w:t>
      </w:r>
    </w:p>
    <w:p>
      <w:pPr>
        <w:spacing w:after="0" w:line="3" w:lineRule="exact"/>
        <w:rPr>
          <w:rFonts w:ascii="Arial" w:cs="Arial" w:eastAsia="Arial" w:hAnsi="Arial"/>
          <w:sz w:val="16"/>
          <w:szCs w:val="16"/>
          <w:color w:val="auto"/>
        </w:rPr>
      </w:pPr>
    </w:p>
    <w:p>
      <w:pPr>
        <w:ind w:left="460" w:right="100"/>
        <w:spacing w:after="0" w:line="255" w:lineRule="auto"/>
        <w:rPr>
          <w:rFonts w:ascii="Arial" w:cs="Arial" w:eastAsia="Arial" w:hAnsi="Arial"/>
          <w:sz w:val="16"/>
          <w:szCs w:val="16"/>
          <w:color w:val="auto"/>
        </w:rPr>
      </w:pPr>
      <w:r>
        <w:rPr>
          <w:rFonts w:ascii="Arial" w:cs="Arial" w:eastAsia="Arial" w:hAnsi="Arial"/>
          <w:sz w:val="18"/>
          <w:szCs w:val="18"/>
          <w:color w:val="auto"/>
        </w:rPr>
        <w:t>(A) at least one Business Day prior to the date of the proposed Competitive Bid Borrowing, if the Borrower shall specify in the Notice of Competitive Bid Borrowing that the rates of interest to be offered by the Lenders shall be fixed rates per annum (the Advances comprising any such Competitive Bid Borrowing being referred to herein as “</w:t>
      </w:r>
      <w:r>
        <w:rPr>
          <w:rFonts w:ascii="Arial" w:cs="Arial" w:eastAsia="Arial" w:hAnsi="Arial"/>
          <w:sz w:val="18"/>
          <w:szCs w:val="18"/>
          <w:u w:val="single" w:color="auto"/>
          <w:color w:val="auto"/>
        </w:rPr>
        <w:t>Fixed Rate Advances</w:t>
      </w:r>
      <w:r>
        <w:rPr>
          <w:rFonts w:ascii="Arial" w:cs="Arial" w:eastAsia="Arial" w:hAnsi="Arial"/>
          <w:sz w:val="18"/>
          <w:szCs w:val="18"/>
          <w:color w:val="auto"/>
        </w:rPr>
        <w:t>”) and (B) at least four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4" w:name="page25"/>
    <w:bookmarkEnd w:id="2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Days prior to the date of the proposed Competitive Bid Borrowing, if the Borrower shall instead specify in the Notice of Competitive Bid Borrowing that the rates of interest be offered by the Lenders are to be based on the LIBO Rate (the Advances comprising such Competitive Bid Borrowing being referred to herein as “</w:t>
      </w:r>
      <w:r>
        <w:rPr>
          <w:rFonts w:ascii="Arial" w:cs="Arial" w:eastAsia="Arial" w:hAnsi="Arial"/>
          <w:sz w:val="16"/>
          <w:szCs w:val="16"/>
          <w:u w:val="single" w:color="auto"/>
          <w:color w:val="auto"/>
        </w:rPr>
        <w:t>LIBO Rate Advances</w:t>
      </w:r>
      <w:r>
        <w:rPr>
          <w:rFonts w:ascii="Arial" w:cs="Arial" w:eastAsia="Arial" w:hAnsi="Arial"/>
          <w:sz w:val="16"/>
          <w:szCs w:val="16"/>
          <w:color w:val="auto"/>
        </w:rPr>
        <w:t>”). Each Notice of Competitive Bid Borrowing shall be irrevocable and binding on the Borrower. The Agent shall in turn promptly notify each Lender of each request for a Competitive Bid Borrowing received by it from the Borrower by sending such Lender a copy of the related Notice of Competitive Bid Borrowing.</w:t>
      </w:r>
    </w:p>
    <w:p>
      <w:pPr>
        <w:spacing w:after="0" w:line="21" w:lineRule="exact"/>
        <w:rPr>
          <w:sz w:val="20"/>
          <w:szCs w:val="20"/>
          <w:color w:val="auto"/>
        </w:rPr>
      </w:pPr>
    </w:p>
    <w:p>
      <w:pPr>
        <w:ind w:right="20" w:firstLine="443"/>
        <w:spacing w:after="0" w:line="285" w:lineRule="auto"/>
        <w:tabs>
          <w:tab w:leader="none" w:pos="697"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Each Lender may, if, in its sole discretion, it elects to do so, irrevocably offer to make one or more Competitive Bid Advances to the Borrower as part of such proposed Competitive Bid Borrowing at a rate or rates of interest specified by such Lender in its sole discretion, by notifying the Agent (which shall give prompt notice thereof to the Borrower), before 9:30 A.M. (New York City time) on the date of such proposed Competitive Bid Borrowing, in the case of a Competitive Bid Borrowing consisting of Fixed Rate Advances and before 10:00 A.M. (New York City time) three Business Days before the date of such proposed Competitive Bid Borrowing, in the case of a Competitive Bid Borrowing consisting of LIBO Rate Advances, of the minimum amount and maximum amount of each Competitive Bid Advance which such Lender would be willing to make as part of such proposed Competitive Bid Borrowing (which amounts may, subject to the proviso to the first sentence of this Section 2.03(a), exceed such Lender’s Commitment), the rate or rates of interest therefor and such Lender’s Applicable Lending Office with respect to such Competitive Bid Advance;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Agent in its capacity as a Lender shall, in its sole discretion, elect to make any such offer, it shall notify the Borrower of such offer at least 30 minutes before the time and on the date on which notice of such election is to be given to the Agent by the other Lenders. If any Lender shall elect not to make such an offer, such Lender shall so notify the Agent, before 10:00 A.M. (New York City time) on the date on which notice of such election is to be given to the Agent by the other Lenders, and such Lender shall not be obligated to, and shall not, make any Competitive Bid Advance as part of such Competitive Bid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by any Lender to give such notice shall not cause such Lender to be obligated to make any Competitive Bid Advance as part of such proposed Competitive Bid Borrowing.</w:t>
      </w:r>
    </w:p>
    <w:p>
      <w:pPr>
        <w:spacing w:after="0" w:line="33" w:lineRule="exact"/>
        <w:rPr>
          <w:rFonts w:ascii="Arial" w:cs="Arial" w:eastAsia="Arial" w:hAnsi="Arial"/>
          <w:sz w:val="16"/>
          <w:szCs w:val="16"/>
          <w:color w:val="auto"/>
        </w:rPr>
      </w:pPr>
    </w:p>
    <w:p>
      <w:pPr>
        <w:jc w:val="both"/>
        <w:ind w:right="100" w:firstLine="443"/>
        <w:spacing w:after="0" w:line="306" w:lineRule="auto"/>
        <w:tabs>
          <w:tab w:leader="none" w:pos="74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Borrower shall, in turn, before 10:30 A.M. (New York City time) on the date of such proposed Competitive Bid Borrowing, in the case of a Competitive Bid Borrowing consisting of Fixed Rate Advances and before 11:00 A.M. (New York City time) three Business Days before the date of such proposed Competitive Bid Borrowing, in the case of a Competitive Bid Borrowing consisting of LIBO Rate Advances, either:</w:t>
      </w:r>
    </w:p>
    <w:p>
      <w:pPr>
        <w:spacing w:after="0" w:line="12" w:lineRule="exact"/>
        <w:rPr>
          <w:rFonts w:ascii="Arial" w:cs="Arial" w:eastAsia="Arial" w:hAnsi="Arial"/>
          <w:sz w:val="16"/>
          <w:szCs w:val="16"/>
          <w:color w:val="auto"/>
        </w:rPr>
      </w:pPr>
    </w:p>
    <w:p>
      <w:pPr>
        <w:ind w:left="1120" w:hanging="239"/>
        <w:spacing w:after="0"/>
        <w:tabs>
          <w:tab w:leader="none" w:pos="11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cancel such Competitive Bid Borrowing by giving the Agent notice to that effect, or</w:t>
      </w:r>
    </w:p>
    <w:p>
      <w:pPr>
        <w:spacing w:after="0" w:line="76" w:lineRule="exact"/>
        <w:rPr>
          <w:rFonts w:ascii="Arial" w:cs="Arial" w:eastAsia="Arial" w:hAnsi="Arial"/>
          <w:sz w:val="18"/>
          <w:szCs w:val="18"/>
          <w:color w:val="auto"/>
        </w:rPr>
      </w:pPr>
    </w:p>
    <w:p>
      <w:pPr>
        <w:ind w:left="460" w:firstLine="421"/>
        <w:spacing w:after="0" w:line="259" w:lineRule="auto"/>
        <w:tabs>
          <w:tab w:leader="none" w:pos="11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accept one or more of the offers made by any Lender or Lenders pursuant to paragraph (ii) above, in its sole discretion, by giving notice to the Agent of the amount of each Competitive Bid Advance (which amount shall be equal to or greater than the minimum amount, and equal to or less than the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25" w:name="page26"/>
    <w:bookmarkEnd w:id="25"/>
    <w:p>
      <w:pPr>
        <w:ind w:left="460" w:right="1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maximum amount, notified to the Borrower by the Agent on behalf of such Lender for such Competitive Bid Advance pursuant to paragraph (ii) above) to be made by each Lender as part of such Competitive Bid Borrowing, and reject any remaining offers made by Lenders pursuant to paragraph (ii) above by giving the Agent notice to that effect. The Borrower shall accept the offers made by any Lender or Lenders to make Competitive Bid Advances in order of the lowest to the highest rates of interest offered by such Lenders. If two or more Lenders have offered the same interest rate, the amount to be borrowed at such interest rate will be allocated among such Lenders in proportion to the amount that each such Lender offered at such interest rate.</w:t>
      </w:r>
    </w:p>
    <w:p>
      <w:pPr>
        <w:spacing w:after="0" w:line="50" w:lineRule="exact"/>
        <w:rPr>
          <w:sz w:val="20"/>
          <w:szCs w:val="20"/>
          <w:color w:val="auto"/>
        </w:rPr>
      </w:pPr>
    </w:p>
    <w:p>
      <w:pPr>
        <w:ind w:right="220" w:firstLine="443"/>
        <w:spacing w:after="0" w:line="268" w:lineRule="auto"/>
        <w:tabs>
          <w:tab w:leader="none" w:pos="7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Borrower notifies the Agent that such Competitive Bid Borrowing is cancelled pursuant to paragraph (iii)(x) above, the Agent shall give prompt notice thereof to the Lenders and such Competitive Bid Borrowing shall not be made.</w:t>
      </w:r>
    </w:p>
    <w:p>
      <w:pPr>
        <w:spacing w:after="0" w:line="37" w:lineRule="exact"/>
        <w:rPr>
          <w:rFonts w:ascii="Arial" w:cs="Arial" w:eastAsia="Arial" w:hAnsi="Arial"/>
          <w:sz w:val="18"/>
          <w:szCs w:val="18"/>
          <w:color w:val="auto"/>
        </w:rPr>
      </w:pPr>
    </w:p>
    <w:p>
      <w:pPr>
        <w:ind w:firstLine="443"/>
        <w:spacing w:after="0" w:line="286" w:lineRule="auto"/>
        <w:tabs>
          <w:tab w:leader="none" w:pos="6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Borrower accepts one or more of the offers made by any Lender or Lenders pursuant to paragraph (iii)(y) above, the Agent shall in turn promptly notify (A) each Lender that has made an offer as described in paragraph (ii) above, of the date and aggregate amount of such Competitive Bid Borrowing and whether or not any offer or offers made by such Lender pursuant to paragraph (ii) above have been accepted by the Borrower, (B) each Lender that is to make a Competitive Bid Advance as part of such Competitive Bid Borrowing, of the amount of each Competitive Bid Advance to be made by such Lender as part of such Competitive Bid Borrowing, and (C) each Lender that is to make a Competitive Bid Advance as part of such Competitive Bid Borrowing, upon receipt, that the Agent has received forms of documents appearing to fulfill the applicable conditions set forth in Article III. Each Lender that is to make a Competitive Bid Advance as part of such Competitive Bid Borrowing shall, before 12:00 noon (New York City time) on the date of such Competitive Bid Borrowing specified in the notice received from the Agent pursuant to clause (A) of the preceding sentence or any later time when such Lender shall have received notice from the Agent pursuant to clause (C) of the preceding sentence, make available for the account of its Applicable Lending Office to the Agent at the Agent’s Account, in same day funds, such Lender’s portion of such Competitive Bid Borrowing. Upon fulfillment of the applicable conditions set forth in Article III and after receipt by the Agent of such funds, the Agent will make such funds available to the Borrower at the Agent’s address referred to in Section 8.02. Promptly after each Competitive Bid Borrowing the Agent will notify each Lender of the amount of the Competitive Bid Borrowing.</w:t>
      </w:r>
    </w:p>
    <w:p>
      <w:pPr>
        <w:spacing w:after="0" w:line="26" w:lineRule="exact"/>
        <w:rPr>
          <w:rFonts w:ascii="Arial" w:cs="Arial" w:eastAsia="Arial" w:hAnsi="Arial"/>
          <w:sz w:val="16"/>
          <w:szCs w:val="16"/>
          <w:color w:val="auto"/>
        </w:rPr>
      </w:pPr>
    </w:p>
    <w:p>
      <w:pPr>
        <w:ind w:right="140" w:firstLine="443"/>
        <w:spacing w:after="0" w:line="294" w:lineRule="auto"/>
        <w:tabs>
          <w:tab w:leader="none" w:pos="7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Borrower notifies the Agent that it accepts one or more of the offers made by any Lender or Lenders pursuant to paragraph (iii)(y) above, such notice of acceptance shall be irrevocable and binding on the Borrower. The Borrower shall indemnify each Lender against any loss, cost or expense incurred by such Lender as a result of any failure to fulfill on or before the date specified in the related Notice of Competitive Bid Borrowing for such Competitive Bid Borrowing the applicable conditions set forth in Article III, including, without limitation, any loss (excluding loss of anticipated profits), cost or expense incurred by reason of the liquidation or reemployment of deposits or other funds acquired by such Lender to fund the</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80" w:right="239" w:bottom="1440" w:gutter="0" w:footer="0" w:header="0"/>
        </w:sectPr>
      </w:pPr>
    </w:p>
    <w:bookmarkStart w:id="26" w:name="page27"/>
    <w:bookmarkEnd w:id="26"/>
    <w:p>
      <w:pPr>
        <w:ind w:left="46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Competitive Bid Advance to be made by such Lender as part of such Competitive Bid Borrowing when such Competitive Bid Advance, as a result of such failure, is not made on such date.</w:t>
      </w:r>
    </w:p>
    <w:p>
      <w:pPr>
        <w:spacing w:after="0" w:line="118" w:lineRule="exact"/>
        <w:rPr>
          <w:sz w:val="20"/>
          <w:szCs w:val="20"/>
          <w:color w:val="auto"/>
        </w:rPr>
      </w:pPr>
    </w:p>
    <w:p>
      <w:pPr>
        <w:ind w:right="120" w:firstLine="921"/>
        <w:spacing w:after="0" w:line="259" w:lineRule="auto"/>
        <w:tabs>
          <w:tab w:leader="none" w:pos="1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Competitive Bid Borrowing shall be in an aggregate amount of $10,000,000 or an integral multiple of $1,000,000 in excess thereof and, following the making of each Competitive Bid Borrowing, the Borrower shall be in compliance with the limitation set forth in the proviso to the first sentence of subsection (a) above.</w:t>
      </w:r>
    </w:p>
    <w:p>
      <w:pPr>
        <w:spacing w:after="0" w:line="126" w:lineRule="exact"/>
        <w:rPr>
          <w:rFonts w:ascii="Arial" w:cs="Arial" w:eastAsia="Arial" w:hAnsi="Arial"/>
          <w:sz w:val="18"/>
          <w:szCs w:val="18"/>
          <w:color w:val="auto"/>
        </w:rPr>
      </w:pPr>
    </w:p>
    <w:p>
      <w:pPr>
        <w:ind w:right="160" w:firstLine="921"/>
        <w:spacing w:after="0" w:line="259" w:lineRule="auto"/>
        <w:tabs>
          <w:tab w:leader="none" w:pos="11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Within the limits and on the conditions set forth in this Section 2.03, the Borrower may from time to time borrow under this Section 2.03, repay or prepay pursuant to subsection (d) below, and reborrow under this Section 2.03,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Competitive Bid Borrowing shall not be made within one Business Day of the date of any other Competitive Bid Borrowing.</w:t>
      </w:r>
    </w:p>
    <w:p>
      <w:pPr>
        <w:spacing w:after="0" w:line="126" w:lineRule="exact"/>
        <w:rPr>
          <w:rFonts w:ascii="Arial" w:cs="Arial" w:eastAsia="Arial" w:hAnsi="Arial"/>
          <w:sz w:val="18"/>
          <w:szCs w:val="18"/>
          <w:color w:val="auto"/>
        </w:rPr>
      </w:pPr>
    </w:p>
    <w:p>
      <w:pPr>
        <w:ind w:right="100" w:firstLine="921"/>
        <w:spacing w:after="0" w:line="291" w:lineRule="auto"/>
        <w:tabs>
          <w:tab w:leader="none" w:pos="116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Borrower shall repay to the Agent for the account of each Lender that has made a Competitive Bid Advance, on the maturity date of each Competitive Bid Advance (such maturity date being that specified by the Borrower for repayment of such Competitive Bid Advance in the related Notice of Competitive Bid Borrowing delivered pursuant to subsection (a)(i) above and provided in the Competitive Bid Note evidencing such Competitive Bid Advance), the then unpaid principal amount of such Competitive Bid Advance. The Borrower shall have no right to prepay any principal amount of any Competitive Bid Advance unless, and then only on the terms, specified by the Borrower for such Competitive Bid Advance in the related Notice of Competitive Bid Borrowing delivered pursuant to subsection (a)(i) above and set forth in the Competitive Bid Note evidencing such Competitive Bid Advance.</w:t>
      </w:r>
    </w:p>
    <w:p>
      <w:pPr>
        <w:spacing w:after="0" w:line="106" w:lineRule="exact"/>
        <w:rPr>
          <w:rFonts w:ascii="Arial" w:cs="Arial" w:eastAsia="Arial" w:hAnsi="Arial"/>
          <w:sz w:val="16"/>
          <w:szCs w:val="16"/>
          <w:color w:val="auto"/>
        </w:rPr>
      </w:pPr>
    </w:p>
    <w:p>
      <w:pPr>
        <w:ind w:firstLine="921"/>
        <w:spacing w:after="0" w:line="289" w:lineRule="auto"/>
        <w:tabs>
          <w:tab w:leader="none" w:pos="11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Borrower shall pay interest on the unpaid principal amount of each Competitive Bid Advance from the date of such Competitive Bid Advance to the date the principal amount of such Competitive Bid Advance is repaid in full, at the rate of interest for such Competitive Bid Advance specified by the Lender making such Competitive Bid Advance in its notice with respect thereto delivered pursuant to subsection (a)(ii) above, payable on the interest payment date or dates specified by the Borrower for such Competitive Bid Advance in the related Notice of Competitive Bid Borrowing delivered pursuant to subsection (a)(i) above, as provided in the Competitive Bid Note evidencing such Competitive Bid Advance. The Borrower shall pay interest on the amount of overdue principal and, to the fullest extent permitted by law, interest in respect of each Competitive Bid Advance owing to a Lender, payable in arrears on the date or dates interest is payable thereon, at a rate per annum equal at all times to 1% per annum above the rate per annum required to be paid on such Competitive Bid Advance under the terms of the Competitive Bid Note evidencing such Competitive Bid Advance unless otherwise agreed in such Competitive Bid Note.</w:t>
      </w:r>
    </w:p>
    <w:p>
      <w:pPr>
        <w:spacing w:after="0" w:line="104" w:lineRule="exact"/>
        <w:rPr>
          <w:rFonts w:ascii="Arial" w:cs="Arial" w:eastAsia="Arial" w:hAnsi="Arial"/>
          <w:sz w:val="16"/>
          <w:szCs w:val="16"/>
          <w:color w:val="auto"/>
        </w:rPr>
      </w:pPr>
    </w:p>
    <w:p>
      <w:pPr>
        <w:ind w:right="200" w:firstLine="921"/>
        <w:spacing w:after="0" w:line="332" w:lineRule="auto"/>
        <w:tabs>
          <w:tab w:leader="none" w:pos="11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indebtedness of the Borrower resulting from each Competitive Bid Advance made to the Borrower as part of a Competitive Bid Borrowing shall be evidenced by a separate Competitive Bid Note of the Borrower payable to the order of the Lender making such Competitive Bid Advance.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7" w:name="page28"/>
    <w:bookmarkEnd w:id="27"/>
    <w:p>
      <w:pPr>
        <w:ind w:right="10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2.04. </w:t>
      </w:r>
      <w:r>
        <w:rPr>
          <w:rFonts w:ascii="Arial" w:cs="Arial" w:eastAsia="Arial" w:hAnsi="Arial"/>
          <w:sz w:val="16"/>
          <w:szCs w:val="16"/>
          <w:u w:val="single" w:color="auto"/>
          <w:color w:val="auto"/>
        </w:rPr>
        <w:t>Fees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Facility Fee</w:t>
      </w:r>
      <w:r>
        <w:rPr>
          <w:rFonts w:ascii="Arial" w:cs="Arial" w:eastAsia="Arial" w:hAnsi="Arial"/>
          <w:sz w:val="16"/>
          <w:szCs w:val="16"/>
          <w:color w:val="auto"/>
        </w:rPr>
        <w:t>. The Borrower agrees to pay to the Agent for the account of each Lender a facility fee on the aggregate amount of such Lender’s Commitment in effect from time to time from the Effective Date in the case of each Initial Lender and from the later of the Effective Date and the effective date specified in the Assumption Agreement or in the Assignment and Acceptance, as the case may be, pursuant to which it became a Lender in the case of each other Lender until the Termination Date at a rate per annum equal to the Applicable Percentage in effect from time to time, payable in arrears quarterly on the last day of each March, June, September and December, commencing September 30, 2005, and on the Termination Date.</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Agent’s Fees</w:t>
      </w:r>
      <w:r>
        <w:rPr>
          <w:rFonts w:ascii="Arial" w:cs="Arial" w:eastAsia="Arial" w:hAnsi="Arial"/>
          <w:sz w:val="16"/>
          <w:szCs w:val="16"/>
          <w:color w:val="auto"/>
        </w:rPr>
        <w:t>. The Borrower shall pay to the Agent for its own account such fees as may from time to time be agreed between the Borrower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Agent.</w:t>
      </w:r>
    </w:p>
    <w:p>
      <w:pPr>
        <w:spacing w:after="0" w:line="151"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Termination, Reduction or Increase of the Commitments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Termination or Reduction</w:t>
      </w:r>
      <w:r>
        <w:rPr>
          <w:rFonts w:ascii="Arial" w:cs="Arial" w:eastAsia="Arial" w:hAnsi="Arial"/>
          <w:sz w:val="16"/>
          <w:szCs w:val="16"/>
          <w:color w:val="auto"/>
        </w:rPr>
        <w:t xml:space="preserve">. (i) </w:t>
      </w: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Borrower shall have the right, upon at least three Business Days’ notice to the Agent, to terminate in whole or reduce ratably in part the respective Unused Commitments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partial reduction shall be in the aggregate amount of $10,000,000 or an integral multiple of $1,000,000 in excess thereof. The aggregate amount of the Commitments once reduced as provided in this Section 2.05(a)(i), may not be reinstated, except as provided in Section 2.05(b) below.</w:t>
      </w:r>
    </w:p>
    <w:p>
      <w:pPr>
        <w:spacing w:after="0" w:line="18" w:lineRule="exact"/>
        <w:rPr>
          <w:sz w:val="20"/>
          <w:szCs w:val="20"/>
          <w:color w:val="auto"/>
        </w:rPr>
      </w:pPr>
    </w:p>
    <w:p>
      <w:pPr>
        <w:ind w:left="460" w:right="120" w:firstLine="443"/>
        <w:spacing w:after="0" w:line="298" w:lineRule="auto"/>
        <w:tabs>
          <w:tab w:leader="none" w:pos="115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Mandatory</w:t>
      </w:r>
      <w:r>
        <w:rPr>
          <w:rFonts w:ascii="Arial" w:cs="Arial" w:eastAsia="Arial" w:hAnsi="Arial"/>
          <w:sz w:val="16"/>
          <w:szCs w:val="16"/>
          <w:color w:val="auto"/>
        </w:rPr>
        <w:t xml:space="preserve">. On the Termination Date, if the Borrower has made the Term Loan Election in accordance with Section 2.06 prior to such date, and from time to time thereafter upon each prepayment of the Revolving Credit Advances, the Commitments of the Lenders shall be automatically and permanently reduced on a pro rata basis by an amount equal to the amount by which (A) the aggregate Commitments immediately prior to such reduction </w:t>
      </w:r>
      <w:r>
        <w:rPr>
          <w:rFonts w:ascii="Arial" w:cs="Arial" w:eastAsia="Arial" w:hAnsi="Arial"/>
          <w:sz w:val="16"/>
          <w:szCs w:val="16"/>
          <w:u w:val="single" w:color="auto"/>
          <w:color w:val="auto"/>
        </w:rPr>
        <w:t>exceed</w:t>
      </w:r>
      <w:r>
        <w:rPr>
          <w:rFonts w:ascii="Arial" w:cs="Arial" w:eastAsia="Arial" w:hAnsi="Arial"/>
          <w:sz w:val="16"/>
          <w:szCs w:val="16"/>
          <w:color w:val="auto"/>
        </w:rPr>
        <w:t xml:space="preserve"> (B) the aggregate unpaid principal amount of all Revolving Credit Advances outstanding at such time.</w:t>
      </w:r>
    </w:p>
    <w:p>
      <w:pPr>
        <w:spacing w:after="0" w:line="99" w:lineRule="exact"/>
        <w:rPr>
          <w:rFonts w:ascii="Arial" w:cs="Arial" w:eastAsia="Arial" w:hAnsi="Arial"/>
          <w:sz w:val="16"/>
          <w:szCs w:val="16"/>
          <w:color w:val="auto"/>
        </w:rPr>
      </w:pPr>
    </w:p>
    <w:p>
      <w:pPr>
        <w:ind w:firstLine="921"/>
        <w:spacing w:after="0" w:line="286" w:lineRule="auto"/>
        <w:tabs>
          <w:tab w:leader="none" w:pos="1161"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Increase in Aggregate of the Commitments</w:t>
      </w:r>
      <w:r>
        <w:rPr>
          <w:rFonts w:ascii="Arial" w:cs="Arial" w:eastAsia="Arial" w:hAnsi="Arial"/>
          <w:sz w:val="16"/>
          <w:szCs w:val="16"/>
          <w:color w:val="auto"/>
        </w:rPr>
        <w:t>. (i) The Borrower may at any time, by notice to the Agent, propose that the aggregate amount of the Commitments be increased (such aggregate amount being,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effective as at a date prior to the Termination Date (an “</w:t>
      </w:r>
      <w:r>
        <w:rPr>
          <w:rFonts w:ascii="Arial" w:cs="Arial" w:eastAsia="Arial" w:hAnsi="Arial"/>
          <w:sz w:val="16"/>
          <w:szCs w:val="16"/>
          <w:u w:val="single" w:color="auto"/>
          <w:color w:val="auto"/>
        </w:rPr>
        <w:t>Increase Date</w:t>
      </w:r>
      <w:r>
        <w:rPr>
          <w:rFonts w:ascii="Arial" w:cs="Arial" w:eastAsia="Arial" w:hAnsi="Arial"/>
          <w:sz w:val="16"/>
          <w:szCs w:val="16"/>
          <w:color w:val="auto"/>
        </w:rPr>
        <w:t>”) as to which agreement is to be reached by an earlier date specified in such notice (a “</w:t>
      </w:r>
      <w:r>
        <w:rPr>
          <w:rFonts w:ascii="Arial" w:cs="Arial" w:eastAsia="Arial" w:hAnsi="Arial"/>
          <w:sz w:val="16"/>
          <w:szCs w:val="16"/>
          <w:u w:val="single" w:color="auto"/>
          <w:color w:val="auto"/>
        </w:rPr>
        <w:t>Commitment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Borrower may not propose more than two Commitment Increases in any calendar year, (B) the minimum proposed Commitment Increase per notice shall be $25,000,000, (C) in no event shall the aggregate amount of the Commitments at any time exceed $350,000,000, (D) the applicable Performance Level on such Increase Date shall be Level I, Level II or Level III and (E) no Default shall have occurred and be continuing on such Increase Date. The Agent shall notify the Lenders thereof promptly upon its receipt of any such notice. The Agent agrees that it will cooperate with the Borrower in discussions with the Lenders and other Eligible Assignees with a view to arranging the proposed Commitment Increase through the increase of the Commitments of one or more of the Lenders (each such Lender that is willing to increase its Commitment hereunder being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xml:space="preserve">”) and the addition of one or more other Eligible Assignees as Assuming Lenders and as parties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it shall be in each Lender’s sole discretion whether to increase its Commitment hereunder in connection with the proposed Commitment Increase;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minimum Commitment 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8" w:name="page29"/>
    <w:bookmarkEnd w:id="28"/>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each such Assuming Lender that becomes a party to this Agreement pursuant to this Section 2.05(b), shall be at least equal to $10,000,000. If any of the Lenders agree to increase their respective Commitments by an aggregate amount in excess of the proposed Commitment Increase, the proposed Commitment Increase shall be allocated among such Lenders in proportion to their respective Commitments immediately prior to the Increase Date. If agreement is reached on or prior to the applicable Commitment Date with any Increasing Lenders and Assuming Lenders as to a Commitment Increase (which may be less than but not greater than specified in the applicable notice from the Borrower), such agreement to be evidenced by a notice in reasonable detail from the Borrower to the Agent on or prior to the applicable Commitment Date, such Assuming Lenders, if any, shall become Lenders hereunder as of the applicable Increase Date and the Commitments of such Increasing Lenders and such Assuming Lenders shall become or be, as the case may be, as of the Increase Date, the amounts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4" w:lineRule="exact"/>
        <w:rPr>
          <w:sz w:val="20"/>
          <w:szCs w:val="20"/>
          <w:color w:val="auto"/>
        </w:rPr>
      </w:pPr>
    </w:p>
    <w:p>
      <w:pPr>
        <w:jc w:val="both"/>
        <w:ind w:left="460" w:right="40" w:firstLine="443"/>
        <w:spacing w:after="0" w:line="286" w:lineRule="auto"/>
        <w:tabs>
          <w:tab w:leader="none" w:pos="1147"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Agent shall have received (with copies for each Lender, including each such Assuming Lender) by no later than 10:00 A.M. (New York City time) on the applicable Increase Date (1) certified copies of resolutions of the Board of Directors of the Borrower approving the Commitment Increase and</w:t>
      </w:r>
    </w:p>
    <w:p>
      <w:pPr>
        <w:ind w:left="720" w:hanging="25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opinion of counsel for the Borrower (which may be in-house counsel), in substantially the form of Exhibit E-1 hereto;</w:t>
      </w:r>
    </w:p>
    <w:p>
      <w:pPr>
        <w:spacing w:after="0" w:line="70" w:lineRule="exact"/>
        <w:rPr>
          <w:rFonts w:ascii="Arial" w:cs="Arial" w:eastAsia="Arial" w:hAnsi="Arial"/>
          <w:sz w:val="18"/>
          <w:szCs w:val="18"/>
          <w:color w:val="auto"/>
        </w:rPr>
      </w:pPr>
    </w:p>
    <w:p>
      <w:pPr>
        <w:ind w:left="460" w:right="420" w:firstLine="443"/>
        <w:spacing w:after="0" w:line="325" w:lineRule="auto"/>
        <w:tabs>
          <w:tab w:leader="none" w:pos="114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each such Assuming Lender shall have delivered to the Agent, by no later than 10:00 A.M. (New York City time) on such Increase Date, an appropriate Assumption Agreement in substantially the form of Exhibit D hereto, duly executed by such Assuming Lender and the Borrower; and</w:t>
      </w:r>
    </w:p>
    <w:p>
      <w:pPr>
        <w:spacing w:after="0" w:line="1" w:lineRule="exact"/>
        <w:rPr>
          <w:rFonts w:ascii="Arial" w:cs="Arial" w:eastAsia="Arial" w:hAnsi="Arial"/>
          <w:sz w:val="16"/>
          <w:szCs w:val="16"/>
          <w:color w:val="auto"/>
        </w:rPr>
      </w:pPr>
    </w:p>
    <w:p>
      <w:pPr>
        <w:ind w:left="460" w:right="140" w:firstLine="443"/>
        <w:spacing w:after="0" w:line="325" w:lineRule="auto"/>
        <w:tabs>
          <w:tab w:leader="none" w:pos="113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each such Increasing Lender shall have delivered to the Agent by, no later than 10:00 A.M. (New York City time) on such Increase Date, (A) its existing Revolving Credit Note and (B) confirmation in writing satisfactory to the Agent as to its increased Commitment.</w:t>
      </w:r>
    </w:p>
    <w:p>
      <w:pPr>
        <w:spacing w:after="0" w:line="1" w:lineRule="exact"/>
        <w:rPr>
          <w:sz w:val="20"/>
          <w:szCs w:val="20"/>
          <w:color w:val="auto"/>
        </w:rPr>
      </w:pPr>
    </w:p>
    <w:p>
      <w:pPr>
        <w:ind w:left="460" w:firstLine="443"/>
        <w:spacing w:after="0" w:line="287" w:lineRule="auto"/>
        <w:tabs>
          <w:tab w:leader="none" w:pos="1157"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the event that the Agent shall have received notice from the Borrower as to its agreement to a Commitment Increase on or prior to the applicable Commitment Date and each of the actions provided for in clauses (x) through (z) above shall have occurred prior to 10:00 A.M. (New York City time) on the applicable Increase Date to the satisfaction of the Agent, the Agent shall notify the Lenders (including any Assuming Lenders) and the Borrower of the occurrence of such Commitment Increase by telephone, confirmed at once in writing, telecopier or cable and in any event no later than 1:00 P.M. (New York City time) on such Increase Date and shall record in the Register the relevant information with respect to each Increasing Lender and Assuming Lender. Each Increasing Lender and each Assuming Lender shall, before 2:00 P.M. (New York City time) on the applicable Increase Date, make available for the account of its Applicable Lending Office to the Agent at the Agent’s Account, in same day funds, in the case of such Assuming Lender, an amount equal to such Assuming Lender’s ratable portion of the Revolving Credit Borrowings then outstanding (calculated based on its Commitment as a percentage of the aggregate Commitments outstanding after giving effect to the relevant Commitment Increase) and, in the case of such Increasing Lender, an amount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9" w:name="page30"/>
    <w:bookmarkEnd w:id="29"/>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equal to the excess of (i) such Increasing Lender’s ratable portion of the Revolving Credit Borrowings then outstanding (calculated based on its Commitment as a percentage of the aggregate Commitments outstanding after giving effect to the relevant Commitment Increase) over (ii) such Increasing Lender’s Pro Rata Share of the Revolving Credit Borrowings then outstanding (calculated based on its Commitment (without giving effect to the relevant Commitment Increase) as a percentage of the aggregate Commitments (without giving effect to the relevant Commitment Increase). After the Agent’s receipt of such funds from each such Increasing Lender and each such Assuming Lender, the Agent will promptly thereafter cause to be distributed like funds to the other Lenders for the account of their respective Applicable Lending Offices in an amount to each other Lender such that the aggregate amount of the outstanding Revolving Credit Advances owing to each Lender after giving effect to such distribution equals such Lender’s Pro Rata Share of the Revolving Credit Borrowings then outstanding (calculated based on its Commitment as a percentage of the aggregate Commitments outstanding after giving effect to the relevant Commitment Increase). Within five Business Days after the Borrower receives notice from the Agent, the Borrower, at its own expense, shall execute and deliver to the Agent, Revolving Credit Notes payable to the order of each Assuming Lender, if any, and, each Increasing Lender, dated as of the applicable Increase Date, in a principal amount equal to such Lender’s Commitment after giving effect to the relevant Commitment Increase, and substantially in the form of Exhibit A-1 hereto. The Agent, upon receipt of such Revolving Credit Notes, shall promptly deliver such Revolving Credit Notes to the respective Assuming Lenders and Increasing Lenders.</w:t>
      </w:r>
    </w:p>
    <w:p>
      <w:pPr>
        <w:spacing w:after="0" w:line="26" w:lineRule="exact"/>
        <w:rPr>
          <w:sz w:val="20"/>
          <w:szCs w:val="20"/>
          <w:color w:val="auto"/>
        </w:rPr>
      </w:pPr>
    </w:p>
    <w:p>
      <w:pPr>
        <w:jc w:val="both"/>
        <w:ind w:left="460" w:right="300" w:firstLine="443"/>
        <w:spacing w:after="0" w:line="294" w:lineRule="auto"/>
        <w:tabs>
          <w:tab w:leader="none" w:pos="12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event that the Agent shall not have received notice from the Borrower as to such agreement on or prior to the applicable Commitment Date or the Borrower shall, by notice to the Agent prior to the applicable Increase Date, withdraw its proposal for a Commitment Increase or any of the actions provided for above in clauses (i)(x) through (i)(z) shall not have occurred by 10:00 A.M. (New York City time) on the such Increase Date, such proposal by the Borrower shall be deemed not to have been made. In such event, any actions theretofore taken under clauses (i)(x) through (i)(z) above shall be deemed to be of no effect and all the rights and obligations of the parties shall continue as if no such proposal had been made.</w:t>
      </w:r>
    </w:p>
    <w:p>
      <w:pPr>
        <w:spacing w:after="0" w:line="10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Repayment of Revolving Credit Advances; Term Loan Election</w:t>
      </w:r>
      <w:r>
        <w:rPr>
          <w:rFonts w:ascii="Arial" w:cs="Arial" w:eastAsia="Arial" w:hAnsi="Arial"/>
          <w:sz w:val="16"/>
          <w:szCs w:val="16"/>
          <w:color w:val="auto"/>
        </w:rPr>
        <w:t>. The Borrower shall, subject to the next succeeding sentence, repay to the Agent for the ratable account of the Lenders on the Termination Date the aggregate principal amount of the Revolving Credit Advances then outstanding. The Borrower may, upon not less than 15 days’ notice to the Agent, elect (the “</w:t>
      </w:r>
      <w:r>
        <w:rPr>
          <w:rFonts w:ascii="Arial" w:cs="Arial" w:eastAsia="Arial" w:hAnsi="Arial"/>
          <w:sz w:val="16"/>
          <w:szCs w:val="16"/>
          <w:u w:val="single" w:color="auto"/>
          <w:color w:val="auto"/>
        </w:rPr>
        <w:t>Term Loan Election</w:t>
      </w:r>
      <w:r>
        <w:rPr>
          <w:rFonts w:ascii="Arial" w:cs="Arial" w:eastAsia="Arial" w:hAnsi="Arial"/>
          <w:sz w:val="16"/>
          <w:szCs w:val="16"/>
          <w:color w:val="auto"/>
        </w:rPr>
        <w:t xml:space="preserve">”) to convert a portion or all of the Revolving Credit Advances outstanding on the Termination Date in effect at such time into a term loan which the Borrower shall repay in full ratably to the Lenders on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Term Loan Election may not be exercised if a Default has occurred and is continuing on the date of notice of the Term Loan Election or on the date on which the Term Loan Election is to be effected and (ii) the aggregate principal amount of any portion of the outstanding Revolving Credit Advances not converted pursuant to the Term Loan Election shall be repaid on the Termination Date. All Revolving Credit Advances converted into a term loan pursuant to this Section 2.06 shall continue to constitute Revolving Credit Advances except that the Borrower may not reborrow pursuant to Section 2.01 after all or any portion of such Revolving Credit Advances have been prepaid pursuant to Section 2.10.</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30" w:name="page31"/>
    <w:bookmarkEnd w:id="30"/>
    <w:p>
      <w:pPr>
        <w:jc w:val="both"/>
        <w:ind w:right="2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2.07. </w:t>
      </w:r>
      <w:r>
        <w:rPr>
          <w:rFonts w:ascii="Arial" w:cs="Arial" w:eastAsia="Arial" w:hAnsi="Arial"/>
          <w:sz w:val="18"/>
          <w:szCs w:val="18"/>
          <w:u w:val="single" w:color="auto"/>
          <w:color w:val="auto"/>
        </w:rPr>
        <w:t>Interest on Revolving Credit Advances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Scheduled Interest</w:t>
      </w:r>
      <w:r>
        <w:rPr>
          <w:rFonts w:ascii="Arial" w:cs="Arial" w:eastAsia="Arial" w:hAnsi="Arial"/>
          <w:sz w:val="18"/>
          <w:szCs w:val="18"/>
          <w:color w:val="auto"/>
        </w:rPr>
        <w:t>. The Borrower shall pay interest on the unpaid principal amount of each Revolving Credit Advance owing to each Lender from the date of such Revolving Credit Advance until such principal amount shall be paid in full, at the following rates per annum:</w:t>
      </w:r>
    </w:p>
    <w:p>
      <w:pPr>
        <w:spacing w:after="0" w:line="46" w:lineRule="exact"/>
        <w:rPr>
          <w:sz w:val="20"/>
          <w:szCs w:val="20"/>
          <w:color w:val="auto"/>
        </w:rPr>
      </w:pPr>
    </w:p>
    <w:p>
      <w:pPr>
        <w:jc w:val="both"/>
        <w:ind w:left="460" w:right="100" w:firstLine="443"/>
        <w:spacing w:after="0" w:line="256" w:lineRule="auto"/>
        <w:tabs>
          <w:tab w:leader="none" w:pos="110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Base Rate Advances</w:t>
      </w:r>
      <w:r>
        <w:rPr>
          <w:rFonts w:ascii="Arial" w:cs="Arial" w:eastAsia="Arial" w:hAnsi="Arial"/>
          <w:sz w:val="18"/>
          <w:szCs w:val="18"/>
          <w:color w:val="auto"/>
        </w:rPr>
        <w:t xml:space="preserve">. During such periods as such Revolving Credit Advance is a Base Rate Advance a rate per annum equal at all times to the sum of (x) the Base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the Applicable Utilization Fee, if any, in effect from time to time, payable in arrears quarterly on the last day of each March, June, September and December during such periods and on the date such Base Rate Advance shall be Converted or paid in full.</w:t>
      </w:r>
    </w:p>
    <w:p>
      <w:pPr>
        <w:spacing w:after="0" w:line="48" w:lineRule="exact"/>
        <w:rPr>
          <w:rFonts w:ascii="Arial" w:cs="Arial" w:eastAsia="Arial" w:hAnsi="Arial"/>
          <w:sz w:val="18"/>
          <w:szCs w:val="18"/>
          <w:color w:val="auto"/>
        </w:rPr>
      </w:pPr>
    </w:p>
    <w:p>
      <w:pPr>
        <w:ind w:left="460" w:right="80" w:firstLine="443"/>
        <w:spacing w:after="0" w:line="254" w:lineRule="auto"/>
        <w:tabs>
          <w:tab w:leader="none" w:pos="115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Eurodollar Rate Advances</w:t>
      </w:r>
      <w:r>
        <w:rPr>
          <w:rFonts w:ascii="Arial" w:cs="Arial" w:eastAsia="Arial" w:hAnsi="Arial"/>
          <w:sz w:val="18"/>
          <w:szCs w:val="18"/>
          <w:color w:val="auto"/>
        </w:rPr>
        <w:t xml:space="preserve">. During such periods as such Revolving Credit Advance is a Eurodollar Rate Advance, a rate per annum equal at all times during each Interest Period for such Revolving Credit Advance to the sum of (x) the Eurodollar Rate for such Interest Period for such Revolving Credit Advance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the Applicable Utilization Fee, if any,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130" w:lineRule="exact"/>
        <w:rPr>
          <w:rFonts w:ascii="Arial" w:cs="Arial" w:eastAsia="Arial" w:hAnsi="Arial"/>
          <w:sz w:val="18"/>
          <w:szCs w:val="18"/>
          <w:color w:val="auto"/>
        </w:rPr>
      </w:pPr>
    </w:p>
    <w:p>
      <w:pPr>
        <w:ind w:firstLine="921"/>
        <w:spacing w:after="0" w:line="254" w:lineRule="auto"/>
        <w:tabs>
          <w:tab w:leader="none" w:pos="1161"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Default Interest</w:t>
      </w:r>
      <w:r>
        <w:rPr>
          <w:rFonts w:ascii="Arial" w:cs="Arial" w:eastAsia="Arial" w:hAnsi="Arial"/>
          <w:sz w:val="18"/>
          <w:szCs w:val="18"/>
          <w:color w:val="auto"/>
        </w:rPr>
        <w:t>. The Borrower shall pay interest on (i) overdue principal of each Revolving Credit Advance owing to each Lender, payable in arrears on the dates referred to in clause (a)(i) or (a)(ii) above, at a rate per annum equal at all times to 1% per annum above the rate per annum required to be paid on such Revolving Credit Advance pursuant to clause (a)(i) or (a)(ii) above and (ii) to the fullest extent permitted by law, the amount of any overdue interest, fee or other amount payable hereunder,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w:t>
      </w:r>
    </w:p>
    <w:p>
      <w:pPr>
        <w:spacing w:after="0" w:line="131"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Interest Rate Determination</w:t>
      </w:r>
      <w:r>
        <w:rPr>
          <w:rFonts w:ascii="Arial" w:cs="Arial" w:eastAsia="Arial" w:hAnsi="Arial"/>
          <w:sz w:val="16"/>
          <w:szCs w:val="16"/>
          <w:color w:val="auto"/>
        </w:rPr>
        <w:t>. (a) Each Reference Bank agrees to furnish to the Agent timely information for the purpose of determining each Eurodollar Rate and each LIBO Rate. If any one or more of the Reference Banks shall not furnish such timely information to the Agent for the purpose of determining any such interest rate, the Agent shall determine such interest rate on the basis of timely information furnished by the remaining Reference Banks. The Agent shall give prompt notice to the Borrower and the Lenders of the applicable interest rate determined by the Agent for purposes of Section 2.07(a)(i) or (ii), and the rate, if any, furnished by each Reference Bank for the purpose of determining the interest rate under Section 2.07(a)(ii).</w:t>
      </w:r>
    </w:p>
    <w:p>
      <w:pPr>
        <w:spacing w:after="0" w:line="102" w:lineRule="exact"/>
        <w:rPr>
          <w:sz w:val="20"/>
          <w:szCs w:val="20"/>
          <w:color w:val="auto"/>
        </w:rPr>
      </w:pPr>
    </w:p>
    <w:p>
      <w:pPr>
        <w:ind w:right="40" w:firstLine="921"/>
        <w:spacing w:after="0" w:line="268" w:lineRule="auto"/>
        <w:tabs>
          <w:tab w:leader="none" w:pos="11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with respect to any Eurodollar Rate Advances, the Required Lenders notify the Agent that the Eurodollar Rate for any Interest Period for such Advances will not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31" w:name="page32"/>
    <w:bookmarkEnd w:id="3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adequately reflect the cost to such Required Lenders of making, funding or maintaining their respective Eurodollar Rate Advances for such Interest Period, the Agent shall forthwith so notify the Borrower and the Lenders, whereupon (i) each Eurodollar Rate Advance will automatically, on the last day of the then existing Interest Period therefor, Convert into a Base Rate Advance, and (ii) the obligation of the Lenders to make, or to Convert Revolving Credit Advances into, Eurodollar Rate Advances shall be suspended until the Agent shall notify the Borrower and the Lenders that the circumstances causing such suspension no longer exist.</w:t>
      </w:r>
    </w:p>
    <w:p>
      <w:pPr>
        <w:spacing w:after="0" w:line="129" w:lineRule="exact"/>
        <w:rPr>
          <w:sz w:val="20"/>
          <w:szCs w:val="20"/>
          <w:color w:val="auto"/>
        </w:rPr>
      </w:pPr>
    </w:p>
    <w:p>
      <w:pPr>
        <w:ind w:firstLine="921"/>
        <w:spacing w:after="0" w:line="259" w:lineRule="auto"/>
        <w:tabs>
          <w:tab w:leader="none" w:pos="11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the Borrower shall fail to select the duration of any Interest Period for any Eurodollar Rate Advances in accordance with the provisions contained in the definition of “Interest Period” in Section 1.01, the Agent will forthwith so notify the Borrower and the Lenders and the Borrower shall be deemed to have selected an Interest Period of one month.</w:t>
      </w:r>
    </w:p>
    <w:p>
      <w:pPr>
        <w:spacing w:after="0" w:line="126" w:lineRule="exact"/>
        <w:rPr>
          <w:rFonts w:ascii="Arial" w:cs="Arial" w:eastAsia="Arial" w:hAnsi="Arial"/>
          <w:sz w:val="18"/>
          <w:szCs w:val="18"/>
          <w:color w:val="auto"/>
        </w:rPr>
      </w:pPr>
    </w:p>
    <w:p>
      <w:pPr>
        <w:ind w:right="140" w:firstLine="921"/>
        <w:spacing w:after="0" w:line="259" w:lineRule="auto"/>
        <w:tabs>
          <w:tab w:leader="none" w:pos="1162" w:val="left"/>
        </w:tabs>
        <w:numPr>
          <w:ilvl w:val="1"/>
          <w:numId w:val="24"/>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under Section 6.01(a), (i) each Eurodollar Rate Advance will automatically, on the last day of the then existing Interest Period therefor, Convert into a Base Rate Advance and (ii) the obligation of the Lenders to make, or to Convert Advances into, Eurodollar Rate Advances shall be suspended.</w:t>
      </w:r>
    </w:p>
    <w:p>
      <w:pPr>
        <w:spacing w:after="0" w:line="126" w:lineRule="exact"/>
        <w:rPr>
          <w:rFonts w:ascii="Arial" w:cs="Arial" w:eastAsia="Arial" w:hAnsi="Arial"/>
          <w:sz w:val="18"/>
          <w:szCs w:val="18"/>
          <w:color w:val="auto"/>
        </w:rPr>
      </w:pPr>
    </w:p>
    <w:p>
      <w:pPr>
        <w:jc w:val="both"/>
        <w:ind w:right="80" w:firstLine="921"/>
        <w:spacing w:after="0" w:line="255" w:lineRule="auto"/>
        <w:tabs>
          <w:tab w:leader="none" w:pos="11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fewer than two Reference Banks furnish timely information to the Agent for determining the Eurodollar Rate or LIBO Rate for any Eurodollar Rate Advances or LIBO Rate Advances, as the case may be, the Eurodollar Rate or the LIBO Rate for such Eurodollar Rate Advance or LIBO Rate Advance, as the case may be, shall be an interest rate per annum determined by the Agent to be the offered rate per annum at which deposits in U.S. dollars appears on the Moneyline Telerate Page 3750 (or any successor page) as of 11:00 A.M. (London time), or in the event such offered rate is not available from the Moneyline Telerate Page 3750,</w:t>
      </w:r>
    </w:p>
    <w:p>
      <w:pPr>
        <w:spacing w:after="0" w:line="48" w:lineRule="exact"/>
        <w:rPr>
          <w:rFonts w:ascii="Arial" w:cs="Arial" w:eastAsia="Arial" w:hAnsi="Arial"/>
          <w:sz w:val="18"/>
          <w:szCs w:val="18"/>
          <w:color w:val="auto"/>
        </w:rPr>
      </w:pPr>
    </w:p>
    <w:p>
      <w:pPr>
        <w:ind w:left="460" w:right="260" w:firstLine="443"/>
        <w:spacing w:after="0" w:line="268" w:lineRule="auto"/>
        <w:tabs>
          <w:tab w:leader="none" w:pos="11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Agent shall forthwith notify the Borrower and the Lenders that the interest rate cannot be determined for such Eurodollar Rate Advances or LIBO Rate Advances, as the case may be,</w:t>
      </w:r>
    </w:p>
    <w:p>
      <w:pPr>
        <w:spacing w:after="0" w:line="37" w:lineRule="exact"/>
        <w:rPr>
          <w:rFonts w:ascii="Arial" w:cs="Arial" w:eastAsia="Arial" w:hAnsi="Arial"/>
          <w:sz w:val="18"/>
          <w:szCs w:val="18"/>
          <w:color w:val="auto"/>
        </w:rPr>
      </w:pPr>
    </w:p>
    <w:p>
      <w:pPr>
        <w:ind w:left="460" w:right="380" w:firstLine="443"/>
        <w:spacing w:after="0" w:line="325" w:lineRule="auto"/>
        <w:tabs>
          <w:tab w:leader="none" w:pos="1157"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 respect to Eurodollar Rate Advances, each such Advance will automatically, on the last day of the then existing Interest Period therefor, Convert into a Base Rate Advance (or if such Advance is then a Base Rate Advance, will continue as a Base Rate Advance), and</w:t>
      </w:r>
    </w:p>
    <w:p>
      <w:pPr>
        <w:spacing w:after="0" w:line="1" w:lineRule="exact"/>
        <w:rPr>
          <w:rFonts w:ascii="Arial" w:cs="Arial" w:eastAsia="Arial" w:hAnsi="Arial"/>
          <w:sz w:val="16"/>
          <w:szCs w:val="16"/>
          <w:color w:val="auto"/>
        </w:rPr>
      </w:pPr>
    </w:p>
    <w:p>
      <w:pPr>
        <w:ind w:left="460" w:right="80" w:firstLine="443"/>
        <w:spacing w:after="0" w:line="259" w:lineRule="auto"/>
        <w:tabs>
          <w:tab w:leader="none" w:pos="12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obligation of the Lenders to make Eurodollar Rate Advances or LIBO Rate Advances or to Convert Revolving Credit Advances into Eurodollar Rate Advances shall be suspended until the Agent shall notify the Borrower and the Lenders that the circumstances causing such suspension no longer exist.</w:t>
      </w:r>
    </w:p>
    <w:p>
      <w:pPr>
        <w:spacing w:after="0" w:line="127"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Optional Conversion of Revolving Credit Advances</w:t>
      </w:r>
      <w:r>
        <w:rPr>
          <w:rFonts w:ascii="Arial" w:cs="Arial" w:eastAsia="Arial" w:hAnsi="Arial"/>
          <w:sz w:val="16"/>
          <w:szCs w:val="16"/>
          <w:color w:val="auto"/>
        </w:rPr>
        <w:t>. The Borrower may on any Business Day, upon notice given to the Agent not later than 11:00 A.M. (New York City time) on the third Business Day prior to the date of the proposed Conversion and subject to the provisions of Sections 2.08 and 2.12, Convert all Revolving Credit Advances of one Type comprising the same Borrowing into Revolving Credit Advances of the other Type;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32" w:name="page33"/>
    <w:bookmarkEnd w:id="32"/>
    <w:p>
      <w:pPr>
        <w:spacing w:after="0" w:line="29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Conversion of Base Rate Advances into Eurodollar Rate Advances shall be in an amount not less than the minimum amount specified in Section 2.02(b) and no Conversion of any Revolving Credit Advances shall result in more separate Revolving Credit Borrowings than permitted under Section 2.02(b). Each such notice of a Conversion shall, within the restrictions specified above, specify (i) the date of such Conversion, (ii) the Revolving Credit Advances to be Converted, and (iii) if such Conversion is into Eurodollar Rate Advances, the duration of the initial Interest Period for each such Advance. Each notice of Conversion shall be irrevocable and binding on the Borrower.</w:t>
      </w:r>
    </w:p>
    <w:p>
      <w:pPr>
        <w:spacing w:after="0" w:line="102"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Optional Prepayments of Revolving Credit Advances</w:t>
      </w:r>
      <w:r>
        <w:rPr>
          <w:rFonts w:ascii="Arial" w:cs="Arial" w:eastAsia="Arial" w:hAnsi="Arial"/>
          <w:sz w:val="16"/>
          <w:szCs w:val="16"/>
          <w:color w:val="auto"/>
        </w:rPr>
        <w:t xml:space="preserve">. The Borrower may, in the case of Eurodollar Rate Advances, upon at least two Business Days’ notice to the Agent, and in the case of Base Rate Advances, upon notice to the Agent not later than 11:00 A.M. on the date of such proposed prepayment, stating in each case the proposed date and aggregate principal amount of the prepayment, and if such notice is given the Borrower shall, prepay the outstanding principal amount of the Revolving Credit Advances comprising part of the same Revolving Credit Borrowing in whole or ratably in part, together with accrued interest to the date of such prepayment on the principal amount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each partial prepayment shall be in an aggregate principal amount of $5,000,000 for any Base Rate Advance or $10,000,000 for any Eurodollar Rate Advance or, in each case, an integral multiple of $1,000,000 in excess thereof and (y) in the event of any such prepayment of a Eurodollar Rate Advance, the Borrower shall be obligated to reimburse the Lenders in respect thereof pursuant to Section 8.04(c).</w:t>
      </w:r>
    </w:p>
    <w:p>
      <w:pPr>
        <w:spacing w:after="0" w:line="105"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Increased Costs</w:t>
      </w:r>
      <w:r>
        <w:rPr>
          <w:rFonts w:ascii="Arial" w:cs="Arial" w:eastAsia="Arial" w:hAnsi="Arial"/>
          <w:sz w:val="16"/>
          <w:szCs w:val="16"/>
          <w:color w:val="auto"/>
        </w:rPr>
        <w:t>. (a) If, after the date hereof, due to either (i) the introduction of or any change in or in the interpretation of any law or regulation or (ii) the compliance with any guideline or request from any central bank or other governmental authority (whether or not having the force of law), there shall be any increase in the cost to any Lender (other than in respect of Eurocurrency Liabilities) of agreeing to make or making, funding or maintaining Eurodollar Rate Advances (excluding for purposes of this Section 2.11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shall from time to time, upon demand by such Lender (with a copy of such demand to the Agent), pay to the Agent for the account of such Lender additional amounts sufficient to compensate such Lender for such increased cost. A certificate as to the amount of such increased cost,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2.11(a) to the Borrower in respect of any increased costs except in accordance with the internal policy of such Lender as to the exercise of similar rights and remedies in similar circumstances.</w:t>
      </w:r>
    </w:p>
    <w:p>
      <w:pPr>
        <w:spacing w:after="0" w:line="114" w:lineRule="exact"/>
        <w:rPr>
          <w:sz w:val="20"/>
          <w:szCs w:val="20"/>
          <w:color w:val="auto"/>
        </w:rPr>
      </w:pPr>
    </w:p>
    <w:p>
      <w:pPr>
        <w:ind w:right="300" w:firstLine="921"/>
        <w:spacing w:after="0" w:line="259" w:lineRule="auto"/>
        <w:tabs>
          <w:tab w:leader="none" w:pos="11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any Lender determines that compliance with any law or regulation or any guideline or request from any central bank or other governmental authority (whether or not having the force of law) in either case enacted, adopted or made after the date hereof, affects or would affect the amount of capital required or expected to be maintained by such Lender or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3" w:name="page34"/>
    <w:bookmarkEnd w:id="33"/>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 controlling such Lender and that the amount of such capital is increased by or based upon the existence of such Lender’s commitment to lend hereunder and other commitments of this type, then, upon demand by such Lender (with a copy of such demand to the Agent), the Borrower shall pay to the Agent for the account of such Lender, from time to time as specified by such Lender, additional amounts sufficient to compensate such Lender or such corporation for the reduction of the rate of return on such Lender’s capital or on the capital of such corporation, to the extent that such Lender reasonably determines such increase in capital to be allocable to the existence of such Lender’s commitment to lend hereunder. A certificate as to such amounts,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2.11(b) to the Borrower in respect of any requirements of additional capital except in accordance with the internal policy of such Lender as to the exercise of similar rights and remedies in similar circumstances.</w:t>
      </w:r>
    </w:p>
    <w:p>
      <w:pPr>
        <w:spacing w:after="0" w:line="106" w:lineRule="exact"/>
        <w:rPr>
          <w:sz w:val="20"/>
          <w:szCs w:val="20"/>
          <w:color w:val="auto"/>
        </w:rPr>
      </w:pPr>
    </w:p>
    <w:p>
      <w:pPr>
        <w:ind w:right="60" w:firstLine="921"/>
        <w:spacing w:after="0" w:line="287" w:lineRule="auto"/>
        <w:tabs>
          <w:tab w:leader="none" w:pos="11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any Lender shall give notice to the Agent and the Borrower at any time to the effect that Eurocurrency Reserve Requirements are, or are scheduled to become, effective and that such Lender is or will be generally subject to such Eurocurrency Reserve Requirements (without regard to whether such Lender will be able to benefit from proration or offsets that may be available from time to time under Regulation D) as a result of which such Lender will incur additional costs, then such Lender shall, for each day from the later of the date of such notice and the date on which such Eurocurrency Reserve Requirements become effective, be entitled to additional interest on each Eurodollar Rate Advance made by it at a rate per annum determined for such day (rounded upward to the nearest 100th of 1%) equal to the remainder obtained by subtracting (i) the Eurodollar Rate for such Eurodollar Rate Advance from (ii) the rate obtained by dividing such Eurodollar Rate by a percentage equal to 100% minus the then applicable Eurocurrency Reserve Requirements. Such additional interest will be payable in arrears to the Agent, for the account of such Lender, on each date that interest is payable on such Eurodollar Rate Advance. Any Lender which gives a notice under this paragraph (c) shall promptly withdraw such notice (by written notice of withdrawal given to the Agent and the Borrower) in the event Eurocurrency Reserve Requirements cease to apply to it or the circumstances giving rise to such notice otherwise cease to exist.</w:t>
      </w:r>
    </w:p>
    <w:p>
      <w:pPr>
        <w:spacing w:after="0" w:line="109" w:lineRule="exact"/>
        <w:rPr>
          <w:rFonts w:ascii="Arial" w:cs="Arial" w:eastAsia="Arial" w:hAnsi="Arial"/>
          <w:sz w:val="16"/>
          <w:szCs w:val="16"/>
          <w:color w:val="auto"/>
        </w:rPr>
      </w:pPr>
    </w:p>
    <w:p>
      <w:pPr>
        <w:jc w:val="both"/>
        <w:ind w:right="160" w:firstLine="921"/>
        <w:spacing w:after="0" w:line="259" w:lineRule="auto"/>
        <w:tabs>
          <w:tab w:leader="none" w:pos="11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anything to the contrary herein contained, no Lender shall be entitled to claim any additional amounts pursuant to this Section 2.11 arising with respect to any period of time prior to the date that is 60 days prior to the date on which notice of such claim and the basis therefor is first given to the Borrower pursuant to this Section 2.11.</w:t>
      </w:r>
    </w:p>
    <w:p>
      <w:pPr>
        <w:spacing w:after="0" w:line="12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Illegality</w:t>
      </w:r>
      <w:r>
        <w:rPr>
          <w:rFonts w:ascii="Arial" w:cs="Arial" w:eastAsia="Arial" w:hAnsi="Arial"/>
          <w:sz w:val="18"/>
          <w:szCs w:val="18"/>
          <w:color w:val="auto"/>
        </w:rPr>
        <w:t>. (a)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Advances or LIBO Rate Advances or to fund or maintain Eurodollar Rate Advances or LIBO Rate Advances hereunder, (i) each Eurodollar Rate Advance or LIBO Rate Advance, as the case may be, of such Lender will automatically, upon such demand, Convert into a Base Rate Advance or an Advance that bears interest at the rate set forth in Section 2.07(a)(i), as the case may be, and (ii) the obligation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4" w:name="page35"/>
    <w:bookmarkEnd w:id="34"/>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such Lender to make Eurodollar Rate Advances or LIBO Rate Advances or to Convert Revolving Credit Advances into Eurodollar Rate Advances shall be suspended until the Agent shall notify the Borrower and the Lenders that the circumstances causing such suspension no longer exist. If any Lender shall exercise its rights under this Section 2.12(a), all payments and prepayments of principal which would otherwise have been applied to repay the Eurodollar Rate Advances or LIBO Rate Advances that would have been made by such Lender or the converted Eurodollar Rate Advances or LIBO Rate Advances of such Lender shall instead be applied to repay the Base Rate Advances or Advances bearing interest at the rate set forth in Section 2.07(a)(i), as the case may be, made by such Lender in lieu of, or resulting from the conversion of, such Eurodollar Rate Advances or LIBO Rate Advances, and all distributions of payments in respect of interest shall be made to the Lenders ratably based on the interest rates applicable to their respective Advances.</w:t>
      </w:r>
    </w:p>
    <w:p>
      <w:pPr>
        <w:spacing w:after="0" w:line="105" w:lineRule="exact"/>
        <w:rPr>
          <w:sz w:val="20"/>
          <w:szCs w:val="20"/>
          <w:color w:val="auto"/>
        </w:rPr>
      </w:pPr>
    </w:p>
    <w:p>
      <w:pPr>
        <w:ind w:right="260" w:firstLine="921"/>
        <w:spacing w:after="0" w:line="259" w:lineRule="auto"/>
        <w:tabs>
          <w:tab w:leader="none" w:pos="11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purposes of this Section 2.12, a notice to the Borrower by any Lender shall be effective as to each Eurodollar Rate Advance or LIBO Rate Advance, if lawful, on the last day of the Interest Period currently applicable to such Eurodollar Rate Advance or LIBO Rate Advance; in all other cases such notice shall be effective on the date of receipt by the Borrower.</w:t>
      </w:r>
    </w:p>
    <w:p>
      <w:pPr>
        <w:spacing w:after="0" w:line="127" w:lineRule="exact"/>
        <w:rPr>
          <w:sz w:val="20"/>
          <w:szCs w:val="20"/>
          <w:color w:val="auto"/>
        </w:rPr>
      </w:pPr>
    </w:p>
    <w:p>
      <w:pPr>
        <w:ind w:right="40" w:firstLine="913"/>
        <w:spacing w:after="0" w:line="303" w:lineRule="auto"/>
        <w:rPr>
          <w:sz w:val="20"/>
          <w:szCs w:val="20"/>
          <w:color w:val="auto"/>
        </w:rPr>
      </w:pPr>
      <w:r>
        <w:rPr>
          <w:rFonts w:ascii="Arial" w:cs="Arial" w:eastAsia="Arial" w:hAnsi="Arial"/>
          <w:sz w:val="15"/>
          <w:szCs w:val="15"/>
          <w:color w:val="auto"/>
        </w:rPr>
        <w:t xml:space="preserve">SECTION 2.13. </w:t>
      </w:r>
      <w:r>
        <w:rPr>
          <w:rFonts w:ascii="Arial" w:cs="Arial" w:eastAsia="Arial" w:hAnsi="Arial"/>
          <w:sz w:val="15"/>
          <w:szCs w:val="15"/>
          <w:u w:val="single" w:color="auto"/>
          <w:color w:val="auto"/>
        </w:rPr>
        <w:t>Payments and Computations</w:t>
      </w:r>
      <w:r>
        <w:rPr>
          <w:rFonts w:ascii="Arial" w:cs="Arial" w:eastAsia="Arial" w:hAnsi="Arial"/>
          <w:sz w:val="15"/>
          <w:szCs w:val="15"/>
          <w:color w:val="auto"/>
        </w:rPr>
        <w:t>. (a) The Borrower shall make each payment hereunder and under the Notes not later than 12:00 noon (New York City time) on the day when due in U.S. dollars to the Agent at the Agent’s Account in same day funds. The Agent will promptly thereafter cause to be distributed like funds relating to the payment of principal or interest or facility fees ratably (other than amounts payable pursuant to Section 2.03, 2.11, 2.14 or</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8.07(c), from and after the effective date specified in such Assignment and Acceptance, the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 Upon any Assuming Lender becoming a Lender hereunder as a result of the effectiveness of a Commitment Increase pursuant to Section 2.05(b) or an extension of the Termination Date pursuant to Section 2.17 and upon the Agent’s receipt of such Lender’s Assumption Agreement and recording of the information contained therein in the Register, from and after the applicable Increase Date or Extension Date, as the case may be, the Agent shall make all payments hereunder and under any Notes issued in connection therewith in respect of the interest assumed thereby to the Assuming Lender.</w:t>
      </w:r>
    </w:p>
    <w:p>
      <w:pPr>
        <w:spacing w:after="0" w:line="111" w:lineRule="exact"/>
        <w:rPr>
          <w:sz w:val="20"/>
          <w:szCs w:val="20"/>
          <w:color w:val="auto"/>
        </w:rPr>
      </w:pPr>
    </w:p>
    <w:p>
      <w:pPr>
        <w:ind w:right="140" w:firstLine="921"/>
        <w:spacing w:after="0" w:line="323" w:lineRule="auto"/>
        <w:tabs>
          <w:tab w:leader="none" w:pos="1162" w:val="left"/>
        </w:tabs>
        <w:numPr>
          <w:ilvl w:val="0"/>
          <w:numId w:val="29"/>
        </w:numPr>
        <w:rPr>
          <w:rFonts w:ascii="Arial" w:cs="Arial" w:eastAsia="Arial" w:hAnsi="Arial"/>
          <w:sz w:val="15"/>
          <w:szCs w:val="15"/>
          <w:color w:val="auto"/>
        </w:rPr>
      </w:pPr>
      <w:r>
        <w:rPr>
          <w:rFonts w:ascii="Arial" w:cs="Arial" w:eastAsia="Arial" w:hAnsi="Arial"/>
          <w:sz w:val="15"/>
          <w:szCs w:val="15"/>
          <w:color w:val="auto"/>
        </w:rPr>
        <w:t>All computations of interest based on Citibank’s base rate shall be made by the Agent on the basis of a year of 365 or 366 days, as the case may be, and all computations of interest based on the Eurodollar Rate or the Federal Funds Rate and of facility fees shall be made by the Agent on the basis of a year of 360 days, in each case for the actual number of days (including the first day but excluding the last day) occurring in the period for which such interest or facility fees are payable. Each determination by the Agent of an interest rate hereunder shall be conclusive and binding for all purposes, absent manifest error.</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35" w:name="page36"/>
    <w:bookmarkEnd w:id="35"/>
    <w:p>
      <w:pPr>
        <w:ind w:right="120" w:firstLine="921"/>
        <w:spacing w:after="0" w:line="298" w:lineRule="auto"/>
        <w:tabs>
          <w:tab w:leader="none" w:pos="1152"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extension would cause payment of interest on or principal of Eurodollar Rate Advances or LIBO Rate Advances to be made in the next following calendar month, such payment shall be made on the next preceding Business Day.</w:t>
      </w:r>
    </w:p>
    <w:p>
      <w:pPr>
        <w:spacing w:after="0" w:line="99" w:lineRule="exact"/>
        <w:rPr>
          <w:rFonts w:ascii="Arial" w:cs="Arial" w:eastAsia="Arial" w:hAnsi="Arial"/>
          <w:sz w:val="16"/>
          <w:szCs w:val="16"/>
          <w:color w:val="auto"/>
        </w:rPr>
      </w:pPr>
    </w:p>
    <w:p>
      <w:pPr>
        <w:jc w:val="both"/>
        <w:ind w:right="20" w:firstLine="921"/>
        <w:spacing w:after="0" w:line="254"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Unless the Agent shall have received notice from the Borrower prior to the date on which any payment is due to the Lenders hereunder that the Borrower will not make such payment in full, the Agent may assume that the Borrower has made such payment in full to the Agent on such date and the Agent may,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w:t>
      </w:r>
    </w:p>
    <w:p>
      <w:pPr>
        <w:spacing w:after="0" w:line="13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Taxes</w:t>
      </w:r>
      <w:r>
        <w:rPr>
          <w:rFonts w:ascii="Arial" w:cs="Arial" w:eastAsia="Arial" w:hAnsi="Arial"/>
          <w:sz w:val="16"/>
          <w:szCs w:val="16"/>
          <w:color w:val="auto"/>
        </w:rPr>
        <w:t>. (a) Any and all payments by the Borrower hereunder or under the Notes shall be made, in accordance with Section 2.13, free and clear of and without deduction for any and all present or future taxes, levies, imposts, deductions, charges or withholdings, and all liabilities with respect thereto, excluding, in the case of each Lender and the Agent, taxes imposed on its overall net income, and franchise taxes imposed on it in lieu of net income taxes, by the jurisdiction under the laws of which such Lender or the Agent (as the case may be) is organized or any political subdivision thereof and, in the case of each Lender, taxes imposed on its overall net income, and franchise taxes imposed on it in lieu of net income taxes, by the jurisdiction of such Lender’s Applicable Lending Office or any political subdivision thereof, and further excluding, if any Lender is found as the result of a determination (as defined in Section 1313(a) of the Internal Revenue Code) to be a conduit entity participating in a conduit financing arrangement as defined in Treasury Regulations promulgated under Section 7701(1) of the Internal Revenue Code, the excess of the United States taxes imposed with respect to such Lender over the amount of United States taxes that would have been imposed with respect to such Lender if such determination had not been made with respect to such Lender (all such non-excluded taxes, levies, imposts, deductions, charges, withholdings and liabilities in respect of payments hereunder or under the Notes being hereinafter referred to as “</w:t>
      </w:r>
      <w:r>
        <w:rPr>
          <w:rFonts w:ascii="Arial" w:cs="Arial" w:eastAsia="Arial" w:hAnsi="Arial"/>
          <w:sz w:val="16"/>
          <w:szCs w:val="16"/>
          <w:u w:val="single" w:color="auto"/>
          <w:color w:val="auto"/>
        </w:rPr>
        <w:t>Taxes</w:t>
      </w:r>
      <w:r>
        <w:rPr>
          <w:rFonts w:ascii="Arial" w:cs="Arial" w:eastAsia="Arial" w:hAnsi="Arial"/>
          <w:sz w:val="16"/>
          <w:szCs w:val="16"/>
          <w:color w:val="auto"/>
        </w:rPr>
        <w:t>”). If the Borrower shall be required by law to deduct any Taxes from or in respect of any sum payable hereunder or under any Note to any Lender or the Agent, (i) the sum payable shall be increased as may be necessary so that after making all required deductions (including deductions applicable to additional sums payable under this Section 2.14) such Lender or the Agent (as the case may be) receives an amount equal to the sum it would have received had no such deductions been made, (ii) the Borrower shall make such deductions and (iii) the Borrower shall pay the full amount deducted to the relevant taxation authority or other authority in accordance with applicable law.</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6" w:name="page37"/>
    <w:bookmarkEnd w:id="36"/>
    <w:p>
      <w:pPr>
        <w:ind w:left="-40" w:firstLine="921"/>
        <w:spacing w:after="0" w:line="259" w:lineRule="auto"/>
        <w:tabs>
          <w:tab w:leader="none" w:pos="1122"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the Borrower agrees to pay any present or future stamp or documentary taxes or any other excise or property taxes, charges or similar levies that arise from any payment made hereunder or under the Notes or from the execution, delivery or registration of, performing under, or otherwise with respect to, this Agreement or the Notes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jc w:val="both"/>
        <w:ind w:left="-40" w:right="180" w:firstLine="921"/>
        <w:spacing w:after="0" w:line="256" w:lineRule="auto"/>
        <w:tabs>
          <w:tab w:leader="none" w:pos="11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Borrower shall indemnify each Lender and the Agent for the full amount of Taxes or Other Taxes (including, without limitation, any taxes imposed by any jurisdiction on amounts payable under this Section 2.14) imposed on or paid by such Lender or the Agent (as the case may be) and any liability (including penalties, interest and expenses) arising therefrom or with respect thereto. This indemnification shall be made within 30 days from the date such Lender or the Agent (as the case may be) makes written demand therefor.</w:t>
      </w:r>
    </w:p>
    <w:p>
      <w:pPr>
        <w:spacing w:after="0" w:line="129" w:lineRule="exact"/>
        <w:rPr>
          <w:rFonts w:ascii="Arial" w:cs="Arial" w:eastAsia="Arial" w:hAnsi="Arial"/>
          <w:sz w:val="18"/>
          <w:szCs w:val="18"/>
          <w:color w:val="auto"/>
        </w:rPr>
      </w:pPr>
    </w:p>
    <w:p>
      <w:pPr>
        <w:ind w:left="-40" w:right="80" w:firstLine="921"/>
        <w:spacing w:after="0" w:line="291" w:lineRule="auto"/>
        <w:tabs>
          <w:tab w:leader="none" w:pos="1122" w:val="left"/>
        </w:tabs>
        <w:numPr>
          <w:ilvl w:val="0"/>
          <w:numId w:val="31"/>
        </w:numPr>
        <w:rPr>
          <w:rFonts w:ascii="Arial" w:cs="Arial" w:eastAsia="Arial" w:hAnsi="Arial"/>
          <w:sz w:val="16"/>
          <w:szCs w:val="16"/>
          <w:color w:val="auto"/>
        </w:rPr>
      </w:pPr>
      <w:r>
        <w:rPr>
          <w:rFonts w:ascii="Arial" w:cs="Arial" w:eastAsia="Arial" w:hAnsi="Arial"/>
          <w:sz w:val="16"/>
          <w:szCs w:val="16"/>
          <w:color w:val="auto"/>
        </w:rPr>
        <w:t>Within 30 days after the date of any payment of Taxes, the Borrower shall furnish to the Agent, at its address referred to in Section 8.02, the original or a certified copy of a receipt evidencing payment thereof. In the case of any payment hereunder or under the Notes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 (d) and subsection (e), the terms “</w:t>
      </w:r>
      <w:r>
        <w:rPr>
          <w:rFonts w:ascii="Arial" w:cs="Arial" w:eastAsia="Arial" w:hAnsi="Arial"/>
          <w:sz w:val="16"/>
          <w:szCs w:val="16"/>
          <w:u w:val="single" w:color="auto"/>
          <w:color w:val="auto"/>
        </w:rPr>
        <w:t>United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States</w:t>
      </w:r>
      <w:r>
        <w:rPr>
          <w:rFonts w:ascii="Arial" w:cs="Arial" w:eastAsia="Arial" w:hAnsi="Arial"/>
          <w:sz w:val="16"/>
          <w:szCs w:val="16"/>
          <w:color w:val="auto"/>
        </w:rPr>
        <w:t>” and “</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shall have the meanings specified in Section 7701 of the Internal Revenue Code.</w:t>
      </w:r>
    </w:p>
    <w:p>
      <w:pPr>
        <w:spacing w:after="0" w:line="106" w:lineRule="exact"/>
        <w:rPr>
          <w:rFonts w:ascii="Arial" w:cs="Arial" w:eastAsia="Arial" w:hAnsi="Arial"/>
          <w:sz w:val="16"/>
          <w:szCs w:val="16"/>
          <w:color w:val="auto"/>
        </w:rPr>
      </w:pPr>
    </w:p>
    <w:p>
      <w:pPr>
        <w:ind w:left="-40" w:right="40" w:firstLine="921"/>
        <w:spacing w:after="0" w:line="285" w:lineRule="auto"/>
        <w:tabs>
          <w:tab w:leader="none" w:pos="1112"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Each Lender organized under the laws of a jurisdiction outside the United States, on or prior to the date of its execution and delivery of this Agreement in the case of each Initial Lender and on the date of the Assumption Agreement or the Assignment and Acceptance, as the case may be, pursuant to which it becomes a Lender in the case of each other Lender, and from time to time thereafter as requested in writing by the Borrower (but only so long as such Lender remains lawfully able to do so), shall provide each of the Agent and the Borrower with two original Internal Revenue Service forms W-8BEN or W-8ECI, as appropriate, or any successor or other form prescribed by the Internal Revenue Service, certifying that such Lender is exempt from or entitled to a reduced rate of United States withholding tax on payments pursuant to this Agreement or the Notes. If the forms provided by a Lender at the time such Lender first becomes a party to this Agreement indicate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date of the Assumption Agreement or the Assignment and Acceptance, as the case may be, pursuant to which a Lender assignee becomes a party to this Agreement, the Lender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assignee on such date. If any form or document referred to in this subsection (e) requires the disclosure of information, other than information necessary to compute the tax payable and information required on the date hereof by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80" w:top="280" w:right="259" w:bottom="1440" w:gutter="0" w:footer="0" w:header="0"/>
        </w:sectPr>
      </w:pPr>
    </w:p>
    <w:bookmarkStart w:id="37" w:name="page38"/>
    <w:bookmarkEnd w:id="37"/>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Internal Revenue Service form W-8BEN or W-8ECI, that the Lender reasonably considers to be confidential, the Lender shall give notice thereof to the Borrower and shall not be obligated to include in such form or document such confidential information.</w:t>
      </w:r>
    </w:p>
    <w:p>
      <w:pPr>
        <w:spacing w:after="0" w:line="118" w:lineRule="exact"/>
        <w:rPr>
          <w:sz w:val="20"/>
          <w:szCs w:val="20"/>
          <w:color w:val="auto"/>
        </w:rPr>
      </w:pPr>
    </w:p>
    <w:p>
      <w:pPr>
        <w:ind w:firstLine="921"/>
        <w:spacing w:after="0" w:line="294" w:lineRule="auto"/>
        <w:tabs>
          <w:tab w:leader="none" w:pos="11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any period with respect to which a Lender has failed to provide the Borrower with the appropriate form described in Section 2.14(e)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than</w:t>
      </w:r>
      <w:r>
        <w:rPr>
          <w:rFonts w:ascii="Arial" w:cs="Arial" w:eastAsia="Arial" w:hAnsi="Arial"/>
          <w:sz w:val="16"/>
          <w:szCs w:val="16"/>
          <w:color w:val="auto"/>
        </w:rPr>
        <w:t xml:space="preserve"> if such failure is due to a change in law occurring subsequent to the date on which a form originally was required to be provided, or if such form otherwise is not required under the first sentence of subsection (e) above), such Lender shall not be entitled to indemnification under Section 2.14(a) or (c) with respect to Taxes imposed by the United States by reason of such failure;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should a Lender become subject to Taxes because of its failure to deliver a form required hereunder, the Borrower shall take such steps as the Lender shall reasonably request to assist the Lender to recover such Taxes.</w:t>
      </w:r>
    </w:p>
    <w:p>
      <w:pPr>
        <w:spacing w:after="0" w:line="102" w:lineRule="exact"/>
        <w:rPr>
          <w:rFonts w:ascii="Arial" w:cs="Arial" w:eastAsia="Arial" w:hAnsi="Arial"/>
          <w:sz w:val="16"/>
          <w:szCs w:val="16"/>
          <w:color w:val="auto"/>
        </w:rPr>
      </w:pPr>
    </w:p>
    <w:p>
      <w:pPr>
        <w:jc w:val="both"/>
        <w:ind w:right="140" w:firstLine="921"/>
        <w:spacing w:after="0" w:line="256"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Lender claiming any additional amounts payable pursuant to this Section 2.14 agrees to use reasonable efforts (consistent with its internal policy and legal and regulatory restrictions) to change the jurisdiction of its Eurodollar Lending Office if the making of such a change would avoid the need for, or reduce the amount of, any additional amounts that may thereafter accrue and would not, in the reasonable judgment of such Lender, be otherwise disadvantageous to such Lender.</w:t>
      </w:r>
    </w:p>
    <w:p>
      <w:pPr>
        <w:spacing w:after="0" w:line="13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Sharing of Payments, Etc</w:t>
      </w:r>
      <w:r>
        <w:rPr>
          <w:rFonts w:ascii="Arial" w:cs="Arial" w:eastAsia="Arial" w:hAnsi="Arial"/>
          <w:sz w:val="16"/>
          <w:szCs w:val="16"/>
          <w:color w:val="auto"/>
        </w:rPr>
        <w:t xml:space="preserve">. If any Lender shall obtain any payment (whether voluntary, involuntary, through the exercise of any right of set-off, or otherwise) on account of the Revolving Credit Advances owing to it (other than pursuant to Section 2.11, 2.14 or 8.04(c)) in excess of its ratable share of payments on account of the Revolving Credit Advances obtained by all the Lenders, such Lender shall forthwith purchase from the other Lenders such participations in the Revolving Credit Advances owing to them as shall be necessary to cause such purchasing Lender to share the excess payment ratably with each of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114" w:lineRule="exact"/>
        <w:rPr>
          <w:sz w:val="20"/>
          <w:szCs w:val="20"/>
          <w:color w:val="auto"/>
        </w:rPr>
      </w:pPr>
    </w:p>
    <w:p>
      <w:pPr>
        <w:ind w:right="400" w:firstLine="913"/>
        <w:spacing w:after="0" w:line="332"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Advances shall be available (and the Borrower agrees that it shall use such proceeds) for general corporate purposes of the Borrower and its Subsidiaries, including acquisitions, stock repurchases and commercial paper backstop.</w:t>
      </w:r>
    </w:p>
    <w:p>
      <w:pPr>
        <w:spacing w:after="0" w:line="72"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Extension of Termination Date</w:t>
      </w:r>
      <w:r>
        <w:rPr>
          <w:rFonts w:ascii="Arial" w:cs="Arial" w:eastAsia="Arial" w:hAnsi="Arial"/>
          <w:sz w:val="18"/>
          <w:szCs w:val="18"/>
          <w:color w:val="auto"/>
        </w:rPr>
        <w:t>. (a) At least 30 days but not more than 45 days prior to the Termination Date, the Borrower, by written notice to the Agent,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80" w:right="279" w:bottom="1440" w:gutter="0" w:footer="0" w:header="0"/>
        </w:sectPr>
      </w:pPr>
    </w:p>
    <w:bookmarkStart w:id="38" w:name="page39"/>
    <w:bookmarkEnd w:id="38"/>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request an extension of the Termination Date in effect at such time by 364 days from its then scheduled expiration. The Agent shall promptly notify each Lender of such request, and each Lender shall in turn, in its sole discretion, not later than 20 days prior to the Termination Date, notify the Borrower and the Agent in writing as to whether such Lender will consent to such extension. If any Lender shall fail to notify the Agent and the Borrower in writing of its consent to any such request for extension of the Termination Date at least 20 days prior to the Termination Date, such Lender shall be deemed to be a Non-Consenting Lender with respect to such request. The Agent shall notify the Borrower not later than 15 days prior to the Termination Date of the decision of the Lenders regarding the Borrower’s request for an extension of the Termination Date.</w:t>
      </w:r>
    </w:p>
    <w:p>
      <w:pPr>
        <w:spacing w:after="0" w:line="107" w:lineRule="exact"/>
        <w:rPr>
          <w:sz w:val="20"/>
          <w:szCs w:val="20"/>
          <w:color w:val="auto"/>
        </w:rPr>
      </w:pPr>
    </w:p>
    <w:p>
      <w:pPr>
        <w:ind w:firstLine="921"/>
        <w:spacing w:after="0" w:line="286" w:lineRule="auto"/>
        <w:tabs>
          <w:tab w:leader="none" w:pos="1162"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all the Lenders consent in writing to any such request in accordance with subsection (a) of this Section 2.17, the Termination Date in effect at such time shall, effective as at the Termination Date (the “</w:t>
      </w:r>
      <w:r>
        <w:rPr>
          <w:rFonts w:ascii="Arial" w:cs="Arial" w:eastAsia="Arial" w:hAnsi="Arial"/>
          <w:sz w:val="16"/>
          <w:szCs w:val="16"/>
          <w:u w:val="single" w:color="auto"/>
          <w:color w:val="auto"/>
        </w:rPr>
        <w:t>Extension Date</w:t>
      </w:r>
      <w:r>
        <w:rPr>
          <w:rFonts w:ascii="Arial" w:cs="Arial" w:eastAsia="Arial" w:hAnsi="Arial"/>
          <w:sz w:val="16"/>
          <w:szCs w:val="16"/>
          <w:color w:val="auto"/>
        </w:rPr>
        <w:t xml:space="preserve">”), be extended for 364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each Extension Date the applicable conditions set forth in Article III shall be satisfied. If less than all of the Lenders consent in writing to any such request in accordance with subsection (a) of this Section 2.17, the Termination Date in effect at such time shall, effective as at the applicable Extension Date and subject to subsection (d) of this Section 2.17, be extended as to those Lenders that so consented (each a “</w:t>
      </w:r>
      <w:r>
        <w:rPr>
          <w:rFonts w:ascii="Arial" w:cs="Arial" w:eastAsia="Arial" w:hAnsi="Arial"/>
          <w:sz w:val="16"/>
          <w:szCs w:val="16"/>
          <w:u w:val="single" w:color="auto"/>
          <w:color w:val="auto"/>
        </w:rPr>
        <w:t>Consenting Lender</w:t>
      </w:r>
      <w:r>
        <w:rPr>
          <w:rFonts w:ascii="Arial" w:cs="Arial" w:eastAsia="Arial" w:hAnsi="Arial"/>
          <w:sz w:val="16"/>
          <w:szCs w:val="16"/>
          <w:color w:val="auto"/>
        </w:rPr>
        <w:t>”) but shall not be extended as to any other Lender (each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To the extent that the Termination Date is not extended as to any Lender pursuant to this Section 2.17 and the Commitment of such Lender is not assumed in accordance with subsection (c) of this Section 2.17 on or prior to the applicable Extension Date, the Commitment of such Non-Consenting Lender shall automatically terminate in whole on such unextended Termination Date without any further notice or other action by the Borrower, such Lender or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Non-Consenting Lender’s rights under Sections 2.11, 2.14 and 8.04, and its obligations under Section 7.05, shall survive the Termination Date for such Lender as to matters occurring prior to such date. It is understood and agreed that no Lender shall have any obligation whatsoever to agree to any request made by the Borrower for any requested extension of the Termination Date.</w:t>
      </w:r>
    </w:p>
    <w:p>
      <w:pPr>
        <w:spacing w:after="0" w:line="113" w:lineRule="exact"/>
        <w:rPr>
          <w:rFonts w:ascii="Arial" w:cs="Arial" w:eastAsia="Arial" w:hAnsi="Arial"/>
          <w:sz w:val="16"/>
          <w:szCs w:val="16"/>
          <w:color w:val="auto"/>
        </w:rPr>
      </w:pPr>
    </w:p>
    <w:p>
      <w:pPr>
        <w:ind w:firstLine="921"/>
        <w:spacing w:after="0" w:line="286" w:lineRule="auto"/>
        <w:tabs>
          <w:tab w:leader="none" w:pos="1152"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If less than all of the Lenders consent to any such request pursuant to subsection (a) of this Section 2.17, the Agent shall promptly so notify the Consenting Lenders, and each Consenting Lender may, in its sole discretion, give written notice to the Agent not later than 10 days prior to the Termination Date of the amount of the Non-Consenting Lenders’ Commitments for which it is willing to accept an assignment. If the Consenting Lenders notify the Agent that they are willing to accept assignments of Commitments in an aggregate amount that exceeds the amount of the Commitments of the Non-Consenting Lenders, such Commitments shall be allocated among the Consenting Lenders willing to accept such assignments in such amounts as are agreed between the Borrower and the Agent. If after giving effect to the assignments of Commitments described above there remains any Commitments of Non-Consenting Lenders, the Borrower may arrange for one or more Consenting Lenders or other Eligible Assignees as Assuming Lenders to assume, effective as of the Extension Date, any Non-Consenting Lender’s Commitment and all of the obligations of such Non-Consenting Lender under this Agreement thereafter arising, without recourse to or warranty by, or expense to, such Non-Consenting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amount of the Commitment of any such Assuming Lender as a result of such substitution shall in no event be less than $10,000,000 unless the amount of the Commitment of such Non-Consenting Lender is less than $10,000,000, in which case such Assuming Lender shall assume all of such lesser amount;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w:t>
      </w:r>
    </w:p>
    <w:p>
      <w:pPr>
        <w:spacing w:after="0" w:line="32" w:lineRule="exact"/>
        <w:rPr>
          <w:rFonts w:ascii="Arial" w:cs="Arial" w:eastAsia="Arial" w:hAnsi="Arial"/>
          <w:sz w:val="16"/>
          <w:szCs w:val="16"/>
          <w:color w:val="auto"/>
        </w:rPr>
      </w:pPr>
    </w:p>
    <w:p>
      <w:pPr>
        <w:ind w:left="460" w:right="60" w:firstLine="443"/>
        <w:spacing w:after="0" w:line="306" w:lineRule="auto"/>
        <w:tabs>
          <w:tab w:leader="none" w:pos="1108"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such Consenting Lender or Assuming Lender shall have paid to such Non-Consenting Lender (A) the aggregate principal amount of, and any interest accrued and unpaid to the effective date of the assignment on, the outstanding Advances, if any, of such Non-Consenting Lender plus (B) any accrued but unpaid facility fees owing to such Non-Consenting Lender as of the effective date of such assignment;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9" w:name="page40"/>
    <w:bookmarkEnd w:id="39"/>
    <w:p>
      <w:pPr>
        <w:jc w:val="both"/>
        <w:ind w:left="460" w:right="20" w:firstLine="443"/>
        <w:spacing w:after="0" w:line="259" w:lineRule="auto"/>
        <w:tabs>
          <w:tab w:leader="none" w:pos="1157"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45" w:lineRule="exact"/>
        <w:rPr>
          <w:rFonts w:ascii="Arial" w:cs="Arial" w:eastAsia="Arial" w:hAnsi="Arial"/>
          <w:sz w:val="18"/>
          <w:szCs w:val="18"/>
          <w:color w:val="auto"/>
        </w:rPr>
      </w:pPr>
    </w:p>
    <w:p>
      <w:pPr>
        <w:ind w:left="460" w:right="300" w:firstLine="443"/>
        <w:spacing w:after="0" w:line="268" w:lineRule="auto"/>
        <w:tabs>
          <w:tab w:leader="none" w:pos="12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any such Assuming Lender, the applicable processing and recordation fee required under Section 8.07(a) for such assignment shall have been paid;</w:t>
      </w:r>
    </w:p>
    <w:p>
      <w:pPr>
        <w:spacing w:after="0" w:line="11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Non-Consenting Lender’s rights under Sections 2.11, 2.14 and 8.04, and its obligations under Section 7.05, shall survive such substitution as to matters occurring prior to the date of substitution. At least three Business Days prior to any Extension Date, (A) each such Assuming Lender, if any, shall have delivered to the Borrower and the Agent an Assumption Agreement, duly executed by such Assuming Lender, such Non-Consenting Lender, the Borrower and the Agent, (B) any such Consenting Lender shall have delivered confirmation in writing satisfactory to the Borrower and the Agent as to the increase in the amount of its Commitment and (C) each Non-Consenting Lender being replaced pursuant to this Section 2.17 shall have delivered to the Agent any Note or Notes held by such Non-Consenting Lender. Upon the payment or prepayment of all amounts referred to in clauses (i), (ii) and (iii) of the immediately preceding sentence, each such Consenting Lender or Assuming Lender, as of the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pacing w:after="0" w:line="106" w:lineRule="exact"/>
        <w:rPr>
          <w:sz w:val="20"/>
          <w:szCs w:val="20"/>
          <w:color w:val="auto"/>
        </w:rPr>
      </w:pPr>
    </w:p>
    <w:p>
      <w:pPr>
        <w:ind w:firstLine="921"/>
        <w:spacing w:after="0" w:line="289" w:lineRule="auto"/>
        <w:tabs>
          <w:tab w:leader="none" w:pos="1162"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(after giving effect to any assignments or assumptions pursuant to subsection (c) of this Section 2.17) Lenders having Commitments equal to at least 50% of the Commitments in effect immediately prior to the Extension Date consent in writing to a requested extension (whether by execution or delivery of an Assumption Agreement or otherwise) not later than one Business Day prior to such Extension Date, the Agent shall so notify the Borrower, and, subject to the satisfaction to the applicable conditions in Article III, the Termination Date then in effect shall be extended for the additional 364-day period as described in subsection (a) of this Section 2.17, and all references in this Agreement, and in the Notes, if any, to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shall, with respect to each Consenting Lender and each Assuming Lender for such Extension Date, refer to the Termination Date as so extended. Promptly following each Extension Date, the Agent shall notify the Lenders (including, without limitation, each Assuming Lender) of the extension of the scheduled Termination Date in effect immediately prior thereto and shall thereupon record in the Register the relevant information with respect to each such Consenting Lender and each such Assuming Lender.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 TO EFFECTIVENESS AND LENDING</w:t>
      </w:r>
    </w:p>
    <w:p>
      <w:pPr>
        <w:spacing w:after="0" w:line="158"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Effectiveness of Sections 2.01 and 2.03</w:t>
      </w:r>
      <w:r>
        <w:rPr>
          <w:rFonts w:ascii="Arial" w:cs="Arial" w:eastAsia="Arial" w:hAnsi="Arial"/>
          <w:sz w:val="18"/>
          <w:szCs w:val="18"/>
          <w:color w:val="auto"/>
        </w:rPr>
        <w:t>. Sections 2.01 and 2.03 of this Agreement shall become effective on and as of the first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the following conditions precedent have been satisfied:</w:t>
      </w:r>
    </w:p>
    <w:p>
      <w:pPr>
        <w:spacing w:after="0" w:line="37" w:lineRule="exact"/>
        <w:rPr>
          <w:sz w:val="20"/>
          <w:szCs w:val="20"/>
          <w:color w:val="auto"/>
        </w:rPr>
      </w:pPr>
    </w:p>
    <w:p>
      <w:pPr>
        <w:ind w:left="460" w:right="80" w:firstLine="443"/>
        <w:spacing w:after="0" w:line="268" w:lineRule="auto"/>
        <w:tabs>
          <w:tab w:leader="none" w:pos="11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Borrower shall have paid all accrued fees and expenses of the Agent and the Lenders (including the accrued fees and expenses of counsel to the Agent).</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the Effective Date, the following statements shall be true and the Agent shall have received for the account of each Lender a certificate signed by a duly authorized officer of the Borrower, dated the Effective Date, stating that:</w:t>
      </w:r>
    </w:p>
    <w:p>
      <w:pPr>
        <w:spacing w:after="0" w:line="37" w:lineRule="exact"/>
        <w:rPr>
          <w:rFonts w:ascii="Arial" w:cs="Arial" w:eastAsia="Arial" w:hAnsi="Arial"/>
          <w:sz w:val="18"/>
          <w:szCs w:val="18"/>
          <w:color w:val="auto"/>
        </w:rPr>
      </w:pPr>
    </w:p>
    <w:p>
      <w:pPr>
        <w:ind w:left="1560" w:hanging="219"/>
        <w:spacing w:after="0"/>
        <w:tabs>
          <w:tab w:leader="none" w:pos="15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4.01 are correct in all material respects on and as of the Effective Date, and</w:t>
      </w:r>
    </w:p>
    <w:p>
      <w:pPr>
        <w:spacing w:after="0" w:line="99" w:lineRule="exact"/>
        <w:rPr>
          <w:rFonts w:ascii="Arial" w:cs="Arial" w:eastAsia="Arial" w:hAnsi="Arial"/>
          <w:sz w:val="16"/>
          <w:szCs w:val="16"/>
          <w:color w:val="auto"/>
        </w:rPr>
      </w:pPr>
    </w:p>
    <w:p>
      <w:pPr>
        <w:ind w:left="1600" w:hanging="259"/>
        <w:spacing w:after="0"/>
        <w:tabs>
          <w:tab w:leader="none" w:pos="1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 event has occurred and is continuing that constitutes a Default.</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Agent shall have received on or before the Effective Date the following, each dated such day, in form and substance satisfactory to the Agent and (except for the Revolving Credit Notes) in sufficient copies for each Lender:</w:t>
      </w:r>
    </w:p>
    <w:p>
      <w:pPr>
        <w:spacing w:after="0" w:line="37" w:lineRule="exact"/>
        <w:rPr>
          <w:rFonts w:ascii="Arial" w:cs="Arial" w:eastAsia="Arial" w:hAnsi="Arial"/>
          <w:sz w:val="18"/>
          <w:szCs w:val="18"/>
          <w:color w:val="auto"/>
        </w:rPr>
      </w:pPr>
    </w:p>
    <w:p>
      <w:pPr>
        <w:ind w:left="1560" w:hanging="219"/>
        <w:spacing w:after="0"/>
        <w:tabs>
          <w:tab w:leader="none" w:pos="15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Revolving Credit Notes to the order of the Lenders, respectively.</w:t>
      </w:r>
    </w:p>
    <w:p>
      <w:pPr>
        <w:spacing w:after="0" w:line="76"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37"/>
        </w:numPr>
        <w:rPr>
          <w:rFonts w:ascii="Arial" w:cs="Arial" w:eastAsia="Arial" w:hAnsi="Arial"/>
          <w:sz w:val="18"/>
          <w:szCs w:val="18"/>
          <w:color w:val="auto"/>
        </w:rPr>
      </w:pPr>
      <w:r>
        <w:rPr>
          <w:rFonts w:ascii="Arial" w:cs="Arial" w:eastAsia="Arial" w:hAnsi="Arial"/>
          <w:sz w:val="18"/>
          <w:szCs w:val="18"/>
          <w:color w:val="auto"/>
        </w:rPr>
        <w:t>Certified copies of the resolutions of the Board of Directors of (x) the Borrower approving this Agreement and the Notes, and of all documents evidencing other necessary corporate action and governmental approvals, if any, with respect to this Agreement and the Notes and (y) the Newspaper Subsidiary approving the Subsidiary Guaranty.</w:t>
      </w:r>
    </w:p>
    <w:p>
      <w:pPr>
        <w:spacing w:after="0" w:line="45" w:lineRule="exact"/>
        <w:rPr>
          <w:rFonts w:ascii="Arial" w:cs="Arial" w:eastAsia="Arial" w:hAnsi="Arial"/>
          <w:sz w:val="18"/>
          <w:szCs w:val="18"/>
          <w:color w:val="auto"/>
        </w:rPr>
      </w:pPr>
    </w:p>
    <w:p>
      <w:pPr>
        <w:ind w:left="920" w:right="240" w:firstLine="421"/>
        <w:spacing w:after="0" w:line="259" w:lineRule="auto"/>
        <w:tabs>
          <w:tab w:leader="none" w:pos="164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of each of the Borrower and the Newspaper Subsidiary certifying the names and true signatures of the officers of such Loan Party authorized to sign each Loan Document to which it is a party and the other documents to be delivered by it hereunder.</w:t>
      </w:r>
    </w:p>
    <w:p>
      <w:pPr>
        <w:spacing w:after="0" w:line="45" w:lineRule="exact"/>
        <w:rPr>
          <w:rFonts w:ascii="Arial" w:cs="Arial" w:eastAsia="Arial" w:hAnsi="Arial"/>
          <w:sz w:val="18"/>
          <w:szCs w:val="18"/>
          <w:color w:val="auto"/>
        </w:rPr>
      </w:pPr>
    </w:p>
    <w:p>
      <w:pPr>
        <w:ind w:left="1640" w:hanging="299"/>
        <w:spacing w:after="0"/>
        <w:tabs>
          <w:tab w:leader="none" w:pos="16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 guaranty in substantially the form of Exhibit F hereto (as amended, supplemented or otherwise modified from time to time, the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duly executed by the Newspaper Subsidiary.</w:t>
      </w:r>
    </w:p>
    <w:p>
      <w:pPr>
        <w:spacing w:after="0" w:line="70" w:lineRule="exact"/>
        <w:rPr>
          <w:sz w:val="20"/>
          <w:szCs w:val="20"/>
          <w:color w:val="auto"/>
        </w:rPr>
      </w:pPr>
    </w:p>
    <w:p>
      <w:pPr>
        <w:ind w:left="920" w:right="140" w:firstLine="421"/>
        <w:spacing w:after="0" w:line="268" w:lineRule="auto"/>
        <w:tabs>
          <w:tab w:leader="none" w:pos="15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favorable opinion of Diana M. Daniels, general counsel for the Borrower, substantially in the form of Exhibit E-1 hereto and as to such other matters as any Lender through the Agent may reasonably request.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41" w:name="page42"/>
    <w:bookmarkEnd w:id="41"/>
    <w:p>
      <w:pPr>
        <w:ind w:left="920" w:right="120" w:firstLine="421"/>
        <w:spacing w:after="0" w:line="268" w:lineRule="auto"/>
        <w:tabs>
          <w:tab w:leader="none" w:pos="1637"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favorable opinion of Diana M. Daniels, general counsel for the Borrower, substantially in the form of Exhibit E-2 hereto and as to such other matters as any Lender through the Agent may reasonably request.</w:t>
      </w:r>
    </w:p>
    <w:p>
      <w:pPr>
        <w:spacing w:after="0" w:line="37" w:lineRule="exact"/>
        <w:rPr>
          <w:rFonts w:ascii="Arial" w:cs="Arial" w:eastAsia="Arial" w:hAnsi="Arial"/>
          <w:sz w:val="18"/>
          <w:szCs w:val="18"/>
          <w:color w:val="auto"/>
        </w:rPr>
      </w:pPr>
    </w:p>
    <w:p>
      <w:pPr>
        <w:ind w:left="1680" w:hanging="339"/>
        <w:spacing w:after="0"/>
        <w:tabs>
          <w:tab w:leader="none" w:pos="16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favorable opinion of Shearman &amp; Sterling LLP, counsel for the Agent, in form and substance satisfactory to the Agent.</w:t>
      </w:r>
    </w:p>
    <w:p>
      <w:pPr>
        <w:spacing w:after="0" w:line="76" w:lineRule="exact"/>
        <w:rPr>
          <w:rFonts w:ascii="Arial" w:cs="Arial" w:eastAsia="Arial" w:hAnsi="Arial"/>
          <w:sz w:val="18"/>
          <w:szCs w:val="18"/>
          <w:color w:val="auto"/>
        </w:rPr>
      </w:pPr>
    </w:p>
    <w:p>
      <w:pPr>
        <w:ind w:left="460" w:right="40" w:firstLine="443"/>
        <w:spacing w:after="0" w:line="255" w:lineRule="auto"/>
        <w:tabs>
          <w:tab w:leader="none" w:pos="11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shall have terminated the commitments, and paid in full all Debt, interest, fees and other amounts outstanding, under the 364-Day Credit Agreement dated as of August 11, 2004 among the Borrower, the lenders parties thereto, SunTrust Bank and Wachovia Bank, National Association, as syndication agents, JPMorgan Chase Bank, as documentation agent, and Citibank, as administrative agent for the lenders, and each of the Lenders that is a party to such credit agreement hereby waives, upon execution of this Agreement, the requirement of prior notice under such credit agreement relating to the termination of commitments thereunder.</w:t>
      </w:r>
    </w:p>
    <w:p>
      <w:pPr>
        <w:spacing w:after="0" w:line="129"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Conditions Precedent to Each Revolving Credit Borrowing, Increase Date and Extension Date</w:t>
      </w:r>
      <w:r>
        <w:rPr>
          <w:rFonts w:ascii="Arial" w:cs="Arial" w:eastAsia="Arial" w:hAnsi="Arial"/>
          <w:sz w:val="16"/>
          <w:szCs w:val="16"/>
          <w:color w:val="auto"/>
        </w:rPr>
        <w:t>. The obligation of each Lender to make a Revolving Credit Advance on the occasion of each Revolving Credit Borrowing (other than a Competitive Bid Advance), each Commitment Increase and each extension of Commitments pursuant to Section 2.17 shall be subject to the conditions precedent that the Effective Date shall have occurred and on the date of such Revolving Credit Borrowing, such Increase Date or such Extension Date the following statements shall be true (and each of the giving of the applicable Notice of Revolving Credit Borrowing, request for Commitment Increase, request for Commitment Extension and the acceptance by the Borrower of the proceeds of such Revolving Credit Borrowing shall constitute a representation and warranty by the Borrower that on the date of such Revolving Credit Borrowing, such Increase Date or such Extension Date such statements are true):</w:t>
      </w:r>
    </w:p>
    <w:p>
      <w:pPr>
        <w:spacing w:after="0" w:line="24" w:lineRule="exact"/>
        <w:rPr>
          <w:sz w:val="20"/>
          <w:szCs w:val="20"/>
          <w:color w:val="auto"/>
        </w:rPr>
      </w:pPr>
    </w:p>
    <w:p>
      <w:pPr>
        <w:ind w:left="460" w:right="100" w:firstLine="443"/>
        <w:spacing w:after="0" w:line="298" w:lineRule="auto"/>
        <w:tabs>
          <w:tab w:leader="none" w:pos="113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4.01 and, so long as the Subsidiary Guaranty is in effect, in Section 6 of the Subsidiary Guaranty are correct in all material respects on and as of date of such Revolving Credit Borrowing, such Increase Date or such Extension Date, before and after giving effect to such Revolving Credit Borrowing, such Increase Date or such Extension Date and to the application of the proceeds therefrom, as though made on and as of such date except to the extent such representations and warranties expressly relate to an earlier date, and</w:t>
      </w:r>
    </w:p>
    <w:p>
      <w:pPr>
        <w:spacing w:after="0" w:line="18"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Revolving Credit Borrowing, such Increase Date or such Extension Date or from the application of the proceeds therefrom, that constitutes a Default.</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Conditions Precedent to Each Competitive Bid Borrowing</w:t>
      </w:r>
      <w:r>
        <w:rPr>
          <w:rFonts w:ascii="Arial" w:cs="Arial" w:eastAsia="Arial" w:hAnsi="Arial"/>
          <w:sz w:val="18"/>
          <w:szCs w:val="18"/>
          <w:color w:val="auto"/>
        </w:rPr>
        <w:t>. The obligation of each Lender that is to make a Competitive Bid Advance on the occasion of a Competitive Bid Borrowing to make such Competitive Bid Advance as part of such Competitive Bid Borrowing is subject to the conditions precedent that (i) the Agent shall have received the written confirmatory Notice of Competitive Bid Borrowing with respect thereto, (ii) on or before the date of such Competitive Bid Borrowing, but prior to such Competitive Bid Borrowing, the Agent shall have received a Competitive Bid Note payable to the order of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42" w:name="page43"/>
    <w:bookmarkEnd w:id="42"/>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Lender for each of the one or more Competitive Bid Advances to be made by such Lender as part of such Competitive Bid Borrowing, in a principal amount equal to the principal amount of the Competitive Bid Advance to be evidenced thereby and otherwise on such terms as were agreed to for such Competitive Bid Advance in accordance with Section 2.03, and (iii) on the date of such Competitive Bid Borrowing the following statements shall be true (and each of the giving of the applicable Notice of Competitive Bid Borrowing and the acceptance by the Borrower of the proceeds of such Competitive Bid Borrowing shall constitute a representation and warranty by the Borrower that on the date of such Competitive Bid Borrowing such statements are true):</w:t>
      </w:r>
    </w:p>
    <w:p>
      <w:pPr>
        <w:spacing w:after="0" w:line="21" w:lineRule="exact"/>
        <w:rPr>
          <w:sz w:val="20"/>
          <w:szCs w:val="20"/>
          <w:color w:val="auto"/>
        </w:rPr>
      </w:pPr>
    </w:p>
    <w:p>
      <w:pPr>
        <w:jc w:val="both"/>
        <w:ind w:left="460" w:right="240" w:firstLine="443"/>
        <w:spacing w:after="0" w:line="306" w:lineRule="auto"/>
        <w:tabs>
          <w:tab w:leader="none" w:pos="11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4.01 and, so long as the Subsidiary Guaranty is in effect, in Section 6 of the Subsidiary Guaranty are correct in all material respects on and as of the date of such Competitive Bid Borrowing, before and after giving effect to such Competitive Bid Borrowing and to the application of the proceeds therefrom, as though made on and as of such date, and</w:t>
      </w:r>
    </w:p>
    <w:p>
      <w:pPr>
        <w:spacing w:after="0" w:line="12"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Competitive Bid Borrowing or from the application of the proceeds therefrom, that constitutes a Default.</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Determinations Under Section 3.01</w:t>
      </w:r>
      <w:r>
        <w:rPr>
          <w:rFonts w:ascii="Arial" w:cs="Arial" w:eastAsia="Arial" w:hAnsi="Arial"/>
          <w:sz w:val="16"/>
          <w:szCs w:val="16"/>
          <w:color w:val="auto"/>
        </w:rPr>
        <w:t>.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 by notice to the Lenders, designates as the proposed Effective Date, specifying its objection thereto. The Agent shall promptly notify the Lenders and the Borrower of the occurrence of the Effective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represents and warrants as follows:</w:t>
      </w:r>
    </w:p>
    <w:p>
      <w:pPr>
        <w:spacing w:after="0" w:line="77" w:lineRule="exact"/>
        <w:rPr>
          <w:sz w:val="20"/>
          <w:szCs w:val="20"/>
          <w:color w:val="auto"/>
        </w:rPr>
      </w:pPr>
    </w:p>
    <w:p>
      <w:pPr>
        <w:ind w:left="1140" w:hanging="237"/>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Borrower is a corporation duly organized, validly existing and in good standing under the laws of the State of Delaware.</w:t>
      </w:r>
    </w:p>
    <w:p>
      <w:pPr>
        <w:spacing w:after="0" w:line="76" w:lineRule="exact"/>
        <w:rPr>
          <w:rFonts w:ascii="Arial" w:cs="Arial" w:eastAsia="Arial" w:hAnsi="Arial"/>
          <w:sz w:val="18"/>
          <w:szCs w:val="18"/>
          <w:color w:val="auto"/>
        </w:rPr>
      </w:pPr>
    </w:p>
    <w:p>
      <w:pPr>
        <w:ind w:left="460" w:right="220" w:firstLine="443"/>
        <w:spacing w:after="0" w:line="306" w:lineRule="auto"/>
        <w:tabs>
          <w:tab w:leader="none" w:pos="11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execution, delivery and performance by the Borrower of this Agreement and the Notes, and the consummation of the transactions contemplated hereby, are within the Borrower’s corporate powers, have been duly authorized by all necessary corporate action, and do not contravene (i) the Borrower’s charter or by-laws or (ii) law or any contractual restriction binding on or affecting the Borrower.</w:t>
      </w:r>
    </w:p>
    <w:p>
      <w:pPr>
        <w:spacing w:after="0" w:line="12" w:lineRule="exact"/>
        <w:rPr>
          <w:rFonts w:ascii="Arial" w:cs="Arial" w:eastAsia="Arial" w:hAnsi="Arial"/>
          <w:sz w:val="16"/>
          <w:szCs w:val="16"/>
          <w:color w:val="auto"/>
        </w:rPr>
      </w:pPr>
    </w:p>
    <w:p>
      <w:pPr>
        <w:ind w:left="460" w:right="140" w:firstLine="443"/>
        <w:spacing w:after="0" w:line="268" w:lineRule="auto"/>
        <w:tabs>
          <w:tab w:leader="none" w:pos="11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or regulatory body or any other third party is required for the due execution, delivery and performance by the Borrower of this Agreement or the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43" w:name="page44"/>
    <w:bookmarkEnd w:id="43"/>
    <w:p>
      <w:pPr>
        <w:ind w:right="280" w:firstLine="443"/>
        <w:spacing w:after="0" w:line="259" w:lineRule="auto"/>
        <w:tabs>
          <w:tab w:leader="none" w:pos="687"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has been, and each of the Notes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w:t>
      </w:r>
    </w:p>
    <w:p>
      <w:pPr>
        <w:spacing w:after="0" w:line="45" w:lineRule="exact"/>
        <w:rPr>
          <w:rFonts w:ascii="Arial" w:cs="Arial" w:eastAsia="Arial" w:hAnsi="Arial"/>
          <w:sz w:val="18"/>
          <w:szCs w:val="18"/>
          <w:color w:val="auto"/>
        </w:rPr>
      </w:pPr>
    </w:p>
    <w:p>
      <w:pPr>
        <w:ind w:firstLine="443"/>
        <w:spacing w:after="0" w:line="288" w:lineRule="auto"/>
        <w:tabs>
          <w:tab w:leader="none" w:pos="67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Consolidated balance sheet of the Borrower and its Subsidiaries as at January 2, 2005, and the related Consolidated statements of income and cash flows of the Borrower and its Subsidiaries for the fiscal year then ended, accompanied by an opinion of PricewaterhouseCoopers LLP, independent public accountants, and the condensed Consolidated balance sheet of the Borrower and its Subsidiaries as at April 3, 2005, and the related condensed Consolidated statements of income and cash flows of the Borrower and its Subsidiaries for the three months then ended, duly certified by the chief financial officer of the Borrower, copies of which have been furnished to each Lender, fairly present, subject in the case of said balance sheet as at April 3, 2005, and said statements of income and cash flows for the three months then ended, to year-end audit adjustments and to the absence of footnote disclosure,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 applied. Between January 2, 2005 and the date hereof, there has been no Material Adverse Change.</w:t>
      </w:r>
    </w:p>
    <w:p>
      <w:pPr>
        <w:spacing w:after="0" w:line="25" w:lineRule="exact"/>
        <w:rPr>
          <w:rFonts w:ascii="Arial" w:cs="Arial" w:eastAsia="Arial" w:hAnsi="Arial"/>
          <w:sz w:val="16"/>
          <w:szCs w:val="16"/>
          <w:color w:val="auto"/>
        </w:rPr>
      </w:pPr>
    </w:p>
    <w:p>
      <w:pPr>
        <w:ind w:right="40" w:firstLine="443"/>
        <w:spacing w:after="0" w:line="256" w:lineRule="auto"/>
        <w:tabs>
          <w:tab w:leader="none" w:pos="6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is no pending or threatened action, suit, investigation, litigation or proceeding, including, without limitation, any Environmental Action, affecting the Borrower or any of its Subsidiaries before any court, governmental agency or arbitrator that (i) is pending or threatened on the date hereof and is reasonably likely to have a Material Adverse Effect or (ii) purports to affect the legality, validity or enforceability of this Agreement or any Note or the consummation of the transactions contemplated hereby.</w:t>
      </w:r>
    </w:p>
    <w:p>
      <w:pPr>
        <w:spacing w:after="0" w:line="48" w:lineRule="exact"/>
        <w:rPr>
          <w:rFonts w:ascii="Arial" w:cs="Arial" w:eastAsia="Arial" w:hAnsi="Arial"/>
          <w:sz w:val="18"/>
          <w:szCs w:val="18"/>
          <w:color w:val="auto"/>
        </w:rPr>
      </w:pPr>
    </w:p>
    <w:p>
      <w:pPr>
        <w:ind w:right="700" w:firstLine="443"/>
        <w:spacing w:after="0" w:line="268" w:lineRule="auto"/>
        <w:tabs>
          <w:tab w:leader="none" w:pos="68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Borrower is not, and immediately after the application by the Borrower of the proceeds of each Advance will not be an “investment company” within the meaning of the Investment Company Act of 1940, as amended.</w:t>
      </w:r>
    </w:p>
    <w:p>
      <w:pPr>
        <w:spacing w:after="0" w:line="37" w:lineRule="exact"/>
        <w:rPr>
          <w:rFonts w:ascii="Arial" w:cs="Arial" w:eastAsia="Arial" w:hAnsi="Arial"/>
          <w:sz w:val="18"/>
          <w:szCs w:val="18"/>
          <w:color w:val="auto"/>
        </w:rPr>
      </w:pPr>
    </w:p>
    <w:p>
      <w:pPr>
        <w:ind w:right="80" w:firstLine="443"/>
        <w:spacing w:after="0" w:line="256" w:lineRule="auto"/>
        <w:tabs>
          <w:tab w:leader="none" w:pos="68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After giving effect to the application of the proceeds of each Advance, not more than 25% of the value of the assets of the Borrower and its Subsidiaries (as determined in good faith by the Borrower) subject to the provisions of Section 5.02(a) or subject to any restriction contained in any agreement or instrument between the Borrower and any Lender or any Affiliate of any Lender relating to Debt and within the scope of Section 6.01(d) will consist of or be represented by Margin Stock.</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700" w:top="280"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THE BORROWER</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Affirmative Covenants</w:t>
      </w:r>
      <w:r>
        <w:rPr>
          <w:rFonts w:ascii="Arial" w:cs="Arial" w:eastAsia="Arial" w:hAnsi="Arial"/>
          <w:sz w:val="16"/>
          <w:szCs w:val="16"/>
          <w:color w:val="auto"/>
        </w:rPr>
        <w:t>. So long as any Advance shall remain unpaid or any Lender shall have any Commitment hereunder,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 will:</w:t>
      </w:r>
    </w:p>
    <w:p>
      <w:pPr>
        <w:spacing w:after="0" w:line="70" w:lineRule="exact"/>
        <w:rPr>
          <w:sz w:val="20"/>
          <w:szCs w:val="20"/>
          <w:color w:val="auto"/>
        </w:rPr>
      </w:pPr>
    </w:p>
    <w:p>
      <w:pPr>
        <w:ind w:left="460" w:right="180" w:firstLine="443"/>
        <w:spacing w:after="0" w:line="294" w:lineRule="auto"/>
        <w:tabs>
          <w:tab w:leader="none" w:pos="113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Compliance with Laws, Etc</w:t>
      </w:r>
      <w:r>
        <w:rPr>
          <w:rFonts w:ascii="Arial" w:cs="Arial" w:eastAsia="Arial" w:hAnsi="Arial"/>
          <w:sz w:val="16"/>
          <w:szCs w:val="16"/>
          <w:color w:val="auto"/>
        </w:rPr>
        <w:t xml:space="preserve">. Comply, and cause each of its Subsidiaries to comply, in all material respects, with all applicable laws, rules, regulations and orders, such compliance to include, without limitation, compliance with ERISA and Environmental Laws, except to the extent that any failures to so comply, individually or in the aggregate, would not be reasonably likely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any of its Subsidiaries shall be required to comply with any law, rule, regulation or order to the extent it is being contested in good faith and by proper proceedings and as to which appropriate reserves are being maintained.</w:t>
      </w:r>
    </w:p>
    <w:p>
      <w:pPr>
        <w:spacing w:after="0" w:line="21" w:lineRule="exact"/>
        <w:rPr>
          <w:rFonts w:ascii="Arial" w:cs="Arial" w:eastAsia="Arial" w:hAnsi="Arial"/>
          <w:sz w:val="16"/>
          <w:szCs w:val="16"/>
          <w:color w:val="auto"/>
        </w:rPr>
      </w:pPr>
    </w:p>
    <w:p>
      <w:pPr>
        <w:ind w:left="460" w:right="60" w:firstLine="443"/>
        <w:spacing w:after="0" w:line="256"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Payment of Taxes, Etc</w:t>
      </w:r>
      <w:r>
        <w:rPr>
          <w:rFonts w:ascii="Arial" w:cs="Arial" w:eastAsia="Arial" w:hAnsi="Arial"/>
          <w:sz w:val="18"/>
          <w:szCs w:val="18"/>
          <w:color w:val="auto"/>
        </w:rPr>
        <w:t xml:space="preserve">. Pay and discharge, and cause each of its Subsidiaries to pay and discharge, before the same shall become delinquent, all material taxes, assessments and governmental charges or levies imposed upon it or upon its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Borrower nor any of its Subsidiaries shall be required to pay or discharge any such tax, assessment, charge or claim that is being contested in good faith and by proper proceedings and as to which appropriate reserves are being maintained.</w:t>
      </w:r>
    </w:p>
    <w:p>
      <w:pPr>
        <w:spacing w:after="0" w:line="48" w:lineRule="exact"/>
        <w:rPr>
          <w:rFonts w:ascii="Arial" w:cs="Arial" w:eastAsia="Arial" w:hAnsi="Arial"/>
          <w:sz w:val="18"/>
          <w:szCs w:val="18"/>
          <w:color w:val="auto"/>
        </w:rPr>
      </w:pPr>
    </w:p>
    <w:p>
      <w:pPr>
        <w:ind w:left="460" w:right="80" w:firstLine="443"/>
        <w:spacing w:after="0" w:line="306" w:lineRule="auto"/>
        <w:tabs>
          <w:tab w:leader="none" w:pos="113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Significant Subsidiary operates.</w:t>
      </w:r>
    </w:p>
    <w:p>
      <w:pPr>
        <w:spacing w:after="0" w:line="12" w:lineRule="exact"/>
        <w:rPr>
          <w:rFonts w:ascii="Arial" w:cs="Arial" w:eastAsia="Arial" w:hAnsi="Arial"/>
          <w:sz w:val="16"/>
          <w:szCs w:val="16"/>
          <w:color w:val="auto"/>
        </w:rPr>
      </w:pPr>
    </w:p>
    <w:p>
      <w:pPr>
        <w:ind w:left="460" w:right="140" w:firstLine="443"/>
        <w:spacing w:after="0" w:line="298" w:lineRule="auto"/>
        <w:tabs>
          <w:tab w:leader="none" w:pos="114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Preservation of Corporate Existence, Etc</w:t>
      </w:r>
      <w:r>
        <w:rPr>
          <w:rFonts w:ascii="Arial" w:cs="Arial" w:eastAsia="Arial" w:hAnsi="Arial"/>
          <w:sz w:val="16"/>
          <w:szCs w:val="16"/>
          <w:color w:val="auto"/>
        </w:rPr>
        <w:t xml:space="preserve">. Preserve and maintain, and so long as the Subsidiary Guaranty is in effect, cause the Newspaper Subsidiary to preserve and maintain, its corporate or other legal existence, rights (charter and statutory) and franchises if the loss or failure to maintain the same could, individually or in the aggregate, be reasonably likely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and the Newspaper Subsidiary may consummate any merger, consolidation or other transaction permitted under Section 5.02(b).</w:t>
      </w:r>
    </w:p>
    <w:p>
      <w:pPr>
        <w:spacing w:after="0" w:line="18" w:lineRule="exact"/>
        <w:rPr>
          <w:rFonts w:ascii="Arial" w:cs="Arial" w:eastAsia="Arial" w:hAnsi="Arial"/>
          <w:sz w:val="16"/>
          <w:szCs w:val="16"/>
          <w:color w:val="auto"/>
        </w:rPr>
      </w:pPr>
    </w:p>
    <w:p>
      <w:pPr>
        <w:ind w:left="460" w:firstLine="443"/>
        <w:spacing w:after="0" w:line="294" w:lineRule="auto"/>
        <w:tabs>
          <w:tab w:leader="none" w:pos="113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Visitation Rights</w:t>
      </w:r>
      <w:r>
        <w:rPr>
          <w:rFonts w:ascii="Arial" w:cs="Arial" w:eastAsia="Arial" w:hAnsi="Arial"/>
          <w:sz w:val="16"/>
          <w:szCs w:val="16"/>
          <w:color w:val="auto"/>
        </w:rPr>
        <w:t>. At any reasonable time and from time to time on reasonable notice and at reasonable intervals, permit the Agent or any of the Lenders, or any agents or representatives thereof, to visit the properties of the Borrower and any of its Subsidiaries and to discuss the affairs, finances and accounts of the Borrower and any of its Subsidiaries with any of their officers or directors and, during the continuance of any Default, to examine and make copies of and abstracts from the records and books of account of the Borrower and any of its Subsidiaries and to discuss the affairs, finances and accounts of the Borrower and any of its Subsidiaries with their independent certified public accountants.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5" w:name="page46"/>
    <w:bookmarkEnd w:id="45"/>
    <w:p>
      <w:pPr>
        <w:ind w:right="20" w:firstLine="443"/>
        <w:spacing w:after="0" w:line="259" w:lineRule="auto"/>
        <w:tabs>
          <w:tab w:leader="none" w:pos="65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Keeping of Books</w:t>
      </w:r>
      <w:r>
        <w:rPr>
          <w:rFonts w:ascii="Arial" w:cs="Arial" w:eastAsia="Arial" w:hAnsi="Arial"/>
          <w:sz w:val="18"/>
          <w:szCs w:val="18"/>
          <w:color w:val="auto"/>
        </w:rPr>
        <w:t>. Keep, and cause each of its Subsidiaries to keep, proper books of record and account, in which entries shall be made of all financial transactions and the assets and business of the Borrower and each such Subsidiary in accordance with generally accepted accounting principles in effect from time to time.</w:t>
      </w:r>
    </w:p>
    <w:p>
      <w:pPr>
        <w:spacing w:after="0" w:line="45" w:lineRule="exact"/>
        <w:rPr>
          <w:rFonts w:ascii="Arial" w:cs="Arial" w:eastAsia="Arial" w:hAnsi="Arial"/>
          <w:sz w:val="18"/>
          <w:szCs w:val="18"/>
          <w:color w:val="auto"/>
        </w:rPr>
      </w:pPr>
    </w:p>
    <w:p>
      <w:pPr>
        <w:ind w:right="120" w:firstLine="443"/>
        <w:spacing w:after="0" w:line="306" w:lineRule="auto"/>
        <w:tabs>
          <w:tab w:leader="none" w:pos="687"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Maintenance of Properties, Etc</w:t>
      </w:r>
      <w:r>
        <w:rPr>
          <w:rFonts w:ascii="Arial" w:cs="Arial" w:eastAsia="Arial" w:hAnsi="Arial"/>
          <w:sz w:val="16"/>
          <w:szCs w:val="16"/>
          <w:color w:val="auto"/>
        </w:rPr>
        <w:t>.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pacing w:after="0" w:line="12" w:lineRule="exact"/>
        <w:rPr>
          <w:rFonts w:ascii="Arial" w:cs="Arial" w:eastAsia="Arial" w:hAnsi="Arial"/>
          <w:sz w:val="16"/>
          <w:szCs w:val="16"/>
          <w:color w:val="auto"/>
        </w:rPr>
      </w:pPr>
    </w:p>
    <w:p>
      <w:pPr>
        <w:ind w:right="200" w:firstLine="443"/>
        <w:spacing w:after="0" w:line="268" w:lineRule="auto"/>
        <w:tabs>
          <w:tab w:leader="none" w:pos="68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Primary Business</w:t>
      </w:r>
      <w:r>
        <w:rPr>
          <w:rFonts w:ascii="Arial" w:cs="Arial" w:eastAsia="Arial" w:hAnsi="Arial"/>
          <w:sz w:val="18"/>
          <w:szCs w:val="18"/>
          <w:color w:val="auto"/>
        </w:rPr>
        <w:t>. The Borrower shall continue to be engaged primarily in lines of business as carried on at the date hereof or lines of business related thereto.</w:t>
      </w:r>
    </w:p>
    <w:p>
      <w:pPr>
        <w:spacing w:after="0" w:line="37" w:lineRule="exact"/>
        <w:rPr>
          <w:rFonts w:ascii="Arial" w:cs="Arial" w:eastAsia="Arial" w:hAnsi="Arial"/>
          <w:sz w:val="18"/>
          <w:szCs w:val="18"/>
          <w:color w:val="auto"/>
        </w:rPr>
      </w:pPr>
    </w:p>
    <w:p>
      <w:pPr>
        <w:ind w:left="660" w:hanging="21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Furnish to the Lenders:</w:t>
      </w:r>
    </w:p>
    <w:p>
      <w:pPr>
        <w:spacing w:after="0" w:line="76" w:lineRule="exact"/>
        <w:rPr>
          <w:rFonts w:ascii="Arial" w:cs="Arial" w:eastAsia="Arial" w:hAnsi="Arial"/>
          <w:sz w:val="18"/>
          <w:szCs w:val="18"/>
          <w:color w:val="auto"/>
        </w:rPr>
      </w:pPr>
    </w:p>
    <w:p>
      <w:pPr>
        <w:ind w:left="460" w:right="40" w:firstLine="421"/>
        <w:spacing w:after="0" w:line="290" w:lineRule="auto"/>
        <w:tabs>
          <w:tab w:leader="none" w:pos="1089"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within 55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of the Borrower as having been prepared in accordance with generally accepted accounting principles and certificates of the chief financial officer of the Borrower as to compliance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23" w:lineRule="exact"/>
        <w:rPr>
          <w:rFonts w:ascii="Arial" w:cs="Arial" w:eastAsia="Arial" w:hAnsi="Arial"/>
          <w:sz w:val="16"/>
          <w:szCs w:val="16"/>
          <w:color w:val="auto"/>
        </w:rPr>
      </w:pPr>
    </w:p>
    <w:p>
      <w:pPr>
        <w:ind w:left="460" w:firstLine="421"/>
        <w:spacing w:after="0" w:line="291" w:lineRule="auto"/>
        <w:tabs>
          <w:tab w:leader="none" w:pos="1138"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within 105 days after the end of each fiscal year of the Borrower, a copy of the audited financial statements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PricewaterhouseCoopers LLP or other independent public accountants of recognized national 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20"/>
          </w:cols>
          <w:pgMar w:left="700" w:top="280" w:right="279" w:bottom="1440" w:gutter="0" w:footer="0" w:header="0"/>
        </w:sectPr>
      </w:pPr>
    </w:p>
    <w:bookmarkStart w:id="46" w:name="page47"/>
    <w:bookmarkEnd w:id="46"/>
    <w:p>
      <w:pPr>
        <w:ind w:left="920" w:right="120" w:firstLine="421"/>
        <w:spacing w:after="0" w:line="259" w:lineRule="auto"/>
        <w:tabs>
          <w:tab w:leader="none" w:pos="1647"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soon as possible and in any event within seven days after the occurrence of each Default continuing on the date of such statement, a statement of the chief financial officer of the Borrower setting forth details of such Default and the action that the Borrower has taken and proposes to take with respect thereto;</w:t>
      </w:r>
    </w:p>
    <w:p>
      <w:pPr>
        <w:spacing w:after="0" w:line="45" w:lineRule="exact"/>
        <w:rPr>
          <w:rFonts w:ascii="Arial" w:cs="Arial" w:eastAsia="Arial" w:hAnsi="Arial"/>
          <w:sz w:val="18"/>
          <w:szCs w:val="18"/>
          <w:color w:val="auto"/>
        </w:rPr>
      </w:pPr>
    </w:p>
    <w:p>
      <w:pPr>
        <w:ind w:left="920" w:right="40" w:firstLine="421"/>
        <w:spacing w:after="0" w:line="306" w:lineRule="auto"/>
        <w:tabs>
          <w:tab w:leader="none" w:pos="1637"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promptly after the sending or filing thereof, copies of all quarterly and annual reports and proxy solicitations that the Borrower sends to its public securityholders generally, and copies of all reports on Form 8-K and registration statements for the public offering (other than pursuant to employee Plans) of securities that the Borrower files with the Securities and Exchange Commission or any national securities exchange;</w:t>
      </w:r>
    </w:p>
    <w:p>
      <w:pPr>
        <w:spacing w:after="0" w:line="12" w:lineRule="exact"/>
        <w:rPr>
          <w:rFonts w:ascii="Arial" w:cs="Arial" w:eastAsia="Arial" w:hAnsi="Arial"/>
          <w:sz w:val="16"/>
          <w:szCs w:val="16"/>
          <w:color w:val="auto"/>
        </w:rPr>
      </w:pPr>
    </w:p>
    <w:p>
      <w:pPr>
        <w:ind w:left="920" w:right="520" w:firstLine="421"/>
        <w:spacing w:after="0" w:line="268" w:lineRule="auto"/>
        <w:tabs>
          <w:tab w:leader="none" w:pos="15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promptly after the commencement thereof, notice of all actions and proceedings before any court, governmental agency or arbitrator affecting the Borrower or any of its Subsidiaries of the type described in Section 4.01(f); and</w:t>
      </w:r>
    </w:p>
    <w:p>
      <w:pPr>
        <w:spacing w:after="0" w:line="37" w:lineRule="exact"/>
        <w:rPr>
          <w:rFonts w:ascii="Arial" w:cs="Arial" w:eastAsia="Arial" w:hAnsi="Arial"/>
          <w:sz w:val="18"/>
          <w:szCs w:val="18"/>
          <w:color w:val="auto"/>
        </w:rPr>
      </w:pPr>
    </w:p>
    <w:p>
      <w:pPr>
        <w:ind w:left="920" w:right="660" w:firstLine="421"/>
        <w:spacing w:after="0" w:line="268" w:lineRule="auto"/>
        <w:tabs>
          <w:tab w:leader="none" w:pos="16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other information respecting the Borrower or any of its Subsidiaries as any Lender through the Agent may from time to time reasonably request.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Negative Covenants</w:t>
      </w:r>
      <w:r>
        <w:rPr>
          <w:rFonts w:ascii="Arial" w:cs="Arial" w:eastAsia="Arial" w:hAnsi="Arial"/>
          <w:sz w:val="16"/>
          <w:szCs w:val="16"/>
          <w:color w:val="auto"/>
        </w:rPr>
        <w:t>. So long as any Advance shall remain unpaid or any Lender shall have any Commitment hereunder,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 will not:</w:t>
      </w:r>
    </w:p>
    <w:p>
      <w:pPr>
        <w:spacing w:after="0" w:line="70" w:lineRule="exact"/>
        <w:rPr>
          <w:sz w:val="20"/>
          <w:szCs w:val="20"/>
          <w:color w:val="auto"/>
        </w:rPr>
      </w:pPr>
    </w:p>
    <w:p>
      <w:pPr>
        <w:jc w:val="both"/>
        <w:ind w:left="460" w:firstLine="443"/>
        <w:spacing w:after="0" w:line="259" w:lineRule="auto"/>
        <w:tabs>
          <w:tab w:leader="none" w:pos="113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Liens, Etc</w:t>
      </w:r>
      <w:r>
        <w:rPr>
          <w:rFonts w:ascii="Arial" w:cs="Arial" w:eastAsia="Arial" w:hAnsi="Arial"/>
          <w:sz w:val="18"/>
          <w:szCs w:val="18"/>
          <w:color w:val="auto"/>
        </w:rPr>
        <w:t>. Create or suffer to exist, or permit any of its Subsidiaries to create or suffer to exist, any Lien on or with respect to any of its properties (which for purposes of this subsection (a) shall be deemed not to include shares of the Borrower’s capital stock), whether now owned or hereafter acquired, or assign, or permit any of its Subsidiaries to assign, any right to receive income, other than:</w:t>
      </w:r>
    </w:p>
    <w:p>
      <w:pPr>
        <w:spacing w:after="0" w:line="45" w:lineRule="exact"/>
        <w:rPr>
          <w:rFonts w:ascii="Arial" w:cs="Arial" w:eastAsia="Arial" w:hAnsi="Arial"/>
          <w:sz w:val="18"/>
          <w:szCs w:val="18"/>
          <w:color w:val="auto"/>
        </w:rPr>
      </w:pPr>
    </w:p>
    <w:p>
      <w:pPr>
        <w:ind w:left="1560" w:hanging="219"/>
        <w:spacing w:after="0"/>
        <w:tabs>
          <w:tab w:leader="none" w:pos="15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76" w:lineRule="exact"/>
        <w:rPr>
          <w:rFonts w:ascii="Arial" w:cs="Arial" w:eastAsia="Arial" w:hAnsi="Arial"/>
          <w:sz w:val="18"/>
          <w:szCs w:val="18"/>
          <w:color w:val="auto"/>
        </w:rPr>
      </w:pPr>
    </w:p>
    <w:p>
      <w:pPr>
        <w:ind w:left="920" w:firstLine="421"/>
        <w:spacing w:after="0" w:line="312" w:lineRule="auto"/>
        <w:tabs>
          <w:tab w:leader="none" w:pos="1598" w:val="left"/>
        </w:tabs>
        <w:numPr>
          <w:ilvl w:val="1"/>
          <w:numId w:val="48"/>
        </w:numPr>
        <w:rPr>
          <w:rFonts w:ascii="Arial" w:cs="Arial" w:eastAsia="Arial" w:hAnsi="Arial"/>
          <w:sz w:val="15"/>
          <w:szCs w:val="15"/>
          <w:color w:val="auto"/>
        </w:rPr>
      </w:pPr>
      <w:r>
        <w:rPr>
          <w:rFonts w:ascii="Arial" w:cs="Arial" w:eastAsia="Arial" w:hAnsi="Arial"/>
          <w:sz w:val="15"/>
          <w:szCs w:val="15"/>
          <w:color w:val="auto"/>
        </w:rPr>
        <w:t xml:space="preserve">purchase money Liens upon or in any real property or equipment acquired or held by the Borrower or any Subsidiary in the ordinary course of business to secure the purchase price of such property or equipment or to secure Debt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or a lesser amount,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such Lien shall extend to or cover any properties of any character other than the real property or equipment being acquired (or, in the case of improvements to real property, the real property being improved), and no such extension, renewal or replacement shall extend to or cover any properties not theretofore subject to the Lien being extended, renewed or replaced,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47" w:name="page48"/>
    <w:bookmarkEnd w:id="47"/>
    <w:p>
      <w:pPr>
        <w:ind w:left="1640" w:hanging="299"/>
        <w:spacing w:after="0"/>
        <w:tabs>
          <w:tab w:leader="none" w:pos="1640" w:val="left"/>
        </w:tabs>
        <w:numPr>
          <w:ilvl w:val="1"/>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Liens existing on the Effective Date and described on Schedule 5.02(a) hereto,</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Liens securing Debt payable to the Borrower,</w:t>
      </w:r>
    </w:p>
    <w:p>
      <w:pPr>
        <w:spacing w:after="0" w:line="76" w:lineRule="exact"/>
        <w:rPr>
          <w:rFonts w:ascii="Arial" w:cs="Arial" w:eastAsia="Arial" w:hAnsi="Arial"/>
          <w:sz w:val="18"/>
          <w:szCs w:val="18"/>
          <w:color w:val="auto"/>
        </w:rPr>
      </w:pPr>
    </w:p>
    <w:p>
      <w:pPr>
        <w:ind w:left="920" w:right="40" w:firstLine="421"/>
        <w:spacing w:after="0" w:line="268" w:lineRule="auto"/>
        <w:tabs>
          <w:tab w:leader="none" w:pos="15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other Liens securing Debt in an aggregate principal amount not to exceed at any time outstanding an amount equal to 20% of Consolidated Shareholders’ Equity, and</w:t>
      </w:r>
    </w:p>
    <w:p>
      <w:pPr>
        <w:spacing w:after="0" w:line="37" w:lineRule="exact"/>
        <w:rPr>
          <w:rFonts w:ascii="Arial" w:cs="Arial" w:eastAsia="Arial" w:hAnsi="Arial"/>
          <w:sz w:val="18"/>
          <w:szCs w:val="18"/>
          <w:color w:val="auto"/>
        </w:rPr>
      </w:pPr>
    </w:p>
    <w:p>
      <w:pPr>
        <w:ind w:left="920" w:right="80" w:firstLine="421"/>
        <w:spacing w:after="0" w:line="268" w:lineRule="auto"/>
        <w:tabs>
          <w:tab w:leader="none" w:pos="16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replacement, extension or renewal of any Lien permitted by clause (iii) above upon or in the same property theretofore subject thereto or the replacement, extension or renewal (without increase in the amount) of the Debt secured thereby.</w:t>
      </w:r>
    </w:p>
    <w:p>
      <w:pPr>
        <w:spacing w:after="0" w:line="37"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Mergers, Etc</w:t>
      </w:r>
      <w:r>
        <w:rPr>
          <w:rFonts w:ascii="Arial" w:cs="Arial" w:eastAsia="Arial" w:hAnsi="Arial"/>
          <w:sz w:val="16"/>
          <w:szCs w:val="16"/>
          <w:color w:val="auto"/>
        </w:rPr>
        <w:t xml:space="preserve">. Merge or consolidate with or into, or convey, transfer, lease or otherwise dispose of (whether in one transaction or in a series of transactions) all or substantially all of its assets (whether now owned or hereafter acquired) to, any Person, or so long as the Subsidiary Guaranty is in effect, permit the Newspaper Subsidiary to do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and the Newspaper Subsidiary may merge or consolidate with any other Person so long as the Borrower or the Newspaper Subsidiary, as the case may be, is the surviving entity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Default shall have occurred and be continuing at the time of such proposed transaction or would result therefrom.</w:t>
      </w:r>
    </w:p>
    <w:p>
      <w:pPr>
        <w:spacing w:after="0" w:line="21" w:lineRule="exact"/>
        <w:rPr>
          <w:rFonts w:ascii="Arial" w:cs="Arial" w:eastAsia="Arial" w:hAnsi="Arial"/>
          <w:sz w:val="16"/>
          <w:szCs w:val="16"/>
          <w:color w:val="auto"/>
        </w:rPr>
      </w:pPr>
    </w:p>
    <w:p>
      <w:pPr>
        <w:ind w:left="460" w:right="320" w:firstLine="443"/>
        <w:spacing w:after="0" w:line="259" w:lineRule="auto"/>
        <w:tabs>
          <w:tab w:leader="none" w:pos="1137"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Make or permit, or permit any of its Subsidiaries to make or permit, any change in accounting policies or reporting practices, except as permitted by generally accepted accounting principles and, in the case of any significant change, concurred with by the Borrower’s independent public accountants.</w:t>
      </w:r>
    </w:p>
    <w:p>
      <w:pPr>
        <w:spacing w:after="0" w:line="127"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Financial Covenant</w:t>
      </w:r>
      <w:r>
        <w:rPr>
          <w:rFonts w:ascii="Arial" w:cs="Arial" w:eastAsia="Arial" w:hAnsi="Arial"/>
          <w:sz w:val="18"/>
          <w:szCs w:val="18"/>
          <w:color w:val="auto"/>
        </w:rPr>
        <w:t>. So long as any Advance shall remain unpaid or any Lender shall have any Commitment hereunder, the Borrower will maintain Consolidated Shareholders’ Equity of not less than $1,000,000,000.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EVENTS OF DEFAULT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77" w:lineRule="exact"/>
        <w:rPr>
          <w:sz w:val="20"/>
          <w:szCs w:val="20"/>
          <w:color w:val="auto"/>
        </w:rPr>
      </w:pPr>
    </w:p>
    <w:p>
      <w:pPr>
        <w:ind w:left="460" w:right="60" w:firstLine="443"/>
        <w:spacing w:after="0" w:line="256" w:lineRule="auto"/>
        <w:tabs>
          <w:tab w:leader="none" w:pos="11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Advance when the same becomes due and payable (or, if any such failure is due solely to technical or administrative difficulties relating to the transfer of such principal payment, within two Business Days after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48" w:name="page49"/>
    <w:bookmarkEnd w:id="48"/>
    <w:p>
      <w:pPr>
        <w:ind w:right="140" w:firstLine="443"/>
        <w:spacing w:after="0" w:line="268" w:lineRule="auto"/>
        <w:tabs>
          <w:tab w:leader="none" w:pos="687"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representation or warranty made by any Loan Party in any Loan Document or by any Loan Party (or any of its officers) in connection with any Loan Document shall prove to have been incorrect in any material respect when made; or</w:t>
      </w:r>
    </w:p>
    <w:p>
      <w:pPr>
        <w:spacing w:after="0" w:line="37" w:lineRule="exact"/>
        <w:rPr>
          <w:rFonts w:ascii="Arial" w:cs="Arial" w:eastAsia="Arial" w:hAnsi="Arial"/>
          <w:sz w:val="18"/>
          <w:szCs w:val="18"/>
          <w:color w:val="auto"/>
        </w:rPr>
      </w:pPr>
    </w:p>
    <w:p>
      <w:pPr>
        <w:ind w:right="60" w:firstLine="443"/>
        <w:spacing w:after="0" w:line="306" w:lineRule="auto"/>
        <w:tabs>
          <w:tab w:leader="none" w:pos="677" w:val="left"/>
        </w:tabs>
        <w:numPr>
          <w:ilvl w:val="0"/>
          <w:numId w:val="52"/>
        </w:numPr>
        <w:rPr>
          <w:rFonts w:ascii="Arial" w:cs="Arial" w:eastAsia="Arial" w:hAnsi="Arial"/>
          <w:sz w:val="16"/>
          <w:szCs w:val="16"/>
          <w:color w:val="auto"/>
        </w:rPr>
      </w:pPr>
      <w:r>
        <w:rPr>
          <w:rFonts w:ascii="Arial" w:cs="Arial" w:eastAsia="Arial" w:hAnsi="Arial"/>
          <w:sz w:val="16"/>
          <w:szCs w:val="16"/>
          <w:color w:val="auto"/>
        </w:rPr>
        <w:t>(i) The Borrower shall fail to perform or observe any term, covenant or agreement contained in Section 5.01(d) or (i)(iii), 5.02 or 5.03, or (ii) the Borrower shall fail to perform or observe any other term, covenant or agreement contained in this Agreement on its part to be performed or observed if such failure shall remain unremedied for 20 days after written notice thereof shall have been given to the Borrower by the Agent or any Lender; or</w:t>
      </w:r>
    </w:p>
    <w:p>
      <w:pPr>
        <w:spacing w:after="0" w:line="12" w:lineRule="exact"/>
        <w:rPr>
          <w:rFonts w:ascii="Arial" w:cs="Arial" w:eastAsia="Arial" w:hAnsi="Arial"/>
          <w:sz w:val="16"/>
          <w:szCs w:val="16"/>
          <w:color w:val="auto"/>
        </w:rPr>
      </w:pPr>
    </w:p>
    <w:p>
      <w:pPr>
        <w:ind w:firstLine="443"/>
        <w:spacing w:after="0" w:line="290" w:lineRule="auto"/>
        <w:tabs>
          <w:tab w:leader="none" w:pos="68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Borrower or any of its Subsidiaries shall fail to pay any principal of or premium or interest on any Debt (other than Non-Recourse Debt) that is outstanding in a principal amount of at least $40,000,000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w:t>
      </w:r>
    </w:p>
    <w:p>
      <w:pPr>
        <w:spacing w:after="0" w:line="23" w:lineRule="exact"/>
        <w:rPr>
          <w:rFonts w:ascii="Arial" w:cs="Arial" w:eastAsia="Arial" w:hAnsi="Arial"/>
          <w:sz w:val="16"/>
          <w:szCs w:val="16"/>
          <w:color w:val="auto"/>
        </w:rPr>
      </w:pPr>
    </w:p>
    <w:p>
      <w:pPr>
        <w:ind w:firstLine="443"/>
        <w:spacing w:after="0" w:line="288" w:lineRule="auto"/>
        <w:tabs>
          <w:tab w:leader="none" w:pos="67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Borrower or any of its Significant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Significant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or other similar official for, it or for any substantial part of its property shall occur; or the Borrower or any of its Significant Subsidiaries shall take any corporate action to authorize any of the actions set forth above in this subsection (e); or</w:t>
      </w:r>
    </w:p>
    <w:p>
      <w:pPr>
        <w:spacing w:after="0" w:line="25" w:lineRule="exact"/>
        <w:rPr>
          <w:rFonts w:ascii="Arial" w:cs="Arial" w:eastAsia="Arial" w:hAnsi="Arial"/>
          <w:sz w:val="16"/>
          <w:szCs w:val="16"/>
          <w:color w:val="auto"/>
        </w:rPr>
      </w:pPr>
    </w:p>
    <w:p>
      <w:pPr>
        <w:ind w:right="120" w:firstLine="443"/>
        <w:spacing w:after="0" w:line="294" w:lineRule="auto"/>
        <w:tabs>
          <w:tab w:leader="none" w:pos="657"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Any judgment or order of a court of competent jurisdiction for the payment of money in excess of $20,000,000 shall be rendered against the Borrower or any of its Significant Subsidiaries and either (i) 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judgment or order shall not be an Event of Default under this Section 6.01(f) if and for so long as (x) the amount of such judgment or order is covered</w:t>
      </w:r>
    </w:p>
    <w:p>
      <w:pPr>
        <w:spacing w:after="0" w:line="10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00"/>
          </w:cols>
          <w:pgMar w:left="700" w:top="280" w:right="299" w:bottom="1440" w:gutter="0" w:footer="0" w:header="0"/>
        </w:sectPr>
      </w:pPr>
    </w:p>
    <w:bookmarkStart w:id="49" w:name="page50"/>
    <w:bookmarkEnd w:id="49"/>
    <w:p>
      <w:pPr>
        <w:ind w:left="460" w:right="260"/>
        <w:spacing w:after="0" w:line="34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1" w:lineRule="exact"/>
        <w:rPr>
          <w:sz w:val="20"/>
          <w:szCs w:val="20"/>
          <w:color w:val="auto"/>
        </w:rPr>
      </w:pPr>
    </w:p>
    <w:p>
      <w:pPr>
        <w:ind w:left="460" w:right="40" w:firstLine="443"/>
        <w:spacing w:after="0" w:line="254" w:lineRule="auto"/>
        <w:tabs>
          <w:tab w:leader="none" w:pos="11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30% or more of the combined voting power of all Voting Stock of the Borrower and such combined voting power exceeds the then current voting power of the Voting Stock of the Borrower (or other securities convertible into such Voting Stock) controlled by the Graham Interests; or (ii) Continuing Directors of the Borrower shall cease for any reason to constitute a majority of the board of directors of the Borrower; or</w:t>
      </w:r>
    </w:p>
    <w:p>
      <w:pPr>
        <w:spacing w:after="0" w:line="49" w:lineRule="exact"/>
        <w:rPr>
          <w:rFonts w:ascii="Arial" w:cs="Arial" w:eastAsia="Arial" w:hAnsi="Arial"/>
          <w:sz w:val="18"/>
          <w:szCs w:val="18"/>
          <w:color w:val="auto"/>
        </w:rPr>
      </w:pPr>
    </w:p>
    <w:p>
      <w:pPr>
        <w:ind w:left="460" w:right="220" w:firstLine="443"/>
        <w:spacing w:after="0" w:line="255" w:lineRule="auto"/>
        <w:tabs>
          <w:tab w:leader="none" w:pos="11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Borrower or any of its ERISA Affiliates shall incur liability as a result of one or more of the following: (i) the occurrence of any ERISA Event; (ii) the partial or complete withdrawal of the Borrower or any of its ERISA Affiliates from a Multiemployer Plan; or (iii) the reorganization or termination of a Multiemployer Plan; and, in the reasonable opinion of the Required Lenders, such incurrence would be likely to result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liability in an amount not to exceed $20,000,000 shall be deemed not to be likely to result in a Material Adverse Effect;</w:t>
      </w:r>
    </w:p>
    <w:p>
      <w:pPr>
        <w:spacing w:after="0" w:line="1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then, and in any such event, the Agent (i) shall at the request, or may with the consent, of the Required Lenders, by notice to the Borrower, declare the obligation of each Lender to make Advances to be terminated, whereupon the same shall forthwith terminate, and (ii) shall at the request, or may with the consent, of the Required Lenders, by notice to the Borrower, declare the Notes, all interest thereon and all other amounts payable under this Agreement to be forthwith due and payable, whereupon the Notes, all such interest and all such amounts shall become and be forthwith due and payable, without presentment, demand, protest or further notice of any kind, all of which are hereby expressly waived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 actual or deemed entry of an order for relief with respect to the Borrower under the Federal Bankruptcy Code, (A) the obligation of each Lender to make Advances shall automatically be terminated and (B) the Notes, all such interest and all such amounts shall automatically become and be due and payable, without presentment, demand, protest or any notice of any kind, all of which are hereby expressly waived by the Borrower.</w:t>
      </w:r>
    </w:p>
    <w:p>
      <w:pPr>
        <w:spacing w:after="0" w:line="10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VII</w:t>
      </w:r>
    </w:p>
    <w:p>
      <w:pPr>
        <w:spacing w:after="0" w:line="7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THE AGENT</w:t>
      </w:r>
    </w:p>
    <w:p>
      <w:pPr>
        <w:spacing w:after="0" w:line="158"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Authorization and Action</w:t>
      </w:r>
      <w:r>
        <w:rPr>
          <w:rFonts w:ascii="Arial" w:cs="Arial" w:eastAsia="Arial" w:hAnsi="Arial"/>
          <w:sz w:val="16"/>
          <w:szCs w:val="16"/>
          <w:color w:val="auto"/>
        </w:rPr>
        <w:t>. Each Lender hereby appoints and authorizes the Agent to take such action as agent on its behalf and to exercise such powers and discretion under this Agreement as are delegated to the Agent by the terms hereof, together with</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280" w:right="319" w:bottom="1440" w:gutter="0" w:footer="0" w:header="0"/>
        </w:sectPr>
      </w:pPr>
    </w:p>
    <w:bookmarkStart w:id="50" w:name="page51"/>
    <w:bookmarkEnd w:id="5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such powers and discretion as are reasonably incidental thereto. As to any matters not expressly provided for by this Agreement (including, without limitation, enforcement or collection of the Notes), the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Agent shall not be required to take any action that exposes the Agent to personal liability or that is contrary to this Agreement or applicable law. The Agent agrees to give to each Lender prompt notice of each notice given to it by the Borrower pursuant to the terms of this Agreement.</w:t>
      </w:r>
    </w:p>
    <w:p>
      <w:pPr>
        <w:spacing w:after="0" w:line="13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Agent’s Reliance, Etc</w:t>
      </w:r>
      <w:r>
        <w:rPr>
          <w:rFonts w:ascii="Arial" w:cs="Arial" w:eastAsia="Arial" w:hAnsi="Arial"/>
          <w:sz w:val="16"/>
          <w:szCs w:val="16"/>
          <w:color w:val="auto"/>
        </w:rPr>
        <w:t>. Neither the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Agent: (i) may treat the payee of any Note as the holder thereof until the Agent receives and accepts an Assumption Agreement entered into by an Assuming Lender as provided in Section 2.05(b) or 2.17, as the case may be, or an Assignment and Acceptance entered into by the Lender that is the payee of such Note, as assignor, and an Eligible Assignee, as assignee, as provided in Section 8.07; (ii)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 (iii) makes no warranty or representation to any Lender and shall not be responsible to any Lender for any statements, warranties or representations (whether written or oral) made in or in connection with this Agreement; (iv) shall not have any duty to ascertain or to inquire as to the performance or observance of any of the terms, covenants or conditions of this Agreement on the part of the Borrower or to inspect the property (including the books and records) of the Borrower; (v) shall not be responsible to any Lender for the due execution, legality, validity, enforceability, genuineness, sufficiency or value of this Agreement or any other instrument or document furnished pursuant hereto; and (vi) shall incur no liability under or in respect of this Agreement by acting upon any notice, consent, certificate or other instrument or writing (which may be by telecopier, telegram or telex) reasonably believed by it to be genuine and signed or sent by the proper party or parties.</w:t>
      </w:r>
    </w:p>
    <w:p>
      <w:pPr>
        <w:spacing w:after="0" w:line="10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Citibank and Affiliates</w:t>
      </w:r>
      <w:r>
        <w:rPr>
          <w:rFonts w:ascii="Arial" w:cs="Arial" w:eastAsia="Arial" w:hAnsi="Arial"/>
          <w:sz w:val="16"/>
          <w:szCs w:val="16"/>
          <w:color w:val="auto"/>
        </w:rPr>
        <w:t>. With respect to its Commitment, the Advances made by it and the Note issued to it, Citibank shall have the same rights and powers under this Agreement as any other Lender and may exercise the same as though it were not the Agent; and the term “Lender” or “Lenders” shall, unless otherwise expressly indicated, include Citibank in its individual capacity. Citibank and its Affiliates may accept deposits from, lend money to, act as trustee under indentures of, accept investment banking engagements from and generally engage in any kind of business with, the Borrower, any of its Subsidiaries and any Person who may do business with or own securities of the Borrower or any such Subsidiary, all as if Citibank were not the Agent and without any duty to account therefor to the Lenders.</w:t>
      </w:r>
    </w:p>
    <w:p>
      <w:pPr>
        <w:spacing w:after="0" w:line="107" w:lineRule="exact"/>
        <w:rPr>
          <w:sz w:val="20"/>
          <w:szCs w:val="20"/>
          <w:color w:val="auto"/>
        </w:rPr>
      </w:pPr>
    </w:p>
    <w:p>
      <w:pPr>
        <w:jc w:val="both"/>
        <w:ind w:right="240" w:firstLine="913"/>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Lender Credit Decision</w:t>
      </w:r>
      <w:r>
        <w:rPr>
          <w:rFonts w:ascii="Arial" w:cs="Arial" w:eastAsia="Arial" w:hAnsi="Arial"/>
          <w:sz w:val="18"/>
          <w:szCs w:val="18"/>
          <w:color w:val="auto"/>
        </w:rPr>
        <w:t>. Each Lender acknowledges that it has, independently and without reliance upon the Agent or any other Lender and based on the financial statements referred to in Section 4.01 and such other documents and information as it has deemed appropriate, made its own credit analysis and decision to enter into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51" w:name="page52"/>
    <w:bookmarkEnd w:id="51"/>
    <w:p>
      <w:pPr>
        <w:ind w:right="8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Lender also acknowledges that it will, independently and without reliance upon the Agent or any other Lender and based on such documents and information as it shall deem appropriate at the time, continue to make its own credit decisions in taking or not taking action under this Agreement.</w:t>
      </w:r>
    </w:p>
    <w:p>
      <w:pPr>
        <w:spacing w:after="0" w:line="72"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Lenders agree to indemnify the Agent (to the extent not reimbursed by the Borrower), ratably according to the respective principal amounts of the Revolving Credit Notes then held by each of them (or if no Revolving Credit Notes are at the time outstanding or if any Revolving Credit Notes are held by Persons that are not Lenders,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any portion of such liabilities, obligations, losses, damages, penalties, actions, judgments, suits, costs, expenses or disbursements resulting from the Agent’s gross negligence or willful misconduct. Without limitation of the foregoing, each Lender agrees to reimburse the Agent promptly upon demand for its ratable share of any out-of-pocket expenses (including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w:t>
      </w:r>
    </w:p>
    <w:p>
      <w:pPr>
        <w:spacing w:after="0" w:line="109"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Successor Agent</w:t>
      </w:r>
      <w:r>
        <w:rPr>
          <w:rFonts w:ascii="Arial" w:cs="Arial" w:eastAsia="Arial" w:hAnsi="Arial"/>
          <w:sz w:val="16"/>
          <w:szCs w:val="16"/>
          <w:color w:val="auto"/>
        </w:rPr>
        <w:t>. The Agent may resign at any time by giving written notice thereof to the Lenders and the Borrower and may be removed at any time with or without cause by the Required Lenders. Upon any such resignation or removal, the Required Lenders shall have the right to appoint a successor Agent. If no successor Agent shall have been so appointed by the Required Lenders, and shall have accepted such appointment, within 30 days after the retiring Agent’s giving of notice of resignation or the Required Lenders’ removal of the retiring Agent, then the retiring Agent may, on behalf of the Lenders, appoint a successor Agent, which shall be a commercial bank organized under the laws of the United States of America or of any State thereof and having a combined capital and surplus of at least $500,000,000. Upon the acceptance of any appointment as Agent hereunder by a successor Agent, such successor Agent shall thereupon succeed to and become vested with all the rights, powers, discretion, privileges and duties of the retiring Agent, and the retiring Agent shall be discharged from its duties and obligations under this Agreement. After any retiring Agent’s resignation or removal hereunder as Agent, the provisions of this Article VII shall inure to its benefit as to any actions taken or omitted to be taken by it while it was Agent under this Agreement.</w:t>
      </w:r>
    </w:p>
    <w:p>
      <w:pPr>
        <w:spacing w:after="0" w:line="106"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Syndication Agents</w:t>
      </w:r>
      <w:r>
        <w:rPr>
          <w:rFonts w:ascii="Arial" w:cs="Arial" w:eastAsia="Arial" w:hAnsi="Arial"/>
          <w:sz w:val="18"/>
          <w:szCs w:val="18"/>
          <w:color w:val="auto"/>
        </w:rPr>
        <w:t>. JPMorgan Chase Bank, N.A., Wachovia Bank, National Association and SunTrust Bank have been designated as syndication agents in recognition of their respective Commitments, and the use of such title does not impose on such Lender any duties or obligations greater than those of any other Lender.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58" w:lineRule="exact"/>
        <w:rPr>
          <w:sz w:val="20"/>
          <w:szCs w:val="20"/>
          <w:color w:val="auto"/>
        </w:rPr>
      </w:pPr>
    </w:p>
    <w:p>
      <w:pPr>
        <w:ind w:firstLine="913"/>
        <w:spacing w:after="0" w:line="302"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u w:val="single" w:color="auto"/>
          <w:color w:val="auto"/>
        </w:rPr>
        <w:t>Amendments, Etc</w:t>
      </w:r>
      <w:r>
        <w:rPr>
          <w:rFonts w:ascii="Arial" w:cs="Arial" w:eastAsia="Arial" w:hAnsi="Arial"/>
          <w:sz w:val="15"/>
          <w:szCs w:val="15"/>
          <w:color w:val="auto"/>
        </w:rPr>
        <w:t xml:space="preserve">. No amendment or waiver of any provision of any Loan Documents,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amendment, waiver or consent shall, unless in writing and signed by all the Lenders, do any of the following: (a) waive any of the conditions specified in Section 3.01, (b) increase the Commitments of the Lenders other than as provided in Section 2.05(b), (c) reduce the principal of, or interest on, the Revolving Credit Notes or any fees or other amounts payable hereunder, (d) postpone any date fixed for any payment of principal of, or interest on, the Revolving Credit Notes or any fees or other amounts payable hereunder,</w:t>
      </w:r>
    </w:p>
    <w:p>
      <w:pPr>
        <w:spacing w:after="0" w:line="1" w:lineRule="exact"/>
        <w:rPr>
          <w:sz w:val="20"/>
          <w:szCs w:val="20"/>
          <w:color w:val="auto"/>
        </w:rPr>
      </w:pPr>
    </w:p>
    <w:p>
      <w:pPr>
        <w:jc w:val="both"/>
        <w:ind w:firstLine="8"/>
        <w:spacing w:after="0" w:line="292" w:lineRule="auto"/>
        <w:tabs>
          <w:tab w:leader="none" w:pos="239"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change the percentage of the Commitments or of the aggregate unpaid principal amount of the Revolving Credit Notes that shall be required for the Lenders or any of them to take any action hereunder, (f) amend or waive the provisions of Section 1 of the Subsidiary Guaranty to reduce or limit the scope of the obligations under or in respect of this Agreement which are being guaranteed by the Newspaper Subsidiary under the Subsidiary Guaranty or (g) amend this Section 8.01;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amendment, waiver or consent shall, unless in writing and signed by the Agent in addition to the Lenders required above to take such action, affect the rights or duties of the Agent under this Agreement or any Note.</w:t>
      </w:r>
    </w:p>
    <w:p>
      <w:pPr>
        <w:spacing w:after="0" w:line="103"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 All notices and other communications provided for hereunder shall be either (x) in writing (including telecopier or telegraphic communication) and mailed, telecopied, telegraphed or delivered or (y) as and to the extent set forth in Section 8.02(b) and in the proviso to this Section 8.02(a), if to the Borrower, at its address at 1150 15th Street, N.W., Washington, D.C. 20071, Attention: Treasurer; if to any Initial Lender, at its Domestic Lending Office specified opposite its name on Schedule I hereto; if to any other Lender, at its Domestic Lending Office specified in the Assumption Agreement or the Assignment and Acceptance pursuant to which it became a Lender; and if to the Agent, at its address at Two Penns Way, Suite 200, New Castle, Delaware 19720, Attention: Bank Loan Syndications; or, as to the Borrower or the Agent, at such other address as shall be designated by such party in a written notice to the other parties and, as to each other party, at such other address as shall be designated by such party in a written notice to the Borrower and the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materials required to be delivered pursuant to Section 5.01(i)(i), (ii) or (iv) shall be delivered to the Agent as specified in Section 8.02(b) and such delivery shall satisfy the Borrower’s obligation to deliver such materials pursuant to Section 5.01(i)(i), (ii) or (iv). All such notices and communications shall, when hand delivered, telecopied, telegraphed or e-mailed, be effective when received. Delivery by telecopier of an executed counterpart of any amendment or waiver of any provision of this Agreement or the Notes or of any Exhibit hereto to be executed and delivered hereunder shall be effective as delivery of a manually executed counterpart thereof.</w:t>
      </w:r>
    </w:p>
    <w:p>
      <w:pPr>
        <w:spacing w:after="0" w:line="111" w:lineRule="exact"/>
        <w:rPr>
          <w:sz w:val="20"/>
          <w:szCs w:val="20"/>
          <w:color w:val="auto"/>
        </w:rPr>
      </w:pPr>
    </w:p>
    <w:p>
      <w:pPr>
        <w:ind w:right="360" w:firstLine="921"/>
        <w:spacing w:after="0" w:line="332" w:lineRule="auto"/>
        <w:tabs>
          <w:tab w:leader="none" w:pos="1162" w:val="left"/>
        </w:tabs>
        <w:numPr>
          <w:ilvl w:val="0"/>
          <w:numId w:val="55"/>
        </w:numPr>
        <w:rPr>
          <w:rFonts w:ascii="Arial" w:cs="Arial" w:eastAsia="Arial" w:hAnsi="Arial"/>
          <w:sz w:val="16"/>
          <w:szCs w:val="16"/>
          <w:color w:val="auto"/>
        </w:rPr>
      </w:pPr>
      <w:r>
        <w:rPr>
          <w:rFonts w:ascii="Arial" w:cs="Arial" w:eastAsia="Arial" w:hAnsi="Arial"/>
          <w:sz w:val="16"/>
          <w:szCs w:val="16"/>
          <w:color w:val="auto"/>
        </w:rPr>
        <w:t>So long as Citibank or any of its Affiliates is the Agent, materials required to be delivered pursuant to Section 5.01(i)(i), (ii) and (iv) shall be delivered to the Agent in an electronic medium in a format reasonably acceptable to the Agent and the Lenders by e-mail at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oploanswebadmin@citigroup.com or as otherwise reasonably specified to the Borrower by the Agent. The Borrower agrees that the Agent may make such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materials (collectively, the “</w:t>
      </w:r>
      <w:r>
        <w:rPr>
          <w:rFonts w:ascii="Arial" w:cs="Arial" w:eastAsia="Arial" w:hAnsi="Arial"/>
          <w:sz w:val="16"/>
          <w:szCs w:val="16"/>
          <w:u w:val="single" w:color="auto"/>
          <w:color w:val="auto"/>
        </w:rPr>
        <w:t>Communications</w:t>
      </w:r>
      <w:r>
        <w:rPr>
          <w:rFonts w:ascii="Arial" w:cs="Arial" w:eastAsia="Arial" w:hAnsi="Arial"/>
          <w:sz w:val="16"/>
          <w:szCs w:val="16"/>
          <w:color w:val="auto"/>
        </w:rPr>
        <w:t>”) available to the Lenders by posting such notices on Intralinks or a substantially similar electronic system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Platform</w:t>
      </w:r>
      <w:r>
        <w:rPr>
          <w:rFonts w:ascii="Arial" w:cs="Arial" w:eastAsia="Arial" w:hAnsi="Arial"/>
          <w:sz w:val="16"/>
          <w:szCs w:val="16"/>
          <w:color w:val="auto"/>
        </w:rPr>
        <w:t>”). The Borrower, the Agent and each Lender acknowledges that (i) the distribution of material through an electronic medium is not necessarily secure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that there are confidentiality and other risks associated with such distribution, (ii) the Platform is provided “as is” and “as available”, (iii) neither the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 any of its Affiliates warrants the accuracy, adequacy or completeness of the Communications or the Platform and each expressly disclaims liability for errors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omissions in the Communications or the Platform and (iv) the Borrower makes no warranty as to the accuracy or adequacy of the Platform, and shall not be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default under this Agreement due to any omission or error in the Communications caused by the Agent or the Platform. No warranty of any kind, express, implied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statutory, including, without limitation, any warranty of merchantability, fitness for a particular purpose, non-infringement of third party rights or freedom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viruses or other code defects, is made by the Agent or any of its Affiliates in connection with the Platform.</w:t>
      </w:r>
    </w:p>
    <w:p>
      <w:pPr>
        <w:spacing w:after="0" w:line="151" w:lineRule="exact"/>
        <w:rPr>
          <w:sz w:val="20"/>
          <w:szCs w:val="20"/>
          <w:color w:val="auto"/>
        </w:rPr>
      </w:pPr>
    </w:p>
    <w:p>
      <w:pPr>
        <w:ind w:right="100" w:firstLine="921"/>
        <w:spacing w:after="0" w:line="291" w:lineRule="auto"/>
        <w:tabs>
          <w:tab w:leader="none" w:pos="1152"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Lender agrees that notice to it (as provided in the next sentence) (a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specifying that any Communications have been posted to the Platform shall constitute effective delivery of such information, documents or other materials to such Lender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requested by any Lender the Agent shall deliver a copy of the Communications to such Lender by email or telecopier. Each Lender agrees (i) to notify the Agent in writing of such Lender’s e-mail address to which a Notice may be sent by electronic transmission (including by electronic communication) on or before the date such Lender becomes a party to this Agreement (and from time to time thereafter to ensure that the Agent has on record an effective e-mail address for such Lender) and (ii) that any Notice may be sent to such e-mail address.</w:t>
      </w:r>
    </w:p>
    <w:p>
      <w:pPr>
        <w:spacing w:after="0" w:line="107"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9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Costs and Expenses</w:t>
      </w:r>
      <w:r>
        <w:rPr>
          <w:rFonts w:ascii="Arial" w:cs="Arial" w:eastAsia="Arial" w:hAnsi="Arial"/>
          <w:sz w:val="16"/>
          <w:szCs w:val="16"/>
          <w:color w:val="auto"/>
        </w:rPr>
        <w:t>. (a) The Borrower agrees to pay on demand all reasonable out-of-pocket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and duplication expenses, and (B) the reasonable fees and expenses of counsel for the Agent with respect thereto and with respect to advising the Agent as to its rights and responsibilities under this Agreement. The Borrower further agrees to pay on demand all reasonable out-of-pocket costs and expenses of the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in connection with the enforcement of rights under this Section 8.04(a).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54" w:name="page55"/>
    <w:bookmarkEnd w:id="54"/>
    <w:p>
      <w:pPr>
        <w:ind w:right="20" w:firstLine="921"/>
        <w:spacing w:after="0" w:line="288" w:lineRule="auto"/>
        <w:tabs>
          <w:tab w:leader="none" w:pos="1162"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agrees to indemnify and hold harmless the Agent and each Lender and each of their Affiliates and their officers, directors, employees, agents and advisors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and all claims, damages, losses, liabilities and expenses (including, without limitation, reasonable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Borrower, its directors, shareholders or creditors or an Indemnified Party or any other Person or any Indemnified Party is otherwise a party thereto and whether or not the transactions contemplated hereby are consummated, except to the extent such claim, damage, loss, liability or expense is found in a final, non-appealable judgment by a court of competent jurisdiction to have resulted from such Indemnified Party’s gross negligence or willful misconduct or breach of its obligations under this Agreement.</w:t>
      </w:r>
    </w:p>
    <w:p>
      <w:pPr>
        <w:spacing w:after="0" w:line="106" w:lineRule="exact"/>
        <w:rPr>
          <w:rFonts w:ascii="Arial" w:cs="Arial" w:eastAsia="Arial" w:hAnsi="Arial"/>
          <w:sz w:val="16"/>
          <w:szCs w:val="16"/>
          <w:color w:val="auto"/>
        </w:rPr>
      </w:pPr>
    </w:p>
    <w:p>
      <w:pPr>
        <w:ind w:right="180" w:firstLine="921"/>
        <w:spacing w:after="0" w:line="305" w:lineRule="auto"/>
        <w:tabs>
          <w:tab w:leader="none" w:pos="1152" w:val="left"/>
        </w:tabs>
        <w:numPr>
          <w:ilvl w:val="0"/>
          <w:numId w:val="57"/>
        </w:numPr>
        <w:rPr>
          <w:rFonts w:ascii="Arial" w:cs="Arial" w:eastAsia="Arial" w:hAnsi="Arial"/>
          <w:sz w:val="15"/>
          <w:szCs w:val="15"/>
          <w:color w:val="auto"/>
        </w:rPr>
      </w:pPr>
      <w:r>
        <w:rPr>
          <w:rFonts w:ascii="Arial" w:cs="Arial" w:eastAsia="Arial" w:hAnsi="Arial"/>
          <w:sz w:val="15"/>
          <w:szCs w:val="15"/>
          <w:color w:val="auto"/>
        </w:rPr>
        <w:t>If any payment of principal of, or Conversion of, any Eurodollar Rate Advance or LIBO Rate Advance is made by the Borrower to or for the account of a Lender other than on the last day of the Interest Period for such Advance, as a result of a payment or Conversion pursuant to Section 2.08(d) or (e),</w:t>
      </w:r>
    </w:p>
    <w:p>
      <w:pPr>
        <w:spacing w:after="0" w:line="290" w:lineRule="auto"/>
        <w:rPr>
          <w:rFonts w:ascii="Arial" w:cs="Arial" w:eastAsia="Arial" w:hAnsi="Arial"/>
          <w:sz w:val="15"/>
          <w:szCs w:val="15"/>
          <w:color w:val="auto"/>
        </w:rPr>
      </w:pPr>
      <w:r>
        <w:rPr>
          <w:rFonts w:ascii="Arial" w:cs="Arial" w:eastAsia="Arial" w:hAnsi="Arial"/>
          <w:sz w:val="16"/>
          <w:szCs w:val="16"/>
          <w:color w:val="auto"/>
        </w:rPr>
        <w:t>2.09, 2.10 or 2.12, acceleration of the maturity of the Notes pursuant to Section 6.01 or for any other reason, or by an Eligible Assignee to a Lender other than on the last day of an Interest Period for such Advance upon an assignment of rights and obligations under this Agreement pursuant to Section 8.07 as a result of a demand by the Borrower pursuant to Section 8.07(a), the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04" w:lineRule="exact"/>
        <w:rPr>
          <w:rFonts w:ascii="Arial" w:cs="Arial" w:eastAsia="Arial" w:hAnsi="Arial"/>
          <w:sz w:val="15"/>
          <w:szCs w:val="15"/>
          <w:color w:val="auto"/>
        </w:rPr>
      </w:pPr>
    </w:p>
    <w:p>
      <w:pPr>
        <w:ind w:right="20" w:firstLine="921"/>
        <w:spacing w:after="0" w:line="332" w:lineRule="auto"/>
        <w:tabs>
          <w:tab w:leader="none" w:pos="1162"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Without prejudice to the survival of any other agreement of the Borrower hereunder, the agreements and obligations of the Borrower contained in Sections 2.11, 2.14 and 8.04 shall survive the payment in full of principal, interest and all other amounts payable hereunder and under the Notes.</w:t>
      </w:r>
    </w:p>
    <w:p>
      <w:pPr>
        <w:spacing w:after="0" w:line="7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Right of Set-off</w:t>
      </w:r>
      <w:r>
        <w:rPr>
          <w:rFonts w:ascii="Arial" w:cs="Arial" w:eastAsia="Arial" w:hAnsi="Arial"/>
          <w:sz w:val="16"/>
          <w:szCs w:val="16"/>
          <w:color w:val="auto"/>
        </w:rPr>
        <w:t>. Upon (i) the occurrence and during the continuance of any Event of Default and (ii) the making of the request or the granting of the consent specified by Section 6.01 to authorize the Agent to declare the Notes due and payable pursuant to the provisions of Section 6.01, each Lender and each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or such Affiliate to or for the credit or the account of the Borrower against any and all of the obligations of the Borrower now or hereafter existing under this Agreement and the Note held by such Lender, whether or not such Lender shall have made any demand under this Agreement or such Note and although such obligations may be unmatured. Each Lender agrees promptly to notify the Borrower after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5" w:name="page56"/>
    <w:bookmarkEnd w:id="5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pacing w:after="0" w:line="12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become effective (other than Sections 2.01 and 2.03, which shall only become effective upon satisfaction of the conditions precedent set forth in Section 3.01) when it shall have been executed by the Borrower and the Agent and when the Agent shall have been notified by each Initial Lender that such Initial Lender has executed it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the Lenders.</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Assignments and Participations</w:t>
      </w:r>
      <w:r>
        <w:rPr>
          <w:rFonts w:ascii="Arial" w:cs="Arial" w:eastAsia="Arial" w:hAnsi="Arial"/>
          <w:sz w:val="16"/>
          <w:szCs w:val="16"/>
          <w:color w:val="auto"/>
        </w:rPr>
        <w:t>. (a) Each Lender may with the consent of the Agent and the Borrower (which consent shall not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unreasonably withheld or delayed) and, if demanded by the Borrower (following a demand by such Lender pursuant to Section 2.11 or 2.14 or following such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Lender’s Downgrade) at a time when no Default has occurred and is continuing upon at least five Business Days’ notice to such Lender and the Agent, will assign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one or more Persons all or a portion of its rights and obligations under this Agreement (including, without limitation, all or a portion of its Commitment,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Revolving Credit Advances owing to it and the Revolving Credit Note or Notes held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each such assignment shall be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constant, and not a varying, percentage of all rights and obligations under this Agreement (other than any right to make Competitive Bid Advances, Competitive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Bid Advances owing to it and Competitive Bid Notes), (ii) except in the case of an assignment to a Person that, immediately prior to such assignment, was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or an assignment of all of a Lender’s rights and obligations under this Agreement, the amount of the Commitment of the assigning Lender being assigned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each such assignment (determined as of the date of the Assignment and Acceptance with respect to such assignment) shall in no event be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$10,000,000 or an integral multiple of $1,000,000 in excess thereof and the amount of the Commitment of such Lender remaining after such assignment shall not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be less than $10,000,000 or shall be zero, (iii) each such assignment shall be to an Eligible Assignee, (iv) each such assignment made as a result of a demand by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Borrower pursuant to this Section 8.07(a) shall be arranged by the Borrower after consultation with the Agent and shall be either an assignment of all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and obligations of the assigning Lender under this Agreement or an assignment of a portion of such rights and obligations made concurrently with another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assignment or other such assignments that together cover all of the rights and obligations of the assigning Lender under this Agreement, (v) no Lender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obligated to make any such assignment as a result of a demand by the Borrower pursuant to this Section 8.07(a) unless and until such Lender shall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one or more payments from either the Borrower or one or more Eligible Assignees in an aggregate amount at least equal to the aggregate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the Advances owing to such Lender, together with accrued interest thereon to the date of payment of such principal amount and all other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amounts payable to such Lender under this Agreement, and (vi) unless such assignment is demanded by the Borrower, the parties to each such assignment shall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execute and deliver to the Agent, for its acceptance and recording in the Register, an Assignment and Acceptance, together with any Revolving Credit Note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subject to such assignment and a processing and recordation fee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6" w:name="page57"/>
    <w:bookmarkEnd w:id="56"/>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$3,500. 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131" w:lineRule="exact"/>
        <w:rPr>
          <w:sz w:val="20"/>
          <w:szCs w:val="20"/>
          <w:color w:val="auto"/>
        </w:rPr>
      </w:pPr>
    </w:p>
    <w:p>
      <w:pPr>
        <w:ind w:right="20" w:firstLine="921"/>
        <w:spacing w:after="0" w:line="285" w:lineRule="auto"/>
        <w:tabs>
          <w:tab w:leader="none" w:pos="1162" w:val="left"/>
        </w:tabs>
        <w:numPr>
          <w:ilvl w:val="0"/>
          <w:numId w:val="58"/>
        </w:numPr>
        <w:rPr>
          <w:rFonts w:ascii="Arial" w:cs="Arial" w:eastAsia="Arial" w:hAnsi="Arial"/>
          <w:sz w:val="16"/>
          <w:szCs w:val="16"/>
          <w:color w:val="auto"/>
        </w:rPr>
      </w:pPr>
      <w:r>
        <w:rPr>
          <w:rFonts w:ascii="Arial" w:cs="Arial" w:eastAsia="Arial" w:hAnsi="Arial"/>
          <w:sz w:val="16"/>
          <w:szCs w:val="16"/>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assigning Lender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114" w:lineRule="exact"/>
        <w:rPr>
          <w:rFonts w:ascii="Arial" w:cs="Arial" w:eastAsia="Arial" w:hAnsi="Arial"/>
          <w:sz w:val="16"/>
          <w:szCs w:val="16"/>
          <w:color w:val="auto"/>
        </w:rPr>
      </w:pPr>
    </w:p>
    <w:p>
      <w:pPr>
        <w:ind w:firstLine="921"/>
        <w:spacing w:after="0" w:line="288" w:lineRule="auto"/>
        <w:tabs>
          <w:tab w:leader="none" w:pos="11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Upon its receipt of an Assignment and Acceptance executed by an assigning Lender and an assignee representing that it is an Eligible Assignee, together with any Revolving Credit Note or Notes subject to such assignment, the Agent shall, if such Assignment and Acceptance has been completed and is in substantially the form of Exhibit C hereto, (i) accept such Assignment and Acceptance, (ii) record the information contained therein in the Register and (iii) give prompt notice thereof to the Borrower. Within five Business Days after its receipt of such notice, the Borrower, at its own expense, shall execute and deliver to the Agent in exchange for the surrendered Revolving Credit Note a new Note to the order of such Eligible Assignee in an amount equal to the Commitment assumed by it pursuant to such Assignment and Acceptance and, if the assigning Lender has retained a Commitment hereunder, a new Revolving Credit Note to the order of the assigning Lender in an amount equal to the Commitment retained by it hereunder. Such new Revolving Credit Note or Notes shall be in an aggregate principal amount equal to the aggregate principal amount of such surrendered Revolving Credit Note or Notes, shall be dated the effective date of such Assignment and Acceptance and shall otherwise be in substantially the form of Exhibit A-1 hereto.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57" w:name="page58"/>
    <w:bookmarkEnd w:id="57"/>
    <w:p>
      <w:pPr>
        <w:ind w:left="-60" w:right="80" w:firstLine="921"/>
        <w:spacing w:after="0" w:line="254" w:lineRule="auto"/>
        <w:tabs>
          <w:tab w:leader="none" w:pos="1102"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Agent shall maintain at its address referred to in Section 8.02 a copy of each Assumption Agreement and each Assignment and Acceptance delivered to and accepted by it and a register for the recordation of the names and addresses of the Lenders and the Commitment of, and principal amount of the Advances owing to, each Lender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binding for all purposes, absent manifest error, and the Borrower, the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130" w:lineRule="exact"/>
        <w:rPr>
          <w:rFonts w:ascii="Arial" w:cs="Arial" w:eastAsia="Arial" w:hAnsi="Arial"/>
          <w:sz w:val="18"/>
          <w:szCs w:val="18"/>
          <w:color w:val="auto"/>
        </w:rPr>
      </w:pPr>
    </w:p>
    <w:p>
      <w:pPr>
        <w:ind w:left="-60" w:right="40" w:firstLine="921"/>
        <w:spacing w:after="0" w:line="286" w:lineRule="auto"/>
        <w:tabs>
          <w:tab w:leader="none" w:pos="1092"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Each Lender may sell participations to one or more banks or other entities (other than the Borrower or any of its Affiliates) in or to all or a portion of its rights and obligations under this Agreement (including, without limitation, all or a portion of its Commitment, the Advances owing to it and the Note or Notes held by it) with the consent of the Borrower (which consent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Lender’s obligations under this Agreement (including, without limitation, its Commitment to the Borrower hereunder) shall remain unchanged, (ii) such Lender shall remain solely responsible to the other parties hereto for the performance of such obligations, (iii) such Lender shall remain the holder of any such Note for all purposes of this Agreement, (iv) the Borrower,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this Agreement or any Note, or any consent to any departure by the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w:t>
      </w:r>
    </w:p>
    <w:p>
      <w:pPr>
        <w:spacing w:after="0" w:line="113" w:lineRule="exact"/>
        <w:rPr>
          <w:rFonts w:ascii="Arial" w:cs="Arial" w:eastAsia="Arial" w:hAnsi="Arial"/>
          <w:sz w:val="16"/>
          <w:szCs w:val="16"/>
          <w:color w:val="auto"/>
        </w:rPr>
      </w:pPr>
    </w:p>
    <w:p>
      <w:pPr>
        <w:ind w:left="-60" w:firstLine="921"/>
        <w:spacing w:after="0" w:line="256" w:lineRule="auto"/>
        <w:tabs>
          <w:tab w:leader="none" w:pos="10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Any Lender may, in connection with any assignment or participation or proposed assignment or participation pursuant to this Section 8.07, disclose to the assignee or participant or proposed assignee or participant, any information relating to the Borrower furnished to such Lender by or on behalf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disclosure, the assignee or participant or proposed assignee or participant shall agree to preserve the confidentiality of any Confidential Information relating to the Borrower received by it from such Lender.</w:t>
      </w:r>
    </w:p>
    <w:p>
      <w:pPr>
        <w:spacing w:after="0" w:line="129" w:lineRule="exact"/>
        <w:rPr>
          <w:rFonts w:ascii="Arial" w:cs="Arial" w:eastAsia="Arial" w:hAnsi="Arial"/>
          <w:sz w:val="18"/>
          <w:szCs w:val="18"/>
          <w:color w:val="auto"/>
        </w:rPr>
      </w:pPr>
    </w:p>
    <w:p>
      <w:pPr>
        <w:ind w:left="-60" w:right="40" w:firstLine="921"/>
        <w:spacing w:after="0" w:line="259" w:lineRule="auto"/>
        <w:tabs>
          <w:tab w:leader="none" w:pos="11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Notwithstanding any other provision set forth in this Agreement, any Lender may at any time create a security interest in all or any portion of its rights under this Agreement (including, without limitation, the Advances owing to it and the Note or Notes held by it) in favor of any Federal Reserve Bank in accordance with Regulation A of the Board of Governors of the Federal Reserve System.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300" w:top="280" w:right="299" w:bottom="1440" w:gutter="0" w:footer="0" w:header="0"/>
        </w:sectPr>
      </w:pPr>
    </w:p>
    <w:bookmarkStart w:id="58" w:name="page59"/>
    <w:bookmarkEnd w:id="58"/>
    <w:p>
      <w:pPr>
        <w:ind w:right="8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8.08.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Neither the Agent nor any Lender shall disclose any Confidential Information to any other Person without the consent of the Borrower, other than (a) to the Agent’s or such Lender’s Affiliates and their officers, directors, employees, accountants, auditors, counsel, agents and advisors and, as contemplated by Section 8.07(f), to actual or prospective assignees and participants, and then only on a confidential basis, (b) as required by any law, rule or regulation or judicial process, (c) to any rating agency when required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such disclosure, such rating agency shall undertake to preserve the confidentiality of any Confidential Information relating to the Borrower received by it from such Lender and (d) as requested or required by any state, federal or foreign authority or examiner regulating banks or banking.</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Notes shall be governed by, and construed in accordance with, the laws of the State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151" w:lineRule="exact"/>
        <w:rPr>
          <w:sz w:val="20"/>
          <w:szCs w:val="20"/>
          <w:color w:val="auto"/>
        </w:rPr>
      </w:pPr>
    </w:p>
    <w:p>
      <w:pPr>
        <w:ind w:right="520" w:firstLine="913"/>
        <w:spacing w:after="0" w:line="256"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13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Jurisdiction, Etc</w:t>
      </w:r>
      <w:r>
        <w:rPr>
          <w:rFonts w:ascii="Arial" w:cs="Arial" w:eastAsia="Arial" w:hAnsi="Arial"/>
          <w:sz w:val="18"/>
          <w:szCs w:val="18"/>
          <w:color w:val="auto"/>
        </w:rPr>
        <w:t>. (a) 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Notes,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or the Notes in the courts of any jurisdiction.</w:t>
      </w:r>
    </w:p>
    <w:p>
      <w:pPr>
        <w:spacing w:after="0" w:line="132" w:lineRule="exact"/>
        <w:rPr>
          <w:sz w:val="20"/>
          <w:szCs w:val="20"/>
          <w:color w:val="auto"/>
        </w:rPr>
      </w:pPr>
    </w:p>
    <w:p>
      <w:pPr>
        <w:ind w:right="40" w:firstLine="921"/>
        <w:spacing w:after="0" w:line="256"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spacing w:after="0" w:line="130"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SECTION 8.12. </w:t>
      </w:r>
      <w:r>
        <w:rPr>
          <w:rFonts w:ascii="Arial" w:cs="Arial" w:eastAsia="Arial" w:hAnsi="Arial"/>
          <w:sz w:val="16"/>
          <w:szCs w:val="16"/>
          <w:u w:val="single" w:color="auto"/>
          <w:color w:val="auto"/>
        </w:rPr>
        <w:t>Patriot Act Notice</w:t>
      </w:r>
      <w:r>
        <w:rPr>
          <w:rFonts w:ascii="Arial" w:cs="Arial" w:eastAsia="Arial" w:hAnsi="Arial"/>
          <w:sz w:val="16"/>
          <w:szCs w:val="16"/>
          <w:color w:val="auto"/>
        </w:rPr>
        <w:t>. Each Lender that is subject to the Act (as hereinafter defined) and the Agent (for itself and not on behalf of any Lender) hereby notifies each Loan Party that, pursuant to the requirements of the USA Patriot Act (Title III of Pub. L. 107-56 (signed into law October 26, 2001)) (the “Act”), it is required to obtain, verify and record information that identifies such Loan Party, which information includes the name and address of such Loan Party and other information that will allow such Lender or the Agent, as applicable, to identify such Loan Party in accordance with the Act.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59" w:name="page60"/>
    <w:bookmarkEnd w:id="59"/>
    <w:p>
      <w:pPr>
        <w:jc w:val="both"/>
        <w:ind w:right="2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Borrower, the Agent and the Lenders hereby irrevocably waives all right to trial by jury in any action, proceeding or counterclaim (whether based on contract, tort or otherwise) arising out of or relating to this Agreement or the Notes or the actions of the Agent or any Lender in the negotiation, administration, performance or enforcement thereof.</w:t>
      </w:r>
    </w:p>
    <w:p>
      <w:pPr>
        <w:spacing w:after="0" w:line="12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thereunto duly authorized, as of the date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80010</wp:posOffset>
            </wp:positionV>
            <wp:extent cx="25730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 Finance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as Agent</w:t>
      </w:r>
    </w:p>
    <w:p>
      <w:pPr>
        <w:spacing w:after="0" w:line="21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Carolyn A.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80010</wp:posOffset>
            </wp:positionV>
            <wp:extent cx="25730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280" w:right="29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3240" w:type="dxa"/>
            <w:vAlign w:val="bottom"/>
            <w:vMerge w:val="restart"/>
          </w:tcPr>
          <w:p>
            <w:pPr>
              <w:spacing w:after="0"/>
              <w:rPr>
                <w:sz w:val="20"/>
                <w:szCs w:val="20"/>
                <w:color w:val="auto"/>
              </w:rPr>
            </w:pPr>
            <w:r>
              <w:rPr>
                <w:rFonts w:ascii="Arial" w:cs="Arial" w:eastAsia="Arial" w:hAnsi="Arial"/>
                <w:sz w:val="18"/>
                <w:szCs w:val="18"/>
                <w:color w:val="auto"/>
              </w:rPr>
              <w:t>Commitment</w:t>
            </w:r>
          </w:p>
        </w:tc>
        <w:tc>
          <w:tcPr>
            <w:tcW w:w="7040" w:type="dxa"/>
            <w:vAlign w:val="bottom"/>
            <w:gridSpan w:val="4"/>
          </w:tcPr>
          <w:p>
            <w:pPr>
              <w:ind w:left="2260"/>
              <w:spacing w:after="0"/>
              <w:rPr>
                <w:sz w:val="20"/>
                <w:szCs w:val="20"/>
                <w:color w:val="auto"/>
              </w:rPr>
            </w:pPr>
            <w:r>
              <w:rPr>
                <w:rFonts w:ascii="Arial" w:cs="Arial" w:eastAsia="Arial" w:hAnsi="Arial"/>
                <w:sz w:val="18"/>
                <w:szCs w:val="18"/>
                <w:color w:val="auto"/>
              </w:rPr>
              <w:t>Initial Lenders</w:t>
            </w:r>
          </w:p>
        </w:tc>
        <w:tc>
          <w:tcPr>
            <w:tcW w:w="0" w:type="dxa"/>
            <w:vAlign w:val="bottom"/>
          </w:tcPr>
          <w:p>
            <w:pPr>
              <w:spacing w:after="0"/>
              <w:rPr>
                <w:sz w:val="1"/>
                <w:szCs w:val="1"/>
                <w:color w:val="auto"/>
              </w:rPr>
            </w:pPr>
          </w:p>
        </w:tc>
      </w:tr>
      <w:tr>
        <w:trPr>
          <w:trHeight w:val="235"/>
        </w:trPr>
        <w:tc>
          <w:tcPr>
            <w:tcW w:w="3240" w:type="dxa"/>
            <w:vAlign w:val="bottom"/>
            <w:vMerge w:val="continue"/>
          </w:tcPr>
          <w:p>
            <w:pPr>
              <w:spacing w:after="0"/>
              <w:rPr>
                <w:sz w:val="20"/>
                <w:szCs w:val="20"/>
                <w:color w:val="auto"/>
              </w:rPr>
            </w:pPr>
          </w:p>
        </w:tc>
        <w:tc>
          <w:tcPr>
            <w:tcW w:w="22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$60,000,000</w:t>
            </w:r>
          </w:p>
        </w:tc>
        <w:tc>
          <w:tcPr>
            <w:tcW w:w="7040" w:type="dxa"/>
            <w:vAlign w:val="bottom"/>
            <w:gridSpan w:val="4"/>
          </w:tcPr>
          <w:p>
            <w:pPr>
              <w:ind w:left="2260"/>
              <w:spacing w:after="0"/>
              <w:rPr>
                <w:sz w:val="20"/>
                <w:szCs w:val="20"/>
                <w:color w:val="auto"/>
              </w:rPr>
            </w:pPr>
            <w:r>
              <w:rPr>
                <w:rFonts w:ascii="Arial" w:cs="Arial" w:eastAsia="Arial" w:hAnsi="Arial"/>
                <w:sz w:val="18"/>
                <w:szCs w:val="18"/>
                <w:color w:val="auto"/>
              </w:rPr>
              <w:t>CITIBANK, N.A.</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/s/ Carolyn A. Kee</w:t>
            </w:r>
          </w:p>
        </w:tc>
        <w:tc>
          <w:tcPr>
            <w:tcW w:w="0" w:type="dxa"/>
            <w:vAlign w:val="bottom"/>
          </w:tcPr>
          <w:p>
            <w:pPr>
              <w:spacing w:after="0"/>
              <w:rPr>
                <w:sz w:val="1"/>
                <w:szCs w:val="1"/>
                <w:color w:val="auto"/>
              </w:rPr>
            </w:pPr>
          </w:p>
        </w:tc>
      </w:tr>
      <w:tr>
        <w:trPr>
          <w:trHeight w:val="110"/>
        </w:trPr>
        <w:tc>
          <w:tcPr>
            <w:tcW w:w="32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422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$60,000,000</w:t>
            </w:r>
          </w:p>
        </w:tc>
        <w:tc>
          <w:tcPr>
            <w:tcW w:w="7040" w:type="dxa"/>
            <w:vAlign w:val="bottom"/>
            <w:gridSpan w:val="4"/>
          </w:tcPr>
          <w:p>
            <w:pPr>
              <w:ind w:left="2260"/>
              <w:spacing w:after="0"/>
              <w:rPr>
                <w:sz w:val="20"/>
                <w:szCs w:val="20"/>
                <w:color w:val="auto"/>
              </w:rPr>
            </w:pPr>
            <w:r>
              <w:rPr>
                <w:rFonts w:ascii="Arial" w:cs="Arial" w:eastAsia="Arial" w:hAnsi="Arial"/>
                <w:sz w:val="18"/>
                <w:szCs w:val="18"/>
                <w:color w:val="auto"/>
              </w:rPr>
              <w:t>JPMORGAN CHASE BANK, N.A.</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/s/ Peter J. D’Agostino</w:t>
            </w:r>
          </w:p>
        </w:tc>
        <w:tc>
          <w:tcPr>
            <w:tcW w:w="0" w:type="dxa"/>
            <w:vAlign w:val="bottom"/>
          </w:tcPr>
          <w:p>
            <w:pPr>
              <w:spacing w:after="0"/>
              <w:rPr>
                <w:sz w:val="1"/>
                <w:szCs w:val="1"/>
                <w:color w:val="auto"/>
              </w:rPr>
            </w:pPr>
          </w:p>
        </w:tc>
      </w:tr>
      <w:tr>
        <w:trPr>
          <w:trHeight w:val="110"/>
        </w:trPr>
        <w:tc>
          <w:tcPr>
            <w:tcW w:w="32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422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$55,000,000</w:t>
            </w:r>
          </w:p>
        </w:tc>
        <w:tc>
          <w:tcPr>
            <w:tcW w:w="7040" w:type="dxa"/>
            <w:vAlign w:val="bottom"/>
            <w:gridSpan w:val="4"/>
          </w:tcPr>
          <w:p>
            <w:pPr>
              <w:ind w:left="2260"/>
              <w:spacing w:after="0"/>
              <w:rPr>
                <w:sz w:val="20"/>
                <w:szCs w:val="20"/>
                <w:color w:val="auto"/>
              </w:rPr>
            </w:pPr>
            <w:r>
              <w:rPr>
                <w:rFonts w:ascii="Arial" w:cs="Arial" w:eastAsia="Arial" w:hAnsi="Arial"/>
                <w:sz w:val="18"/>
                <w:szCs w:val="18"/>
                <w:color w:val="auto"/>
              </w:rPr>
              <w:t>WACHOVIA BANK, NATIONAL ASSOCIATION</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/s/ Barbara K. Angel</w:t>
            </w:r>
          </w:p>
        </w:tc>
        <w:tc>
          <w:tcPr>
            <w:tcW w:w="0" w:type="dxa"/>
            <w:vAlign w:val="bottom"/>
          </w:tcPr>
          <w:p>
            <w:pPr>
              <w:spacing w:after="0"/>
              <w:rPr>
                <w:sz w:val="1"/>
                <w:szCs w:val="1"/>
                <w:color w:val="auto"/>
              </w:rPr>
            </w:pPr>
          </w:p>
        </w:tc>
      </w:tr>
      <w:tr>
        <w:trPr>
          <w:trHeight w:val="110"/>
        </w:trPr>
        <w:tc>
          <w:tcPr>
            <w:tcW w:w="32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422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$45,000,000</w:t>
            </w:r>
          </w:p>
        </w:tc>
        <w:tc>
          <w:tcPr>
            <w:tcW w:w="7040" w:type="dxa"/>
            <w:vAlign w:val="bottom"/>
            <w:gridSpan w:val="4"/>
          </w:tcPr>
          <w:p>
            <w:pPr>
              <w:ind w:left="2260"/>
              <w:spacing w:after="0"/>
              <w:rPr>
                <w:sz w:val="20"/>
                <w:szCs w:val="20"/>
                <w:color w:val="auto"/>
              </w:rPr>
            </w:pPr>
            <w:r>
              <w:rPr>
                <w:rFonts w:ascii="Arial" w:cs="Arial" w:eastAsia="Arial" w:hAnsi="Arial"/>
                <w:sz w:val="18"/>
                <w:szCs w:val="18"/>
                <w:color w:val="auto"/>
              </w:rPr>
              <w:t>SUNTRUST BANK</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/s/ Thomas C. Palmer</w:t>
            </w:r>
          </w:p>
        </w:tc>
        <w:tc>
          <w:tcPr>
            <w:tcW w:w="0" w:type="dxa"/>
            <w:vAlign w:val="bottom"/>
          </w:tcPr>
          <w:p>
            <w:pPr>
              <w:spacing w:after="0"/>
              <w:rPr>
                <w:sz w:val="1"/>
                <w:szCs w:val="1"/>
                <w:color w:val="auto"/>
              </w:rPr>
            </w:pPr>
          </w:p>
        </w:tc>
      </w:tr>
      <w:tr>
        <w:trPr>
          <w:trHeight w:val="110"/>
        </w:trPr>
        <w:tc>
          <w:tcPr>
            <w:tcW w:w="32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422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$20,000,000</w:t>
            </w:r>
          </w:p>
        </w:tc>
        <w:tc>
          <w:tcPr>
            <w:tcW w:w="7040" w:type="dxa"/>
            <w:vAlign w:val="bottom"/>
            <w:gridSpan w:val="4"/>
          </w:tcPr>
          <w:p>
            <w:pPr>
              <w:ind w:left="2260"/>
              <w:spacing w:after="0"/>
              <w:rPr>
                <w:sz w:val="20"/>
                <w:szCs w:val="20"/>
                <w:color w:val="auto"/>
              </w:rPr>
            </w:pPr>
            <w:r>
              <w:rPr>
                <w:rFonts w:ascii="Arial" w:cs="Arial" w:eastAsia="Arial" w:hAnsi="Arial"/>
                <w:sz w:val="18"/>
                <w:szCs w:val="18"/>
                <w:color w:val="auto"/>
              </w:rPr>
              <w:t>THE BANK OF NEW YORK</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/s/ Michael E. Masters</w:t>
            </w:r>
          </w:p>
        </w:tc>
        <w:tc>
          <w:tcPr>
            <w:tcW w:w="0" w:type="dxa"/>
            <w:vAlign w:val="bottom"/>
          </w:tcPr>
          <w:p>
            <w:pPr>
              <w:spacing w:after="0"/>
              <w:rPr>
                <w:sz w:val="1"/>
                <w:szCs w:val="1"/>
                <w:color w:val="auto"/>
              </w:rPr>
            </w:pPr>
          </w:p>
        </w:tc>
      </w:tr>
      <w:tr>
        <w:trPr>
          <w:trHeight w:val="110"/>
        </w:trPr>
        <w:tc>
          <w:tcPr>
            <w:tcW w:w="32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422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$10,000,000</w:t>
            </w:r>
          </w:p>
        </w:tc>
        <w:tc>
          <w:tcPr>
            <w:tcW w:w="7040" w:type="dxa"/>
            <w:vAlign w:val="bottom"/>
            <w:gridSpan w:val="4"/>
          </w:tcPr>
          <w:p>
            <w:pPr>
              <w:ind w:left="2260"/>
              <w:spacing w:after="0"/>
              <w:rPr>
                <w:sz w:val="20"/>
                <w:szCs w:val="20"/>
                <w:color w:val="auto"/>
              </w:rPr>
            </w:pPr>
            <w:r>
              <w:rPr>
                <w:rFonts w:ascii="Arial" w:cs="Arial" w:eastAsia="Arial" w:hAnsi="Arial"/>
                <w:sz w:val="18"/>
                <w:szCs w:val="18"/>
                <w:color w:val="auto"/>
              </w:rPr>
              <w:t>PNC BANK, NATIONAL ASSOCIATION</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/s/ Douglas H. Klamfoth</w:t>
            </w:r>
          </w:p>
        </w:tc>
        <w:tc>
          <w:tcPr>
            <w:tcW w:w="0" w:type="dxa"/>
            <w:vAlign w:val="bottom"/>
          </w:tcPr>
          <w:p>
            <w:pPr>
              <w:spacing w:after="0"/>
              <w:rPr>
                <w:sz w:val="1"/>
                <w:szCs w:val="1"/>
                <w:color w:val="auto"/>
              </w:rPr>
            </w:pPr>
          </w:p>
        </w:tc>
      </w:tr>
      <w:tr>
        <w:trPr>
          <w:trHeight w:val="110"/>
        </w:trPr>
        <w:tc>
          <w:tcPr>
            <w:tcW w:w="32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422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$250,000,000</w:t>
            </w:r>
          </w:p>
        </w:tc>
        <w:tc>
          <w:tcPr>
            <w:tcW w:w="7040" w:type="dxa"/>
            <w:vAlign w:val="bottom"/>
            <w:gridSpan w:val="4"/>
          </w:tcPr>
          <w:p>
            <w:pPr>
              <w:ind w:left="2260"/>
              <w:spacing w:after="0"/>
              <w:rPr>
                <w:sz w:val="20"/>
                <w:szCs w:val="20"/>
                <w:color w:val="auto"/>
              </w:rPr>
            </w:pPr>
            <w:r>
              <w:rPr>
                <w:rFonts w:ascii="Arial" w:cs="Arial" w:eastAsia="Arial" w:hAnsi="Arial"/>
                <w:sz w:val="18"/>
                <w:szCs w:val="18"/>
                <w:color w:val="auto"/>
              </w:rPr>
              <w:t>Total of the Commitments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80"/>
          </w:cols>
          <w:pgMar w:left="240" w:top="257" w:right="13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1" w:name="page62"/>
    <w:bookmarkEnd w:id="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364-Day Credit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APPLICABLE LENDING OFFICES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 of Initial Lender</w:t>
            </w: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Domestic Lending Office</w:t>
            </w:r>
          </w:p>
        </w:tc>
        <w:tc>
          <w:tcPr>
            <w:tcW w:w="2960" w:type="dxa"/>
            <w:vAlign w:val="bottom"/>
            <w:gridSpan w:val="3"/>
          </w:tcPr>
          <w:p>
            <w:pPr>
              <w:ind w:left="800"/>
              <w:spacing w:after="0"/>
              <w:rPr>
                <w:sz w:val="20"/>
                <w:szCs w:val="20"/>
                <w:color w:val="auto"/>
              </w:rPr>
            </w:pPr>
            <w:r>
              <w:rPr>
                <w:rFonts w:ascii="Arial" w:cs="Arial" w:eastAsia="Arial" w:hAnsi="Arial"/>
                <w:sz w:val="14"/>
                <w:szCs w:val="14"/>
                <w:b w:val="1"/>
                <w:bCs w:val="1"/>
                <w:color w:val="auto"/>
              </w:rPr>
              <w:t>Eurodollar Lending Office</w:t>
            </w:r>
          </w:p>
        </w:tc>
      </w:tr>
      <w:tr>
        <w:trPr>
          <w:trHeight w:val="95"/>
        </w:trPr>
        <w:tc>
          <w:tcPr>
            <w:tcW w:w="118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r>
      <w:tr>
        <w:trPr>
          <w:trHeight w:val="309"/>
        </w:trPr>
        <w:tc>
          <w:tcPr>
            <w:tcW w:w="4120" w:type="dxa"/>
            <w:vAlign w:val="bottom"/>
            <w:gridSpan w:val="2"/>
          </w:tcPr>
          <w:p>
            <w:pPr>
              <w:spacing w:after="0"/>
              <w:rPr>
                <w:sz w:val="20"/>
                <w:szCs w:val="20"/>
                <w:color w:val="auto"/>
              </w:rPr>
            </w:pPr>
            <w:r>
              <w:rPr>
                <w:rFonts w:ascii="Arial" w:cs="Arial" w:eastAsia="Arial" w:hAnsi="Arial"/>
                <w:sz w:val="18"/>
                <w:szCs w:val="18"/>
                <w:color w:val="auto"/>
              </w:rPr>
              <w:t>The Bank of New York</w:t>
            </w:r>
          </w:p>
        </w:tc>
        <w:tc>
          <w:tcPr>
            <w:tcW w:w="2980" w:type="dxa"/>
            <w:vAlign w:val="bottom"/>
            <w:gridSpan w:val="2"/>
          </w:tcPr>
          <w:p>
            <w:pPr>
              <w:spacing w:after="0"/>
              <w:rPr>
                <w:sz w:val="20"/>
                <w:szCs w:val="20"/>
                <w:color w:val="auto"/>
              </w:rPr>
            </w:pPr>
            <w:r>
              <w:rPr>
                <w:rFonts w:ascii="Arial" w:cs="Arial" w:eastAsia="Arial" w:hAnsi="Arial"/>
                <w:sz w:val="18"/>
                <w:szCs w:val="18"/>
                <w:color w:val="auto"/>
              </w:rPr>
              <w:t>One Wall Street</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One Wall Street</w:t>
            </w:r>
          </w:p>
        </w:tc>
      </w:tr>
      <w:tr>
        <w:trPr>
          <w:trHeight w:val="222"/>
        </w:trPr>
        <w:tc>
          <w:tcPr>
            <w:tcW w:w="1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New York, NY 10286</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New York, NY 10286</w:t>
            </w:r>
          </w:p>
        </w:tc>
      </w:tr>
      <w:tr>
        <w:trPr>
          <w:trHeight w:val="318"/>
        </w:trPr>
        <w:tc>
          <w:tcPr>
            <w:tcW w:w="412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2980" w:type="dxa"/>
            <w:vAlign w:val="bottom"/>
            <w:gridSpan w:val="2"/>
          </w:tcPr>
          <w:p>
            <w:pPr>
              <w:spacing w:after="0"/>
              <w:rPr>
                <w:sz w:val="20"/>
                <w:szCs w:val="20"/>
                <w:color w:val="auto"/>
              </w:rPr>
            </w:pPr>
            <w:r>
              <w:rPr>
                <w:rFonts w:ascii="Arial" w:cs="Arial" w:eastAsia="Arial" w:hAnsi="Arial"/>
                <w:sz w:val="18"/>
                <w:szCs w:val="18"/>
                <w:color w:val="auto"/>
              </w:rPr>
              <w:t>Two Penns Way</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Two Penns Way</w:t>
            </w: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New Castle, DE 19720</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New Castle, DE 19720</w:t>
            </w: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Attn: Bank Loan Syndications</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w w:val="90"/>
              </w:rPr>
              <w:t>Attn: Bank Loan Syndications</w:t>
            </w: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Tel: (302) 894-6054</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Tel: (302) 894-6054</w:t>
            </w:r>
          </w:p>
        </w:tc>
      </w:tr>
      <w:tr>
        <w:trPr>
          <w:trHeight w:val="222"/>
        </w:trPr>
        <w:tc>
          <w:tcPr>
            <w:tcW w:w="1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Fax: (212) 994-0847</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Fax: (212) 994-0847</w:t>
            </w:r>
          </w:p>
        </w:tc>
      </w:tr>
      <w:tr>
        <w:trPr>
          <w:trHeight w:val="318"/>
        </w:trPr>
        <w:tc>
          <w:tcPr>
            <w:tcW w:w="4120" w:type="dxa"/>
            <w:vAlign w:val="bottom"/>
            <w:gridSpan w:val="2"/>
          </w:tcPr>
          <w:p>
            <w:pPr>
              <w:spacing w:after="0"/>
              <w:rPr>
                <w:sz w:val="20"/>
                <w:szCs w:val="20"/>
                <w:color w:val="auto"/>
              </w:rPr>
            </w:pPr>
            <w:r>
              <w:rPr>
                <w:rFonts w:ascii="Arial" w:cs="Arial" w:eastAsia="Arial" w:hAnsi="Arial"/>
                <w:sz w:val="18"/>
                <w:szCs w:val="18"/>
                <w:color w:val="auto"/>
              </w:rPr>
              <w:t>JPMorgan Chase Bank,</w:t>
            </w:r>
          </w:p>
        </w:tc>
        <w:tc>
          <w:tcPr>
            <w:tcW w:w="2980" w:type="dxa"/>
            <w:vAlign w:val="bottom"/>
            <w:gridSpan w:val="2"/>
          </w:tcPr>
          <w:p>
            <w:pPr>
              <w:spacing w:after="0"/>
              <w:rPr>
                <w:sz w:val="20"/>
                <w:szCs w:val="20"/>
                <w:color w:val="auto"/>
              </w:rPr>
            </w:pPr>
            <w:r>
              <w:rPr>
                <w:rFonts w:ascii="Arial" w:cs="Arial" w:eastAsia="Arial" w:hAnsi="Arial"/>
                <w:sz w:val="18"/>
                <w:szCs w:val="18"/>
                <w:color w:val="auto"/>
              </w:rPr>
              <w:t>4 Metrotech Center, 22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w w:val="86"/>
              </w:rPr>
              <w:t>4 Metrotech Center, 22</w:t>
            </w:r>
            <w:r>
              <w:rPr>
                <w:rFonts w:ascii="Arial" w:cs="Arial" w:eastAsia="Arial" w:hAnsi="Arial"/>
                <w:sz w:val="22"/>
                <w:szCs w:val="22"/>
                <w:color w:val="auto"/>
                <w:w w:val="86"/>
                <w:vertAlign w:val="superscript"/>
              </w:rPr>
              <w:t>nd</w:t>
            </w:r>
            <w:r>
              <w:rPr>
                <w:rFonts w:ascii="Arial" w:cs="Arial" w:eastAsia="Arial" w:hAnsi="Arial"/>
                <w:sz w:val="18"/>
                <w:szCs w:val="18"/>
                <w:color w:val="auto"/>
                <w:w w:val="86"/>
              </w:rPr>
              <w:t xml:space="preserve"> Floor</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N.A.</w:t>
            </w:r>
          </w:p>
        </w:tc>
        <w:tc>
          <w:tcPr>
            <w:tcW w:w="2980" w:type="dxa"/>
            <w:vAlign w:val="bottom"/>
            <w:gridSpan w:val="2"/>
          </w:tcPr>
          <w:p>
            <w:pPr>
              <w:spacing w:after="0"/>
              <w:rPr>
                <w:sz w:val="20"/>
                <w:szCs w:val="20"/>
                <w:color w:val="auto"/>
              </w:rPr>
            </w:pPr>
            <w:r>
              <w:rPr>
                <w:rFonts w:ascii="Arial" w:cs="Arial" w:eastAsia="Arial" w:hAnsi="Arial"/>
                <w:sz w:val="18"/>
                <w:szCs w:val="18"/>
                <w:color w:val="auto"/>
              </w:rPr>
              <w:t>Brooklyn, NY 11245</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Brooklyn, NY 11245</w:t>
            </w: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Attn: Peter J. D’Agostino.</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Attn: Peter J. D’Agostino</w:t>
            </w: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Tel: (718) 242-3817</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Tel: (718) 242-3817</w:t>
            </w:r>
          </w:p>
        </w:tc>
      </w:tr>
      <w:tr>
        <w:trPr>
          <w:trHeight w:val="222"/>
        </w:trPr>
        <w:tc>
          <w:tcPr>
            <w:tcW w:w="1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Fax: (718) 242-3846</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Fax: (718) 242-3846</w:t>
            </w:r>
          </w:p>
        </w:tc>
      </w:tr>
      <w:tr>
        <w:trPr>
          <w:trHeight w:val="318"/>
        </w:trPr>
        <w:tc>
          <w:tcPr>
            <w:tcW w:w="4120" w:type="dxa"/>
            <w:vAlign w:val="bottom"/>
            <w:gridSpan w:val="2"/>
          </w:tcPr>
          <w:p>
            <w:pPr>
              <w:spacing w:after="0"/>
              <w:rPr>
                <w:sz w:val="20"/>
                <w:szCs w:val="20"/>
                <w:color w:val="auto"/>
              </w:rPr>
            </w:pPr>
            <w:r>
              <w:rPr>
                <w:rFonts w:ascii="Arial" w:cs="Arial" w:eastAsia="Arial" w:hAnsi="Arial"/>
                <w:sz w:val="18"/>
                <w:szCs w:val="18"/>
                <w:color w:val="auto"/>
              </w:rPr>
              <w:t>PNC Bank, National</w:t>
            </w:r>
          </w:p>
        </w:tc>
        <w:tc>
          <w:tcPr>
            <w:tcW w:w="2980" w:type="dxa"/>
            <w:vAlign w:val="bottom"/>
            <w:gridSpan w:val="2"/>
          </w:tcPr>
          <w:p>
            <w:pPr>
              <w:spacing w:after="0"/>
              <w:rPr>
                <w:sz w:val="20"/>
                <w:szCs w:val="20"/>
                <w:color w:val="auto"/>
              </w:rPr>
            </w:pPr>
            <w:r>
              <w:rPr>
                <w:rFonts w:ascii="Arial" w:cs="Arial" w:eastAsia="Arial" w:hAnsi="Arial"/>
                <w:sz w:val="18"/>
                <w:szCs w:val="18"/>
                <w:color w:val="auto"/>
              </w:rPr>
              <w:t>808 17th Street</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808 17th Street,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Association</w:t>
            </w:r>
          </w:p>
        </w:tc>
        <w:tc>
          <w:tcPr>
            <w:tcW w:w="2980" w:type="dxa"/>
            <w:vAlign w:val="bottom"/>
            <w:gridSpan w:val="2"/>
          </w:tcPr>
          <w:p>
            <w:pPr>
              <w:spacing w:after="0"/>
              <w:rPr>
                <w:sz w:val="20"/>
                <w:szCs w:val="20"/>
                <w:color w:val="auto"/>
              </w:rPr>
            </w:pPr>
            <w:r>
              <w:rPr>
                <w:rFonts w:ascii="Arial" w:cs="Arial" w:eastAsia="Arial" w:hAnsi="Arial"/>
                <w:sz w:val="18"/>
                <w:szCs w:val="18"/>
                <w:color w:val="auto"/>
              </w:rPr>
              <w:t>NW Washington, DC 20006</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w w:val="96"/>
              </w:rPr>
              <w:t>NW Washington, DC 20006</w:t>
            </w: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Attn: Douglas H. Klamfoth</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Attn: Douglas H. Klamfoth</w:t>
            </w: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Tel: (202) 835-4304</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Tele: (202) 835-4304</w:t>
            </w:r>
          </w:p>
        </w:tc>
      </w:tr>
      <w:tr>
        <w:trPr>
          <w:trHeight w:val="222"/>
        </w:trPr>
        <w:tc>
          <w:tcPr>
            <w:tcW w:w="1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Fax: (202) 835-5977</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Fax: (202) 835-5977</w:t>
            </w:r>
          </w:p>
        </w:tc>
      </w:tr>
      <w:tr>
        <w:trPr>
          <w:trHeight w:val="318"/>
        </w:trPr>
        <w:tc>
          <w:tcPr>
            <w:tcW w:w="4120" w:type="dxa"/>
            <w:vAlign w:val="bottom"/>
            <w:gridSpan w:val="2"/>
          </w:tcPr>
          <w:p>
            <w:pPr>
              <w:spacing w:after="0"/>
              <w:rPr>
                <w:sz w:val="20"/>
                <w:szCs w:val="20"/>
                <w:color w:val="auto"/>
              </w:rPr>
            </w:pPr>
            <w:r>
              <w:rPr>
                <w:rFonts w:ascii="Arial" w:cs="Arial" w:eastAsia="Arial" w:hAnsi="Arial"/>
                <w:sz w:val="18"/>
                <w:szCs w:val="18"/>
                <w:color w:val="auto"/>
              </w:rPr>
              <w:t>SunTrust Bank</w:t>
            </w:r>
          </w:p>
        </w:tc>
        <w:tc>
          <w:tcPr>
            <w:tcW w:w="2980" w:type="dxa"/>
            <w:vAlign w:val="bottom"/>
            <w:gridSpan w:val="2"/>
          </w:tcPr>
          <w:p>
            <w:pPr>
              <w:spacing w:after="0"/>
              <w:rPr>
                <w:sz w:val="20"/>
                <w:szCs w:val="20"/>
                <w:color w:val="auto"/>
              </w:rPr>
            </w:pPr>
            <w:r>
              <w:rPr>
                <w:rFonts w:ascii="Arial" w:cs="Arial" w:eastAsia="Arial" w:hAnsi="Arial"/>
                <w:sz w:val="18"/>
                <w:szCs w:val="18"/>
                <w:color w:val="auto"/>
              </w:rPr>
              <w:t>1445 New York Avenue, NW</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w w:val="93"/>
              </w:rPr>
              <w:t>1445 New York Avenue, NW</w:t>
            </w: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Washington, DC 20005</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Washington, DC 20005</w:t>
            </w: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Attn: Tom Palmer</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Attn: Tom Palmer</w:t>
            </w: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T: 804 782-5833</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T: 804 782-5833</w:t>
            </w:r>
          </w:p>
        </w:tc>
      </w:tr>
      <w:tr>
        <w:trPr>
          <w:trHeight w:val="222"/>
        </w:trPr>
        <w:tc>
          <w:tcPr>
            <w:tcW w:w="1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F: 202 879-6137</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F: 202 879-6137</w:t>
            </w:r>
          </w:p>
        </w:tc>
      </w:tr>
      <w:tr>
        <w:trPr>
          <w:trHeight w:val="318"/>
        </w:trPr>
        <w:tc>
          <w:tcPr>
            <w:tcW w:w="4120" w:type="dxa"/>
            <w:vAlign w:val="bottom"/>
            <w:gridSpan w:val="2"/>
          </w:tcPr>
          <w:p>
            <w:pPr>
              <w:spacing w:after="0"/>
              <w:rPr>
                <w:sz w:val="20"/>
                <w:szCs w:val="20"/>
                <w:color w:val="auto"/>
              </w:rPr>
            </w:pPr>
            <w:r>
              <w:rPr>
                <w:rFonts w:ascii="Arial" w:cs="Arial" w:eastAsia="Arial" w:hAnsi="Arial"/>
                <w:sz w:val="18"/>
                <w:szCs w:val="18"/>
                <w:color w:val="auto"/>
              </w:rPr>
              <w:t>Wachovia Bank, National</w:t>
            </w:r>
          </w:p>
        </w:tc>
        <w:tc>
          <w:tcPr>
            <w:tcW w:w="2980" w:type="dxa"/>
            <w:vAlign w:val="bottom"/>
            <w:gridSpan w:val="2"/>
          </w:tcPr>
          <w:p>
            <w:pPr>
              <w:spacing w:after="0"/>
              <w:rPr>
                <w:sz w:val="20"/>
                <w:szCs w:val="20"/>
                <w:color w:val="auto"/>
              </w:rPr>
            </w:pPr>
            <w:r>
              <w:rPr>
                <w:rFonts w:ascii="Arial" w:cs="Arial" w:eastAsia="Arial" w:hAnsi="Arial"/>
                <w:sz w:val="18"/>
                <w:szCs w:val="18"/>
                <w:color w:val="auto"/>
              </w:rPr>
              <w:t>1753 Pinnacle Drive</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1753 Pinnacle Drive</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Association</w:t>
            </w:r>
          </w:p>
        </w:tc>
        <w:tc>
          <w:tcPr>
            <w:tcW w:w="2980" w:type="dxa"/>
            <w:vAlign w:val="bottom"/>
            <w:gridSpan w:val="2"/>
          </w:tcPr>
          <w:p>
            <w:pPr>
              <w:spacing w:after="0" w:line="217" w:lineRule="exact"/>
              <w:rPr>
                <w:sz w:val="20"/>
                <w:szCs w:val="20"/>
                <w:color w:val="auto"/>
              </w:rPr>
            </w:pPr>
            <w:r>
              <w:rPr>
                <w:rFonts w:ascii="Arial" w:cs="Arial" w:eastAsia="Arial" w:hAnsi="Arial"/>
                <w:sz w:val="18"/>
                <w:szCs w:val="18"/>
                <w:color w:val="auto"/>
              </w:rPr>
              <w:t>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 VA 1993</w:t>
            </w:r>
          </w:p>
        </w:tc>
        <w:tc>
          <w:tcPr>
            <w:tcW w:w="2960" w:type="dxa"/>
            <w:vAlign w:val="bottom"/>
            <w:gridSpan w:val="3"/>
          </w:tcPr>
          <w:p>
            <w:pPr>
              <w:ind w:left="800"/>
              <w:spacing w:after="0" w:line="217" w:lineRule="exact"/>
              <w:rPr>
                <w:sz w:val="20"/>
                <w:szCs w:val="20"/>
                <w:color w:val="auto"/>
              </w:rPr>
            </w:pPr>
            <w:r>
              <w:rPr>
                <w:rFonts w:ascii="Arial" w:cs="Arial" w:eastAsia="Arial" w:hAnsi="Arial"/>
                <w:sz w:val="18"/>
                <w:szCs w:val="18"/>
                <w:color w:val="auto"/>
              </w:rPr>
              <w:t>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 VA 1993</w:t>
            </w: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McLean, VA 22102</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McLean, VA 22102</w:t>
            </w: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Attn: Barbara Angel</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Attn: Barbara Angel</w:t>
            </w: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Tel: (703) 760-6369</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Tel: (703) 760-6369</w:t>
            </w:r>
          </w:p>
        </w:tc>
      </w:tr>
      <w:tr>
        <w:trPr>
          <w:trHeight w:val="222"/>
        </w:trPr>
        <w:tc>
          <w:tcPr>
            <w:tcW w:w="1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Fax: (703) 760-6172</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Fax: (703) 760-6172</w:t>
            </w:r>
          </w:p>
        </w:tc>
      </w:tr>
    </w:tbl>
    <w:p>
      <w:pPr>
        <w:sectPr>
          <w:pgSz w:w="11900" w:h="16838" w:orient="portrait"/>
          <w:cols w:equalWidth="0" w:num="1">
            <w:col w:w="11420"/>
          </w:cols>
          <w:pgMar w:left="240" w:top="280" w:right="239" w:bottom="1440" w:gutter="0" w:footer="0" w:header="0"/>
        </w:sectPr>
      </w:pPr>
    </w:p>
    <w:bookmarkStart w:id="62" w:name="page63"/>
    <w:bookmarkEnd w:id="62"/>
    <w:p>
      <w:pPr>
        <w:ind w:left="37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5.02(a)</w:t>
      </w:r>
    </w:p>
    <w:p>
      <w:pPr>
        <w:spacing w:after="0" w:line="18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EXISTING LIENS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80"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PROMISSORY NOTE</w:t>
      </w:r>
    </w:p>
    <w:p>
      <w:pPr>
        <w:spacing w:after="0" w:line="151" w:lineRule="exact"/>
        <w:rPr>
          <w:sz w:val="20"/>
          <w:szCs w:val="20"/>
          <w:color w:val="auto"/>
        </w:rPr>
      </w:pPr>
    </w:p>
    <w:p>
      <w:pPr>
        <w:spacing w:after="0"/>
        <w:tabs>
          <w:tab w:leader="none" w:pos="9580" w:val="left"/>
          <w:tab w:leader="none" w:pos="1096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-13970</wp:posOffset>
            </wp:positionV>
            <wp:extent cx="5575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6415405</wp:posOffset>
            </wp:positionH>
            <wp:positionV relativeFrom="paragraph">
              <wp:posOffset>-13970</wp:posOffset>
            </wp:positionV>
            <wp:extent cx="5575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VALUE RECEIVED, the undersigned, THE WASHINGTON POST COMPANY,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w:t>
      </w:r>
    </w:p>
    <w:p>
      <w:pPr>
        <w:spacing w:after="0" w:line="3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PROMISES TO PAY to the order of (the “</w:t>
      </w:r>
      <w:r>
        <w:rPr>
          <w:rFonts w:ascii="Arial" w:cs="Arial" w:eastAsia="Arial" w:hAnsi="Arial"/>
          <w:sz w:val="18"/>
          <w:szCs w:val="18"/>
          <w:u w:val="single" w:color="auto"/>
          <w:color w:val="auto"/>
        </w:rPr>
        <w:t>Lender</w:t>
      </w:r>
      <w:r>
        <w:rPr>
          <w:rFonts w:ascii="Arial" w:cs="Arial" w:eastAsia="Arial" w:hAnsi="Arial"/>
          <w:sz w:val="18"/>
          <w:szCs w:val="18"/>
          <w:color w:val="auto"/>
        </w:rPr>
        <w:t>”) for the account of its Applicable Lending Office on the later of the Termination Date and the date designated pursuant to Section 2.06 of the Credit Agreement (each as defined in the Credit Agreement referred to below) the principal sum of U.S.$[amount of the Lender’s Commitment in figures] or, if less, the aggregate principal amount of the Revolving Credit Advances made by the Lender to the Borrower pursuant to the 364-Day Credit Agreement dated as of August 10, 2005 among the Borrower, the Lender and certain other lenders parties thereto, Citibank, N.A., as Agent for the Lender and such other lenders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outstanding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-714375</wp:posOffset>
            </wp:positionV>
            <wp:extent cx="11150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15"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72"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Both principal and interest are payable in lawful money of the United States of America to Citibank, N.A., as Agent, at 388 Greenwich Street, New York, New York 10013,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ectPr>
          <w:pgSz w:w="11900" w:h="16838" w:orient="portrait"/>
          <w:cols w:equalWidth="0" w:num="1">
            <w:col w:w="11420"/>
          </w:cols>
          <w:pgMar w:left="240" w:top="280" w:right="239" w:bottom="1440" w:gutter="0" w:footer="0" w:header="0"/>
        </w:sectPr>
      </w:pPr>
    </w:p>
    <w:bookmarkStart w:id="64" w:name="page65"/>
    <w:bookmarkEnd w:id="64"/>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Promissory Note is one of the Revolving Credit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U.S. dollar amount first above mentioned, the indebtedness of the Borrower resulting from each such Revolving Credit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ADVANCES AND PAYMENTS OF PRINCIPAL</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9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Unpaid</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49"/>
        </w:trPr>
        <w:tc>
          <w:tcPr>
            <w:tcW w:w="1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9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Principal Paid</w:t>
            </w:r>
          </w:p>
        </w:tc>
        <w:tc>
          <w:tcPr>
            <w:tcW w:w="9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74"/>
        </w:trPr>
        <w:tc>
          <w:tcPr>
            <w:tcW w:w="1380" w:type="dxa"/>
            <w:vAlign w:val="bottom"/>
          </w:tcPr>
          <w:p>
            <w:pPr>
              <w:ind w:left="560"/>
              <w:spacing w:after="0"/>
              <w:rPr>
                <w:sz w:val="20"/>
                <w:szCs w:val="20"/>
                <w:color w:val="auto"/>
              </w:rPr>
            </w:pPr>
            <w:r>
              <w:rPr>
                <w:rFonts w:ascii="Arial" w:cs="Arial" w:eastAsia="Arial" w:hAnsi="Arial"/>
                <w:sz w:val="14"/>
                <w:szCs w:val="14"/>
                <w:b w:val="1"/>
                <w:bCs w:val="1"/>
                <w:color w:val="auto"/>
              </w:rPr>
              <w:t>Date</w:t>
            </w:r>
          </w:p>
        </w:tc>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Advance</w:t>
            </w:r>
          </w:p>
        </w:tc>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or Prepaid</w:t>
            </w:r>
          </w:p>
        </w:tc>
        <w:tc>
          <w:tcPr>
            <w:tcW w:w="9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92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Arial" w:cs="Arial" w:eastAsia="Arial" w:hAnsi="Arial"/>
                <w:sz w:val="14"/>
                <w:szCs w:val="14"/>
                <w:b w:val="1"/>
                <w:bCs w:val="1"/>
                <w:color w:val="auto"/>
                <w:w w:val="96"/>
              </w:rPr>
              <w:t>Notation Made By</w:t>
            </w:r>
          </w:p>
        </w:tc>
      </w:tr>
      <w:tr>
        <w:trPr>
          <w:trHeight w:val="95"/>
        </w:trPr>
        <w:tc>
          <w:tcPr>
            <w:tcW w:w="138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700" w:top="274" w:right="6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A-2 -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COMPETITIVE BID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PROMISSORY NOTE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gridSpan w:val="3"/>
          </w:tcPr>
          <w:p>
            <w:pPr>
              <w:spacing w:after="0"/>
              <w:rPr>
                <w:sz w:val="20"/>
                <w:szCs w:val="20"/>
                <w:color w:val="auto"/>
              </w:rPr>
            </w:pPr>
            <w:r>
              <w:rPr>
                <w:rFonts w:ascii="Arial" w:cs="Arial" w:eastAsia="Arial" w:hAnsi="Arial"/>
                <w:sz w:val="18"/>
                <w:szCs w:val="18"/>
                <w:color w:val="auto"/>
              </w:rPr>
              <w:t>U.S.$</w:t>
            </w:r>
          </w:p>
        </w:tc>
        <w:tc>
          <w:tcPr>
            <w:tcW w:w="1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720" w:type="dxa"/>
            <w:vAlign w:val="bottom"/>
            <w:gridSpan w:val="3"/>
          </w:tcPr>
          <w:p>
            <w:pPr>
              <w:ind w:left="440"/>
              <w:spacing w:after="0"/>
              <w:rPr>
                <w:sz w:val="20"/>
                <w:szCs w:val="20"/>
                <w:color w:val="auto"/>
              </w:rPr>
            </w:pPr>
            <w:r>
              <w:rPr>
                <w:rFonts w:ascii="Arial" w:cs="Arial" w:eastAsia="Arial" w:hAnsi="Arial"/>
                <w:sz w:val="18"/>
                <w:szCs w:val="18"/>
                <w:color w:val="auto"/>
              </w:rPr>
              <w:t>Dated:</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 200</w:t>
            </w:r>
          </w:p>
        </w:tc>
      </w:tr>
      <w:tr>
        <w:trPr>
          <w:trHeight w:val="20"/>
        </w:trPr>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345"/>
        </w:trPr>
        <w:tc>
          <w:tcPr>
            <w:tcW w:w="400" w:type="dxa"/>
            <w:vAlign w:val="bottom"/>
          </w:tcPr>
          <w:p>
            <w:pPr>
              <w:spacing w:after="0"/>
              <w:rPr>
                <w:sz w:val="24"/>
                <w:szCs w:val="24"/>
                <w:color w:val="auto"/>
              </w:rPr>
            </w:pPr>
          </w:p>
        </w:tc>
        <w:tc>
          <w:tcPr>
            <w:tcW w:w="10480" w:type="dxa"/>
            <w:vAlign w:val="bottom"/>
            <w:gridSpan w:val="9"/>
          </w:tcPr>
          <w:p>
            <w:pPr>
              <w:ind w:left="520"/>
              <w:spacing w:after="0"/>
              <w:rPr>
                <w:sz w:val="20"/>
                <w:szCs w:val="20"/>
                <w:color w:val="auto"/>
              </w:rPr>
            </w:pPr>
            <w:r>
              <w:rPr>
                <w:rFonts w:ascii="Arial" w:cs="Arial" w:eastAsia="Arial" w:hAnsi="Arial"/>
                <w:sz w:val="18"/>
                <w:szCs w:val="18"/>
                <w:color w:val="auto"/>
                <w:w w:val="92"/>
              </w:rPr>
              <w:t>FOR VALUE RECEIVED, the undersigned, THE WASHINGTON POST COMPANY, a Delaware corporation (the “Borrower”), HEREBY</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6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r>
      <w:tr>
        <w:trPr>
          <w:trHeight w:val="196"/>
        </w:trPr>
        <w:tc>
          <w:tcPr>
            <w:tcW w:w="2600" w:type="dxa"/>
            <w:vAlign w:val="bottom"/>
            <w:gridSpan w:val="3"/>
          </w:tcPr>
          <w:p>
            <w:pPr>
              <w:spacing w:after="0" w:line="196" w:lineRule="exact"/>
              <w:rPr>
                <w:sz w:val="20"/>
                <w:szCs w:val="20"/>
                <w:color w:val="auto"/>
              </w:rPr>
            </w:pPr>
            <w:r>
              <w:rPr>
                <w:rFonts w:ascii="Arial" w:cs="Arial" w:eastAsia="Arial" w:hAnsi="Arial"/>
                <w:sz w:val="18"/>
                <w:szCs w:val="18"/>
                <w:color w:val="auto"/>
                <w:w w:val="91"/>
              </w:rPr>
              <w:t>PROMISES TO PAY to the order of</w:t>
            </w:r>
          </w:p>
        </w:tc>
        <w:tc>
          <w:tcPr>
            <w:tcW w:w="1740" w:type="dxa"/>
            <w:vAlign w:val="bottom"/>
          </w:tcPr>
          <w:p>
            <w:pPr>
              <w:spacing w:after="0"/>
              <w:rPr>
                <w:sz w:val="17"/>
                <w:szCs w:val="17"/>
                <w:color w:val="auto"/>
              </w:rPr>
            </w:pPr>
          </w:p>
        </w:tc>
        <w:tc>
          <w:tcPr>
            <w:tcW w:w="7080" w:type="dxa"/>
            <w:vAlign w:val="bottom"/>
            <w:gridSpan w:val="9"/>
          </w:tcPr>
          <w:p>
            <w:pPr>
              <w:ind w:left="60"/>
              <w:spacing w:after="0" w:line="196" w:lineRule="exact"/>
              <w:rPr>
                <w:sz w:val="20"/>
                <w:szCs w:val="20"/>
                <w:color w:val="auto"/>
              </w:rPr>
            </w:pPr>
            <w:r>
              <w:rPr>
                <w:rFonts w:ascii="Arial" w:cs="Arial" w:eastAsia="Arial" w:hAnsi="Arial"/>
                <w:sz w:val="18"/>
                <w:szCs w:val="18"/>
                <w:color w:val="auto"/>
                <w:w w:val="92"/>
              </w:rPr>
              <w:t>(the “Lender”) for the account of its Applicable Lending Office (as defined in the 364-Day Credit</w:t>
            </w:r>
          </w:p>
        </w:tc>
      </w:tr>
      <w:tr>
        <w:trPr>
          <w:trHeight w:val="20"/>
        </w:trPr>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 w:lineRule="exact"/>
        <w:rPr>
          <w:sz w:val="20"/>
          <w:szCs w:val="20"/>
          <w:color w:val="auto"/>
        </w:rPr>
      </w:pPr>
    </w:p>
    <w:p>
      <w:pPr>
        <w:ind w:right="300"/>
        <w:spacing w:after="0" w:line="305" w:lineRule="auto"/>
        <w:rPr>
          <w:sz w:val="20"/>
          <w:szCs w:val="20"/>
          <w:color w:val="auto"/>
        </w:rPr>
      </w:pPr>
      <w:r>
        <w:rPr>
          <w:rFonts w:ascii="Arial" w:cs="Arial" w:eastAsia="Arial" w:hAnsi="Arial"/>
          <w:sz w:val="15"/>
          <w:szCs w:val="15"/>
          <w:color w:val="auto"/>
        </w:rPr>
        <w:t>Agreement dated as of August 10, 2005 among the Borrower, the Lender and certain other lenders parties thereto, Citibank, N.A., as Agent for the Lender and such other lenders (as amended or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the terms defined therein being used herein as therein defined)), on</w:t>
      </w:r>
    </w:p>
    <w:p>
      <w:pPr>
        <w:ind w:left="880"/>
        <w:spacing w:after="0"/>
        <w:tabs>
          <w:tab w:leader="none" w:pos="4360" w:val="left"/>
        </w:tabs>
        <w:rPr>
          <w:sz w:val="20"/>
          <w:szCs w:val="20"/>
          <w:color w:val="auto"/>
        </w:rPr>
      </w:pPr>
      <w:r>
        <w:rPr>
          <w:rFonts w:ascii="Arial" w:cs="Arial" w:eastAsia="Arial" w:hAnsi="Arial"/>
          <w:sz w:val="18"/>
          <w:szCs w:val="18"/>
          <w:color w:val="auto"/>
        </w:rPr>
        <w:t>, 200 , the principal amount of U.S.$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575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-17780</wp:posOffset>
            </wp:positionV>
            <wp:extent cx="5575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Borrower promises to pay interest on the unpaid principal amount hereof from the date hereof until such principal amount is paid in full, at the interest rate and payable on the interest payment date or dates provided below:</w:t>
      </w:r>
    </w:p>
    <w:p>
      <w:pPr>
        <w:spacing w:after="0" w:line="37" w:lineRule="exact"/>
        <w:rPr>
          <w:sz w:val="20"/>
          <w:szCs w:val="20"/>
          <w:color w:val="auto"/>
        </w:rPr>
      </w:pPr>
    </w:p>
    <w:p>
      <w:pPr>
        <w:ind w:left="920"/>
        <w:spacing w:after="0"/>
        <w:tabs>
          <w:tab w:leader="none" w:pos="2480" w:val="left"/>
          <w:tab w:leader="none" w:pos="656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8"/>
          <w:szCs w:val="18"/>
          <w:color w:val="auto"/>
        </w:rPr>
        <w:t>% per annum (calculated on the basis of a year of</w:t>
      </w:r>
      <w:r>
        <w:rPr>
          <w:sz w:val="20"/>
          <w:szCs w:val="20"/>
          <w:color w:val="auto"/>
        </w:rPr>
        <w:tab/>
      </w:r>
      <w:r>
        <w:rPr>
          <w:rFonts w:ascii="Arial" w:cs="Arial" w:eastAsia="Arial" w:hAnsi="Arial"/>
          <w:sz w:val="15"/>
          <w:szCs w:val="15"/>
          <w:color w:val="auto"/>
        </w:rPr>
        <w:t>days for the actual number of days elapsed).]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-13970</wp:posOffset>
            </wp:positionV>
            <wp:extent cx="3346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-13970</wp:posOffset>
            </wp:positionV>
            <wp:extent cx="3346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Both principal and interest are payable in lawful money of the United States of America to Citibank, N.A. for the account of the Lender at the office of Citibank, N.A., at 388 Greenwich Street, New York, New York 10013 in same day funds.</w:t>
      </w:r>
    </w:p>
    <w:p>
      <w:pPr>
        <w:spacing w:after="0" w:line="118" w:lineRule="exact"/>
        <w:rPr>
          <w:sz w:val="20"/>
          <w:szCs w:val="20"/>
          <w:color w:val="auto"/>
        </w:rPr>
      </w:pPr>
    </w:p>
    <w:p>
      <w:pPr>
        <w:ind w:right="680" w:firstLine="913"/>
        <w:spacing w:after="0" w:line="332" w:lineRule="auto"/>
        <w:rPr>
          <w:sz w:val="20"/>
          <w:szCs w:val="20"/>
          <w:color w:val="auto"/>
        </w:rPr>
      </w:pPr>
      <w:r>
        <w:rPr>
          <w:rFonts w:ascii="Arial" w:cs="Arial" w:eastAsia="Arial" w:hAnsi="Arial"/>
          <w:sz w:val="16"/>
          <w:szCs w:val="16"/>
          <w:color w:val="auto"/>
        </w:rPr>
        <w:t>This Promissory Note is one of the Competitive Bid Notes referred to in, and is entitled to the benefits of, the Credit Agreement. The Credit Agreement, among other things, contains provisions for acceleration of the maturity hereof upon the happening of certain stated events.</w:t>
      </w:r>
    </w:p>
    <w:p>
      <w:pPr>
        <w:spacing w:after="0" w:line="72"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The Borrower hereby waives presentment, demand, protest and notice of any kind. No failure to exercise, and no delay in exercising, any rights hereunder on the part of the holder hereof shall operate as a waiver of such rights.</w:t>
      </w:r>
    </w:p>
    <w:p>
      <w:pPr>
        <w:sectPr>
          <w:pgSz w:w="11900" w:h="16838" w:orient="portrait"/>
          <w:cols w:equalWidth="0" w:num="1">
            <w:col w:w="11420"/>
          </w:cols>
          <w:pgMar w:left="240" w:top="280"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Promissory Note shall be governed by, and construed in accordance with, the laws of the State of New York.</w:t>
      </w:r>
    </w:p>
    <w:p>
      <w:pPr>
        <w:spacing w:after="0" w:line="181"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4034790</wp:posOffset>
            </wp:positionH>
            <wp:positionV relativeFrom="paragraph">
              <wp:posOffset>36830</wp:posOffset>
            </wp:positionV>
            <wp:extent cx="26327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299"/>
          </w:cols>
          <w:pgMar w:left="1160" w:top="280"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B-1 - FORM OF NOTICE OF</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REVOLVING CREDIT BORROWING</w:t>
      </w:r>
    </w:p>
    <w:p>
      <w:pPr>
        <w:sectPr>
          <w:pgSz w:w="11900" w:h="16838" w:orient="portrait"/>
          <w:cols w:equalWidth="0" w:num="1">
            <w:col w:w="11420"/>
          </w:cols>
          <w:pgMar w:left="240" w:top="280"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New Castle, Delaware 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181" w:lineRule="exact"/>
        <w:rPr>
          <w:sz w:val="20"/>
          <w:szCs w:val="20"/>
          <w:color w:val="auto"/>
        </w:rPr>
      </w:pPr>
    </w:p>
    <w:p>
      <w:pPr>
        <w:sectPr>
          <w:pgSz w:w="11900" w:h="16838" w:orient="portrait"/>
          <w:cols w:equalWidth="0" w:num="2">
            <w:col w:w="2620" w:space="720"/>
            <w:col w:w="8080"/>
          </w:cols>
          <w:pgMar w:left="240" w:top="280"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Attention: Nick Rozell</w:t>
      </w:r>
    </w:p>
    <w:p>
      <w:pPr>
        <w:sectPr>
          <w:pgSz w:w="11900" w:h="16838" w:orient="portrait"/>
          <w:cols w:equalWidth="0" w:num="1">
            <w:col w:w="11420"/>
          </w:cols>
          <w:pgMar w:left="240" w:top="280"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The undersigned, The Washington Post Company, refers to the 364-Day Credit Agreement, dated as of August 10, 2005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the undersigned, certain Lenders parties thereto, Citibank, N.A., as Agent for said Lenders, and hereby gives you notice, irrevocably, pursuant to Section 2.02 of the Credit Agreement that the undersigned hereby requests a Revolving Credit Borrowing under the Credit Agreement, and in that connection sets forth below the information relating to such Revolving Credit Borrowing (the “</w:t>
      </w:r>
      <w:r>
        <w:rPr>
          <w:rFonts w:ascii="Arial" w:cs="Arial" w:eastAsia="Arial" w:hAnsi="Arial"/>
          <w:sz w:val="16"/>
          <w:szCs w:val="16"/>
          <w:u w:val="single" w:color="auto"/>
          <w:color w:val="auto"/>
        </w:rPr>
        <w:t>Proposed Revolving Credit Borrowing</w:t>
      </w:r>
      <w:r>
        <w:rPr>
          <w:rFonts w:ascii="Arial" w:cs="Arial" w:eastAsia="Arial" w:hAnsi="Arial"/>
          <w:sz w:val="16"/>
          <w:szCs w:val="16"/>
          <w:color w:val="auto"/>
        </w:rPr>
        <w:t>”) as required by Section 2.02(a) of the Credit Agreement:</w:t>
      </w:r>
    </w:p>
    <w:tbl>
      <w:tblPr>
        <w:tblLayout w:type="fixed"/>
        <w:tblInd w:w="900" w:type="dxa"/>
        <w:tblCellMar>
          <w:top w:w="0" w:type="dxa"/>
          <w:left w:w="0" w:type="dxa"/>
          <w:bottom w:w="0" w:type="dxa"/>
          <w:right w:w="0" w:type="dxa"/>
        </w:tblCellMar>
      </w:tblPr>
      <w:tr>
        <w:trPr>
          <w:trHeight w:val="205"/>
        </w:trPr>
        <w:tc>
          <w:tcPr>
            <w:tcW w:w="4900" w:type="dxa"/>
            <w:vAlign w:val="bottom"/>
          </w:tcPr>
          <w:p>
            <w:pPr>
              <w:spacing w:after="0" w:line="205" w:lineRule="exact"/>
              <w:rPr>
                <w:sz w:val="20"/>
                <w:szCs w:val="20"/>
                <w:color w:val="auto"/>
              </w:rPr>
            </w:pPr>
            <w:r>
              <w:rPr>
                <w:rFonts w:ascii="Arial" w:cs="Arial" w:eastAsia="Arial" w:hAnsi="Arial"/>
                <w:sz w:val="18"/>
                <w:szCs w:val="18"/>
                <w:color w:val="auto"/>
                <w:w w:val="90"/>
              </w:rPr>
              <w:t>(i) The Business Day of the Proposed Revolving Credit Borrowing is</w:t>
            </w:r>
          </w:p>
        </w:tc>
        <w:tc>
          <w:tcPr>
            <w:tcW w:w="520" w:type="dxa"/>
            <w:vAlign w:val="bottom"/>
          </w:tcPr>
          <w:p>
            <w:pPr>
              <w:spacing w:after="0"/>
              <w:rPr>
                <w:sz w:val="17"/>
                <w:szCs w:val="17"/>
                <w:color w:val="auto"/>
              </w:rPr>
            </w:pPr>
          </w:p>
        </w:tc>
        <w:tc>
          <w:tcPr>
            <w:tcW w:w="5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 200  .</w:t>
            </w:r>
          </w:p>
        </w:tc>
      </w:tr>
      <w:tr>
        <w:trPr>
          <w:trHeight w:val="20"/>
        </w:trPr>
        <w:tc>
          <w:tcPr>
            <w:tcW w:w="4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(ii) The Type of Advances comprising the Proposed Revolving Credit Borrowing is [Base Rate Advances] [Eurodollar Rate Advances].</w:t>
      </w:r>
    </w:p>
    <w:p>
      <w:pPr>
        <w:spacing w:after="0" w:line="54"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8"/>
                <w:szCs w:val="18"/>
                <w:color w:val="auto"/>
                <w:w w:val="89"/>
              </w:rPr>
              <w:t>(iii) The aggregate amount of the Proposed Revolving Credit Borrowing is $</w:t>
            </w:r>
          </w:p>
        </w:tc>
        <w:tc>
          <w:tcPr>
            <w:tcW w:w="3560" w:type="dxa"/>
            <w:vAlign w:val="bottom"/>
            <w:gridSpan w:val="2"/>
          </w:tcPr>
          <w:p>
            <w:pPr>
              <w:jc w:val="right"/>
              <w:ind w:right="26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8940" w:type="dxa"/>
            <w:vAlign w:val="bottom"/>
            <w:gridSpan w:val="3"/>
          </w:tcPr>
          <w:p>
            <w:pPr>
              <w:spacing w:after="0"/>
              <w:rPr>
                <w:sz w:val="20"/>
                <w:szCs w:val="20"/>
                <w:color w:val="auto"/>
              </w:rPr>
            </w:pPr>
            <w:r>
              <w:rPr>
                <w:rFonts w:ascii="Arial" w:cs="Arial" w:eastAsia="Arial" w:hAnsi="Arial"/>
                <w:sz w:val="18"/>
                <w:szCs w:val="18"/>
                <w:color w:val="auto"/>
                <w:w w:val="89"/>
              </w:rPr>
              <w:t>(iv) [The initial Interest Period for each Eurodollar Rate Advance made as part of the Proposed Revolving Credit Borrowing is</w:t>
            </w:r>
          </w:p>
        </w:tc>
        <w:tc>
          <w:tcPr>
            <w:tcW w:w="540" w:type="dxa"/>
            <w:vAlign w:val="bottom"/>
            <w:tcBorders>
              <w:bottom w:val="single" w:sz="8" w:color="auto"/>
            </w:tcBorders>
          </w:tcPr>
          <w:p>
            <w:pPr>
              <w:spacing w:after="0"/>
              <w:rPr>
                <w:sz w:val="22"/>
                <w:szCs w:val="22"/>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91"/>
              </w:rPr>
              <w:t>month[s].]</w:t>
            </w:r>
          </w:p>
        </w:tc>
      </w:tr>
    </w:tbl>
    <w:p>
      <w:pPr>
        <w:spacing w:after="0" w:line="167"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Revolving Credit Borrowing:</w:t>
      </w:r>
    </w:p>
    <w:p>
      <w:pPr>
        <w:spacing w:after="0" w:line="37" w:lineRule="exact"/>
        <w:rPr>
          <w:sz w:val="20"/>
          <w:szCs w:val="20"/>
          <w:color w:val="auto"/>
        </w:rPr>
      </w:pPr>
    </w:p>
    <w:p>
      <w:pPr>
        <w:jc w:val="both"/>
        <w:ind w:left="460" w:right="140" w:firstLine="443"/>
        <w:spacing w:after="0" w:line="259" w:lineRule="auto"/>
        <w:tabs>
          <w:tab w:leader="none" w:pos="118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are correct in all material respects, before and after giving effect to the Proposed Revolving Credit Borrowing and to the application of the proceeds therefrom, as though made on and as of such date, except to the extent they expressly relate to an earlier date; and</w:t>
      </w:r>
    </w:p>
    <w:p>
      <w:pPr>
        <w:sectPr>
          <w:pgSz w:w="11900" w:h="16838" w:orient="portrait"/>
          <w:cols w:equalWidth="0" w:num="1">
            <w:col w:w="11420"/>
          </w:cols>
          <w:pgMar w:left="240" w:top="280" w:right="239" w:bottom="1440" w:gutter="0" w:footer="0" w:header="0"/>
          <w:type w:val="continuous"/>
        </w:sectPr>
      </w:pPr>
    </w:p>
    <w:bookmarkStart w:id="69" w:name="page70"/>
    <w:bookmarkEnd w:id="69"/>
    <w:p>
      <w:pPr>
        <w:ind w:firstLine="443"/>
        <w:spacing w:after="0" w:line="268" w:lineRule="auto"/>
        <w:tabs>
          <w:tab w:leader="none" w:pos="716"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event has occurred and is continuing, or would result from such Proposed Revolving Credit Borrowing or from the application of the proceeds therefrom, that constitutes a Default.</w:t>
      </w:r>
    </w:p>
    <w:p>
      <w:pPr>
        <w:spacing w:after="0" w:line="11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36830</wp:posOffset>
            </wp:positionV>
            <wp:extent cx="25730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B-2 - FORM OF NOTICE OF</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COMPETITIVE BID BORROWING</w:t>
      </w:r>
    </w:p>
    <w:p>
      <w:pPr>
        <w:sectPr>
          <w:pgSz w:w="11900" w:h="16838" w:orient="portrait"/>
          <w:cols w:equalWidth="0" w:num="1">
            <w:col w:w="11420"/>
          </w:cols>
          <w:pgMar w:left="240" w:top="280"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New Castle, Delaware 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181" w:lineRule="exact"/>
        <w:rPr>
          <w:sz w:val="20"/>
          <w:szCs w:val="20"/>
          <w:color w:val="auto"/>
        </w:rPr>
      </w:pPr>
    </w:p>
    <w:p>
      <w:pPr>
        <w:sectPr>
          <w:pgSz w:w="11900" w:h="16838" w:orient="portrait"/>
          <w:cols w:equalWidth="0" w:num="2">
            <w:col w:w="4020" w:space="720"/>
            <w:col w:w="668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Attention: Nick Rozell</w:t>
      </w:r>
    </w:p>
    <w:p>
      <w:pPr>
        <w:sectPr>
          <w:pgSz w:w="11900" w:h="16838" w:orient="portrait"/>
          <w:cols w:equalWidth="0" w:num="1">
            <w:col w:w="11420"/>
          </w:cols>
          <w:pgMar w:left="240" w:top="280"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260" w:firstLine="913"/>
        <w:spacing w:after="0" w:line="294" w:lineRule="auto"/>
        <w:rPr>
          <w:sz w:val="20"/>
          <w:szCs w:val="20"/>
          <w:color w:val="auto"/>
        </w:rPr>
      </w:pPr>
      <w:r>
        <w:rPr>
          <w:rFonts w:ascii="Arial" w:cs="Arial" w:eastAsia="Arial" w:hAnsi="Arial"/>
          <w:sz w:val="16"/>
          <w:szCs w:val="16"/>
          <w:color w:val="auto"/>
        </w:rPr>
        <w:t>The undersigned, The Washington Post Company, refers to the 364-Day Credit Agreement, dated as of August 10, 2005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the undersigned, certain Lenders parties thereto, Citibank, N.A., as Agent for said Lenders, and hereby gives you notice, irrevocably, pursuant to Section 2.03 of the Credit Agreement that the undersigned hereby requests a Competitive Bid Borrowing under the Credit Agreement, and in that connection sets forth the terms on which such Competitive Bid Borrowing (the “</w:t>
      </w:r>
      <w:r>
        <w:rPr>
          <w:rFonts w:ascii="Arial" w:cs="Arial" w:eastAsia="Arial" w:hAnsi="Arial"/>
          <w:sz w:val="16"/>
          <w:szCs w:val="16"/>
          <w:u w:val="single" w:color="auto"/>
          <w:color w:val="auto"/>
        </w:rPr>
        <w:t>Proposed Competitive Bid Borrowing</w:t>
      </w:r>
      <w:r>
        <w:rPr>
          <w:rFonts w:ascii="Arial" w:cs="Arial" w:eastAsia="Arial" w:hAnsi="Arial"/>
          <w:sz w:val="16"/>
          <w:szCs w:val="16"/>
          <w:color w:val="auto"/>
        </w:rPr>
        <w:t>”) is requested to be made:</w:t>
      </w:r>
    </w:p>
    <w:p>
      <w:pPr>
        <w:spacing w:after="0" w:line="102" w:lineRule="exact"/>
        <w:rPr>
          <w:sz w:val="20"/>
          <w:szCs w:val="20"/>
          <w:color w:val="auto"/>
        </w:rPr>
      </w:pPr>
    </w:p>
    <w:tbl>
      <w:tblPr>
        <w:tblLayout w:type="fixed"/>
        <w:tblInd w:w="860" w:type="dxa"/>
        <w:tblCellMar>
          <w:top w:w="0" w:type="dxa"/>
          <w:left w:w="0" w:type="dxa"/>
          <w:bottom w:w="0" w:type="dxa"/>
          <w:right w:w="0" w:type="dxa"/>
        </w:tblCellMar>
      </w:tblPr>
      <w:tr>
        <w:trPr>
          <w:trHeight w:val="222"/>
        </w:trPr>
        <w:tc>
          <w:tcPr>
            <w:tcW w:w="340" w:type="dxa"/>
            <w:vAlign w:val="bottom"/>
          </w:tcPr>
          <w:p>
            <w:pPr>
              <w:spacing w:after="0"/>
              <w:rPr>
                <w:sz w:val="20"/>
                <w:szCs w:val="20"/>
                <w:color w:val="auto"/>
              </w:rPr>
            </w:pPr>
            <w:r>
              <w:rPr>
                <w:rFonts w:ascii="Arial" w:cs="Arial" w:eastAsia="Arial" w:hAnsi="Arial"/>
                <w:sz w:val="18"/>
                <w:szCs w:val="18"/>
                <w:color w:val="auto"/>
              </w:rPr>
              <w:t>(A)</w:t>
            </w:r>
          </w:p>
        </w:tc>
        <w:tc>
          <w:tcPr>
            <w:tcW w:w="3900" w:type="dxa"/>
            <w:vAlign w:val="bottom"/>
          </w:tcPr>
          <w:p>
            <w:pPr>
              <w:ind w:left="100"/>
              <w:spacing w:after="0"/>
              <w:rPr>
                <w:sz w:val="20"/>
                <w:szCs w:val="20"/>
                <w:color w:val="auto"/>
              </w:rPr>
            </w:pPr>
            <w:r>
              <w:rPr>
                <w:rFonts w:ascii="Arial" w:cs="Arial" w:eastAsia="Arial" w:hAnsi="Arial"/>
                <w:sz w:val="18"/>
                <w:szCs w:val="18"/>
                <w:color w:val="auto"/>
              </w:rPr>
              <w:t>Date of Competitive Bid Borrowing</w:t>
            </w:r>
          </w:p>
        </w:tc>
        <w:tc>
          <w:tcPr>
            <w:tcW w:w="3820" w:type="dxa"/>
            <w:vAlign w:val="bottom"/>
          </w:tcPr>
          <w:p>
            <w:pPr>
              <w:jc w:val="right"/>
              <w:spacing w:after="0"/>
              <w:rPr>
                <w:sz w:val="20"/>
                <w:szCs w:val="20"/>
                <w:color w:val="auto"/>
              </w:rPr>
            </w:pPr>
            <w:r>
              <w:rPr>
                <w:rFonts w:ascii="Arial" w:cs="Arial" w:eastAsia="Arial" w:hAnsi="Arial"/>
                <w:sz w:val="18"/>
                <w:szCs w:val="18"/>
                <w:color w:val="auto"/>
              </w:rPr>
              <w:t>_________________________________</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3900" w:type="dxa"/>
            <w:vAlign w:val="bottom"/>
          </w:tcPr>
          <w:p>
            <w:pPr>
              <w:ind w:left="100"/>
              <w:spacing w:after="0"/>
              <w:rPr>
                <w:sz w:val="20"/>
                <w:szCs w:val="20"/>
                <w:color w:val="auto"/>
              </w:rPr>
            </w:pPr>
            <w:r>
              <w:rPr>
                <w:rFonts w:ascii="Arial" w:cs="Arial" w:eastAsia="Arial" w:hAnsi="Arial"/>
                <w:sz w:val="18"/>
                <w:szCs w:val="18"/>
                <w:color w:val="auto"/>
              </w:rPr>
              <w:t>Amount of Competitive Bid Borrowing</w:t>
            </w:r>
          </w:p>
        </w:tc>
        <w:tc>
          <w:tcPr>
            <w:tcW w:w="3820" w:type="dxa"/>
            <w:vAlign w:val="bottom"/>
          </w:tcPr>
          <w:p>
            <w:pPr>
              <w:jc w:val="right"/>
              <w:spacing w:after="0"/>
              <w:rPr>
                <w:sz w:val="20"/>
                <w:szCs w:val="20"/>
                <w:color w:val="auto"/>
              </w:rPr>
            </w:pPr>
            <w:r>
              <w:rPr>
                <w:rFonts w:ascii="Arial" w:cs="Arial" w:eastAsia="Arial" w:hAnsi="Arial"/>
                <w:sz w:val="18"/>
                <w:szCs w:val="18"/>
                <w:color w:val="auto"/>
              </w:rPr>
              <w:t>_________________________________</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(C)</w:t>
            </w:r>
          </w:p>
        </w:tc>
        <w:tc>
          <w:tcPr>
            <w:tcW w:w="3900" w:type="dxa"/>
            <w:vAlign w:val="bottom"/>
          </w:tcPr>
          <w:p>
            <w:pPr>
              <w:ind w:left="100"/>
              <w:spacing w:after="0"/>
              <w:rPr>
                <w:sz w:val="20"/>
                <w:szCs w:val="20"/>
                <w:color w:val="auto"/>
              </w:rPr>
            </w:pPr>
            <w:r>
              <w:rPr>
                <w:rFonts w:ascii="Arial" w:cs="Arial" w:eastAsia="Arial" w:hAnsi="Arial"/>
                <w:sz w:val="18"/>
                <w:szCs w:val="18"/>
                <w:color w:val="auto"/>
              </w:rPr>
              <w:t>[Maturity Date] [Interest Period]</w:t>
            </w:r>
          </w:p>
        </w:tc>
        <w:tc>
          <w:tcPr>
            <w:tcW w:w="3820" w:type="dxa"/>
            <w:vAlign w:val="bottom"/>
          </w:tcPr>
          <w:p>
            <w:pPr>
              <w:jc w:val="right"/>
              <w:spacing w:after="0"/>
              <w:rPr>
                <w:sz w:val="20"/>
                <w:szCs w:val="20"/>
                <w:color w:val="auto"/>
              </w:rPr>
            </w:pPr>
            <w:r>
              <w:rPr>
                <w:rFonts w:ascii="Arial" w:cs="Arial" w:eastAsia="Arial" w:hAnsi="Arial"/>
                <w:sz w:val="18"/>
                <w:szCs w:val="18"/>
                <w:color w:val="auto"/>
              </w:rPr>
              <w:t>_________________________________</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(D)</w:t>
            </w:r>
          </w:p>
        </w:tc>
        <w:tc>
          <w:tcPr>
            <w:tcW w:w="3900" w:type="dxa"/>
            <w:vAlign w:val="bottom"/>
          </w:tcPr>
          <w:p>
            <w:pPr>
              <w:ind w:left="100"/>
              <w:spacing w:after="0"/>
              <w:rPr>
                <w:sz w:val="20"/>
                <w:szCs w:val="20"/>
                <w:color w:val="auto"/>
              </w:rPr>
            </w:pPr>
            <w:r>
              <w:rPr>
                <w:rFonts w:ascii="Arial" w:cs="Arial" w:eastAsia="Arial" w:hAnsi="Arial"/>
                <w:sz w:val="18"/>
                <w:szCs w:val="18"/>
                <w:color w:val="auto"/>
              </w:rPr>
              <w:t>Interest Rate Basis</w:t>
            </w:r>
          </w:p>
        </w:tc>
        <w:tc>
          <w:tcPr>
            <w:tcW w:w="3820" w:type="dxa"/>
            <w:vAlign w:val="bottom"/>
          </w:tcPr>
          <w:p>
            <w:pPr>
              <w:jc w:val="right"/>
              <w:spacing w:after="0"/>
              <w:rPr>
                <w:sz w:val="20"/>
                <w:szCs w:val="20"/>
                <w:color w:val="auto"/>
              </w:rPr>
            </w:pPr>
            <w:r>
              <w:rPr>
                <w:rFonts w:ascii="Arial" w:cs="Arial" w:eastAsia="Arial" w:hAnsi="Arial"/>
                <w:sz w:val="18"/>
                <w:szCs w:val="18"/>
                <w:color w:val="auto"/>
              </w:rPr>
              <w:t>_________________________________</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(E)</w:t>
            </w:r>
          </w:p>
        </w:tc>
        <w:tc>
          <w:tcPr>
            <w:tcW w:w="3900" w:type="dxa"/>
            <w:vAlign w:val="bottom"/>
          </w:tcPr>
          <w:p>
            <w:pPr>
              <w:ind w:left="100"/>
              <w:spacing w:after="0"/>
              <w:rPr>
                <w:sz w:val="20"/>
                <w:szCs w:val="20"/>
                <w:color w:val="auto"/>
              </w:rPr>
            </w:pPr>
            <w:r>
              <w:rPr>
                <w:rFonts w:ascii="Arial" w:cs="Arial" w:eastAsia="Arial" w:hAnsi="Arial"/>
                <w:sz w:val="18"/>
                <w:szCs w:val="18"/>
                <w:color w:val="auto"/>
              </w:rPr>
              <w:t>Interest Payment Date(s)</w:t>
            </w:r>
          </w:p>
        </w:tc>
        <w:tc>
          <w:tcPr>
            <w:tcW w:w="3820" w:type="dxa"/>
            <w:vAlign w:val="bottom"/>
          </w:tcPr>
          <w:p>
            <w:pPr>
              <w:jc w:val="right"/>
              <w:spacing w:after="0"/>
              <w:rPr>
                <w:sz w:val="20"/>
                <w:szCs w:val="20"/>
                <w:color w:val="auto"/>
              </w:rPr>
            </w:pPr>
            <w:r>
              <w:rPr>
                <w:rFonts w:ascii="Arial" w:cs="Arial" w:eastAsia="Arial" w:hAnsi="Arial"/>
                <w:sz w:val="18"/>
                <w:szCs w:val="18"/>
                <w:color w:val="auto"/>
              </w:rPr>
              <w:t>_________________________________</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(F)</w:t>
            </w:r>
          </w:p>
        </w:tc>
        <w:tc>
          <w:tcPr>
            <w:tcW w:w="3900" w:type="dxa"/>
            <w:vAlign w:val="bottom"/>
          </w:tcPr>
          <w:p>
            <w:pPr>
              <w:ind w:left="100"/>
              <w:spacing w:after="0"/>
              <w:rPr>
                <w:sz w:val="20"/>
                <w:szCs w:val="20"/>
                <w:color w:val="auto"/>
              </w:rPr>
            </w:pPr>
            <w:r>
              <w:rPr>
                <w:rFonts w:ascii="Arial" w:cs="Arial" w:eastAsia="Arial" w:hAnsi="Arial"/>
                <w:sz w:val="18"/>
                <w:szCs w:val="18"/>
                <w:color w:val="auto"/>
              </w:rPr>
              <w:t>_________________________________</w:t>
            </w:r>
          </w:p>
        </w:tc>
        <w:tc>
          <w:tcPr>
            <w:tcW w:w="3820" w:type="dxa"/>
            <w:vAlign w:val="bottom"/>
          </w:tcPr>
          <w:p>
            <w:pPr>
              <w:jc w:val="right"/>
              <w:spacing w:after="0"/>
              <w:rPr>
                <w:sz w:val="20"/>
                <w:szCs w:val="20"/>
                <w:color w:val="auto"/>
              </w:rPr>
            </w:pPr>
            <w:r>
              <w:rPr>
                <w:rFonts w:ascii="Arial" w:cs="Arial" w:eastAsia="Arial" w:hAnsi="Arial"/>
                <w:sz w:val="18"/>
                <w:szCs w:val="18"/>
                <w:color w:val="auto"/>
              </w:rPr>
              <w:t>_________________________________</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(G)</w:t>
            </w:r>
          </w:p>
        </w:tc>
        <w:tc>
          <w:tcPr>
            <w:tcW w:w="3900" w:type="dxa"/>
            <w:vAlign w:val="bottom"/>
          </w:tcPr>
          <w:p>
            <w:pPr>
              <w:ind w:left="100"/>
              <w:spacing w:after="0"/>
              <w:rPr>
                <w:sz w:val="20"/>
                <w:szCs w:val="20"/>
                <w:color w:val="auto"/>
              </w:rPr>
            </w:pPr>
            <w:r>
              <w:rPr>
                <w:rFonts w:ascii="Arial" w:cs="Arial" w:eastAsia="Arial" w:hAnsi="Arial"/>
                <w:sz w:val="18"/>
                <w:szCs w:val="18"/>
                <w:color w:val="auto"/>
              </w:rPr>
              <w:t>_________________________________</w:t>
            </w:r>
          </w:p>
        </w:tc>
        <w:tc>
          <w:tcPr>
            <w:tcW w:w="3820" w:type="dxa"/>
            <w:vAlign w:val="bottom"/>
          </w:tcPr>
          <w:p>
            <w:pPr>
              <w:jc w:val="right"/>
              <w:spacing w:after="0"/>
              <w:rPr>
                <w:sz w:val="20"/>
                <w:szCs w:val="20"/>
                <w:color w:val="auto"/>
              </w:rPr>
            </w:pPr>
            <w:r>
              <w:rPr>
                <w:rFonts w:ascii="Arial" w:cs="Arial" w:eastAsia="Arial" w:hAnsi="Arial"/>
                <w:sz w:val="18"/>
                <w:szCs w:val="18"/>
                <w:color w:val="auto"/>
              </w:rPr>
              <w:t>_________________________________</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(H)</w:t>
            </w:r>
          </w:p>
        </w:tc>
        <w:tc>
          <w:tcPr>
            <w:tcW w:w="3900" w:type="dxa"/>
            <w:vAlign w:val="bottom"/>
          </w:tcPr>
          <w:p>
            <w:pPr>
              <w:ind w:left="100"/>
              <w:spacing w:after="0"/>
              <w:rPr>
                <w:sz w:val="20"/>
                <w:szCs w:val="20"/>
                <w:color w:val="auto"/>
              </w:rPr>
            </w:pPr>
            <w:r>
              <w:rPr>
                <w:rFonts w:ascii="Arial" w:cs="Arial" w:eastAsia="Arial" w:hAnsi="Arial"/>
                <w:sz w:val="18"/>
                <w:szCs w:val="18"/>
                <w:color w:val="auto"/>
              </w:rPr>
              <w:t>_________________________________</w:t>
            </w:r>
          </w:p>
        </w:tc>
        <w:tc>
          <w:tcPr>
            <w:tcW w:w="3820" w:type="dxa"/>
            <w:vAlign w:val="bottom"/>
          </w:tcPr>
          <w:p>
            <w:pPr>
              <w:jc w:val="right"/>
              <w:spacing w:after="0"/>
              <w:rPr>
                <w:sz w:val="20"/>
                <w:szCs w:val="20"/>
                <w:color w:val="auto"/>
              </w:rPr>
            </w:pPr>
            <w:r>
              <w:rPr>
                <w:rFonts w:ascii="Arial" w:cs="Arial" w:eastAsia="Arial" w:hAnsi="Arial"/>
                <w:sz w:val="18"/>
                <w:szCs w:val="18"/>
                <w:color w:val="auto"/>
              </w:rPr>
              <w:t>_________________________________</w:t>
            </w:r>
          </w:p>
        </w:tc>
      </w:tr>
    </w:tbl>
    <w:p>
      <w:pPr>
        <w:spacing w:after="0" w:line="14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Competitive Bid Borrowing:</w:t>
      </w:r>
    </w:p>
    <w:p>
      <w:pPr>
        <w:spacing w:after="0" w:line="37" w:lineRule="exact"/>
        <w:rPr>
          <w:sz w:val="20"/>
          <w:szCs w:val="20"/>
          <w:color w:val="auto"/>
        </w:rPr>
      </w:pPr>
    </w:p>
    <w:p>
      <w:pPr>
        <w:jc w:val="both"/>
        <w:ind w:left="460" w:right="200" w:firstLine="443"/>
        <w:spacing w:after="0" w:line="259" w:lineRule="auto"/>
        <w:tabs>
          <w:tab w:leader="none" w:pos="113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are correct in all material respects, before and after giving effect to the Proposed Competitive Bid Borrowing and to the application of the proceeds therefrom, as though made on and as of such date, except to the extent they expressly relate to an earlier date;</w:t>
      </w:r>
    </w:p>
    <w:p>
      <w:pPr>
        <w:spacing w:after="0" w:line="45"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the Proposed Competitive Bid Borrowing or from the application of the proceeds therefrom, that constitutes a Default; and</w:t>
      </w:r>
    </w:p>
    <w:p>
      <w:pPr>
        <w:sectPr>
          <w:pgSz w:w="11900" w:h="16838" w:orient="portrait"/>
          <w:cols w:equalWidth="0" w:num="1">
            <w:col w:w="11420"/>
          </w:cols>
          <w:pgMar w:left="240" w:top="280" w:right="239" w:bottom="1440" w:gutter="0" w:footer="0" w:header="0"/>
          <w:type w:val="continuous"/>
        </w:sectPr>
      </w:pPr>
    </w:p>
    <w:bookmarkStart w:id="71" w:name="page72"/>
    <w:bookmarkEnd w:id="71"/>
    <w:p>
      <w:pPr>
        <w:ind w:left="460" w:right="640" w:firstLine="443"/>
        <w:spacing w:after="0" w:line="268" w:lineRule="auto"/>
        <w:tabs>
          <w:tab w:leader="none" w:pos="1137"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aggregate amount of the Proposed Competitive Bid Borrowing and all other Borrowings to be made on the same day under the Credit Agreement is within the aggregate amount of the Unused Commitments of the Lenders.</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undersigned hereby confirms that the Proposed Competitive Bid Borrowing is to be made available to it in accordance with Section 2.03(a)(v) of the Credit Agreement.</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ASSIGNMENT AND ACCEPTANCE</w:t>
      </w:r>
    </w:p>
    <w:p>
      <w:pPr>
        <w:spacing w:after="0" w:line="15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Reference is made to the 364-Day Credit Agreement dated as of August 10, 2005 (as amended or modified from time to time, the “Credit Agreement”) among The Washington Post Company, a Delaware corporation (the “Borrower”), the Lenders (as defined in the Credit Agreement), Citibank, N.A., as agent for the Lenders (the “Agent”). Terms defined in the Credit Agreement are used herein with the same meaning.</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“Assignor” and the “Assignee” referred to on Schedule 1 hereto agree as follows:</w:t>
      </w:r>
    </w:p>
    <w:p>
      <w:pPr>
        <w:spacing w:after="0" w:line="77" w:lineRule="exact"/>
        <w:rPr>
          <w:sz w:val="20"/>
          <w:szCs w:val="20"/>
          <w:color w:val="auto"/>
        </w:rPr>
      </w:pPr>
    </w:p>
    <w:p>
      <w:pPr>
        <w:ind w:firstLine="921"/>
        <w:spacing w:after="0" w:line="294" w:lineRule="auto"/>
        <w:tabs>
          <w:tab w:leader="none" w:pos="108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Assignor hereby sells and assigns to the Assignee, and the Assignee hereby purchases and assumes from the Assignor, an interest in and to the Assignor’s rights and obligations under the Credit Agreement as of the date hereof (other than in respect of Competitive Bid Advances and Competitive Bid Notes) equal to the percentage interest specified on Schedule 1 hereto of all outstanding rights and obligations under the Credit Agreement (other than in respect of Competitive Bid Advances and Competitive Bid Notes). After giving effect to such sale and assignment, the Assignee’s Commitment and the amount of the Revolving Credit Advances owing to the Assignee will be as set forth on Schedule 1 hereto.</w:t>
      </w:r>
    </w:p>
    <w:p>
      <w:pPr>
        <w:spacing w:after="0" w:line="102" w:lineRule="exact"/>
        <w:rPr>
          <w:rFonts w:ascii="Arial" w:cs="Arial" w:eastAsia="Arial" w:hAnsi="Arial"/>
          <w:sz w:val="16"/>
          <w:szCs w:val="16"/>
          <w:color w:val="auto"/>
        </w:rPr>
      </w:pPr>
    </w:p>
    <w:p>
      <w:pPr>
        <w:ind w:firstLine="921"/>
        <w:spacing w:after="0" w:line="287" w:lineRule="auto"/>
        <w:tabs>
          <w:tab w:leader="none" w:pos="108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(iii) makes no representation or warranty and assumes no responsibility with respect to the financial condition of the Borrower or the performance or observance by the Borrower of any of its obligations under the Credit Agreement or any other instrument or document furnished pursuant thereto; and (iv) attaches the Revolving Credit Note held by the Assignor and requests that the Agent exchange such Revolving Credit Note for a new Revolving Credit Note payable to the order of the Assignee in an amount equal to the Commitment assumed by the Assignee pursuant hereto or new Revolving Credit Notes payable to the order of the Assignee in an amount equal to the Commitment assumed by the Assignee pursuant hereto and the Assignor in an amount equal to the Commitment retained by the Assignor under the Credit Agreement, respectively, as specified on Schedule 1 hereto.</w:t>
      </w:r>
    </w:p>
    <w:p>
      <w:pPr>
        <w:spacing w:after="0" w:line="109" w:lineRule="exact"/>
        <w:rPr>
          <w:rFonts w:ascii="Arial" w:cs="Arial" w:eastAsia="Arial" w:hAnsi="Arial"/>
          <w:sz w:val="16"/>
          <w:szCs w:val="16"/>
          <w:color w:val="auto"/>
        </w:rPr>
      </w:pPr>
    </w:p>
    <w:p>
      <w:pPr>
        <w:ind w:right="440" w:firstLine="921"/>
        <w:spacing w:after="0" w:line="294" w:lineRule="auto"/>
        <w:tabs>
          <w:tab w:leader="none" w:pos="108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Assignee (i) confirms that it has received a copy of the Credit Agreement, together with copies of the financial statements referred to in Section 4.01 thereof and such other documents and information as it has deemed appropriate to make its own credit analysis and decision to enter into this Assignment and Acceptance; (ii) agrees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(iii) confirms that it is an Eligible Assignee; (iv) appoints and authorizes the Agent to take such action as agent</w:t>
      </w:r>
    </w:p>
    <w:p>
      <w:pPr>
        <w:sectPr>
          <w:pgSz w:w="11900" w:h="16838" w:orient="portrait"/>
          <w:cols w:equalWidth="0" w:num="1">
            <w:col w:w="11420"/>
          </w:cols>
          <w:pgMar w:left="240" w:top="280" w:right="239" w:bottom="1440" w:gutter="0" w:footer="0" w:header="0"/>
        </w:sectPr>
      </w:pPr>
    </w:p>
    <w:bookmarkStart w:id="73" w:name="page74"/>
    <w:bookmarkEnd w:id="7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its behalf and to exercise such powers and discretion under the Credit Agreement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and (vi) attaches any U.S. Internal Revenue Service forms required under Section 2.14 of the Credit Agreement.</w:t>
      </w:r>
    </w:p>
    <w:p>
      <w:pPr>
        <w:spacing w:after="0" w:line="130" w:lineRule="exact"/>
        <w:rPr>
          <w:sz w:val="20"/>
          <w:szCs w:val="20"/>
          <w:color w:val="auto"/>
        </w:rPr>
      </w:pPr>
    </w:p>
    <w:p>
      <w:pPr>
        <w:ind w:right="360" w:firstLine="921"/>
        <w:spacing w:after="0" w:line="259" w:lineRule="auto"/>
        <w:tabs>
          <w:tab w:leader="none" w:pos="1088"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Following the execution of this Assignment and Acceptance, it will be delivered to the Agent for acceptance and recording by the Agent. The effective date for this Assignment and Acceptance (the “Effective Date”) shall be the date of acceptance hereof by the Agent, unless otherwise specified on Schedule 1 hereto.</w:t>
      </w:r>
    </w:p>
    <w:p>
      <w:pPr>
        <w:spacing w:after="0" w:line="126" w:lineRule="exact"/>
        <w:rPr>
          <w:rFonts w:ascii="Arial" w:cs="Arial" w:eastAsia="Arial" w:hAnsi="Arial"/>
          <w:sz w:val="18"/>
          <w:szCs w:val="18"/>
          <w:color w:val="auto"/>
        </w:rPr>
      </w:pPr>
    </w:p>
    <w:p>
      <w:pPr>
        <w:jc w:val="both"/>
        <w:ind w:right="180" w:firstLine="921"/>
        <w:spacing w:after="0" w:line="306" w:lineRule="auto"/>
        <w:tabs>
          <w:tab w:leader="none" w:pos="1088" w:val="left"/>
        </w:tabs>
        <w:numPr>
          <w:ilvl w:val="0"/>
          <w:numId w:val="66"/>
        </w:numPr>
        <w:rPr>
          <w:rFonts w:ascii="Arial" w:cs="Arial" w:eastAsia="Arial" w:hAnsi="Arial"/>
          <w:sz w:val="16"/>
          <w:szCs w:val="16"/>
          <w:color w:val="auto"/>
        </w:rPr>
      </w:pPr>
      <w:r>
        <w:rPr>
          <w:rFonts w:ascii="Arial" w:cs="Arial" w:eastAsia="Arial" w:hAnsi="Arial"/>
          <w:sz w:val="16"/>
          <w:szCs w:val="16"/>
          <w:color w:val="auto"/>
        </w:rPr>
        <w:t>Upon such acceptance and recording by the Agent,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93" w:lineRule="exact"/>
        <w:rPr>
          <w:rFonts w:ascii="Arial" w:cs="Arial" w:eastAsia="Arial" w:hAnsi="Arial"/>
          <w:sz w:val="16"/>
          <w:szCs w:val="16"/>
          <w:color w:val="auto"/>
        </w:rPr>
      </w:pPr>
    </w:p>
    <w:p>
      <w:pPr>
        <w:ind w:right="40" w:firstLine="921"/>
        <w:spacing w:after="0" w:line="256" w:lineRule="auto"/>
        <w:tabs>
          <w:tab w:leader="none" w:pos="1088"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such acceptance and recording by the Agent, from and after the Effective Date, the Agent shall make all payments under the Credit Agreement and the Revolving Credit Notes in respect of the interest assigned hereby (including, without limitation, all payments of principal, interest and facility fees with respect thereto) to the Assignee. The Assignor and Assignee shall make all appropriate adjustments in payments under the Credit Agreement and the Revolving Credit Notes for periods prior to the Effective Date directly between themselves.</w:t>
      </w:r>
    </w:p>
    <w:p>
      <w:pPr>
        <w:spacing w:after="0" w:line="129" w:lineRule="exact"/>
        <w:rPr>
          <w:rFonts w:ascii="Arial" w:cs="Arial" w:eastAsia="Arial" w:hAnsi="Arial"/>
          <w:sz w:val="18"/>
          <w:szCs w:val="18"/>
          <w:color w:val="auto"/>
        </w:rPr>
      </w:pPr>
    </w:p>
    <w:p>
      <w:pPr>
        <w:ind w:left="1100" w:hanging="179"/>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pacing w:after="0" w:line="157" w:lineRule="exact"/>
        <w:rPr>
          <w:rFonts w:ascii="Arial" w:cs="Arial" w:eastAsia="Arial" w:hAnsi="Arial"/>
          <w:sz w:val="18"/>
          <w:szCs w:val="18"/>
          <w:color w:val="auto"/>
        </w:rPr>
      </w:pPr>
    </w:p>
    <w:p>
      <w:pPr>
        <w:ind w:right="100" w:firstLine="921"/>
        <w:spacing w:after="0" w:line="256" w:lineRule="auto"/>
        <w:tabs>
          <w:tab w:leader="none" w:pos="108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pacing w:after="0" w:line="130"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IN WITNESS WHEREOF, the Assignor and the Assignee have caused Schedule 1 to this Assignment and Acceptance to be executed by their officers thereunto duly authorized as of the date specified thereon.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00" w:type="dxa"/>
            <w:vAlign w:val="bottom"/>
            <w:gridSpan w:val="5"/>
          </w:tcPr>
          <w:p>
            <w:pPr>
              <w:jc w:val="center"/>
              <w:spacing w:after="0"/>
              <w:rPr>
                <w:sz w:val="20"/>
                <w:szCs w:val="20"/>
                <w:color w:val="auto"/>
              </w:rPr>
            </w:pPr>
            <w:r>
              <w:rPr>
                <w:rFonts w:ascii="Arial" w:cs="Arial" w:eastAsia="Arial" w:hAnsi="Arial"/>
                <w:sz w:val="18"/>
                <w:szCs w:val="18"/>
                <w:color w:val="auto"/>
                <w:w w:val="86"/>
              </w:rPr>
              <w:t>Schedule 1</w:t>
            </w:r>
          </w:p>
        </w:tc>
      </w:tr>
      <w:tr>
        <w:trPr>
          <w:trHeight w:val="216"/>
        </w:trPr>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gridSpan w:val="4"/>
          </w:tcPr>
          <w:p>
            <w:pPr>
              <w:jc w:val="center"/>
              <w:ind w:right="920"/>
              <w:spacing w:after="0"/>
              <w:rPr>
                <w:sz w:val="20"/>
                <w:szCs w:val="20"/>
                <w:color w:val="auto"/>
              </w:rPr>
            </w:pPr>
            <w:r>
              <w:rPr>
                <w:rFonts w:ascii="Arial" w:cs="Arial" w:eastAsia="Arial" w:hAnsi="Arial"/>
                <w:sz w:val="18"/>
                <w:szCs w:val="18"/>
                <w:color w:val="auto"/>
                <w:w w:val="92"/>
              </w:rPr>
              <w:t>to</w:t>
            </w:r>
          </w:p>
        </w:tc>
      </w:tr>
      <w:tr>
        <w:trPr>
          <w:trHeight w:val="222"/>
        </w:trPr>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100" w:type="dxa"/>
            <w:vAlign w:val="bottom"/>
            <w:gridSpan w:val="5"/>
          </w:tcPr>
          <w:p>
            <w:pPr>
              <w:jc w:val="center"/>
              <w:ind w:left="12"/>
              <w:spacing w:after="0"/>
              <w:rPr>
                <w:sz w:val="20"/>
                <w:szCs w:val="20"/>
                <w:color w:val="auto"/>
              </w:rPr>
            </w:pPr>
            <w:r>
              <w:rPr>
                <w:rFonts w:ascii="Arial" w:cs="Arial" w:eastAsia="Arial" w:hAnsi="Arial"/>
                <w:sz w:val="18"/>
                <w:szCs w:val="18"/>
                <w:color w:val="auto"/>
                <w:w w:val="87"/>
              </w:rPr>
              <w:t>Assignment and Acceptance</w:t>
            </w:r>
          </w:p>
        </w:tc>
      </w:tr>
      <w:tr>
        <w:trPr>
          <w:trHeight w:val="326"/>
        </w:trPr>
        <w:tc>
          <w:tcPr>
            <w:tcW w:w="2080" w:type="dxa"/>
            <w:vAlign w:val="bottom"/>
            <w:gridSpan w:val="2"/>
          </w:tcPr>
          <w:p>
            <w:pPr>
              <w:spacing w:after="0"/>
              <w:rPr>
                <w:sz w:val="20"/>
                <w:szCs w:val="20"/>
                <w:color w:val="auto"/>
              </w:rPr>
            </w:pPr>
            <w:r>
              <w:rPr>
                <w:rFonts w:ascii="Arial" w:cs="Arial" w:eastAsia="Arial" w:hAnsi="Arial"/>
                <w:sz w:val="18"/>
                <w:szCs w:val="18"/>
                <w:color w:val="auto"/>
                <w:w w:val="86"/>
              </w:rPr>
              <w:t>Percentage interest assigned: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2080" w:type="dxa"/>
            <w:vAlign w:val="bottom"/>
            <w:gridSpan w:val="2"/>
          </w:tcPr>
          <w:p>
            <w:pPr>
              <w:spacing w:after="0"/>
              <w:rPr>
                <w:sz w:val="20"/>
                <w:szCs w:val="20"/>
                <w:color w:val="auto"/>
              </w:rPr>
            </w:pPr>
            <w:r>
              <w:rPr>
                <w:rFonts w:ascii="Arial" w:cs="Arial" w:eastAsia="Arial" w:hAnsi="Arial"/>
                <w:sz w:val="18"/>
                <w:szCs w:val="18"/>
                <w:color w:val="auto"/>
              </w:rPr>
              <w:t>Assignee’s Commitment: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336"/>
        </w:trPr>
        <w:tc>
          <w:tcPr>
            <w:tcW w:w="4620" w:type="dxa"/>
            <w:vAlign w:val="bottom"/>
            <w:gridSpan w:val="5"/>
          </w:tcPr>
          <w:p>
            <w:pPr>
              <w:spacing w:after="0"/>
              <w:rPr>
                <w:sz w:val="20"/>
                <w:szCs w:val="20"/>
                <w:color w:val="auto"/>
              </w:rPr>
            </w:pPr>
            <w:r>
              <w:rPr>
                <w:rFonts w:ascii="Arial" w:cs="Arial" w:eastAsia="Arial" w:hAnsi="Arial"/>
                <w:sz w:val="18"/>
                <w:szCs w:val="18"/>
                <w:color w:val="auto"/>
              </w:rPr>
              <w:t>Aggregate outstanding principal amount of Revolving</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4"/>
        </w:trPr>
        <w:tc>
          <w:tcPr>
            <w:tcW w:w="4620" w:type="dxa"/>
            <w:vAlign w:val="bottom"/>
            <w:gridSpan w:val="5"/>
          </w:tcPr>
          <w:p>
            <w:pPr>
              <w:ind w:left="440"/>
              <w:spacing w:after="0" w:line="184" w:lineRule="exact"/>
              <w:rPr>
                <w:sz w:val="20"/>
                <w:szCs w:val="20"/>
                <w:color w:val="auto"/>
              </w:rPr>
            </w:pPr>
            <w:r>
              <w:rPr>
                <w:rFonts w:ascii="Arial" w:cs="Arial" w:eastAsia="Arial" w:hAnsi="Arial"/>
                <w:sz w:val="18"/>
                <w:szCs w:val="18"/>
                <w:color w:val="auto"/>
              </w:rPr>
              <w:t>Credit Advances assigned:</w:t>
            </w:r>
          </w:p>
        </w:tc>
        <w:tc>
          <w:tcPr>
            <w:tcW w:w="10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304"/>
        </w:trPr>
        <w:tc>
          <w:tcPr>
            <w:tcW w:w="4620" w:type="dxa"/>
            <w:vAlign w:val="bottom"/>
            <w:gridSpan w:val="5"/>
          </w:tcPr>
          <w:p>
            <w:pPr>
              <w:spacing w:after="0"/>
              <w:rPr>
                <w:sz w:val="20"/>
                <w:szCs w:val="20"/>
                <w:color w:val="auto"/>
              </w:rPr>
            </w:pPr>
            <w:r>
              <w:rPr>
                <w:rFonts w:ascii="Arial" w:cs="Arial" w:eastAsia="Arial" w:hAnsi="Arial"/>
                <w:sz w:val="18"/>
                <w:szCs w:val="18"/>
                <w:color w:val="auto"/>
                <w:w w:val="90"/>
              </w:rPr>
              <w:t>Principal amount of Revolving Credit Note payable to Assignee: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304"/>
        </w:trPr>
        <w:tc>
          <w:tcPr>
            <w:tcW w:w="4620" w:type="dxa"/>
            <w:vAlign w:val="bottom"/>
            <w:gridSpan w:val="5"/>
          </w:tcPr>
          <w:p>
            <w:pPr>
              <w:spacing w:after="0"/>
              <w:rPr>
                <w:sz w:val="20"/>
                <w:szCs w:val="20"/>
                <w:color w:val="auto"/>
              </w:rPr>
            </w:pPr>
            <w:r>
              <w:rPr>
                <w:rFonts w:ascii="Arial" w:cs="Arial" w:eastAsia="Arial" w:hAnsi="Arial"/>
                <w:sz w:val="18"/>
                <w:szCs w:val="18"/>
                <w:color w:val="auto"/>
                <w:w w:val="91"/>
              </w:rPr>
              <w:t>Principal amount of Revolving Credit Note payable to Assignor:</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304"/>
        </w:trPr>
        <w:tc>
          <w:tcPr>
            <w:tcW w:w="1200" w:type="dxa"/>
            <w:vAlign w:val="bottom"/>
          </w:tcPr>
          <w:p>
            <w:pPr>
              <w:spacing w:after="0"/>
              <w:rPr>
                <w:sz w:val="20"/>
                <w:szCs w:val="20"/>
                <w:color w:val="auto"/>
              </w:rPr>
            </w:pPr>
            <w:r>
              <w:rPr>
                <w:rFonts w:ascii="Arial" w:cs="Arial" w:eastAsia="Arial" w:hAnsi="Arial"/>
                <w:sz w:val="18"/>
                <w:szCs w:val="18"/>
                <w:color w:val="auto"/>
                <w:w w:val="95"/>
              </w:rPr>
              <w:t>Effective Date:*</w:t>
            </w:r>
          </w:p>
        </w:tc>
        <w:tc>
          <w:tcPr>
            <w:tcW w:w="880" w:type="dxa"/>
            <w:vAlign w:val="bottom"/>
            <w:tcBorders>
              <w:bottom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200</w:t>
            </w:r>
          </w:p>
        </w:tc>
        <w:tc>
          <w:tcPr>
            <w:tcW w:w="80" w:type="dxa"/>
            <w:vAlign w:val="bottom"/>
            <w:tcBorders>
              <w:bottom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auto"/>
        </w:rPr>
        <w:t>[NAME OF ASSIGNOR], as Assignor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17" w:lineRule="exact"/>
        <w:rPr>
          <w:sz w:val="20"/>
          <w:szCs w:val="20"/>
          <w:color w:val="auto"/>
        </w:rPr>
      </w:pPr>
    </w:p>
    <w:p>
      <w:pPr>
        <w:ind w:left="6860"/>
        <w:spacing w:after="0"/>
        <w:tabs>
          <w:tab w:leader="none" w:pos="8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-13970</wp:posOffset>
            </wp:positionV>
            <wp:extent cx="5575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 OF ASSIGNEE], as Assignee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17" w:lineRule="exact"/>
        <w:rPr>
          <w:sz w:val="20"/>
          <w:szCs w:val="20"/>
          <w:color w:val="auto"/>
        </w:rPr>
      </w:pPr>
    </w:p>
    <w:p>
      <w:pPr>
        <w:ind w:left="6860"/>
        <w:spacing w:after="0"/>
        <w:tabs>
          <w:tab w:leader="none" w:pos="8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00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-13970</wp:posOffset>
            </wp:positionV>
            <wp:extent cx="5575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7" w:lineRule="exact"/>
        <w:rPr>
          <w:sz w:val="20"/>
          <w:szCs w:val="20"/>
          <w:color w:val="auto"/>
        </w:rPr>
      </w:pPr>
    </w:p>
    <w:p>
      <w:pPr>
        <w:ind w:left="5680" w:right="1439" w:hanging="5672"/>
        <w:spacing w:after="0" w:line="440" w:lineRule="auto"/>
        <w:tabs>
          <w:tab w:leader="none" w:pos="23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date should be no earlier than five Business Days after the delivery of this Assignment and Acceptance to the Agent. 3</w:t>
      </w:r>
    </w:p>
    <w:p>
      <w:pPr>
        <w:sectPr>
          <w:pgSz w:w="11900" w:h="16838" w:orient="portrait"/>
          <w:cols w:equalWidth="0" w:num="1">
            <w:col w:w="10219"/>
          </w:cols>
          <w:pgMar w:left="240" w:top="280" w:right="1440" w:bottom="1440" w:gutter="0" w:footer="0" w:header="0"/>
        </w:sectPr>
      </w:pPr>
    </w:p>
    <w:bookmarkStart w:id="75" w:name="page76"/>
    <w:bookmarkEnd w:id="75"/>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Domestic Lending Office:</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Eurodollar Lending Office:</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Approved this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7"/>
              </w:rPr>
              <w:t>day of</w:t>
            </w:r>
          </w:p>
        </w:tc>
        <w:tc>
          <w:tcPr>
            <w:tcW w:w="500" w:type="dxa"/>
            <w:vAlign w:val="bottom"/>
            <w:gridSpan w:val="2"/>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200</w:t>
            </w: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580" w:type="dxa"/>
            <w:vAlign w:val="bottom"/>
            <w:gridSpan w:val="11"/>
          </w:tcPr>
          <w:p>
            <w:pPr>
              <w:spacing w:after="0"/>
              <w:rPr>
                <w:sz w:val="20"/>
                <w:szCs w:val="20"/>
                <w:color w:val="auto"/>
              </w:rPr>
            </w:pPr>
            <w:r>
              <w:rPr>
                <w:rFonts w:ascii="Arial" w:cs="Arial" w:eastAsia="Arial" w:hAnsi="Arial"/>
                <w:sz w:val="18"/>
                <w:szCs w:val="18"/>
                <w:color w:val="auto"/>
              </w:rPr>
              <w:t>CITIBANK, N.A., as Agent</w:t>
            </w:r>
          </w:p>
        </w:tc>
        <w:tc>
          <w:tcPr>
            <w:tcW w:w="0" w:type="dxa"/>
            <w:vAlign w:val="bottom"/>
          </w:tcPr>
          <w:p>
            <w:pPr>
              <w:spacing w:after="0"/>
              <w:rPr>
                <w:sz w:val="1"/>
                <w:szCs w:val="1"/>
                <w:color w:val="auto"/>
              </w:rPr>
            </w:pPr>
          </w:p>
        </w:tc>
      </w:tr>
      <w:tr>
        <w:trPr>
          <w:trHeight w:val="432"/>
        </w:trPr>
        <w:tc>
          <w:tcPr>
            <w:tcW w:w="520" w:type="dxa"/>
            <w:vAlign w:val="bottom"/>
            <w:gridSpan w:val="2"/>
          </w:tcPr>
          <w:p>
            <w:pPr>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520" w:type="dxa"/>
            <w:vAlign w:val="bottom"/>
            <w:gridSpan w:val="2"/>
            <w:vMerge w:val="restart"/>
          </w:tcPr>
          <w:p>
            <w:pPr>
              <w:spacing w:after="0"/>
              <w:rPr>
                <w:sz w:val="20"/>
                <w:szCs w:val="20"/>
                <w:color w:val="auto"/>
              </w:rPr>
            </w:pPr>
            <w:r>
              <w:rPr>
                <w:rFonts w:ascii="Arial" w:cs="Arial" w:eastAsia="Arial" w:hAnsi="Arial"/>
                <w:sz w:val="18"/>
                <w:szCs w:val="18"/>
                <w:color w:val="auto"/>
              </w:rPr>
              <w:t>Title:</w:t>
            </w: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5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080" w:type="dxa"/>
            <w:vAlign w:val="bottom"/>
            <w:gridSpan w:val="4"/>
          </w:tcPr>
          <w:p>
            <w:pPr>
              <w:spacing w:after="0"/>
              <w:rPr>
                <w:sz w:val="20"/>
                <w:szCs w:val="20"/>
                <w:color w:val="auto"/>
              </w:rPr>
            </w:pPr>
            <w:r>
              <w:rPr>
                <w:rFonts w:ascii="Arial" w:cs="Arial" w:eastAsia="Arial" w:hAnsi="Arial"/>
                <w:sz w:val="18"/>
                <w:szCs w:val="18"/>
                <w:color w:val="auto"/>
                <w:w w:val="94"/>
              </w:rPr>
              <w:t>Approved this</w:t>
            </w:r>
          </w:p>
        </w:tc>
        <w:tc>
          <w:tcPr>
            <w:tcW w:w="840" w:type="dxa"/>
            <w:vAlign w:val="bottom"/>
            <w:tcBorders>
              <w:bottom w:val="single" w:sz="8" w:color="auto"/>
            </w:tcBorders>
            <w:gridSpan w:val="3"/>
          </w:tcPr>
          <w:p>
            <w:pPr>
              <w:spacing w:after="0"/>
              <w:rPr>
                <w:sz w:val="24"/>
                <w:szCs w:val="24"/>
                <w:color w:val="auto"/>
              </w:rPr>
            </w:pPr>
          </w:p>
        </w:tc>
        <w:tc>
          <w:tcPr>
            <w:tcW w:w="2660" w:type="dxa"/>
            <w:vAlign w:val="bottom"/>
            <w:gridSpan w:val="4"/>
          </w:tcPr>
          <w:p>
            <w:pPr>
              <w:ind w:left="60"/>
              <w:spacing w:after="0"/>
              <w:rPr>
                <w:sz w:val="20"/>
                <w:szCs w:val="20"/>
                <w:color w:val="auto"/>
              </w:rPr>
            </w:pPr>
            <w:r>
              <w:rPr>
                <w:rFonts w:ascii="Arial" w:cs="Arial" w:eastAsia="Arial" w:hAnsi="Arial"/>
                <w:sz w:val="18"/>
                <w:szCs w:val="18"/>
                <w:color w:val="auto"/>
              </w:rPr>
              <w:t>day</w:t>
            </w:r>
          </w:p>
        </w:tc>
        <w:tc>
          <w:tcPr>
            <w:tcW w:w="0" w:type="dxa"/>
            <w:vAlign w:val="bottom"/>
          </w:tcPr>
          <w:p>
            <w:pPr>
              <w:spacing w:after="0"/>
              <w:rPr>
                <w:sz w:val="1"/>
                <w:szCs w:val="1"/>
                <w:color w:val="auto"/>
              </w:rPr>
            </w:pPr>
          </w:p>
        </w:tc>
      </w:tr>
      <w:tr>
        <w:trPr>
          <w:trHeight w:val="196"/>
        </w:trPr>
        <w:tc>
          <w:tcPr>
            <w:tcW w:w="200" w:type="dxa"/>
            <w:vAlign w:val="bottom"/>
          </w:tcPr>
          <w:p>
            <w:pPr>
              <w:spacing w:after="0" w:line="196" w:lineRule="exact"/>
              <w:rPr>
                <w:sz w:val="20"/>
                <w:szCs w:val="20"/>
                <w:color w:val="auto"/>
              </w:rPr>
            </w:pPr>
            <w:r>
              <w:rPr>
                <w:rFonts w:ascii="Arial" w:cs="Arial" w:eastAsia="Arial" w:hAnsi="Arial"/>
                <w:sz w:val="18"/>
                <w:szCs w:val="18"/>
                <w:color w:val="auto"/>
              </w:rPr>
              <w:t>of</w:t>
            </w:r>
          </w:p>
        </w:tc>
        <w:tc>
          <w:tcPr>
            <w:tcW w:w="320" w:type="dxa"/>
            <w:vAlign w:val="bottom"/>
          </w:tcPr>
          <w:p>
            <w:pPr>
              <w:spacing w:after="0"/>
              <w:rPr>
                <w:sz w:val="17"/>
                <w:szCs w:val="17"/>
                <w:color w:val="auto"/>
              </w:rPr>
            </w:pPr>
          </w:p>
        </w:tc>
        <w:tc>
          <w:tcPr>
            <w:tcW w:w="1000" w:type="dxa"/>
            <w:vAlign w:val="bottom"/>
            <w:gridSpan w:val="4"/>
          </w:tcPr>
          <w:p>
            <w:pPr>
              <w:jc w:val="right"/>
              <w:ind w:right="100"/>
              <w:spacing w:after="0" w:line="196" w:lineRule="exact"/>
              <w:rPr>
                <w:sz w:val="20"/>
                <w:szCs w:val="20"/>
                <w:color w:val="auto"/>
              </w:rPr>
            </w:pPr>
            <w:r>
              <w:rPr>
                <w:rFonts w:ascii="Arial" w:cs="Arial" w:eastAsia="Arial" w:hAnsi="Arial"/>
                <w:sz w:val="18"/>
                <w:szCs w:val="18"/>
                <w:color w:val="auto"/>
              </w:rPr>
              <w:t>, 200</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36830</wp:posOffset>
            </wp:positionV>
            <wp:extent cx="25730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80"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ASSUMPTION AGREEMENT</w:t>
      </w:r>
    </w:p>
    <w:p>
      <w:pPr>
        <w:spacing w:after="0" w:line="151"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5541010</wp:posOffset>
            </wp:positionH>
            <wp:positionV relativeFrom="paragraph">
              <wp:posOffset>-13970</wp:posOffset>
            </wp:positionV>
            <wp:extent cx="5575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Castle, Delaware 19720</w:t>
      </w:r>
    </w:p>
    <w:p>
      <w:pPr>
        <w:spacing w:after="0" w:line="70"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Nick Rozell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440" w:firstLine="913"/>
        <w:spacing w:after="0" w:line="370" w:lineRule="auto"/>
        <w:rPr>
          <w:sz w:val="20"/>
          <w:szCs w:val="20"/>
          <w:color w:val="auto"/>
        </w:rPr>
      </w:pPr>
      <w:r>
        <w:rPr>
          <w:rFonts w:ascii="Arial" w:cs="Arial" w:eastAsia="Arial" w:hAnsi="Arial"/>
          <w:sz w:val="15"/>
          <w:szCs w:val="15"/>
          <w:color w:val="auto"/>
        </w:rPr>
        <w:t>Reference is made to the 364-Day Credit Agreement dated as of August 10, 2005 among The Washington Post Company (the “</w:t>
      </w:r>
      <w:r>
        <w:rPr>
          <w:rFonts w:ascii="Arial" w:cs="Arial" w:eastAsia="Arial" w:hAnsi="Arial"/>
          <w:sz w:val="15"/>
          <w:szCs w:val="15"/>
          <w:u w:val="single" w:color="auto"/>
          <w:color w:val="auto"/>
        </w:rPr>
        <w:t>Borrower</w:t>
      </w:r>
      <w:r>
        <w:rPr>
          <w:rFonts w:ascii="Arial" w:cs="Arial" w:eastAsia="Arial" w:hAnsi="Arial"/>
          <w:sz w:val="15"/>
          <w:szCs w:val="15"/>
          <w:color w:val="auto"/>
        </w:rPr>
        <w:t>”), the Lenders parties thereto, Citibank, N.A., as Agent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terms defined therein being used herein as therein defined), for such Lenders.</w:t>
      </w:r>
    </w:p>
    <w:p>
      <w:pPr>
        <w:spacing w:after="0" w:line="49" w:lineRule="exact"/>
        <w:rPr>
          <w:sz w:val="20"/>
          <w:szCs w:val="20"/>
          <w:color w:val="auto"/>
        </w:rPr>
      </w:pPr>
    </w:p>
    <w:p>
      <w:pPr>
        <w:ind w:right="160" w:firstLine="913"/>
        <w:spacing w:after="0" w:line="305" w:lineRule="auto"/>
        <w:rPr>
          <w:sz w:val="20"/>
          <w:szCs w:val="20"/>
          <w:color w:val="auto"/>
        </w:rPr>
      </w:pPr>
      <w:r>
        <w:rPr>
          <w:rFonts w:ascii="Arial" w:cs="Arial" w:eastAsia="Arial" w:hAnsi="Arial"/>
          <w:sz w:val="15"/>
          <w:szCs w:val="15"/>
          <w:color w:val="auto"/>
        </w:rPr>
        <w:t>The undersigned (the “Assuming Lender”) proposes to become an Assuming Lender pursuant to Section [2.05(b)] [2.17] of the Credit Agreement and, in that connection, hereby agrees that it shall become a Lender for purposes of the Credit Agreement on [applicable Increase Date/Extension Date] and that</w:t>
      </w:r>
    </w:p>
    <w:p>
      <w:pPr>
        <w:spacing w:after="0"/>
        <w:tabs>
          <w:tab w:leader="none" w:pos="3800" w:val="left"/>
        </w:tabs>
        <w:rPr>
          <w:sz w:val="20"/>
          <w:szCs w:val="20"/>
          <w:color w:val="auto"/>
        </w:rPr>
      </w:pPr>
      <w:r>
        <w:rPr>
          <w:rFonts w:ascii="Arial" w:cs="Arial" w:eastAsia="Arial" w:hAnsi="Arial"/>
          <w:sz w:val="18"/>
          <w:szCs w:val="18"/>
          <w:color w:val="auto"/>
        </w:rPr>
        <w:t>its Commitment shall as of such date be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-17780</wp:posOffset>
            </wp:positionV>
            <wp:extent cx="5575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1"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The undersigned (i) confirms that it has received a copy of the Credit Agreement, together with copies of the financial statements referred to in Section 4.01(e) thereof, the most recent financial statements referred to in Section 5.01(i) thereof and such other documents and information as it has deemed appropriate to make its own credit analysis and decision to enter into this Assumption Agreement; (ii) agrees that it will, independently and without reliance upon the Agent or any other Lender and based on such documents and information as it shall deem appropriate at the time, continue to make its own credit decisions in taking or not taking action under the Credit Agreement; (iii) appoints and authorizes the Agent to take such action as agent on its behalf and to exercise such powers under the Credit Agreement as are delegated to the Agent by the terms thereof, together with such powers as are reasonably incidental thereto; (iv) agrees that it will perform in accordance with their terms all of the obligations which by the terms of the Credit Agreement are required to be performed by it as a Lender; (v) confirms that it is an Eligible Assignee; (vi) specifies as its Lending Office (and address for notices) the offices set forth beneath its name on the signature pages hereof; and (vii) attaches the forms prescribed by the Internal Revenue Service of the United States required under Section 2.14 of the Credit Agreement.</w:t>
      </w:r>
    </w:p>
    <w:p>
      <w:pPr>
        <w:spacing w:after="0" w:line="109"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The Assuming Lender requests that the Borrower deliver to the Agent (to be promptly delivered to the Assuming Lender) a Revolving Credit Note payable to the order of the Assuming Lender, dated as of the [applicable Increase Date/Extension Date] and substantially in the form of Exhibit A-1 to the Credit Agreement.</w:t>
      </w:r>
    </w:p>
    <w:p>
      <w:pPr>
        <w:sectPr>
          <w:pgSz w:w="11900" w:h="16838" w:orient="portrait"/>
          <w:cols w:equalWidth="0" w:num="1">
            <w:col w:w="11420"/>
          </w:cols>
          <w:pgMar w:left="240" w:top="280" w:right="239" w:bottom="1440" w:gutter="0" w:footer="0" w:header="0"/>
        </w:sectPr>
      </w:pPr>
    </w:p>
    <w:bookmarkStart w:id="77" w:name="page78"/>
    <w:bookmarkEnd w:id="77"/>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effective date for this Assumption Agreement shall be [applicable Increase Date/Extension Date]. Upon delivery of this Assumption Agreement to the Borrower and the Agent, and satisfaction of all conditions imposed under Section 2.05(b) as of [date specified above], the undersigned shall be a party to the Credit Agreement and have the rights and obligations of a Lender thereunder. As of [date specified above], the Agent shall make all payments under the Credit Agreement in respect of the interest assumed hereby (including, without limitation, all payments of principal, interest and commitment fees) to the Assuming Lender.</w:t>
      </w:r>
    </w:p>
    <w:p>
      <w:pPr>
        <w:spacing w:after="0" w:line="129"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This Assumption Agreement may be executed in counterparts and by different parties hereto in separate counterparts, each of which when so executed shall be deemed to be an original and all of which taken together shall constitute one and the same agreement. Delivery of an executed counterpart by telecopier shall be effective as delivery of a manually executed counterpart of this Assumption Agreement.</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Assumption Agreement shall be governed by, and construed in accordance with, the laws of the State of New York.</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ASSUMING LENDER]</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Domestic Lending Office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address for notices):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Eurodollar Lending Office:</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36830</wp:posOffset>
            </wp:positionV>
            <wp:extent cx="25215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E-1 -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OPINION OF COUNSEL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BORROWER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each of the Lenders parties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the 364-Day Credit Agreement dated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August 10, 2005 among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said Lenders and Citibank, N.A.,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Agent for said Lenders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Washington Post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This opinion is furnished to you pursuant to Section 3.01(c)(v) of the 364-Day Credit Agreement, dated as of August 10, 2005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The Washington Post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parties thereto and Citibank, N.A., as Agent for said Lenders. Terms defined in the Credit Agreement are used herein as therein defined.</w:t>
      </w:r>
    </w:p>
    <w:p>
      <w:pPr>
        <w:spacing w:after="0" w:line="127"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I am the General Counsel of the Borrower and as such I am familiar with the Credit Agreement and the corporate proceedings taken by the Borrower to authorize the execution and delivery of the Credit Agreement.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opinion, I have examined:</w:t>
      </w:r>
    </w:p>
    <w:p>
      <w:pPr>
        <w:spacing w:after="0" w:line="77" w:lineRule="exact"/>
        <w:rPr>
          <w:sz w:val="20"/>
          <w:szCs w:val="20"/>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documents furnished by the Borrower pursuant to Section 3.01(c) of the Credit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Certificate of Incorporation of the Borrower and all amendments thereto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by-laws of the Borrower and all amendments thereto (the “</w:t>
      </w:r>
      <w:r>
        <w:rPr>
          <w:rFonts w:ascii="Arial" w:cs="Arial" w:eastAsia="Arial" w:hAnsi="Arial"/>
          <w:sz w:val="18"/>
          <w:szCs w:val="18"/>
          <w:u w:val="single" w:color="auto"/>
          <w:color w:val="auto"/>
        </w:rPr>
        <w:t>By-laws</w:t>
      </w:r>
      <w:r>
        <w:rPr>
          <w:rFonts w:ascii="Arial" w:cs="Arial" w:eastAsia="Arial" w:hAnsi="Arial"/>
          <w:sz w:val="18"/>
          <w:szCs w:val="18"/>
          <w:color w:val="auto"/>
        </w:rPr>
        <w:t>”).</w:t>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720" w:type="dxa"/>
            <w:vAlign w:val="bottom"/>
          </w:tcPr>
          <w:p>
            <w:pPr>
              <w:ind w:left="440"/>
              <w:spacing w:after="0"/>
              <w:rPr>
                <w:sz w:val="20"/>
                <w:szCs w:val="20"/>
                <w:color w:val="auto"/>
              </w:rPr>
            </w:pPr>
            <w:r>
              <w:rPr>
                <w:rFonts w:ascii="Arial" w:cs="Arial" w:eastAsia="Arial" w:hAnsi="Arial"/>
                <w:sz w:val="18"/>
                <w:szCs w:val="18"/>
                <w:color w:val="auto"/>
                <w:w w:val="89"/>
              </w:rPr>
              <w:t>(5) A certificate of the Secretary of State of Delaware, dated</w:t>
            </w:r>
          </w:p>
        </w:tc>
        <w:tc>
          <w:tcPr>
            <w:tcW w:w="6100" w:type="dxa"/>
            <w:vAlign w:val="bottom"/>
            <w:gridSpan w:val="2"/>
          </w:tcPr>
          <w:p>
            <w:pPr>
              <w:ind w:left="880"/>
              <w:spacing w:after="0"/>
              <w:rPr>
                <w:sz w:val="20"/>
                <w:szCs w:val="20"/>
                <w:color w:val="auto"/>
              </w:rPr>
            </w:pPr>
            <w:r>
              <w:rPr>
                <w:rFonts w:ascii="Arial" w:cs="Arial" w:eastAsia="Arial" w:hAnsi="Arial"/>
                <w:sz w:val="18"/>
                <w:szCs w:val="18"/>
                <w:color w:val="auto"/>
                <w:w w:val="87"/>
              </w:rPr>
              <w:t>, 2005, attesting to the continued corporate existence and good standing of</w:t>
            </w:r>
          </w:p>
        </w:tc>
      </w:tr>
      <w:tr>
        <w:trPr>
          <w:trHeight w:val="235"/>
        </w:trPr>
        <w:tc>
          <w:tcPr>
            <w:tcW w:w="4720" w:type="dxa"/>
            <w:vAlign w:val="bottom"/>
          </w:tcPr>
          <w:p>
            <w:pPr>
              <w:spacing w:after="0"/>
              <w:rPr>
                <w:sz w:val="20"/>
                <w:szCs w:val="20"/>
                <w:color w:val="auto"/>
              </w:rPr>
            </w:pPr>
            <w:r>
              <w:rPr>
                <w:rFonts w:ascii="Arial" w:cs="Arial" w:eastAsia="Arial" w:hAnsi="Arial"/>
                <w:sz w:val="18"/>
                <w:szCs w:val="18"/>
                <w:color w:val="auto"/>
              </w:rPr>
              <w:t>the Borrower in that State.</w:t>
            </w:r>
          </w:p>
        </w:tc>
        <w:tc>
          <w:tcPr>
            <w:tcW w:w="880" w:type="dxa"/>
            <w:vAlign w:val="bottom"/>
            <w:tcBorders>
              <w:top w:val="single" w:sz="8" w:color="auto"/>
            </w:tcBorders>
          </w:tcPr>
          <w:p>
            <w:pPr>
              <w:spacing w:after="0"/>
              <w:rPr>
                <w:sz w:val="20"/>
                <w:szCs w:val="20"/>
                <w:color w:val="auto"/>
              </w:rPr>
            </w:pPr>
          </w:p>
        </w:tc>
        <w:tc>
          <w:tcPr>
            <w:tcW w:w="5220" w:type="dxa"/>
            <w:vAlign w:val="bottom"/>
          </w:tcPr>
          <w:p>
            <w:pPr>
              <w:spacing w:after="0"/>
              <w:rPr>
                <w:sz w:val="20"/>
                <w:szCs w:val="20"/>
                <w:color w:val="auto"/>
              </w:rPr>
            </w:pPr>
          </w:p>
        </w:tc>
      </w:tr>
    </w:tbl>
    <w:p>
      <w:pPr>
        <w:spacing w:after="0" w:line="142"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In addition, I have examined the originals, or copies certified to my satisfaction, of such other corporate records of the Borrower, certificates of public officials and of officers of the Borrower, and agreements, instruments and other documents, as I have deemed necessary as a basis for the opinions expressed below. As to questions of fact material to such opinions, I have, when relevant facts were not independently established by me, relied upon certificates of</w:t>
      </w:r>
    </w:p>
    <w:p>
      <w:pPr>
        <w:sectPr>
          <w:pgSz w:w="11900" w:h="16838" w:orient="portrait"/>
          <w:cols w:equalWidth="0" w:num="1">
            <w:col w:w="11420"/>
          </w:cols>
          <w:pgMar w:left="240" w:top="280" w:right="239" w:bottom="1440" w:gutter="0" w:footer="0" w:header="0"/>
        </w:sectPr>
      </w:pPr>
    </w:p>
    <w:bookmarkStart w:id="79" w:name="page80"/>
    <w:bookmarkEnd w:id="79"/>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or its officers or of public officials. I have assumed the due execution and delivery, pursuant to due authorization, of the Credit Agreement by the Initial Lenders and the Agent.</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My opinions expressed below are limited to the law of the State of New York, the General Corporation Law of the State of Delaware and the Federal law of the United States of America.</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and upon such investigation as I have deemed necessary, I am of the following opinion:</w:t>
      </w:r>
    </w:p>
    <w:p>
      <w:pPr>
        <w:spacing w:after="0" w:line="77" w:lineRule="exact"/>
        <w:rPr>
          <w:sz w:val="20"/>
          <w:szCs w:val="20"/>
          <w:color w:val="auto"/>
        </w:rPr>
      </w:pPr>
    </w:p>
    <w:p>
      <w:pPr>
        <w:ind w:left="1080" w:hanging="177"/>
        <w:spacing w:after="0"/>
        <w:tabs>
          <w:tab w:leader="none" w:pos="10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Borrower is a corporation validly existing and in good standing under the laws of the State of Delaware.</w:t>
      </w:r>
    </w:p>
    <w:p>
      <w:pPr>
        <w:spacing w:after="0" w:line="76" w:lineRule="exact"/>
        <w:rPr>
          <w:rFonts w:ascii="Arial" w:cs="Arial" w:eastAsia="Arial" w:hAnsi="Arial"/>
          <w:sz w:val="18"/>
          <w:szCs w:val="18"/>
          <w:color w:val="auto"/>
        </w:rPr>
      </w:pPr>
    </w:p>
    <w:p>
      <w:pPr>
        <w:ind w:left="460" w:right="40" w:firstLine="443"/>
        <w:spacing w:after="0" w:line="305" w:lineRule="auto"/>
        <w:tabs>
          <w:tab w:leader="none" w:pos="1074" w:val="left"/>
        </w:tabs>
        <w:numPr>
          <w:ilvl w:val="1"/>
          <w:numId w:val="69"/>
        </w:numPr>
        <w:rPr>
          <w:rFonts w:ascii="Arial" w:cs="Arial" w:eastAsia="Arial" w:hAnsi="Arial"/>
          <w:sz w:val="15"/>
          <w:szCs w:val="15"/>
          <w:color w:val="auto"/>
        </w:rPr>
      </w:pPr>
      <w:r>
        <w:rPr>
          <w:rFonts w:ascii="Arial" w:cs="Arial" w:eastAsia="Arial" w:hAnsi="Arial"/>
          <w:sz w:val="15"/>
          <w:szCs w:val="15"/>
          <w:color w:val="auto"/>
        </w:rPr>
        <w:t>The execution, delivery and performance by the Borrower of the Credit Agreement and the Notes, and the consummation of the transactions contemplated thereby, are within the Borrower’s corporate powers, and have been duly authorized by all necessary corporate action, and do not contravene</w:t>
      </w:r>
    </w:p>
    <w:p>
      <w:pPr>
        <w:ind w:left="460" w:firstLine="4"/>
        <w:spacing w:after="0" w:line="292" w:lineRule="auto"/>
        <w:tabs>
          <w:tab w:leader="none" w:pos="67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Charter or the By-laws or (ii) any law, rule or regulation applicable to the Borrower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Borrower or its assets, in each case that affects or purports to affect the Borrower’s right to borrow money or the Borrower’s obligations under the Credit Agreement or Notes. The Credit Agreement and the Notes delivered on the date hereof have been duly executed and delivered on behalf of the Borrower.</w:t>
      </w:r>
    </w:p>
    <w:p>
      <w:pPr>
        <w:spacing w:after="0" w:line="22" w:lineRule="exact"/>
        <w:rPr>
          <w:rFonts w:ascii="Arial" w:cs="Arial" w:eastAsia="Arial" w:hAnsi="Arial"/>
          <w:sz w:val="16"/>
          <w:szCs w:val="16"/>
          <w:color w:val="auto"/>
        </w:rPr>
      </w:pPr>
    </w:p>
    <w:p>
      <w:pPr>
        <w:jc w:val="both"/>
        <w:ind w:left="460" w:right="20" w:firstLine="443"/>
        <w:spacing w:after="0" w:line="259" w:lineRule="auto"/>
        <w:tabs>
          <w:tab w:leader="none" w:pos="1074"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or filing with, any United States Federal, New York or, to the extent required under the General Corporation Law of the State of Delaware, Delaware governmental authority or regulatory body is required for the due execution, delivery and performance by the Borrower of the Credit Agreement and the Notes.</w:t>
      </w:r>
    </w:p>
    <w:p>
      <w:pPr>
        <w:spacing w:after="0" w:line="45" w:lineRule="exact"/>
        <w:rPr>
          <w:rFonts w:ascii="Arial" w:cs="Arial" w:eastAsia="Arial" w:hAnsi="Arial"/>
          <w:sz w:val="18"/>
          <w:szCs w:val="18"/>
          <w:color w:val="auto"/>
        </w:rPr>
      </w:pPr>
    </w:p>
    <w:p>
      <w:pPr>
        <w:ind w:left="460" w:right="120" w:firstLine="443"/>
        <w:spacing w:after="0" w:line="268" w:lineRule="auto"/>
        <w:tabs>
          <w:tab w:leader="none" w:pos="107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Credit Agreement is, and upon the consummation of any Borrowings, the Notes will be, legal, valid and binding obligations of the Borrower enforceable against the Borrower in accordance with their respective terms.</w:t>
      </w:r>
    </w:p>
    <w:p>
      <w:pPr>
        <w:spacing w:after="0" w:line="37" w:lineRule="exact"/>
        <w:rPr>
          <w:rFonts w:ascii="Arial" w:cs="Arial" w:eastAsia="Arial" w:hAnsi="Arial"/>
          <w:sz w:val="18"/>
          <w:szCs w:val="18"/>
          <w:color w:val="auto"/>
        </w:rPr>
      </w:pPr>
    </w:p>
    <w:p>
      <w:pPr>
        <w:ind w:left="460" w:right="40" w:firstLine="443"/>
        <w:spacing w:after="0" w:line="298" w:lineRule="auto"/>
        <w:tabs>
          <w:tab w:leader="none" w:pos="1074" w:val="left"/>
        </w:tabs>
        <w:numPr>
          <w:ilvl w:val="1"/>
          <w:numId w:val="70"/>
        </w:numPr>
        <w:rPr>
          <w:rFonts w:ascii="Arial" w:cs="Arial" w:eastAsia="Arial" w:hAnsi="Arial"/>
          <w:sz w:val="16"/>
          <w:szCs w:val="16"/>
          <w:color w:val="auto"/>
        </w:rPr>
      </w:pPr>
      <w:r>
        <w:rPr>
          <w:rFonts w:ascii="Arial" w:cs="Arial" w:eastAsia="Arial" w:hAnsi="Arial"/>
          <w:sz w:val="16"/>
          <w:szCs w:val="16"/>
          <w:color w:val="auto"/>
        </w:rPr>
        <w:t>To the best of my knowledge after appropriate inquiry, there are no pending or overtly threatened actions or proceedings against the Borrower or any of its Subsidiaries before any court, governmental agency or arbitrator that purport to affect the legality, validity, binding effect or enforceability of the Credit Agreement or any of the Notes or the consummation of the transactions contemplated thereby or that are likely to have a materially adverse effect upon the financial condition or operations of the Borrower and its Subsidiaries taken as a whole.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80" w:name="page81"/>
    <w:bookmarkEnd w:id="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opinions set forth above are subject to the following qualifications:</w:t>
      </w:r>
    </w:p>
    <w:p>
      <w:pPr>
        <w:spacing w:after="0" w:line="77" w:lineRule="exact"/>
        <w:rPr>
          <w:sz w:val="20"/>
          <w:szCs w:val="20"/>
          <w:color w:val="auto"/>
        </w:rPr>
      </w:pPr>
    </w:p>
    <w:p>
      <w:pPr>
        <w:ind w:right="640" w:firstLine="443"/>
        <w:spacing w:after="0" w:line="325" w:lineRule="auto"/>
        <w:tabs>
          <w:tab w:leader="none" w:pos="677" w:val="left"/>
        </w:tabs>
        <w:numPr>
          <w:ilvl w:val="0"/>
          <w:numId w:val="71"/>
        </w:numPr>
        <w:rPr>
          <w:rFonts w:ascii="Arial" w:cs="Arial" w:eastAsia="Arial" w:hAnsi="Arial"/>
          <w:sz w:val="16"/>
          <w:szCs w:val="16"/>
          <w:color w:val="auto"/>
        </w:rPr>
      </w:pPr>
      <w:r>
        <w:rPr>
          <w:rFonts w:ascii="Arial" w:cs="Arial" w:eastAsia="Arial" w:hAnsi="Arial"/>
          <w:sz w:val="16"/>
          <w:szCs w:val="16"/>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 w:lineRule="exact"/>
        <w:rPr>
          <w:rFonts w:ascii="Arial" w:cs="Arial" w:eastAsia="Arial" w:hAnsi="Arial"/>
          <w:sz w:val="16"/>
          <w:szCs w:val="16"/>
          <w:color w:val="auto"/>
        </w:rPr>
      </w:pPr>
    </w:p>
    <w:p>
      <w:pPr>
        <w:ind w:firstLine="443"/>
        <w:spacing w:after="0" w:line="325" w:lineRule="auto"/>
        <w:tabs>
          <w:tab w:leader="none" w:pos="687" w:val="left"/>
        </w:tabs>
        <w:numPr>
          <w:ilvl w:val="0"/>
          <w:numId w:val="71"/>
        </w:numPr>
        <w:rPr>
          <w:rFonts w:ascii="Arial" w:cs="Arial" w:eastAsia="Arial" w:hAnsi="Arial"/>
          <w:sz w:val="16"/>
          <w:szCs w:val="16"/>
          <w:color w:val="auto"/>
        </w:rPr>
      </w:pPr>
      <w:r>
        <w:rPr>
          <w:rFonts w:ascii="Arial" w:cs="Arial" w:eastAsia="Arial" w:hAnsi="Arial"/>
          <w:sz w:val="16"/>
          <w:szCs w:val="16"/>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 w:lineRule="exact"/>
        <w:rPr>
          <w:rFonts w:ascii="Arial" w:cs="Arial" w:eastAsia="Arial" w:hAnsi="Arial"/>
          <w:sz w:val="16"/>
          <w:szCs w:val="16"/>
          <w:color w:val="auto"/>
        </w:rPr>
      </w:pPr>
    </w:p>
    <w:p>
      <w:pPr>
        <w:ind w:right="220" w:firstLine="443"/>
        <w:spacing w:after="0" w:line="268" w:lineRule="auto"/>
        <w:tabs>
          <w:tab w:leader="none" w:pos="6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Insofar as provisions contained in the Credit Agreement provide for indemnification, the enforceability thereof may be limited by public policy considerations.</w:t>
      </w:r>
    </w:p>
    <w:p>
      <w:pPr>
        <w:spacing w:after="0" w:line="37" w:lineRule="exact"/>
        <w:rPr>
          <w:rFonts w:ascii="Arial" w:cs="Arial" w:eastAsia="Arial" w:hAnsi="Arial"/>
          <w:sz w:val="18"/>
          <w:szCs w:val="18"/>
          <w:color w:val="auto"/>
        </w:rPr>
      </w:pPr>
    </w:p>
    <w:p>
      <w:pPr>
        <w:ind w:firstLine="443"/>
        <w:spacing w:after="0" w:line="256" w:lineRule="auto"/>
        <w:tabs>
          <w:tab w:leader="none" w:pos="68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express no opinion as to (i) Section 2.15 of the Credit Agreement insofar as it provides that any Lender purchasing a participation from another Lender pursuant thereto may exercise set-off of similar rights with respect to such participation and (ii) the effect of the law of any jurisdiction other than the State of New York wherein any Lender may be located or wherein enforcement of the Credit Agreement or the Notes may be sought that limits the rates of interest legally chargeable or collectible.</w:t>
      </w:r>
    </w:p>
    <w:p>
      <w:pPr>
        <w:spacing w:after="0" w:line="13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E-2 -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OPINION OF COUNSEL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NEWSPAPER SUBSIDIARY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each of the Lenders parties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the 364-Day Credit Agreement dated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August 10, 2005 among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said Lenders and Citibank,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Agent for said Lenders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WP Company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This opinion is furnished to you pursuant to Section 3.01(c)(vi) of the 364-Day Credit Agreement, dated as of August 10, 2005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The Washington Post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parties thereto and Citibank, N.A., as Agent for said Lenders. Terms defined in the Credit Agreement are used herein as therein defined.</w:t>
      </w:r>
    </w:p>
    <w:p>
      <w:pPr>
        <w:spacing w:after="0" w:line="127"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I am the General Counsel of The Washington Post Company, the sole member of WP Company LLC, a Delaware limited liability company (the “</w:t>
      </w:r>
      <w:r>
        <w:rPr>
          <w:rFonts w:ascii="Arial" w:cs="Arial" w:eastAsia="Arial" w:hAnsi="Arial"/>
          <w:sz w:val="18"/>
          <w:szCs w:val="18"/>
          <w:u w:val="single" w:color="auto"/>
          <w:color w:val="auto"/>
        </w:rPr>
        <w:t>Newspaper Subsidiary</w:t>
      </w:r>
      <w:r>
        <w:rPr>
          <w:rFonts w:ascii="Arial" w:cs="Arial" w:eastAsia="Arial" w:hAnsi="Arial"/>
          <w:sz w:val="18"/>
          <w:szCs w:val="18"/>
          <w:color w:val="auto"/>
        </w:rPr>
        <w:t>”), and as such I am familiar with the Credit Agreement and the proceedings taken by the Newspaper Subsidiary to authorize the execution and delivery of the Subsidiary Guaranty.</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opinion, I have examined:</w:t>
      </w:r>
    </w:p>
    <w:p>
      <w:pPr>
        <w:spacing w:after="0" w:line="77" w:lineRule="exact"/>
        <w:rPr>
          <w:sz w:val="20"/>
          <w:szCs w:val="20"/>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documents furnished by the Newspaper Subsidiary pursuant to Section 3.01(c) of the Credit Agreement, including the Subsidiary Guaranty.</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Certificate of Formation and Certificate of Conversion of the Newspaper Subsidiary and all amendments thereto (the “</w:t>
      </w:r>
      <w:r>
        <w:rPr>
          <w:rFonts w:ascii="Arial" w:cs="Arial" w:eastAsia="Arial" w:hAnsi="Arial"/>
          <w:sz w:val="16"/>
          <w:szCs w:val="16"/>
          <w:u w:val="single" w:color="auto"/>
          <w:color w:val="auto"/>
        </w:rPr>
        <w:t>Certificates</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limited liability company agreement of the Newspaper Subsidiary and all amendments thereto (the “</w:t>
      </w:r>
      <w:r>
        <w:rPr>
          <w:rFonts w:ascii="Arial" w:cs="Arial" w:eastAsia="Arial" w:hAnsi="Arial"/>
          <w:sz w:val="18"/>
          <w:szCs w:val="18"/>
          <w:u w:val="single" w:color="auto"/>
          <w:color w:val="auto"/>
        </w:rPr>
        <w:t>LLC Agreement</w:t>
      </w:r>
      <w:r>
        <w:rPr>
          <w:rFonts w:ascii="Arial" w:cs="Arial" w:eastAsia="Arial" w:hAnsi="Arial"/>
          <w:sz w:val="18"/>
          <w:szCs w:val="18"/>
          <w:color w:val="auto"/>
        </w:rPr>
        <w:t>”).</w:t>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720" w:type="dxa"/>
            <w:vAlign w:val="bottom"/>
          </w:tcPr>
          <w:p>
            <w:pPr>
              <w:ind w:left="440"/>
              <w:spacing w:after="0"/>
              <w:rPr>
                <w:sz w:val="20"/>
                <w:szCs w:val="20"/>
                <w:color w:val="auto"/>
              </w:rPr>
            </w:pPr>
            <w:r>
              <w:rPr>
                <w:rFonts w:ascii="Arial" w:cs="Arial" w:eastAsia="Arial" w:hAnsi="Arial"/>
                <w:sz w:val="18"/>
                <w:szCs w:val="18"/>
                <w:color w:val="auto"/>
                <w:w w:val="89"/>
              </w:rPr>
              <w:t>(5) A certificate of the Secretary of State of Delaware, dated</w:t>
            </w:r>
          </w:p>
        </w:tc>
        <w:tc>
          <w:tcPr>
            <w:tcW w:w="8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7"/>
              </w:rPr>
              <w:t>, 2005, attesting to the continued existence and good standing of the</w:t>
            </w:r>
          </w:p>
        </w:tc>
      </w:tr>
      <w:tr>
        <w:trPr>
          <w:trHeight w:val="235"/>
        </w:trPr>
        <w:tc>
          <w:tcPr>
            <w:tcW w:w="4720" w:type="dxa"/>
            <w:vAlign w:val="bottom"/>
          </w:tcPr>
          <w:p>
            <w:pPr>
              <w:spacing w:after="0"/>
              <w:rPr>
                <w:sz w:val="20"/>
                <w:szCs w:val="20"/>
                <w:color w:val="auto"/>
              </w:rPr>
            </w:pPr>
            <w:r>
              <w:rPr>
                <w:rFonts w:ascii="Arial" w:cs="Arial" w:eastAsia="Arial" w:hAnsi="Arial"/>
                <w:sz w:val="18"/>
                <w:szCs w:val="18"/>
                <w:color w:val="auto"/>
              </w:rPr>
              <w:t>Newspaper Subsidiary in that State.</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80" w:type="dxa"/>
            <w:vAlign w:val="bottom"/>
          </w:tcPr>
          <w:p>
            <w:pPr>
              <w:spacing w:after="0"/>
              <w:rPr>
                <w:sz w:val="20"/>
                <w:szCs w:val="20"/>
                <w:color w:val="auto"/>
              </w:rPr>
            </w:pPr>
          </w:p>
        </w:tc>
      </w:tr>
    </w:tbl>
    <w:p>
      <w:pPr>
        <w:spacing w:after="0" w:line="142"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In addition, I have examined the originals, or copies certified to my satisfaction, of such other records of the Newspaper Subsidiary, certificates of public officials and of officers of the Newspaper Subsidiary, and agreements, instruments and other documents, as I have</w:t>
      </w:r>
    </w:p>
    <w:p>
      <w:pPr>
        <w:sectPr>
          <w:pgSz w:w="11900" w:h="16838" w:orient="portrait"/>
          <w:cols w:equalWidth="0" w:num="1">
            <w:col w:w="11420"/>
          </w:cols>
          <w:pgMar w:left="240" w:top="280" w:right="239" w:bottom="1440" w:gutter="0" w:footer="0" w:header="0"/>
        </w:sectPr>
      </w:pPr>
    </w:p>
    <w:bookmarkStart w:id="82" w:name="page83"/>
    <w:bookmarkEnd w:id="8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deemed necessary as a basis for the opinions expressed below. As to questions of fact material to such opinions, I have, when relevant facts were not independently established by me, relied upon certificates of the Newspaper Subsidiary or its officers or of public officials. I have assumed the due execution and delivery, pursuant to due authorization, of the Credit Agreement by the Initial Lenders and the Agent.</w:t>
      </w:r>
    </w:p>
    <w:p>
      <w:pPr>
        <w:spacing w:after="0" w:line="127"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My opinions expressed below are limited to the law of the State of New York, the Limited Liability Company Act of the State of Delaware and the Federal law of the United States of America.</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and upon such investigation as I have deemed necessary, I am of the following opinion:</w:t>
      </w:r>
    </w:p>
    <w:p>
      <w:pPr>
        <w:spacing w:after="0" w:line="77" w:lineRule="exact"/>
        <w:rPr>
          <w:sz w:val="20"/>
          <w:szCs w:val="20"/>
          <w:color w:val="auto"/>
        </w:rPr>
      </w:pPr>
    </w:p>
    <w:p>
      <w:pPr>
        <w:ind w:left="640" w:hanging="17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Newspaper Subsidiary is a limited liability company validly existing and in good standing under the laws of the State of Delaware.</w:t>
      </w:r>
    </w:p>
    <w:p>
      <w:pPr>
        <w:spacing w:after="0" w:line="76" w:lineRule="exact"/>
        <w:rPr>
          <w:rFonts w:ascii="Arial" w:cs="Arial" w:eastAsia="Arial" w:hAnsi="Arial"/>
          <w:sz w:val="18"/>
          <w:szCs w:val="18"/>
          <w:color w:val="auto"/>
        </w:rPr>
      </w:pPr>
    </w:p>
    <w:p>
      <w:pPr>
        <w:ind w:left="460" w:firstLine="4"/>
        <w:spacing w:after="0" w:line="253" w:lineRule="auto"/>
        <w:tabs>
          <w:tab w:leader="none" w:pos="6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execution, delivery and performance by the Newspaper Subsidiary of the Subsidiary Guaranty are within the Newspaper Subsidiary’s powers, and have been duly authorized by all necessary action, and do not contravene (i) the Certificates or LLC Agreement or (ii) any law, rule or regulation applicable to the Newspaper Subsidiary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Newspaper Subsidiary or its assets, in each case that affects or purports to affect the Newspaper Subsidiary’s obligations under the Subsidiary Guaranty. The Subsidiary Guaranty delivered on the date hereof has been duly executed and delivered on behalf of the Newspaper Subsidiary.</w:t>
      </w:r>
    </w:p>
    <w:p>
      <w:pPr>
        <w:spacing w:after="0" w:line="52" w:lineRule="exact"/>
        <w:rPr>
          <w:rFonts w:ascii="Arial" w:cs="Arial" w:eastAsia="Arial" w:hAnsi="Arial"/>
          <w:sz w:val="18"/>
          <w:szCs w:val="18"/>
          <w:color w:val="auto"/>
        </w:rPr>
      </w:pPr>
    </w:p>
    <w:p>
      <w:pPr>
        <w:ind w:left="460" w:right="180" w:firstLine="4"/>
        <w:spacing w:after="0" w:line="259" w:lineRule="auto"/>
        <w:tabs>
          <w:tab w:leader="none" w:pos="6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or filing with, any United States Federal, New York or, to the extent required under the Limited Liability Company Act of the State of Delaware, Delaware governmental authority or regulatory body is required for the due execution, delivery and performance by the Newspaper Subsidiary of the Subsidiary Guaranty.</w:t>
      </w:r>
    </w:p>
    <w:p>
      <w:pPr>
        <w:spacing w:after="0" w:line="45" w:lineRule="exact"/>
        <w:rPr>
          <w:rFonts w:ascii="Arial" w:cs="Arial" w:eastAsia="Arial" w:hAnsi="Arial"/>
          <w:sz w:val="18"/>
          <w:szCs w:val="18"/>
          <w:color w:val="auto"/>
        </w:rPr>
      </w:pPr>
    </w:p>
    <w:p>
      <w:pPr>
        <w:ind w:left="460" w:right="700" w:firstLine="4"/>
        <w:spacing w:after="0" w:line="268" w:lineRule="auto"/>
        <w:tabs>
          <w:tab w:leader="none" w:pos="6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Subsidiary Guaranty is a legal, valid and binding obligation of the Newspaper Subsidiary enforceable against the Newspaper Subsidiary in accordance with its terms.</w:t>
      </w:r>
    </w:p>
    <w:p>
      <w:pPr>
        <w:spacing w:after="0" w:line="37" w:lineRule="exact"/>
        <w:rPr>
          <w:rFonts w:ascii="Arial" w:cs="Arial" w:eastAsia="Arial" w:hAnsi="Arial"/>
          <w:sz w:val="18"/>
          <w:szCs w:val="18"/>
          <w:color w:val="auto"/>
        </w:rPr>
      </w:pPr>
    </w:p>
    <w:p>
      <w:pPr>
        <w:ind w:left="460" w:right="80" w:firstLine="4"/>
        <w:spacing w:after="0" w:line="259" w:lineRule="auto"/>
        <w:tabs>
          <w:tab w:leader="none" w:pos="6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best of my knowledge after appropriate inquiry, there are no pending or overtly threatened actions or proceedings against the Newspaper Subsidiary before any court, governmental agency or arbitrator that purport to affect the legality, validity, binding effect or enforceability of the Subsidiary Guaranty.</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opinions set forth above are subject to the following qualifications:</w:t>
      </w:r>
    </w:p>
    <w:p>
      <w:pPr>
        <w:spacing w:after="0" w:line="77" w:lineRule="exact"/>
        <w:rPr>
          <w:sz w:val="20"/>
          <w:szCs w:val="20"/>
          <w:color w:val="auto"/>
        </w:rPr>
      </w:pPr>
    </w:p>
    <w:p>
      <w:pPr>
        <w:ind w:left="460" w:right="620" w:firstLine="443"/>
        <w:spacing w:after="0" w:line="332" w:lineRule="auto"/>
        <w:tabs>
          <w:tab w:leader="none" w:pos="1137" w:val="left"/>
        </w:tabs>
        <w:numPr>
          <w:ilvl w:val="0"/>
          <w:numId w:val="74"/>
        </w:numPr>
        <w:rPr>
          <w:rFonts w:ascii="Arial" w:cs="Arial" w:eastAsia="Arial" w:hAnsi="Arial"/>
          <w:sz w:val="16"/>
          <w:szCs w:val="16"/>
          <w:color w:val="auto"/>
        </w:rPr>
      </w:pPr>
      <w:r>
        <w:rPr>
          <w:rFonts w:ascii="Arial" w:cs="Arial" w:eastAsia="Arial" w:hAnsi="Arial"/>
          <w:sz w:val="16"/>
          <w:szCs w:val="16"/>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83" w:name="page84"/>
    <w:bookmarkEnd w:id="83"/>
    <w:p>
      <w:pPr>
        <w:ind w:firstLine="443"/>
        <w:spacing w:after="0" w:line="325" w:lineRule="auto"/>
        <w:tabs>
          <w:tab w:leader="none" w:pos="687"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 w:lineRule="exact"/>
        <w:rPr>
          <w:rFonts w:ascii="Arial" w:cs="Arial" w:eastAsia="Arial" w:hAnsi="Arial"/>
          <w:sz w:val="16"/>
          <w:szCs w:val="16"/>
          <w:color w:val="auto"/>
        </w:rPr>
      </w:pPr>
    </w:p>
    <w:p>
      <w:pPr>
        <w:ind w:right="20" w:firstLine="443"/>
        <w:spacing w:after="0" w:line="268" w:lineRule="auto"/>
        <w:tabs>
          <w:tab w:leader="none" w:pos="6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Insofar as provisions contained in the Subsidiary Guaranty provide for indemnification, the enforceability thereof may be limited by public policy considerations.</w:t>
      </w:r>
    </w:p>
    <w:p>
      <w:pPr>
        <w:spacing w:after="0" w:line="37" w:lineRule="exact"/>
        <w:rPr>
          <w:rFonts w:ascii="Arial" w:cs="Arial" w:eastAsia="Arial" w:hAnsi="Arial"/>
          <w:sz w:val="18"/>
          <w:szCs w:val="18"/>
          <w:color w:val="auto"/>
        </w:rPr>
      </w:pPr>
    </w:p>
    <w:p>
      <w:pPr>
        <w:ind w:right="600" w:firstLine="443"/>
        <w:spacing w:after="0" w:line="332" w:lineRule="auto"/>
        <w:tabs>
          <w:tab w:leader="none" w:pos="687" w:val="left"/>
        </w:tabs>
        <w:numPr>
          <w:ilvl w:val="0"/>
          <w:numId w:val="75"/>
        </w:numPr>
        <w:rPr>
          <w:rFonts w:ascii="Arial" w:cs="Arial" w:eastAsia="Arial" w:hAnsi="Arial"/>
          <w:sz w:val="16"/>
          <w:szCs w:val="16"/>
          <w:color w:val="auto"/>
        </w:rPr>
      </w:pPr>
      <w:r>
        <w:rPr>
          <w:rFonts w:ascii="Arial" w:cs="Arial" w:eastAsia="Arial" w:hAnsi="Arial"/>
          <w:sz w:val="16"/>
          <w:szCs w:val="16"/>
          <w:color w:val="auto"/>
        </w:rPr>
        <w:t>I express no opinion as to the effect of the law of any jurisdiction other than the State of New York wherein any Lender may be located or wherein enforcement of the Subsidiary Guaranty may be sought that limits the rates of interest legally chargeable or collectible.</w:t>
      </w:r>
    </w:p>
    <w:p>
      <w:pPr>
        <w:spacing w:after="0" w:line="72"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SUBSIDIARY GUARANTY</w:t>
      </w:r>
    </w:p>
    <w:p>
      <w:pPr>
        <w:spacing w:after="0" w:line="135" w:lineRule="exact"/>
        <w:rPr>
          <w:sz w:val="20"/>
          <w:szCs w:val="20"/>
          <w:color w:val="auto"/>
        </w:rPr>
      </w:pPr>
    </w:p>
    <w:tbl>
      <w:tblPr>
        <w:tblLayout w:type="fixed"/>
        <w:tblInd w:w="344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w w:val="89"/>
              </w:rPr>
              <w:t>Dated as of</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2005</w:t>
            </w:r>
          </w:p>
        </w:tc>
      </w:tr>
      <w:tr>
        <w:trPr>
          <w:trHeight w:val="20"/>
        </w:trPr>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From</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WP Company LLC</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as Guarantor</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favor of</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Lenders Referred To Herein</w:t>
      </w:r>
    </w:p>
    <w:p>
      <w:pPr>
        <w:sectPr>
          <w:pgSz w:w="11900" w:h="16838" w:orient="portrait"/>
          <w:cols w:equalWidth="0" w:num="1">
            <w:col w:w="10220"/>
          </w:cols>
          <w:pgMar w:left="1440" w:top="280"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99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9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1.</w:t>
            </w:r>
          </w:p>
        </w:tc>
        <w:tc>
          <w:tcPr>
            <w:tcW w:w="9960" w:type="dxa"/>
            <w:vAlign w:val="bottom"/>
          </w:tcPr>
          <w:p>
            <w:pPr>
              <w:ind w:left="160"/>
              <w:spacing w:after="0"/>
              <w:rPr>
                <w:sz w:val="20"/>
                <w:szCs w:val="20"/>
                <w:color w:val="auto"/>
              </w:rPr>
            </w:pPr>
            <w:r>
              <w:rPr>
                <w:rFonts w:ascii="Arial" w:cs="Arial" w:eastAsia="Arial" w:hAnsi="Arial"/>
                <w:sz w:val="18"/>
                <w:szCs w:val="18"/>
                <w:color w:val="auto"/>
              </w:rPr>
              <w:t>GUARANTY; LIMITATION OF LIABILITY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2.</w:t>
            </w:r>
          </w:p>
        </w:tc>
        <w:tc>
          <w:tcPr>
            <w:tcW w:w="9960" w:type="dxa"/>
            <w:vAlign w:val="bottom"/>
          </w:tcPr>
          <w:p>
            <w:pPr>
              <w:ind w:left="160"/>
              <w:spacing w:after="0"/>
              <w:rPr>
                <w:sz w:val="20"/>
                <w:szCs w:val="20"/>
                <w:color w:val="auto"/>
              </w:rPr>
            </w:pPr>
            <w:r>
              <w:rPr>
                <w:rFonts w:ascii="Arial" w:cs="Arial" w:eastAsia="Arial" w:hAnsi="Arial"/>
                <w:sz w:val="18"/>
                <w:szCs w:val="18"/>
                <w:color w:val="auto"/>
              </w:rPr>
              <w:t>CHARACTER OF GUARANTY; WAIVER OF CERTAIN DEFENSES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3.</w:t>
            </w:r>
          </w:p>
        </w:tc>
        <w:tc>
          <w:tcPr>
            <w:tcW w:w="9960" w:type="dxa"/>
            <w:vAlign w:val="bottom"/>
          </w:tcPr>
          <w:p>
            <w:pPr>
              <w:ind w:left="160"/>
              <w:spacing w:after="0"/>
              <w:rPr>
                <w:sz w:val="20"/>
                <w:szCs w:val="20"/>
                <w:color w:val="auto"/>
              </w:rPr>
            </w:pPr>
            <w:r>
              <w:rPr>
                <w:rFonts w:ascii="Arial" w:cs="Arial" w:eastAsia="Arial" w:hAnsi="Arial"/>
                <w:sz w:val="18"/>
                <w:szCs w:val="18"/>
                <w:color w:val="auto"/>
              </w:rPr>
              <w:t>WAIVERS AND ACKNOWLEDGMENTS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4.</w:t>
            </w:r>
          </w:p>
        </w:tc>
        <w:tc>
          <w:tcPr>
            <w:tcW w:w="9960" w:type="dxa"/>
            <w:vAlign w:val="bottom"/>
          </w:tcPr>
          <w:p>
            <w:pPr>
              <w:ind w:left="160"/>
              <w:spacing w:after="0"/>
              <w:rPr>
                <w:sz w:val="20"/>
                <w:szCs w:val="20"/>
                <w:color w:val="auto"/>
              </w:rPr>
            </w:pPr>
            <w:r>
              <w:rPr>
                <w:rFonts w:ascii="Arial" w:cs="Arial" w:eastAsia="Arial" w:hAnsi="Arial"/>
                <w:sz w:val="18"/>
                <w:szCs w:val="18"/>
                <w:color w:val="auto"/>
              </w:rPr>
              <w:t>SUBROGATION</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5.</w:t>
            </w:r>
          </w:p>
        </w:tc>
        <w:tc>
          <w:tcPr>
            <w:tcW w:w="9960" w:type="dxa"/>
            <w:vAlign w:val="bottom"/>
          </w:tcPr>
          <w:p>
            <w:pPr>
              <w:ind w:left="160"/>
              <w:spacing w:after="0"/>
              <w:rPr>
                <w:sz w:val="20"/>
                <w:szCs w:val="20"/>
                <w:color w:val="auto"/>
              </w:rPr>
            </w:pPr>
            <w:r>
              <w:rPr>
                <w:rFonts w:ascii="Arial" w:cs="Arial" w:eastAsia="Arial" w:hAnsi="Arial"/>
                <w:sz w:val="18"/>
                <w:szCs w:val="18"/>
                <w:color w:val="auto"/>
              </w:rPr>
              <w:t>CERTAIN 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6.</w:t>
            </w:r>
          </w:p>
        </w:tc>
        <w:tc>
          <w:tcPr>
            <w:tcW w:w="9960" w:type="dxa"/>
            <w:vAlign w:val="bottom"/>
          </w:tcPr>
          <w:p>
            <w:pPr>
              <w:ind w:left="16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7.</w:t>
            </w:r>
          </w:p>
        </w:tc>
        <w:tc>
          <w:tcPr>
            <w:tcW w:w="996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8.</w:t>
            </w:r>
          </w:p>
        </w:tc>
        <w:tc>
          <w:tcPr>
            <w:tcW w:w="9960" w:type="dxa"/>
            <w:vAlign w:val="bottom"/>
          </w:tcPr>
          <w:p>
            <w:pPr>
              <w:ind w:left="160"/>
              <w:spacing w:after="0"/>
              <w:rPr>
                <w:sz w:val="20"/>
                <w:szCs w:val="20"/>
                <w:color w:val="auto"/>
              </w:rPr>
            </w:pPr>
            <w:r>
              <w:rPr>
                <w:rFonts w:ascii="Arial" w:cs="Arial" w:eastAsia="Arial" w:hAnsi="Arial"/>
                <w:sz w:val="18"/>
                <w:szCs w:val="18"/>
                <w:color w:val="auto"/>
              </w:rPr>
              <w:t>TERMINATION OF GUARANTY</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9.</w:t>
            </w:r>
          </w:p>
        </w:tc>
        <w:tc>
          <w:tcPr>
            <w:tcW w:w="9960" w:type="dxa"/>
            <w:vAlign w:val="bottom"/>
          </w:tcPr>
          <w:p>
            <w:pPr>
              <w:ind w:left="160"/>
              <w:spacing w:after="0"/>
              <w:rPr>
                <w:sz w:val="20"/>
                <w:szCs w:val="20"/>
                <w:color w:val="auto"/>
              </w:rPr>
            </w:pPr>
            <w:r>
              <w:rPr>
                <w:rFonts w:ascii="Arial" w:cs="Arial" w:eastAsia="Arial" w:hAnsi="Arial"/>
                <w:sz w:val="18"/>
                <w:szCs w:val="18"/>
                <w:color w:val="auto"/>
              </w:rPr>
              <w:t>NOTICES, ETC.</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10.</w:t>
            </w:r>
          </w:p>
        </w:tc>
        <w:tc>
          <w:tcPr>
            <w:tcW w:w="9960" w:type="dxa"/>
            <w:vAlign w:val="bottom"/>
          </w:tcPr>
          <w:p>
            <w:pPr>
              <w:ind w:left="160"/>
              <w:spacing w:after="0"/>
              <w:rPr>
                <w:sz w:val="20"/>
                <w:szCs w:val="20"/>
                <w:color w:val="auto"/>
              </w:rPr>
            </w:pPr>
            <w:r>
              <w:rPr>
                <w:rFonts w:ascii="Arial" w:cs="Arial" w:eastAsia="Arial" w:hAnsi="Arial"/>
                <w:sz w:val="18"/>
                <w:szCs w:val="18"/>
                <w:color w:val="auto"/>
              </w:rPr>
              <w:t>NO WAIVER;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11.</w:t>
            </w:r>
          </w:p>
        </w:tc>
        <w:tc>
          <w:tcPr>
            <w:tcW w:w="9960" w:type="dxa"/>
            <w:vAlign w:val="bottom"/>
          </w:tcPr>
          <w:p>
            <w:pPr>
              <w:ind w:left="16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12.</w:t>
            </w:r>
          </w:p>
        </w:tc>
        <w:tc>
          <w:tcPr>
            <w:tcW w:w="9960" w:type="dxa"/>
            <w:vAlign w:val="bottom"/>
          </w:tcPr>
          <w:p>
            <w:pPr>
              <w:ind w:left="160"/>
              <w:spacing w:after="0"/>
              <w:rPr>
                <w:sz w:val="20"/>
                <w:szCs w:val="20"/>
                <w:color w:val="auto"/>
              </w:rPr>
            </w:pPr>
            <w:r>
              <w:rPr>
                <w:rFonts w:ascii="Arial" w:cs="Arial" w:eastAsia="Arial" w:hAnsi="Arial"/>
                <w:sz w:val="18"/>
                <w:szCs w:val="18"/>
                <w:color w:val="auto"/>
              </w:rPr>
              <w:t>CONTINUING GUARANTY; ASSIGNMENTS UNDER THE CREDIT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13.</w:t>
            </w:r>
          </w:p>
        </w:tc>
        <w:tc>
          <w:tcPr>
            <w:tcW w:w="9960" w:type="dxa"/>
            <w:vAlign w:val="bottom"/>
          </w:tcPr>
          <w:p>
            <w:pPr>
              <w:ind w:left="160"/>
              <w:spacing w:after="0"/>
              <w:rPr>
                <w:sz w:val="20"/>
                <w:szCs w:val="20"/>
                <w:color w:val="auto"/>
              </w:rPr>
            </w:pPr>
            <w:r>
              <w:rPr>
                <w:rFonts w:ascii="Arial" w:cs="Arial" w:eastAsia="Arial" w:hAnsi="Arial"/>
                <w:sz w:val="18"/>
                <w:szCs w:val="18"/>
                <w:color w:val="auto"/>
              </w:rPr>
              <w:t>GOVERNING LAW; JURISDICTION; WAIVER OF JURY TRIAL, ETC.</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280"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GUARANTY</w:t>
      </w:r>
    </w:p>
    <w:p>
      <w:pPr>
        <w:spacing w:after="0" w:line="158" w:lineRule="exact"/>
        <w:rPr>
          <w:sz w:val="20"/>
          <w:szCs w:val="20"/>
          <w:color w:val="auto"/>
        </w:rPr>
      </w:pPr>
    </w:p>
    <w:p>
      <w:pPr>
        <w:ind w:left="920"/>
        <w:spacing w:after="0"/>
        <w:tabs>
          <w:tab w:leader="none" w:pos="5960" w:val="left"/>
        </w:tabs>
        <w:rPr>
          <w:sz w:val="20"/>
          <w:szCs w:val="20"/>
          <w:color w:val="auto"/>
        </w:rPr>
      </w:pPr>
      <w:r>
        <w:rPr>
          <w:rFonts w:ascii="Arial" w:cs="Arial" w:eastAsia="Arial" w:hAnsi="Arial"/>
          <w:sz w:val="18"/>
          <w:szCs w:val="18"/>
          <w:color w:val="auto"/>
        </w:rPr>
        <w:t>SUBSIDIARY GUARANTY (this “</w:t>
      </w:r>
      <w:r>
        <w:rPr>
          <w:rFonts w:ascii="Arial" w:cs="Arial" w:eastAsia="Arial" w:hAnsi="Arial"/>
          <w:sz w:val="18"/>
          <w:szCs w:val="18"/>
          <w:u w:val="single" w:color="auto"/>
          <w:color w:val="auto"/>
        </w:rPr>
        <w:t>Guaranty</w:t>
      </w:r>
      <w:r>
        <w:rPr>
          <w:rFonts w:ascii="Arial" w:cs="Arial" w:eastAsia="Arial" w:hAnsi="Arial"/>
          <w:sz w:val="18"/>
          <w:szCs w:val="18"/>
          <w:color w:val="auto"/>
        </w:rPr>
        <w:t>”) dated as of</w:t>
      </w:r>
      <w:r>
        <w:rPr>
          <w:sz w:val="20"/>
          <w:szCs w:val="20"/>
          <w:color w:val="auto"/>
        </w:rPr>
        <w:tab/>
      </w:r>
      <w:r>
        <w:rPr>
          <w:rFonts w:ascii="Arial" w:cs="Arial" w:eastAsia="Arial" w:hAnsi="Arial"/>
          <w:sz w:val="16"/>
          <w:szCs w:val="16"/>
          <w:color w:val="auto"/>
        </w:rPr>
        <w:t>, 2005 is made by WP Company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-13970</wp:posOffset>
            </wp:positionV>
            <wp:extent cx="5575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Guarantor</w:t>
      </w:r>
      <w:r>
        <w:rPr>
          <w:rFonts w:ascii="Arial" w:cs="Arial" w:eastAsia="Arial" w:hAnsi="Arial"/>
          <w:sz w:val="18"/>
          <w:szCs w:val="18"/>
          <w:color w:val="auto"/>
        </w:rPr>
        <w:t>”), in favor of the Lenders (as defined below; each of the Lenders being a “</w:t>
      </w:r>
      <w:r>
        <w:rPr>
          <w:rFonts w:ascii="Arial" w:cs="Arial" w:eastAsia="Arial" w:hAnsi="Arial"/>
          <w:sz w:val="18"/>
          <w:szCs w:val="18"/>
          <w:u w:val="single" w:color="auto"/>
          <w:color w:val="auto"/>
        </w:rPr>
        <w:t>Guaranteed Party</w:t>
      </w:r>
      <w:r>
        <w:rPr>
          <w:rFonts w:ascii="Arial" w:cs="Arial" w:eastAsia="Arial" w:hAnsi="Arial"/>
          <w:sz w:val="18"/>
          <w:szCs w:val="18"/>
          <w:color w:val="auto"/>
        </w:rPr>
        <w:t>”).</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PRELIMINARY STATEMENTS.</w:t>
      </w:r>
    </w:p>
    <w:p>
      <w:pPr>
        <w:spacing w:after="0" w:line="77" w:lineRule="exact"/>
        <w:rPr>
          <w:sz w:val="20"/>
          <w:szCs w:val="20"/>
          <w:color w:val="auto"/>
        </w:rPr>
      </w:pPr>
    </w:p>
    <w:p>
      <w:pPr>
        <w:ind w:firstLine="921"/>
        <w:spacing w:after="0" w:line="256" w:lineRule="auto"/>
        <w:tabs>
          <w:tab w:leader="none" w:pos="10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Washington Post Company,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is party to a 364-Day Credit Agreement dated as of August 10, 2005 (as amended,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capitalized terms defined therein and not otherwise defined herein being used herein as therein defined) with certain lenders party thereto and Citibank, N.A., as Agent for such lenders (the Agent and such lenders are the “</w:t>
      </w: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right="120" w:firstLine="921"/>
        <w:spacing w:after="0" w:line="268" w:lineRule="auto"/>
        <w:tabs>
          <w:tab w:leader="none" w:pos="10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It is a condition precedent to the making of Advances by the Lenders under the Credit Agreement from time to time that the Guarantor shall have executed and delivered this Guaranty.</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in consideration of the foregoing, the Guarantor hereby agrees for the benefit of each Guaranteed Party as follows:</w:t>
      </w:r>
    </w:p>
    <w:p>
      <w:pPr>
        <w:spacing w:after="0" w:line="100"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Guaranty; Limitation of Liability</w:t>
      </w:r>
      <w:r>
        <w:rPr>
          <w:rFonts w:ascii="Arial" w:cs="Arial" w:eastAsia="Arial" w:hAnsi="Arial"/>
          <w:sz w:val="16"/>
          <w:szCs w:val="16"/>
          <w:color w:val="auto"/>
        </w:rPr>
        <w:t>. (a) The Guarantor hereby absolutely, unconditionally and irrevocably guarantees the punctual payment when due, whether at scheduled maturity or on any date of a required prepayment or by acceleration, demand or otherwise, of the following: all obligations of the Borrower now or hereafter existing under or in respect of the Credit Agreement (including, without limitation, any extensions, modifications, substitutions, amendments or renewals of any or all of the foregoing obligations), whether direct or indirect, absolute or contingent, and whether for principal, interest, premiums, fees, indemnities, contract causes of action, costs, expenses or otherwise (all such obligations being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The Guarantor’s liability shall extend to all amounts that constitute part of the Guaranteed Obligations and would be owed by the Borrower to any Guaranteed Party but for the fact that they are unenforceable or not allowable due to the existence of a bankruptcy, reorganization or similar proceeding involving the Borrower.</w:t>
      </w:r>
    </w:p>
    <w:p>
      <w:pPr>
        <w:spacing w:after="0" w:line="105" w:lineRule="exact"/>
        <w:rPr>
          <w:sz w:val="20"/>
          <w:szCs w:val="20"/>
          <w:color w:val="auto"/>
        </w:rPr>
      </w:pPr>
    </w:p>
    <w:p>
      <w:pPr>
        <w:ind w:firstLine="921"/>
        <w:spacing w:after="0" w:line="290" w:lineRule="auto"/>
        <w:tabs>
          <w:tab w:leader="none" w:pos="1162"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Guarantor and, by its acceptance of this Guaranty, each Guaranteed Party, hereby confirms that it is the intention of all such Persons that this Guaranty and the obligations of the Guarantor hereunder not constitute a fraudulent transfer or conveyance for purposes of Bankruptcy Law (as hereinafter defined), the Uniform Fraudulent Conveyance Act, the Uniform Fraudulent Transfer Act or any similar foreign, federal or state law to the extent applicable to this Guaranty and the obligations of the Guarantor hereunder. To effectuate the foregoing intention, the Guaranteed Parties and the Guarantor hereby irrevocably agree that the obligations of the Guarantor under this Guaranty at any time shall be limited to the maximum amount as will result in the obligations of the Guarantor under this Guaranty not constituting a fraudulent transfer or conveyance. For purposes hereof, “</w:t>
      </w:r>
      <w:r>
        <w:rPr>
          <w:rFonts w:ascii="Arial" w:cs="Arial" w:eastAsia="Arial" w:hAnsi="Arial"/>
          <w:sz w:val="16"/>
          <w:szCs w:val="16"/>
          <w:u w:val="single" w:color="auto"/>
          <w:color w:val="auto"/>
        </w:rPr>
        <w:t>Bankruptcy Law</w:t>
      </w:r>
      <w:r>
        <w:rPr>
          <w:rFonts w:ascii="Arial" w:cs="Arial" w:eastAsia="Arial" w:hAnsi="Arial"/>
          <w:sz w:val="16"/>
          <w:szCs w:val="16"/>
          <w:color w:val="auto"/>
        </w:rPr>
        <w:t>” means any proceeding of the type referred to in Section 6.01(f) of the Credit Agreement or Title 11, U.S. Code, or any similar foreign, federal or state law for the relief of debtors.</w:t>
      </w:r>
    </w:p>
    <w:p>
      <w:pPr>
        <w:sectPr>
          <w:pgSz w:w="11900" w:h="16838" w:orient="portrait"/>
          <w:cols w:equalWidth="0" w:num="1">
            <w:col w:w="11420"/>
          </w:cols>
          <w:pgMar w:left="240" w:top="280" w:right="239" w:bottom="1440" w:gutter="0" w:footer="0" w:header="0"/>
        </w:sectPr>
      </w:pPr>
    </w:p>
    <w:bookmarkStart w:id="87" w:name="page88"/>
    <w:bookmarkEnd w:id="87"/>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 </w:t>
      </w:r>
      <w:r>
        <w:rPr>
          <w:rFonts w:ascii="Arial" w:cs="Arial" w:eastAsia="Arial" w:hAnsi="Arial"/>
          <w:sz w:val="16"/>
          <w:szCs w:val="16"/>
          <w:u w:val="single" w:color="auto"/>
          <w:color w:val="auto"/>
        </w:rPr>
        <w:t>Character of Guaranty; Waiver of Certain Defenses</w:t>
      </w:r>
      <w:r>
        <w:rPr>
          <w:rFonts w:ascii="Arial" w:cs="Arial" w:eastAsia="Arial" w:hAnsi="Arial"/>
          <w:sz w:val="16"/>
          <w:szCs w:val="16"/>
          <w:color w:val="auto"/>
        </w:rPr>
        <w:t>. The Guarantor guarantees that the Guaranteed Obligations will be paid strictly in accordance with their terms, regardless of any law, regulation or order now or hereafter in effect in any jurisdiction affecting any of such terms or the rights of any Guaranteed Party with respect thereto. The obligations of the Guarantor under or in respect of this Guaranty may be enforced independently of the Guaranteed Obligations or any other obligations of the Borrower under or in respect of the Credit Agreement, and a separate action or actions may be brought and prosecuted against the Guarantor to enforce this Guaranty, irrespective of whether any action is brought against the Borrower or whether the Borrower is joined in any such action or actions. The liability of the Guarantor under this Guaranty shall be irrevocable, absolute and unconditional irrespective of, and the Guarantor hereby irrevocably waives any defenses it may now have or hereafter acquire in any way relating to, any or all of the following:</w:t>
      </w:r>
    </w:p>
    <w:p>
      <w:pPr>
        <w:spacing w:after="0" w:line="24" w:lineRule="exact"/>
        <w:rPr>
          <w:sz w:val="20"/>
          <w:szCs w:val="20"/>
          <w:color w:val="auto"/>
        </w:rPr>
      </w:pPr>
    </w:p>
    <w:p>
      <w:pPr>
        <w:ind w:right="100" w:firstLine="921"/>
        <w:spacing w:after="0" w:line="256"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Guaranteed Obligations or any other obligations of the Borrower under or in respect of the Credit Agreement, or any other amendment or waiver of or any consent to departure from the Credit Agreement, including, without limitation, any increase in the Guaranteed Obligations resulting from the extension of additional credit to the Borrower or any of its Subsidiaries or otherwise;</w:t>
      </w:r>
    </w:p>
    <w:p>
      <w:pPr>
        <w:spacing w:after="0" w:line="129"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taking, exchange, release or non-perfection of any collateral, or any taking, release or amendment or waiver of, or consent to departure from, any other guaranty, for all or any of the Guaranteed Obligations;</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change, restructuring or termination of the corporate structure or existence of the Borrower or any of its Subsidiaries;</w:t>
      </w:r>
    </w:p>
    <w:p>
      <w:pPr>
        <w:spacing w:after="0" w:line="157" w:lineRule="exact"/>
        <w:rPr>
          <w:rFonts w:ascii="Arial" w:cs="Arial" w:eastAsia="Arial" w:hAnsi="Arial"/>
          <w:sz w:val="18"/>
          <w:szCs w:val="18"/>
          <w:color w:val="auto"/>
        </w:rPr>
      </w:pPr>
    </w:p>
    <w:p>
      <w:pPr>
        <w:jc w:val="both"/>
        <w:ind w:right="380" w:firstLine="921"/>
        <w:spacing w:after="0" w:line="259"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failure of any Guaranteed Party to disclose to the Guarantor any information relating to the business, condition (financial or otherwise), operations, performance, properties or prospects of the Borrower now or hereafter known to the Borrower (the Guarantor waiving any duty on the part of the Guaranteed Parties to disclose such information); or</w:t>
      </w:r>
    </w:p>
    <w:p>
      <w:pPr>
        <w:spacing w:after="0" w:line="126" w:lineRule="exact"/>
        <w:rPr>
          <w:rFonts w:ascii="Arial" w:cs="Arial" w:eastAsia="Arial" w:hAnsi="Arial"/>
          <w:sz w:val="18"/>
          <w:szCs w:val="18"/>
          <w:color w:val="auto"/>
        </w:rPr>
      </w:pPr>
    </w:p>
    <w:p>
      <w:pPr>
        <w:ind w:right="260" w:firstLine="921"/>
        <w:spacing w:after="0" w:line="268"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failure of any other Person to execute or deliver any other guaranty or agreement or the release or reduction of liability of the Guarantor or other guarantor or surety with respect to the Guaranteed Obligations.</w:t>
      </w:r>
    </w:p>
    <w:p>
      <w:pPr>
        <w:spacing w:after="0" w:line="118"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This Guaranty shall continue to be effective or be reinstated, as the case may be, if at any time any payment of any of the Guaranteed Obligations by the Borrower is rescinded or must otherwise be returned by any Guaranteed Party or any other Person that has acquired such payment from any such Guaranteed Party upon the insolvency, bankruptcy or reorganization of the Borrower, all as though such payment had not been made.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88" w:name="page89"/>
    <w:bookmarkEnd w:id="88"/>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6"/>
          <w:szCs w:val="16"/>
          <w:u w:val="single" w:color="auto"/>
          <w:color w:val="auto"/>
        </w:rPr>
        <w:t>Waivers and Acknowledgments</w:t>
      </w:r>
      <w:r>
        <w:rPr>
          <w:rFonts w:ascii="Arial" w:cs="Arial" w:eastAsia="Arial" w:hAnsi="Arial"/>
          <w:sz w:val="16"/>
          <w:szCs w:val="16"/>
          <w:color w:val="auto"/>
        </w:rPr>
        <w:t>. (a) The Guarantor hereby unconditionally and irrevocably waives promptness, diligence, notice of acceptance, presentment, demand for performance, notice of nonperformance, default, acceleration, protest or dishonor and any other notice with respect to any of the Guaranteed Obligations and this Guaranty and any requirement that any Guaranteed Party protect, secure, perfect or insure any lien or security interest or any property subject thereto or exhaust any right or take any action against the Borrower or any other Person or any collateral.</w:t>
      </w:r>
    </w:p>
    <w:p>
      <w:pPr>
        <w:spacing w:after="0" w:line="99" w:lineRule="exact"/>
        <w:rPr>
          <w:sz w:val="20"/>
          <w:szCs w:val="20"/>
          <w:color w:val="auto"/>
        </w:rPr>
      </w:pPr>
    </w:p>
    <w:p>
      <w:pPr>
        <w:ind w:right="460" w:firstLine="921"/>
        <w:spacing w:after="0" w:line="332" w:lineRule="auto"/>
        <w:tabs>
          <w:tab w:leader="none" w:pos="116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Guarantor hereby unconditionally and irrevocably waives any right to revoke this Guaranty and acknowledges that, except as provided herein, this Guaranty is continuing in nature and applies to all Guaranteed Obligations, whether existing now or in the future.</w:t>
      </w:r>
    </w:p>
    <w:p>
      <w:pPr>
        <w:spacing w:after="0" w:line="71" w:lineRule="exact"/>
        <w:rPr>
          <w:rFonts w:ascii="Arial" w:cs="Arial" w:eastAsia="Arial" w:hAnsi="Arial"/>
          <w:sz w:val="16"/>
          <w:szCs w:val="16"/>
          <w:color w:val="auto"/>
        </w:rPr>
      </w:pPr>
    </w:p>
    <w:p>
      <w:pPr>
        <w:ind w:right="40" w:firstLine="921"/>
        <w:spacing w:after="0" w:line="298" w:lineRule="auto"/>
        <w:tabs>
          <w:tab w:leader="none" w:pos="115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Guarantor hereby unconditionally and irrevocably waives (i) any defense arising by reason of any claim or defense based upon an election of remedies by any Guaranteed Party that in any manner impairs, reduces, releases or otherwise adversely affects the subrogation, reimbursement, exoneration, contribution or indemnification rights of the Guarantor or other rights of the Guarantor to proceed against the Borrower, any other guarantor or any other Person or any collateral and (ii) any defense based on any right of set-off or counterclaim against or in respect of the obligations of the Guarantor hereunder.</w:t>
      </w:r>
    </w:p>
    <w:p>
      <w:pPr>
        <w:spacing w:after="0" w:line="99" w:lineRule="exact"/>
        <w:rPr>
          <w:rFonts w:ascii="Arial" w:cs="Arial" w:eastAsia="Arial" w:hAnsi="Arial"/>
          <w:sz w:val="16"/>
          <w:szCs w:val="16"/>
          <w:color w:val="auto"/>
        </w:rPr>
      </w:pPr>
    </w:p>
    <w:p>
      <w:pPr>
        <w:jc w:val="both"/>
        <w:ind w:right="380" w:firstLine="921"/>
        <w:spacing w:after="0" w:line="259" w:lineRule="auto"/>
        <w:tabs>
          <w:tab w:leader="none" w:pos="116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Guarantor hereby unconditionally and irrevocably waives any duty on the part of any Guaranteed Party to disclose to the Guarantor any matter, fact or thing relating to the business, condition (financial or otherwise), operations, performance, properties or prospects of the Borrower or any of its Subsidiaries now or hereafter known by such Guaranteed Party.</w:t>
      </w:r>
    </w:p>
    <w:p>
      <w:pPr>
        <w:spacing w:after="0" w:line="127"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Subrogation</w:t>
      </w:r>
      <w:r>
        <w:rPr>
          <w:rFonts w:ascii="Arial" w:cs="Arial" w:eastAsia="Arial" w:hAnsi="Arial"/>
          <w:sz w:val="16"/>
          <w:szCs w:val="16"/>
          <w:color w:val="auto"/>
        </w:rPr>
        <w:t>. The Guarantor hereby unconditionally and irrevocably agrees not to exercise any rights that it may now have or hereafter acquire against the Borrower, or any other insider guarantor that arise from the existence, payment, performance or enforcement of the Guarantor’s obligations under or in respect of this Guaranty, including, without limitation, any right of subrogation, reimbursement, exoneration, contribution or indemnification and any right to participate in any claim or remedy of any Guaranteed Party against the Borrower or any other insider guarantor or any collateral, whether or not such claim, remedy or right arises in equity or under contract, statute or common law, including, without limitation, the right to take or receive from the Borrower or any other insider guarantor, directly or indirectly, in cash or other property or by set-off or in any other manner, payment or security on account of such claim, remedy or right, unless and until (i) all of the Guaranteed Obligations and all other amounts payable under this Guaranty shall have been paid in full in cash or (ii) this Guaranty is terminated.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89" w:name="page90"/>
    <w:bookmarkEnd w:id="89"/>
    <w:p>
      <w:pPr>
        <w:ind w:right="1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8"/>
          <w:szCs w:val="18"/>
          <w:u w:val="single" w:color="auto"/>
          <w:color w:val="auto"/>
        </w:rPr>
        <w:t>Certain Tax Matters</w:t>
      </w:r>
      <w:r>
        <w:rPr>
          <w:rFonts w:ascii="Arial" w:cs="Arial" w:eastAsia="Arial" w:hAnsi="Arial"/>
          <w:sz w:val="18"/>
          <w:szCs w:val="18"/>
          <w:color w:val="auto"/>
        </w:rPr>
        <w:t xml:space="preserve">. The Guarantor shall satisfy the obligations of Section 2.14 of the Credit Agreement as if such Section was set forth herein in its entirety, </w:t>
      </w:r>
      <w:r>
        <w:rPr>
          <w:rFonts w:ascii="Arial" w:cs="Arial" w:eastAsia="Arial" w:hAnsi="Arial"/>
          <w:sz w:val="18"/>
          <w:szCs w:val="18"/>
          <w:u w:val="single" w:color="auto"/>
          <w:color w:val="auto"/>
        </w:rPr>
        <w:t>mutatis mutandis</w:t>
      </w:r>
      <w:r>
        <w:rPr>
          <w:rFonts w:ascii="Arial" w:cs="Arial" w:eastAsia="Arial" w:hAnsi="Arial"/>
          <w:sz w:val="18"/>
          <w:szCs w:val="18"/>
          <w:color w:val="auto"/>
        </w:rPr>
        <w:t>, solely with respect to the Guaranty of the Credit Agreement.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Guarantor represents and warrants as follows:</w:t>
      </w:r>
    </w:p>
    <w:p>
      <w:pPr>
        <w:spacing w:after="0" w:line="77" w:lineRule="exact"/>
        <w:rPr>
          <w:sz w:val="20"/>
          <w:szCs w:val="20"/>
          <w:color w:val="auto"/>
        </w:rPr>
      </w:pPr>
    </w:p>
    <w:p>
      <w:pPr>
        <w:ind w:left="1160" w:hanging="239"/>
        <w:spacing w:after="0"/>
        <w:tabs>
          <w:tab w:leader="none" w:pos="11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Guarantor is a limited liability company duly formed, validly existing and in good standing under the laws of the State of Delaware.</w:t>
      </w:r>
    </w:p>
    <w:p>
      <w:pPr>
        <w:spacing w:after="0" w:line="180" w:lineRule="exact"/>
        <w:rPr>
          <w:rFonts w:ascii="Arial" w:cs="Arial" w:eastAsia="Arial" w:hAnsi="Arial"/>
          <w:sz w:val="16"/>
          <w:szCs w:val="16"/>
          <w:color w:val="auto"/>
        </w:rPr>
      </w:pPr>
    </w:p>
    <w:p>
      <w:pPr>
        <w:ind w:right="80" w:firstLine="921"/>
        <w:spacing w:after="0" w:line="256" w:lineRule="auto"/>
        <w:tabs>
          <w:tab w:leader="none" w:pos="11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execution, delivery and performance by the Guarantor of this Guaranty, and the consummation of the transactions contemplated hereby, are within the Guarantor’s powers as a Delaware limited liability company, have been duly authorized by all necessary action on the part of the Guarantor’s Board of Directors, and do not contravene (i) the Guarantor’s limited liability company agreement or (ii) law or any contractual restriction binding on or affecting the Guarantor.</w:t>
      </w:r>
    </w:p>
    <w:p>
      <w:pPr>
        <w:spacing w:after="0" w:line="129" w:lineRule="exact"/>
        <w:rPr>
          <w:rFonts w:ascii="Arial" w:cs="Arial" w:eastAsia="Arial" w:hAnsi="Arial"/>
          <w:sz w:val="18"/>
          <w:szCs w:val="18"/>
          <w:color w:val="auto"/>
        </w:rPr>
      </w:pPr>
    </w:p>
    <w:p>
      <w:pPr>
        <w:ind w:right="120" w:firstLine="921"/>
        <w:spacing w:after="0" w:line="268" w:lineRule="auto"/>
        <w:tabs>
          <w:tab w:leader="none" w:pos="11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or regulatory body or any other third party is required for the due execution, delivery and performance by the Guarantor of this Guaranty.</w:t>
      </w:r>
    </w:p>
    <w:p>
      <w:pPr>
        <w:spacing w:after="0" w:line="118" w:lineRule="exact"/>
        <w:rPr>
          <w:rFonts w:ascii="Arial" w:cs="Arial" w:eastAsia="Arial" w:hAnsi="Arial"/>
          <w:sz w:val="18"/>
          <w:szCs w:val="18"/>
          <w:color w:val="auto"/>
        </w:rPr>
      </w:pPr>
    </w:p>
    <w:p>
      <w:pPr>
        <w:ind w:right="160" w:firstLine="921"/>
        <w:spacing w:after="0" w:line="268" w:lineRule="auto"/>
        <w:tabs>
          <w:tab w:leader="none" w:pos="11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Guaranty has been duly executed and delivered by the Guarantor. This Guaranty is the legal, valid and binding obligation of the Guarantor enforceable against the Guarantor in accordance with its terms.</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Guarantor is not an “investment company” within the meaning of the Investment Company Act of 1940, as amended.</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There are no conditions precedent to the effectiveness of this Guaranty that have not been satisfied or waived, including the completion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Restructuring.</w:t>
      </w:r>
    </w:p>
    <w:p>
      <w:pPr>
        <w:spacing w:after="0" w:line="15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Amendments</w:t>
      </w:r>
      <w:r>
        <w:rPr>
          <w:rFonts w:ascii="Arial" w:cs="Arial" w:eastAsia="Arial" w:hAnsi="Arial"/>
          <w:sz w:val="16"/>
          <w:szCs w:val="16"/>
          <w:color w:val="auto"/>
        </w:rPr>
        <w:t>. No amendment or waiver of any provision of this Guaranty and no consent to any departure by the Guarantor therefrom shall in any event be effective unless the same shall be in writing and signed by the Guarantor and Citibank, N.A., as Agent for the Lenders, and then such waiver or consent shall be effective only in the specific instance and for the specific purpose for which given.</w:t>
      </w:r>
    </w:p>
    <w:p>
      <w:pPr>
        <w:spacing w:after="0" w:line="9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Termination of Guaranty</w:t>
      </w:r>
      <w:r>
        <w:rPr>
          <w:rFonts w:ascii="Arial" w:cs="Arial" w:eastAsia="Arial" w:hAnsi="Arial"/>
          <w:sz w:val="16"/>
          <w:szCs w:val="16"/>
          <w:color w:val="auto"/>
        </w:rPr>
        <w:t>. Notwithstanding anything to the contrary herein, at such time as (i) the 5.50% Notes due February 15, 2009 issued by the Borrower pursuant to an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dated February 17, 1999, with the JPMorgan Chase Bank, N.A. (successor to The First National Bank of Chicago), as trustee, cease to be outstanding or are no longer entitled to the benefits of this Guaranty or of any similar guaranty and (ii) no other debt securities issued under the Indenture are outstanding which are entitled to the benefits of any guaranty similar to this Guaranty, this Guaranty shall be terminated without any further action on the part of the Guarantor or any Guaranteed Party.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0" w:name="page91"/>
    <w:bookmarkEnd w:id="90"/>
    <w:p>
      <w:pPr>
        <w:ind w:right="6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 </w:t>
      </w:r>
      <w:r>
        <w:rPr>
          <w:rFonts w:ascii="Arial" w:cs="Arial" w:eastAsia="Arial" w:hAnsi="Arial"/>
          <w:sz w:val="18"/>
          <w:szCs w:val="18"/>
          <w:u w:val="single" w:color="auto"/>
          <w:color w:val="auto"/>
        </w:rPr>
        <w:t>Notices, Etc</w:t>
      </w:r>
      <w:r>
        <w:rPr>
          <w:rFonts w:ascii="Arial" w:cs="Arial" w:eastAsia="Arial" w:hAnsi="Arial"/>
          <w:sz w:val="18"/>
          <w:szCs w:val="18"/>
          <w:color w:val="auto"/>
        </w:rPr>
        <w:t>. All notices and other communications provided for hereunder shall be in writing (including telegraphic or telecopy communication) and mailed, telegraphed, telecopied or delivered to it,</w:t>
      </w:r>
    </w:p>
    <w:p>
      <w:pPr>
        <w:spacing w:after="0" w:line="118" w:lineRule="exact"/>
        <w:rPr>
          <w:sz w:val="20"/>
          <w:szCs w:val="20"/>
          <w:color w:val="auto"/>
        </w:rPr>
      </w:pPr>
    </w:p>
    <w:p>
      <w:pPr>
        <w:ind w:left="1160" w:hanging="239"/>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to the Guarantor, addressed to it at 1150 15th Street, N.W., Washington, D.C. 20071, Attention: Treasurer,</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to the Agent or any Lender, at the address of the Agent at Two Penns Way, New Castle, Delaware 19720, Attention: Bank Loan Syndications,</w:t>
      </w:r>
    </w:p>
    <w:p>
      <w:pPr>
        <w:spacing w:after="0" w:line="18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or, as to any party, at such other address as shall be designated by such party in a written notice to each other party. All such notices and other communications shall, when mailed, telegraphed, telecopied, be effective when deposited in the mails, delivered to the telegraph company or transmitted by telecopier, respectively. Delivery by telecopier of an executed counterpart of a signature page to any amendment or waiver of any provision of this Guaranty to be executed and delivered hereunder shall be effective as delivery of an original executed counterpart thereof.</w:t>
      </w:r>
    </w:p>
    <w:p>
      <w:pPr>
        <w:spacing w:after="0" w:line="99"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Guaranteed Party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93"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Costs and Expenses</w:t>
      </w:r>
      <w:r>
        <w:rPr>
          <w:rFonts w:ascii="Arial" w:cs="Arial" w:eastAsia="Arial" w:hAnsi="Arial"/>
          <w:sz w:val="18"/>
          <w:szCs w:val="18"/>
          <w:color w:val="auto"/>
        </w:rPr>
        <w:t>. (a) The Guarantor agrees to pay on demand all reasonable out-of-pocket costs and expenses of any Guaranteed Party, if any (including, without limitation, reasonable counsel fees and expenses) in connection with the enforcement (whether through negotiations, legal proceedings or otherwise) of this Guaranty, including, without limitation, reasonable fees and expenses of counsel for any such Guaranteed Party in connection with the enforcement of rights under this Section 11.</w:t>
      </w:r>
    </w:p>
    <w:p>
      <w:pPr>
        <w:spacing w:after="0" w:line="130" w:lineRule="exact"/>
        <w:rPr>
          <w:sz w:val="20"/>
          <w:szCs w:val="20"/>
          <w:color w:val="auto"/>
        </w:rPr>
      </w:pPr>
    </w:p>
    <w:p>
      <w:pPr>
        <w:ind w:right="60" w:firstLine="921"/>
        <w:spacing w:after="0" w:line="259"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Without prejudice to the survival of any of the other agreements of the Guarantor under this Guaranty, the agreements and obligations of the Guarantor contained in the last sentence of Section 2, Section 5 and this Section 11 shall survive the payment in full of the Guaranteed Obligations and all of the other amounts payable under this Guaranty.</w:t>
      </w:r>
    </w:p>
    <w:p>
      <w:pPr>
        <w:spacing w:after="0" w:line="127"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Continuing Guaranty; Assignments under the Credit Agreement</w:t>
      </w:r>
      <w:r>
        <w:rPr>
          <w:rFonts w:ascii="Arial" w:cs="Arial" w:eastAsia="Arial" w:hAnsi="Arial"/>
          <w:sz w:val="15"/>
          <w:szCs w:val="15"/>
          <w:color w:val="auto"/>
        </w:rPr>
        <w:t>. This Guaranty is a continuing guaranty and shall (a) except as provided in Section 8 above, remain in full force and effect until the later of (i) the payment in full in cash of the Guaranteed Obligations and all other amounts payable under this Guaranty arising under or in respect of the Credit Agreement and (ii) the termination or expiration of the Credit Agreement, (b) be binding upon the Guarantor, its successors and assigns and (c) inure to the benefit of and be enforceable by the Guaranteed Parties and their successors, transferees and assigns. Without limiting the generality of clause (c) of the immediately preceding sentence, any Lender may assign or otherwise transfer all or any portion of its rights and obligations under the Credit Agreement (including, without limitation, all or any portion of its commitment, the advances owing to it and the note or notes held by it) to any other Person, and such other Person shall thereupon become vested with all the benefits in respect thereof granted to such Guaranteed Party herein. The Guarantor shall not have the right to assign its rights hereunder or any interest herein without the prior written consent of the Guaranteed Parties.</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91" w:name="page92"/>
    <w:bookmarkEnd w:id="91"/>
    <w:p>
      <w:pPr>
        <w:ind w:right="2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13. </w:t>
      </w:r>
      <w:r>
        <w:rPr>
          <w:rFonts w:ascii="Arial" w:cs="Arial" w:eastAsia="Arial" w:hAnsi="Arial"/>
          <w:sz w:val="18"/>
          <w:szCs w:val="18"/>
          <w:u w:val="single" w:color="auto"/>
          <w:color w:val="auto"/>
        </w:rPr>
        <w:t>Governing Law; Jurisdiction; Waiver of Jury Trial, Etc</w:t>
      </w:r>
      <w:r>
        <w:rPr>
          <w:rFonts w:ascii="Arial" w:cs="Arial" w:eastAsia="Arial" w:hAnsi="Arial"/>
          <w:sz w:val="18"/>
          <w:szCs w:val="18"/>
          <w:color w:val="auto"/>
        </w:rPr>
        <w:t>.(a) This Guaranty shall be governed by, and construed in accordance with, the laws of the State of New York.</w:t>
      </w:r>
    </w:p>
    <w:p>
      <w:pPr>
        <w:spacing w:after="0" w:line="118" w:lineRule="exact"/>
        <w:rPr>
          <w:sz w:val="20"/>
          <w:szCs w:val="20"/>
          <w:color w:val="auto"/>
        </w:rPr>
      </w:pPr>
    </w:p>
    <w:p>
      <w:pPr>
        <w:ind w:firstLine="921"/>
        <w:spacing w:after="0" w:line="290" w:lineRule="auto"/>
        <w:tabs>
          <w:tab w:leader="none" w:pos="116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Guarantor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Guaranty, or for recognition or enforcement of any judgment, and the Guarantor hereby irrevocably and unconditionally agrees that all claims in respect of any such action or proceeding may be heard and determined in any such New York State court or, to the extent permitted by law, in such federal court. The Guarantor agrees that a final judgment in any such action or proceeding shall be conclusive and may be enforced in other jurisdictions by suit on the judgment or in any other manner provided by law. Nothing in this Guaranty shall affect any right that any party may otherwise have to bring any action or proceeding relating to this Guaranty in the courts of any jurisdiction.</w:t>
      </w:r>
    </w:p>
    <w:p>
      <w:pPr>
        <w:spacing w:after="0" w:line="104" w:lineRule="exact"/>
        <w:rPr>
          <w:rFonts w:ascii="Arial" w:cs="Arial" w:eastAsia="Arial" w:hAnsi="Arial"/>
          <w:sz w:val="16"/>
          <w:szCs w:val="16"/>
          <w:color w:val="auto"/>
        </w:rPr>
      </w:pPr>
    </w:p>
    <w:p>
      <w:pPr>
        <w:ind w:right="60" w:firstLine="921"/>
        <w:spacing w:after="0" w:line="256" w:lineRule="auto"/>
        <w:tabs>
          <w:tab w:leader="none" w:pos="11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Guarantor irrevocably and unconditionally waives, to the fullest extent it may legally and effectively do so, any objection that it may now or hereafter have to the laying of venue of any suit, action or proceeding arising out of or relating to this Guaranty in any New York State or federal court. The Guarantor hereby irrevocably waives, to the fullest extent permitted by law, the defense of an inconvenient forum to the maintenance of such suit, action or proceeding in any such court.</w:t>
      </w:r>
    </w:p>
    <w:p>
      <w:pPr>
        <w:spacing w:after="0" w:line="129" w:lineRule="exact"/>
        <w:rPr>
          <w:rFonts w:ascii="Arial" w:cs="Arial" w:eastAsia="Arial" w:hAnsi="Arial"/>
          <w:sz w:val="18"/>
          <w:szCs w:val="18"/>
          <w:color w:val="auto"/>
        </w:rPr>
      </w:pPr>
    </w:p>
    <w:p>
      <w:pPr>
        <w:ind w:right="180" w:firstLine="921"/>
        <w:spacing w:after="0" w:line="306" w:lineRule="auto"/>
        <w:tabs>
          <w:tab w:leader="none" w:pos="116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GUARANTOR HEREBY IRREVOCABLY WAIVES ALL RIGHT TO TRIAL BY JURY IN ANY ACTION, PROCEEDING OR COUNTERCLAIM (WHETHER BASED ON CONTRACT, TORT OR OTHERWISE) ARISING OUT OF OR RELATING TO THIS GUARANTY OR THE ACTIONS OF ANY GUARANTEED PARTY IN THE NEGOTIATION, ADMINISTRATION, PERFORMANCE OR ENFORCEMENT HEREOF.</w:t>
      </w:r>
    </w:p>
    <w:p>
      <w:pPr>
        <w:spacing w:after="0" w:line="93"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IN WITNESS WHEREOF, the Guarantor has caused this Guaranty to be duly executed and delivered by its officer thereunto duly authorized as of the date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WP COMPANY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lowerLetter"/>
      <w:start w:val="1"/>
    </w:lvl>
  </w:abstractNum>
  <w:abstractNum w:abstractNumId="2">
    <w:nsid w:val="2A487CB0"/>
    <w:multiLevelType w:val="hybridMultilevel"/>
    <w:lvl w:ilvl="0">
      <w:lvlJc w:val="left"/>
      <w:lvlText w:val="(%1)"/>
      <w:numFmt w:val="lowerRoman"/>
      <w:start w:val="2"/>
    </w:lvl>
  </w:abstractNum>
  <w:abstractNum w:abstractNumId="3">
    <w:nsid w:val="1D4ED43B"/>
    <w:multiLevelType w:val="hybridMultilevel"/>
    <w:lvl w:ilvl="0">
      <w:lvlJc w:val="left"/>
      <w:lvlText w:val="(%1)"/>
      <w:numFmt w:val="lowerLetter"/>
      <w:start w:val="8"/>
    </w:lvl>
  </w:abstractNum>
  <w:abstractNum w:abstractNumId="4">
    <w:nsid w:val="725A06FB"/>
    <w:multiLevelType w:val="hybridMultilevel"/>
    <w:lvl w:ilvl="0">
      <w:lvlJc w:val="left"/>
      <w:lvlText w:val="(%1)"/>
      <w:numFmt w:val="lowerRoman"/>
      <w:start w:val="1"/>
    </w:lvl>
  </w:abstractNum>
  <w:abstractNum w:abstractNumId="5">
    <w:nsid w:val="2CD89A32"/>
    <w:multiLevelType w:val="hybridMultilevel"/>
    <w:lvl w:ilvl="0">
      <w:lvlJc w:val="left"/>
      <w:lvlText w:val="(%1)"/>
      <w:numFmt w:val="lowerRoman"/>
      <w:start w:val="3"/>
    </w:lvl>
  </w:abstractNum>
  <w:abstractNum w:abstractNumId="6">
    <w:nsid w:val="57E4CCAF"/>
    <w:multiLevelType w:val="hybridMultilevel"/>
    <w:lvl w:ilvl="0">
      <w:lvlJc w:val="left"/>
      <w:lvlText w:val="(%1)"/>
      <w:numFmt w:val="lowerLetter"/>
      <w:start w:val="1"/>
    </w:lvl>
  </w:abstractNum>
  <w:abstractNum w:abstractNumId="7">
    <w:nsid w:val="7A6D8D3C"/>
    <w:multiLevelType w:val="hybridMultilevel"/>
    <w:lvl w:ilvl="0">
      <w:lvlJc w:val="left"/>
      <w:lvlText w:val="(%1)"/>
      <w:numFmt w:val="lowerLetter"/>
      <w:start w:val="3"/>
    </w:lvl>
  </w:abstractNum>
  <w:abstractNum w:abstractNumId="8">
    <w:nsid w:val="4B588F54"/>
    <w:multiLevelType w:val="hybridMultilevel"/>
    <w:lvl w:ilvl="0">
      <w:lvlJc w:val="left"/>
      <w:lvlText w:val="(%1)"/>
      <w:numFmt w:val="lowerLetter"/>
      <w:start w:val="2"/>
    </w:lvl>
  </w:abstractNum>
  <w:abstractNum w:abstractNumId="9">
    <w:nsid w:val="542289EC"/>
    <w:multiLevelType w:val="hybridMultilevel"/>
    <w:lvl w:ilvl="0">
      <w:lvlJc w:val="left"/>
      <w:lvlText w:val="(%1)"/>
      <w:numFmt w:val="lowerLetter"/>
      <w:start w:val="4"/>
    </w:lvl>
  </w:abstractNum>
  <w:abstractNum w:abstractNumId="10">
    <w:nsid w:val="6DE91B18"/>
    <w:multiLevelType w:val="hybridMultilevel"/>
    <w:lvl w:ilvl="0">
      <w:lvlJc w:val="left"/>
      <w:lvlText w:val="%1"/>
      <w:numFmt w:val="lowerLetter"/>
      <w:start w:val="1"/>
    </w:lvl>
    <w:lvl w:ilvl="1">
      <w:lvlJc w:val="left"/>
      <w:lvlText w:val="(%2)"/>
      <w:numFmt w:val="lowerLetter"/>
      <w:start w:val="9"/>
    </w:lvl>
  </w:abstractNum>
  <w:abstractNum w:abstractNumId="11">
    <w:nsid w:val="38437FDB"/>
    <w:multiLevelType w:val="hybridMultilevel"/>
    <w:lvl w:ilvl="0">
      <w:lvlJc w:val="left"/>
      <w:lvlText w:val="(%1)"/>
      <w:numFmt w:val="lowerLetter"/>
      <w:start w:val="21"/>
    </w:lvl>
    <w:lvl w:ilvl="1">
      <w:lvlJc w:val="left"/>
      <w:lvlText w:val="%2"/>
      <w:numFmt w:val="lowerLetter"/>
      <w:start w:val="1"/>
    </w:lvl>
  </w:abstractNum>
  <w:abstractNum w:abstractNumId="12">
    <w:nsid w:val="7644A45C"/>
    <w:multiLevelType w:val="hybridMultilevel"/>
    <w:lvl w:ilvl="0">
      <w:lvlJc w:val="left"/>
      <w:lvlText w:val="(%1)"/>
      <w:numFmt w:val="lowerRoman"/>
      <w:start w:val="2"/>
    </w:lvl>
    <w:lvl w:ilvl="1">
      <w:lvlJc w:val="left"/>
      <w:lvlText w:val="(%2)"/>
      <w:numFmt w:val="lowerLetter"/>
      <w:start w:val="24"/>
    </w:lvl>
  </w:abstractNum>
  <w:abstractNum w:abstractNumId="13">
    <w:nsid w:val="32FFF902"/>
    <w:multiLevelType w:val="hybridMultilevel"/>
    <w:lvl w:ilvl="0">
      <w:lvlJc w:val="left"/>
      <w:lvlText w:val="(%1)"/>
      <w:numFmt w:val="lowerRoman"/>
      <w:start w:val="4"/>
    </w:lvl>
  </w:abstractNum>
  <w:abstractNum w:abstractNumId="14">
    <w:nsid w:val="684A481A"/>
    <w:multiLevelType w:val="hybridMultilevel"/>
    <w:lvl w:ilvl="0">
      <w:lvlJc w:val="left"/>
      <w:lvlText w:val="(%1)"/>
      <w:numFmt w:val="lowerLetter"/>
      <w:start w:val="2"/>
    </w:lvl>
  </w:abstractNum>
  <w:abstractNum w:abstractNumId="15">
    <w:nsid w:val="579478FE"/>
    <w:multiLevelType w:val="hybridMultilevel"/>
    <w:lvl w:ilvl="0">
      <w:lvlJc w:val="left"/>
      <w:lvlText w:val="(%1)"/>
      <w:numFmt w:val="lowerLetter"/>
      <w:start w:val="35"/>
    </w:lvl>
    <w:lvl w:ilvl="1">
      <w:lvlJc w:val="left"/>
      <w:lvlText w:val="%2"/>
      <w:numFmt w:val="lowerLetter"/>
      <w:start w:val="1"/>
    </w:lvl>
  </w:abstractNum>
  <w:abstractNum w:abstractNumId="16">
    <w:nsid w:val="749ABB43"/>
    <w:multiLevelType w:val="hybridMultilevel"/>
    <w:lvl w:ilvl="0">
      <w:lvlJc w:val="left"/>
      <w:lvlText w:val="(%1)"/>
      <w:numFmt w:val="lowerLetter"/>
      <w:start w:val="2"/>
    </w:lvl>
    <w:lvl w:ilvl="1">
      <w:lvlJc w:val="left"/>
      <w:lvlText w:val="%2"/>
      <w:numFmt w:val="lowerLetter"/>
      <w:start w:val="1"/>
    </w:lvl>
  </w:abstractNum>
  <w:abstractNum w:abstractNumId="17">
    <w:nsid w:val="3DC240FB"/>
    <w:multiLevelType w:val="hybridMultilevel"/>
    <w:lvl w:ilvl="0">
      <w:lvlJc w:val="left"/>
      <w:lvlText w:val="%1"/>
      <w:numFmt w:val="decimal"/>
      <w:start w:val="1"/>
    </w:lvl>
    <w:lvl w:ilvl="1">
      <w:lvlJc w:val="left"/>
      <w:lvlText w:val="(%2)"/>
      <w:numFmt w:val="lowerLetter"/>
      <w:start w:val="24"/>
    </w:lvl>
  </w:abstractNum>
  <w:abstractNum w:abstractNumId="18">
    <w:nsid w:val="1BA026FA"/>
    <w:multiLevelType w:val="hybridMultilevel"/>
    <w:lvl w:ilvl="0">
      <w:lvlJc w:val="left"/>
      <w:lvlText w:val="(%1)"/>
      <w:numFmt w:val="decimal"/>
      <w:start w:val="2"/>
    </w:lvl>
    <w:lvl w:ilvl="1">
      <w:lvlJc w:val="left"/>
      <w:lvlText w:val="(%2)"/>
      <w:numFmt w:val="lowerLetter"/>
      <w:start w:val="25"/>
    </w:lvl>
  </w:abstractNum>
  <w:abstractNum w:abstractNumId="19">
    <w:nsid w:val="79A1DEAA"/>
    <w:multiLevelType w:val="hybridMultilevel"/>
    <w:lvl w:ilvl="0">
      <w:lvlJc w:val="left"/>
      <w:lvlText w:val="(%1)"/>
      <w:numFmt w:val="lowerRoman"/>
      <w:start w:val="2"/>
    </w:lvl>
  </w:abstractNum>
  <w:abstractNum w:abstractNumId="20">
    <w:nsid w:val="75C6C33A"/>
    <w:multiLevelType w:val="hybridMultilevel"/>
    <w:lvl w:ilvl="0">
      <w:lvlJc w:val="left"/>
      <w:lvlText w:val="(%1)"/>
      <w:numFmt w:val="lowerRoman"/>
      <w:start w:val="3"/>
    </w:lvl>
  </w:abstractNum>
  <w:abstractNum w:abstractNumId="21">
    <w:nsid w:val="12E685FB"/>
    <w:multiLevelType w:val="hybridMultilevel"/>
    <w:lvl w:ilvl="0">
      <w:lvlJc w:val="left"/>
      <w:lvlText w:val="(%1)"/>
      <w:numFmt w:val="lowerRoman"/>
      <w:start w:val="1"/>
    </w:lvl>
    <w:lvl w:ilvl="1">
      <w:lvlJc w:val="left"/>
      <w:lvlText w:val="(%2)"/>
      <w:numFmt w:val="lowerLetter"/>
      <w:start w:val="2"/>
    </w:lvl>
  </w:abstractNum>
  <w:abstractNum w:abstractNumId="22">
    <w:nsid w:val="70C6A529"/>
    <w:multiLevelType w:val="hybridMultilevel"/>
    <w:lvl w:ilvl="0">
      <w:lvlJc w:val="left"/>
      <w:lvlText w:val="(%1)"/>
      <w:numFmt w:val="lowerLetter"/>
      <w:start w:val="2"/>
    </w:lvl>
  </w:abstractNum>
  <w:abstractNum w:abstractNumId="23">
    <w:nsid w:val="520EEDD1"/>
    <w:multiLevelType w:val="hybridMultilevel"/>
    <w:lvl w:ilvl="0">
      <w:lvlJc w:val="left"/>
      <w:lvlText w:val="%1"/>
      <w:numFmt w:val="lowerRoman"/>
      <w:start w:val="1"/>
    </w:lvl>
    <w:lvl w:ilvl="1">
      <w:lvlJc w:val="left"/>
      <w:lvlText w:val="(%2)"/>
      <w:numFmt w:val="lowerLetter"/>
      <w:start w:val="3"/>
    </w:lvl>
  </w:abstractNum>
  <w:abstractNum w:abstractNumId="24">
    <w:nsid w:val="374A3FE6"/>
    <w:multiLevelType w:val="hybridMultilevel"/>
    <w:lvl w:ilvl="0">
      <w:lvlJc w:val="left"/>
      <w:lvlText w:val="(%1)"/>
      <w:numFmt w:val="lowerRoman"/>
      <w:start w:val="1"/>
    </w:lvl>
    <w:lvl w:ilvl="1">
      <w:lvlJc w:val="left"/>
      <w:lvlText w:val="%2"/>
      <w:numFmt w:val="lowerLetter"/>
      <w:start w:val="1"/>
    </w:lvl>
  </w:abstractNum>
  <w:abstractNum w:abstractNumId="25">
    <w:nsid w:val="4F4EF005"/>
    <w:multiLevelType w:val="hybridMultilevel"/>
    <w:lvl w:ilvl="0">
      <w:lvlJc w:val="left"/>
      <w:lvlText w:val="(%1)"/>
      <w:numFmt w:val="lowerLetter"/>
      <w:start w:val="2"/>
    </w:lvl>
  </w:abstractNum>
  <w:abstractNum w:abstractNumId="26">
    <w:nsid w:val="23F9C13C"/>
    <w:multiLevelType w:val="hybridMultilevel"/>
    <w:lvl w:ilvl="0">
      <w:lvlJc w:val="left"/>
      <w:lvlText w:val="(%1)"/>
      <w:numFmt w:val="lowerLetter"/>
      <w:start w:val="3"/>
    </w:lvl>
  </w:abstractNum>
  <w:abstractNum w:abstractNumId="27">
    <w:nsid w:val="649BB77C"/>
    <w:multiLevelType w:val="hybridMultilevel"/>
    <w:lvl w:ilvl="0">
      <w:lvlJc w:val="left"/>
      <w:lvlText w:val="(%1)"/>
      <w:numFmt w:val="lowerLetter"/>
      <w:start w:val="2"/>
    </w:lvl>
  </w:abstractNum>
  <w:abstractNum w:abstractNumId="28">
    <w:nsid w:val="275AC794"/>
    <w:multiLevelType w:val="hybridMultilevel"/>
    <w:lvl w:ilvl="0">
      <w:lvlJc w:val="left"/>
      <w:lvlText w:val="(%1)"/>
      <w:numFmt w:val="lowerLetter"/>
      <w:start w:val="2"/>
    </w:lvl>
  </w:abstractNum>
  <w:abstractNum w:abstractNumId="29">
    <w:nsid w:val="39386575"/>
    <w:multiLevelType w:val="hybridMultilevel"/>
    <w:lvl w:ilvl="0">
      <w:lvlJc w:val="left"/>
      <w:lvlText w:val="(%1)"/>
      <w:numFmt w:val="lowerLetter"/>
      <w:start w:val="3"/>
    </w:lvl>
  </w:abstractNum>
  <w:abstractNum w:abstractNumId="30">
    <w:nsid w:val="1CF10FD8"/>
    <w:multiLevelType w:val="hybridMultilevel"/>
    <w:lvl w:ilvl="0">
      <w:lvlJc w:val="left"/>
      <w:lvlText w:val="(%1)"/>
      <w:numFmt w:val="lowerLetter"/>
      <w:start w:val="2"/>
    </w:lvl>
  </w:abstractNum>
  <w:abstractNum w:abstractNumId="31">
    <w:nsid w:val="180115BE"/>
    <w:multiLevelType w:val="hybridMultilevel"/>
    <w:lvl w:ilvl="0">
      <w:lvlJc w:val="left"/>
      <w:lvlText w:val="(%1)"/>
      <w:numFmt w:val="lowerLetter"/>
      <w:start w:val="6"/>
    </w:lvl>
  </w:abstractNum>
  <w:abstractNum w:abstractNumId="32">
    <w:nsid w:val="235BA861"/>
    <w:multiLevelType w:val="hybridMultilevel"/>
    <w:lvl w:ilvl="0">
      <w:lvlJc w:val="left"/>
      <w:lvlText w:val="%1"/>
      <w:numFmt w:val="lowerLetter"/>
      <w:start w:val="1"/>
    </w:lvl>
    <w:lvl w:ilvl="1">
      <w:lvlJc w:val="left"/>
      <w:lvlText w:val="(%2)"/>
      <w:numFmt w:val="lowerLetter"/>
      <w:start w:val="2"/>
    </w:lvl>
  </w:abstractNum>
  <w:abstractNum w:abstractNumId="33">
    <w:nsid w:val="47398C89"/>
    <w:multiLevelType w:val="hybridMultilevel"/>
    <w:lvl w:ilvl="0">
      <w:lvlJc w:val="left"/>
      <w:lvlText w:val="(%1)"/>
      <w:numFmt w:val="lowerLetter"/>
      <w:start w:val="9"/>
    </w:lvl>
    <w:lvl w:ilvl="1">
      <w:lvlJc w:val="left"/>
      <w:lvlText w:val="%2"/>
      <w:numFmt w:val="lowerLetter"/>
      <w:start w:val="1"/>
    </w:lvl>
  </w:abstractNum>
  <w:abstractNum w:abstractNumId="34">
    <w:nsid w:val="354FE9F9"/>
    <w:multiLevelType w:val="hybridMultilevel"/>
    <w:lvl w:ilvl="0">
      <w:lvlJc w:val="left"/>
      <w:lvlText w:val="(%1)"/>
      <w:numFmt w:val="lowerRoman"/>
      <w:start w:val="2"/>
    </w:lvl>
  </w:abstractNum>
  <w:abstractNum w:abstractNumId="35">
    <w:nsid w:val="15B5AF5C"/>
    <w:multiLevelType w:val="hybridMultilevel"/>
    <w:lvl w:ilvl="0">
      <w:lvlJc w:val="left"/>
      <w:lvlText w:val="(%1)"/>
      <w:numFmt w:val="lowerLetter"/>
      <w:start w:val="4"/>
    </w:lvl>
  </w:abstractNum>
  <w:abstractNum w:abstractNumId="36">
    <w:nsid w:val="741226BB"/>
    <w:multiLevelType w:val="hybridMultilevel"/>
    <w:lvl w:ilvl="0">
      <w:lvlJc w:val="left"/>
      <w:lvlText w:val="(%1)"/>
      <w:numFmt w:val="lowerLetter"/>
      <w:start w:val="1"/>
    </w:lvl>
    <w:lvl w:ilvl="1">
      <w:lvlJc w:val="left"/>
      <w:lvlText w:val="(%2)"/>
      <w:numFmt w:val="lowerRoman"/>
      <w:start w:val="1"/>
    </w:lvl>
  </w:abstractNum>
  <w:abstractNum w:abstractNumId="37">
    <w:nsid w:val="D34B6A8"/>
    <w:multiLevelType w:val="hybridMultilevel"/>
    <w:lvl w:ilvl="0">
      <w:lvlJc w:val="left"/>
      <w:lvlText w:val="(%1)"/>
      <w:numFmt w:val="lowerRoman"/>
      <w:start w:val="5"/>
    </w:lvl>
  </w:abstractNum>
  <w:abstractNum w:abstractNumId="38">
    <w:nsid w:val="10233C99"/>
    <w:multiLevelType w:val="hybridMultilevel"/>
    <w:lvl w:ilvl="0">
      <w:lvlJc w:val="left"/>
      <w:lvlText w:val="%1"/>
      <w:numFmt w:val="lowerLetter"/>
      <w:start w:val="1"/>
    </w:lvl>
    <w:lvl w:ilvl="1">
      <w:lvlJc w:val="left"/>
      <w:lvlText w:val="(%2)"/>
      <w:numFmt w:val="lowerRoman"/>
      <w:start w:val="6"/>
    </w:lvl>
  </w:abstractNum>
  <w:abstractNum w:abstractNumId="39">
    <w:nsid w:val="3F6AB60F"/>
    <w:multiLevelType w:val="hybridMultilevel"/>
    <w:lvl w:ilvl="0">
      <w:lvlJc w:val="left"/>
      <w:lvlText w:val="(%1)"/>
      <w:numFmt w:val="lowerLetter"/>
      <w:start w:val="4"/>
    </w:lvl>
    <w:lvl w:ilvl="1">
      <w:lvlJc w:val="left"/>
      <w:lvlText w:val="%2"/>
      <w:numFmt w:val="lowerRoman"/>
      <w:start w:val="1"/>
    </w:lvl>
  </w:abstractNum>
  <w:abstractNum w:abstractNumId="40">
    <w:nsid w:val="61574095"/>
    <w:multiLevelType w:val="hybridMultilevel"/>
    <w:lvl w:ilvl="0">
      <w:lvlJc w:val="left"/>
      <w:lvlText w:val="(%1)"/>
      <w:numFmt w:val="lowerLetter"/>
      <w:start w:val="1"/>
    </w:lvl>
  </w:abstractNum>
  <w:abstractNum w:abstractNumId="41">
    <w:nsid w:val="7E0C57B1"/>
    <w:multiLevelType w:val="hybridMultilevel"/>
    <w:lvl w:ilvl="0">
      <w:lvlJc w:val="left"/>
      <w:lvlText w:val="(%1)"/>
      <w:numFmt w:val="lowerLetter"/>
      <w:start w:val="1"/>
    </w:lvl>
  </w:abstractNum>
  <w:abstractNum w:abstractNumId="42">
    <w:nsid w:val="77AE35EB"/>
    <w:multiLevelType w:val="hybridMultilevel"/>
    <w:lvl w:ilvl="0">
      <w:lvlJc w:val="left"/>
      <w:lvlText w:val="(%1)"/>
      <w:numFmt w:val="lowerLetter"/>
      <w:start w:val="1"/>
    </w:lvl>
  </w:abstractNum>
  <w:abstractNum w:abstractNumId="43">
    <w:nsid w:val="579BE4F1"/>
    <w:multiLevelType w:val="hybridMultilevel"/>
    <w:lvl w:ilvl="0">
      <w:lvlJc w:val="left"/>
      <w:lvlText w:val="(%1)"/>
      <w:numFmt w:val="lowerLetter"/>
      <w:start w:val="4"/>
    </w:lvl>
  </w:abstractNum>
  <w:abstractNum w:abstractNumId="44">
    <w:nsid w:val="310C50B3"/>
    <w:multiLevelType w:val="hybridMultilevel"/>
    <w:lvl w:ilvl="0">
      <w:lvlJc w:val="left"/>
      <w:lvlText w:val="(%1)"/>
      <w:numFmt w:val="lowerLetter"/>
      <w:start w:val="1"/>
    </w:lvl>
  </w:abstractNum>
  <w:abstractNum w:abstractNumId="45">
    <w:nsid w:val="5FF87E05"/>
    <w:multiLevelType w:val="hybridMultilevel"/>
    <w:lvl w:ilvl="0">
      <w:lvlJc w:val="left"/>
      <w:lvlText w:val="(%1)"/>
      <w:numFmt w:val="lowerLetter"/>
      <w:start w:val="6"/>
    </w:lvl>
    <w:lvl w:ilvl="1">
      <w:lvlJc w:val="left"/>
      <w:lvlText w:val="(%2)"/>
      <w:numFmt w:val="lowerRoman"/>
      <w:start w:val="1"/>
    </w:lvl>
  </w:abstractNum>
  <w:abstractNum w:abstractNumId="46">
    <w:nsid w:val="2F305DEF"/>
    <w:multiLevelType w:val="hybridMultilevel"/>
    <w:lvl w:ilvl="0">
      <w:lvlJc w:val="left"/>
      <w:lvlText w:val="(%1)"/>
      <w:numFmt w:val="lowerRoman"/>
      <w:start w:val="3"/>
    </w:lvl>
  </w:abstractNum>
  <w:abstractNum w:abstractNumId="47">
    <w:nsid w:val="25A70BF7"/>
    <w:multiLevelType w:val="hybridMultilevel"/>
    <w:lvl w:ilvl="0">
      <w:lvlJc w:val="left"/>
      <w:lvlText w:val="(%1)"/>
      <w:numFmt w:val="lowerLetter"/>
      <w:start w:val="1"/>
    </w:lvl>
    <w:lvl w:ilvl="1">
      <w:lvlJc w:val="left"/>
      <w:lvlText w:val="(%2)"/>
      <w:numFmt w:val="lowerRoman"/>
      <w:start w:val="1"/>
    </w:lvl>
  </w:abstractNum>
  <w:abstractNum w:abstractNumId="48">
    <w:nsid w:val="1DBABF00"/>
    <w:multiLevelType w:val="hybridMultilevel"/>
    <w:lvl w:ilvl="0">
      <w:lvlJc w:val="left"/>
      <w:lvlText w:val="%1"/>
      <w:numFmt w:val="lowerLetter"/>
      <w:start w:val="1"/>
    </w:lvl>
    <w:lvl w:ilvl="1">
      <w:lvlJc w:val="left"/>
      <w:lvlText w:val="(%2)"/>
      <w:numFmt w:val="lowerRoman"/>
      <w:start w:val="3"/>
    </w:lvl>
  </w:abstractNum>
  <w:abstractNum w:abstractNumId="49">
    <w:nsid w:val="4AD084E9"/>
    <w:multiLevelType w:val="hybridMultilevel"/>
    <w:lvl w:ilvl="0">
      <w:lvlJc w:val="left"/>
      <w:lvlText w:val="(%1)"/>
      <w:numFmt w:val="lowerLetter"/>
      <w:start w:val="2"/>
    </w:lvl>
    <w:lvl w:ilvl="1">
      <w:lvlJc w:val="left"/>
      <w:lvlText w:val="%2"/>
      <w:numFmt w:val="lowerRoman"/>
      <w:start w:val="1"/>
    </w:lvl>
  </w:abstractNum>
  <w:abstractNum w:abstractNumId="50">
    <w:nsid w:val="1F48EAA1"/>
    <w:multiLevelType w:val="hybridMultilevel"/>
    <w:lvl w:ilvl="0">
      <w:lvlJc w:val="left"/>
      <w:lvlText w:val="(%1)"/>
      <w:numFmt w:val="lowerLetter"/>
      <w:start w:val="1"/>
    </w:lvl>
  </w:abstractNum>
  <w:abstractNum w:abstractNumId="51">
    <w:nsid w:val="1381823A"/>
    <w:multiLevelType w:val="hybridMultilevel"/>
    <w:lvl w:ilvl="0">
      <w:lvlJc w:val="left"/>
      <w:lvlText w:val="(%1)"/>
      <w:numFmt w:val="lowerLetter"/>
      <w:start w:val="2"/>
    </w:lvl>
  </w:abstractNum>
  <w:abstractNum w:abstractNumId="52">
    <w:nsid w:val="5DB70AE5"/>
    <w:multiLevelType w:val="hybridMultilevel"/>
    <w:lvl w:ilvl="0">
      <w:lvlJc w:val="left"/>
      <w:lvlText w:val="(%1)"/>
      <w:numFmt w:val="lowerLetter"/>
      <w:start w:val="7"/>
    </w:lvl>
  </w:abstractNum>
  <w:abstractNum w:abstractNumId="53">
    <w:nsid w:val="100F8FCA"/>
    <w:multiLevelType w:val="hybridMultilevel"/>
    <w:lvl w:ilvl="0">
      <w:lvlJc w:val="left"/>
      <w:lvlText w:val="(%1)"/>
      <w:numFmt w:val="lowerLetter"/>
      <w:start w:val="5"/>
    </w:lvl>
  </w:abstractNum>
  <w:abstractNum w:abstractNumId="54">
    <w:nsid w:val="6590700B"/>
    <w:multiLevelType w:val="hybridMultilevel"/>
    <w:lvl w:ilvl="0">
      <w:lvlJc w:val="left"/>
      <w:lvlText w:val="(%1)"/>
      <w:numFmt w:val="lowerLetter"/>
      <w:start w:val="2"/>
    </w:lvl>
  </w:abstractNum>
  <w:abstractNum w:abstractNumId="55">
    <w:nsid w:val="15014ACB"/>
    <w:multiLevelType w:val="hybridMultilevel"/>
    <w:lvl w:ilvl="0">
      <w:lvlJc w:val="left"/>
      <w:lvlText w:val="(%1)"/>
      <w:numFmt w:val="lowerLetter"/>
      <w:start w:val="3"/>
    </w:lvl>
  </w:abstractNum>
  <w:abstractNum w:abstractNumId="56">
    <w:nsid w:val="5F5E7FD0"/>
    <w:multiLevelType w:val="hybridMultilevel"/>
    <w:lvl w:ilvl="0">
      <w:lvlJc w:val="left"/>
      <w:lvlText w:val="(%1)"/>
      <w:numFmt w:val="lowerLetter"/>
      <w:start w:val="2"/>
    </w:lvl>
  </w:abstractNum>
  <w:abstractNum w:abstractNumId="57">
    <w:nsid w:val="98A3148"/>
    <w:multiLevelType w:val="hybridMultilevel"/>
    <w:lvl w:ilvl="0">
      <w:lvlJc w:val="left"/>
      <w:lvlText w:val="(%1)"/>
      <w:numFmt w:val="lowerLetter"/>
      <w:start w:val="2"/>
    </w:lvl>
  </w:abstractNum>
  <w:abstractNum w:abstractNumId="58">
    <w:nsid w:val="799D0247"/>
    <w:multiLevelType w:val="hybridMultilevel"/>
    <w:lvl w:ilvl="0">
      <w:lvlJc w:val="left"/>
      <w:lvlText w:val="(%1)"/>
      <w:numFmt w:val="lowerLetter"/>
      <w:start w:val="4"/>
    </w:lvl>
  </w:abstractNum>
  <w:abstractNum w:abstractNumId="59">
    <w:nsid w:val="6B94764"/>
    <w:multiLevelType w:val="hybridMultilevel"/>
    <w:lvl w:ilvl="0">
      <w:lvlJc w:val="left"/>
      <w:lvlText w:val="(%1)"/>
      <w:numFmt w:val="lowerLetter"/>
      <w:start w:val="2"/>
    </w:lvl>
  </w:abstractNum>
  <w:abstractNum w:abstractNumId="60">
    <w:nsid w:val="42C296BD"/>
    <w:multiLevelType w:val="hybridMultilevel"/>
    <w:lvl w:ilvl="0">
      <w:lvlJc w:val="left"/>
      <w:lvlText w:val="(%1)"/>
      <w:numFmt w:val="upperLetter"/>
      <w:start w:val="1"/>
    </w:lvl>
  </w:abstractNum>
  <w:abstractNum w:abstractNumId="61">
    <w:nsid w:val="168E121F"/>
    <w:multiLevelType w:val="hybridMultilevel"/>
    <w:lvl w:ilvl="0">
      <w:lvlJc w:val="left"/>
      <w:lvlText w:val="(%1)"/>
      <w:numFmt w:val="upperLetter"/>
      <w:start w:val="2"/>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lowerLetter"/>
      <w:start w:val="3"/>
    </w:lvl>
  </w:abstractNum>
  <w:abstractNum w:abstractNumId="64">
    <w:nsid w:val="5DC79EA8"/>
    <w:multiLevelType w:val="hybridMultilevel"/>
    <w:lvl w:ilvl="0">
      <w:lvlJc w:val="left"/>
      <w:lvlText w:val="%1."/>
      <w:numFmt w:val="decimal"/>
      <w:start w:val="1"/>
    </w:lvl>
  </w:abstractNum>
  <w:abstractNum w:abstractNumId="65">
    <w:nsid w:val="540A471C"/>
    <w:multiLevelType w:val="hybridMultilevel"/>
    <w:lvl w:ilvl="0">
      <w:lvlJc w:val="left"/>
      <w:lvlText w:val="%1."/>
      <w:numFmt w:val="decimal"/>
      <w:start w:val="4"/>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1"/>
      <w:numFmt w:val="lowerRoman"/>
      <w:start w:val="1"/>
    </w:lvl>
    <w:lvl w:ilvl="1">
      <w:lvlJc w:val="left"/>
      <w:lvlText w:val="%2."/>
      <w:numFmt w:val="decimal"/>
      <w:start w:val="1"/>
    </w:lvl>
  </w:abstractNum>
  <w:abstractNum w:abstractNumId="69">
    <w:nsid w:val="BF72B14"/>
    <w:multiLevelType w:val="hybridMultilevel"/>
    <w:lvl w:ilvl="0">
      <w:lvlJc w:val="left"/>
      <w:lvlText w:val="(%1)"/>
      <w:numFmt w:val="lowerRoman"/>
      <w:start w:val="1"/>
    </w:lvl>
    <w:lvl w:ilvl="1">
      <w:lvlJc w:val="left"/>
      <w:lvlText w:val="%2."/>
      <w:numFmt w:val="decimal"/>
      <w:start w:val="3"/>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lowerLetter"/>
      <w:start w:val="1"/>
    </w:lvl>
  </w:abstractNum>
  <w:abstractNum w:abstractNumId="74">
    <w:nsid w:val="1A32234B"/>
    <w:multiLevelType w:val="hybridMultilevel"/>
    <w:lvl w:ilvl="0">
      <w:lvlJc w:val="left"/>
      <w:lvlText w:val="(%1)"/>
      <w:numFmt w:val="lowerLetter"/>
      <w:start w:val="2"/>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lowerLetter"/>
      <w:start w:val="2"/>
    </w:lvl>
  </w:abstractNum>
  <w:abstractNum w:abstractNumId="77">
    <w:nsid w:val="4962813B"/>
    <w:multiLevelType w:val="hybridMultilevel"/>
    <w:lvl w:ilvl="0">
      <w:lvlJc w:val="left"/>
      <w:lvlText w:val="(%1)"/>
      <w:numFmt w:val="lowerLetter"/>
      <w:start w:val="1"/>
    </w:lvl>
  </w:abstractNum>
  <w:abstractNum w:abstractNumId="78">
    <w:nsid w:val="60B6DF70"/>
    <w:multiLevelType w:val="hybridMultilevel"/>
    <w:lvl w:ilvl="0">
      <w:lvlJc w:val="left"/>
      <w:lvlText w:val="(%1)"/>
      <w:numFmt w:val="lowerLetter"/>
      <w:start w:val="2"/>
    </w:lvl>
  </w:abstractNum>
  <w:abstractNum w:abstractNumId="79">
    <w:nsid w:val="6A5EE64"/>
    <w:multiLevelType w:val="hybridMultilevel"/>
    <w:lvl w:ilvl="0">
      <w:lvlJc w:val="left"/>
      <w:lvlText w:val="(%1)"/>
      <w:numFmt w:val="lowerLetter"/>
      <w:start w:val="1"/>
    </w:lvl>
  </w:abstractNum>
  <w:abstractNum w:abstractNumId="80">
    <w:nsid w:val="14330624"/>
    <w:multiLevelType w:val="hybridMultilevel"/>
    <w:lvl w:ilvl="0">
      <w:lvlJc w:val="left"/>
      <w:lvlText w:val="(%1)"/>
      <w:numFmt w:val="lowerLetter"/>
      <w:start w:val="1"/>
    </w:lvl>
  </w:abstractNum>
  <w:abstractNum w:abstractNumId="81">
    <w:nsid w:val="7FFFCA11"/>
    <w:multiLevelType w:val="hybridMultilevel"/>
    <w:lvl w:ilvl="0">
      <w:lvlJc w:val="left"/>
      <w:lvlText w:val="(%1)"/>
      <w:numFmt w:val="lowerLetter"/>
      <w:start w:val="2"/>
    </w:lvl>
  </w:abstractNum>
  <w:abstractNum w:abstractNumId="82">
    <w:nsid w:val="1A27709E"/>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2019-12-13T08:14:49Z</dcterms:created>
  <dcterms:modified xsi:type="dcterms:W3CDTF">2019-12-13T08:14:49Z</dcterms:modified>
</cp:coreProperties>
</file>