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3 )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Graham Holdings Co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384637104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48" w:lineRule="auto"/>
        <w:tabs>
          <w:tab w:leader="none" w:pos="478" w:val="left"/>
        </w:tabs>
        <w:numPr>
          <w:ilvl w:val="1"/>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Rule 13d-1(b) [ ] Rule 13d-1(c)</w:t>
      </w:r>
    </w:p>
    <w:p>
      <w:pPr>
        <w:spacing w:after="0" w:line="1" w:lineRule="exact"/>
        <w:rPr>
          <w:rFonts w:ascii="Times New Roman" w:cs="Times New Roman" w:eastAsia="Times New Roman" w:hAnsi="Times New Roman"/>
          <w:sz w:val="21"/>
          <w:szCs w:val="21"/>
          <w:color w:val="auto"/>
        </w:rPr>
      </w:pPr>
    </w:p>
    <w:p>
      <w:pPr>
        <w:ind w:left="6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 ]  Rule 13d-1(d)</w:t>
      </w:r>
    </w:p>
    <w:p>
      <w:pPr>
        <w:spacing w:after="0" w:line="269" w:lineRule="exact"/>
        <w:rPr>
          <w:rFonts w:ascii="Times New Roman" w:cs="Times New Roman" w:eastAsia="Times New Roman" w:hAnsi="Times New Roman"/>
          <w:sz w:val="21"/>
          <w:szCs w:val="21"/>
          <w:color w:val="auto"/>
        </w:rPr>
      </w:pPr>
    </w:p>
    <w:p>
      <w:pPr>
        <w:spacing w:after="0" w:line="214" w:lineRule="auto"/>
        <w:rPr>
          <w:rFonts w:ascii="Times New Roman" w:cs="Times New Roman" w:eastAsia="Times New Roman" w:hAnsi="Times New Roman"/>
          <w:sz w:val="21"/>
          <w:szCs w:val="21"/>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384637104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NAMES OF REPORTING PERSONS</w:t>
            </w:r>
          </w:p>
        </w:tc>
        <w:tc>
          <w:tcPr>
            <w:tcW w:w="5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I.R.S. IDENTIFICATION NO. OF ABOVE PERSONS (ENTITIES ONLY)</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Dimensional Fund Advisors LP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30-0447847</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2.</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THE APPROPRIATE BOX IF A MEMBER OF A GROUP*</w:t>
            </w:r>
          </w:p>
        </w:tc>
        <w:tc>
          <w:tcPr>
            <w:tcW w:w="0" w:type="dxa"/>
            <w:vAlign w:val="bottom"/>
          </w:tcPr>
          <w:p>
            <w:pPr>
              <w:spacing w:after="0"/>
              <w:rPr>
                <w:sz w:val="1"/>
                <w:szCs w:val="1"/>
                <w:color w:val="auto"/>
              </w:rPr>
            </w:pPr>
          </w:p>
        </w:tc>
      </w:tr>
      <w:tr>
        <w:trPr>
          <w:trHeight w:val="447"/>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 [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(b) [X]</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3.</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SEC USE ONLY</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4.</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CITIZENSHIP OR PLACE OF ORGANIZATION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Delaware Limited Partnership</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37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5. SOLE VOTING POWER</w:t>
            </w:r>
          </w:p>
        </w:tc>
        <w:tc>
          <w:tcPr>
            <w:tcW w:w="576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275,560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76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376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6. SHARED VOTING POWER</w:t>
            </w:r>
          </w:p>
        </w:tc>
        <w:tc>
          <w:tcPr>
            <w:tcW w:w="5760" w:type="dxa"/>
            <w:vAlign w:val="bottom"/>
          </w:tcPr>
          <w:p>
            <w:pPr>
              <w:ind w:left="320"/>
              <w:spacing w:after="0" w:line="243"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7. SOLE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281,024 ** see Note 1 **</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760" w:type="dxa"/>
            <w:vAlign w:val="bottom"/>
            <w:vMerge w:val="continue"/>
          </w:tcPr>
          <w:p>
            <w:pPr>
              <w:spacing w:after="0"/>
              <w:rPr>
                <w:sz w:val="21"/>
                <w:szCs w:val="21"/>
                <w:color w:val="auto"/>
              </w:rPr>
            </w:pPr>
          </w:p>
        </w:tc>
        <w:tc>
          <w:tcPr>
            <w:tcW w:w="5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7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576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3760" w:type="dxa"/>
            <w:vAlign w:val="bottom"/>
            <w:vMerge w:val="continue"/>
          </w:tcPr>
          <w:p>
            <w:pPr>
              <w:spacing w:after="0"/>
              <w:rPr>
                <w:sz w:val="24"/>
                <w:szCs w:val="24"/>
                <w:color w:val="auto"/>
              </w:rPr>
            </w:pPr>
          </w:p>
        </w:tc>
        <w:tc>
          <w:tcPr>
            <w:tcW w:w="5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281,024 ** see Note 1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95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7.0%</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376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IA</w:t>
            </w:r>
          </w:p>
        </w:tc>
        <w:tc>
          <w:tcPr>
            <w:tcW w:w="5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3760" w:type="dxa"/>
            <w:vAlign w:val="bottom"/>
            <w:tcBorders>
              <w:bottom w:val="single" w:sz="8" w:color="808080"/>
            </w:tcBorders>
          </w:tcPr>
          <w:p>
            <w:pPr>
              <w:spacing w:after="0"/>
              <w:rPr>
                <w:sz w:val="8"/>
                <w:szCs w:val="8"/>
                <w:color w:val="auto"/>
              </w:rPr>
            </w:pPr>
          </w:p>
        </w:tc>
        <w:tc>
          <w:tcPr>
            <w:tcW w:w="57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8255"/>
                    </a:xfrm>
                    <a:prstGeom prst="rect">
                      <a:avLst/>
                    </a:prstGeom>
                    <a:noFill/>
                  </pic:spPr>
                </pic:pic>
              </a:graphicData>
            </a:graphic>
          </wp:anchor>
        </w:drawing>
        <w:t>Item 1.</w:t>
      </w:r>
    </w:p>
    <w:p>
      <w:pPr>
        <w:spacing w:after="0" w:line="125" w:lineRule="exact"/>
        <w:rPr>
          <w:sz w:val="20"/>
          <w:szCs w:val="20"/>
          <w:color w:val="auto"/>
        </w:rPr>
      </w:pPr>
    </w:p>
    <w:p>
      <w:pPr>
        <w:ind w:left="1340" w:right="7860" w:hanging="427"/>
        <w:spacing w:after="0" w:line="286" w:lineRule="auto"/>
        <w:tabs>
          <w:tab w:leader="none" w:pos="1340" w:val="left"/>
        </w:tabs>
        <w:numPr>
          <w:ilvl w:val="0"/>
          <w:numId w:val="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Issuer </w:t>
      </w:r>
      <w:r>
        <w:rPr>
          <w:rFonts w:ascii="Times New Roman" w:cs="Times New Roman" w:eastAsia="Times New Roman" w:hAnsi="Times New Roman"/>
          <w:sz w:val="21"/>
          <w:szCs w:val="21"/>
          <w:color w:val="auto"/>
        </w:rPr>
        <w:t>Graham Holdings Co</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Address of Issuer's Principal Executive Offices</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1300 North 17th Street, 17th Floor, Arlington, VA 22209</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ind w:left="1340" w:right="696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Dimensional Fund Advisors LP</w:t>
      </w:r>
    </w:p>
    <w:p>
      <w:pPr>
        <w:spacing w:after="0" w:line="45" w:lineRule="exact"/>
        <w:rPr>
          <w:rFonts w:ascii="Times New Roman" w:cs="Times New Roman" w:eastAsia="Times New Roman" w:hAnsi="Times New Roman"/>
          <w:sz w:val="21"/>
          <w:szCs w:val="21"/>
          <w:b w:val="1"/>
          <w:bCs w:val="1"/>
          <w:color w:val="auto"/>
        </w:rPr>
      </w:pPr>
    </w:p>
    <w:p>
      <w:pPr>
        <w:ind w:left="1340" w:right="430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Address of Principal Business Office or, if None, Residence </w:t>
      </w:r>
      <w:r>
        <w:rPr>
          <w:rFonts w:ascii="Times New Roman" w:cs="Times New Roman" w:eastAsia="Times New Roman" w:hAnsi="Times New Roman"/>
          <w:sz w:val="21"/>
          <w:szCs w:val="21"/>
          <w:color w:val="auto"/>
        </w:rPr>
        <w:t>6300 Bee Cave Road, Building One, Austin, TX 78746</w:t>
      </w:r>
    </w:p>
    <w:p>
      <w:pPr>
        <w:spacing w:after="0" w:line="45" w:lineRule="exact"/>
        <w:rPr>
          <w:rFonts w:ascii="Times New Roman" w:cs="Times New Roman" w:eastAsia="Times New Roman" w:hAnsi="Times New Roman"/>
          <w:sz w:val="21"/>
          <w:szCs w:val="21"/>
          <w:b w:val="1"/>
          <w:bCs w:val="1"/>
          <w:color w:val="auto"/>
        </w:rPr>
      </w:pPr>
    </w:p>
    <w:p>
      <w:pPr>
        <w:ind w:left="1340" w:hanging="427"/>
        <w:spacing w:after="0"/>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Citizenship</w:t>
      </w:r>
    </w:p>
    <w:p>
      <w:pPr>
        <w:spacing w:after="0" w:line="18" w:lineRule="exact"/>
        <w:rPr>
          <w:rFonts w:ascii="Times New Roman" w:cs="Times New Roman" w:eastAsia="Times New Roman" w:hAnsi="Times New Roman"/>
          <w:sz w:val="22"/>
          <w:szCs w:val="22"/>
          <w:b w:val="1"/>
          <w:bCs w:val="1"/>
          <w:color w:val="auto"/>
        </w:rPr>
      </w:pPr>
    </w:p>
    <w:p>
      <w:pPr>
        <w:ind w:left="134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Delaware Limited Partnership</w:t>
      </w:r>
    </w:p>
    <w:p>
      <w:pPr>
        <w:spacing w:after="0" w:line="97" w:lineRule="exact"/>
        <w:rPr>
          <w:rFonts w:ascii="Times New Roman" w:cs="Times New Roman" w:eastAsia="Times New Roman" w:hAnsi="Times New Roman"/>
          <w:sz w:val="22"/>
          <w:szCs w:val="22"/>
          <w:b w:val="1"/>
          <w:bCs w:val="1"/>
          <w:color w:val="auto"/>
        </w:rPr>
      </w:pPr>
    </w:p>
    <w:p>
      <w:pPr>
        <w:ind w:left="1340" w:right="7320" w:hanging="427"/>
        <w:spacing w:after="0" w:line="262" w:lineRule="auto"/>
        <w:tabs>
          <w:tab w:leader="none" w:pos="134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340" w:right="8240" w:hanging="427"/>
        <w:spacing w:after="0" w:line="286" w:lineRule="auto"/>
        <w:tabs>
          <w:tab w:leader="none" w:pos="134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384637104</w:t>
      </w:r>
    </w:p>
    <w:p>
      <w:pPr>
        <w:spacing w:after="0" w:line="45"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If This Statement is Filed Pursuant to Rule 13d-1(b), or 13d-2(b) or (c), Check Whether the Person Filing is a:</w:t>
      </w:r>
    </w:p>
    <w:p>
      <w:pPr>
        <w:spacing w:after="0" w:line="129" w:lineRule="exact"/>
        <w:rPr>
          <w:sz w:val="20"/>
          <w:szCs w:val="20"/>
          <w:color w:val="auto"/>
        </w:rPr>
      </w:pPr>
    </w:p>
    <w:p>
      <w:pPr>
        <w:ind w:left="920"/>
        <w:spacing w:after="0"/>
        <w:tabs>
          <w:tab w:leader="none" w:pos="1320" w:val="left"/>
          <w:tab w:leader="none" w:pos="1800" w:val="left"/>
        </w:tabs>
        <w:rPr>
          <w:sz w:val="20"/>
          <w:szCs w:val="20"/>
          <w:color w:val="auto"/>
        </w:rPr>
      </w:pPr>
      <w:r>
        <w:rPr>
          <w:rFonts w:ascii="Times New Roman" w:cs="Times New Roman" w:eastAsia="Times New Roman" w:hAnsi="Times New Roman"/>
          <w:sz w:val="22"/>
          <w:szCs w:val="22"/>
          <w:color w:val="auto"/>
        </w:rPr>
        <w:t>(a)</w:t>
        <w:tab/>
        <w:t>[ ]</w:t>
      </w:r>
      <w:r>
        <w:rPr>
          <w:sz w:val="20"/>
          <w:szCs w:val="20"/>
          <w:color w:val="auto"/>
        </w:rPr>
        <w:tab/>
      </w:r>
      <w:r>
        <w:rPr>
          <w:rFonts w:ascii="Times New Roman" w:cs="Times New Roman" w:eastAsia="Times New Roman" w:hAnsi="Times New Roman"/>
          <w:sz w:val="21"/>
          <w:szCs w:val="21"/>
          <w:color w:val="auto"/>
        </w:rPr>
        <w:t>Broker or dealer registered under Section 15 of the Act (15 U.S.C. 78o).</w:t>
      </w:r>
    </w:p>
    <w:p>
      <w:pPr>
        <w:sectPr>
          <w:pgSz w:w="11900" w:h="16838" w:orient="portrait"/>
          <w:cols w:equalWidth="0" w:num="1">
            <w:col w:w="11040"/>
          </w:cols>
          <w:pgMar w:left="400" w:top="419" w:right="459" w:bottom="0" w:gutter="0" w:footer="0" w:header="0"/>
        </w:sectPr>
      </w:pPr>
    </w:p>
    <w:p>
      <w:pPr>
        <w:spacing w:after="0" w:line="125" w:lineRule="exact"/>
        <w:rPr>
          <w:sz w:val="20"/>
          <w:szCs w:val="20"/>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[X]</w:t>
      </w:r>
    </w:p>
    <w:p>
      <w:pPr>
        <w:spacing w:after="0" w:line="136" w:lineRule="exact"/>
        <w:rPr>
          <w:rFonts w:ascii="Times New Roman" w:cs="Times New Roman" w:eastAsia="Times New Roman" w:hAnsi="Times New Roman"/>
          <w:sz w:val="21"/>
          <w:szCs w:val="21"/>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46"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125"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 investment adviser in accordance with Rule 240.13d-1(b)(1)(ii)(E);</w:t>
      </w:r>
    </w:p>
    <w:p>
      <w:pPr>
        <w:spacing w:after="0" w:line="125" w:lineRule="exact"/>
        <w:rPr>
          <w:sz w:val="20"/>
          <w:szCs w:val="20"/>
          <w:color w:val="auto"/>
        </w:rPr>
      </w:pPr>
    </w:p>
    <w:p>
      <w:pPr>
        <w:ind w:right="1060"/>
        <w:spacing w:after="0" w:line="375" w:lineRule="auto"/>
        <w:rPr>
          <w:sz w:val="20"/>
          <w:szCs w:val="20"/>
          <w:color w:val="auto"/>
        </w:rPr>
      </w:pPr>
      <w:r>
        <w:rPr>
          <w:rFonts w:ascii="Times New Roman" w:cs="Times New Roman" w:eastAsia="Times New Roman" w:hAnsi="Times New Roman"/>
          <w:sz w:val="21"/>
          <w:szCs w:val="21"/>
          <w:color w:val="auto"/>
        </w:rPr>
        <w:t>An employee benefit plan or endowment fund in accordance with Rule 240.13d-1(b)(1)(ii)(F); A parent holding company or control person in accordance with Rule 240.13d-1(b)(1)(ii)(G);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savings association as defined in Section 3(b) of the Federal Deposit Insurance Act (12 U.S.C. 1813);</w:t>
      </w:r>
    </w:p>
    <w:p>
      <w:pPr>
        <w:spacing w:after="0" w:line="1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 church plan that is excluded from the definition of an investment company under Section 3(c)(14) of the Investment Company Act of 1940 (15 U.S.C. 80a-3);</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Group, in accordance with Rule 240.13d-1(b)(1)(ii)(J).</w:t>
      </w:r>
    </w:p>
    <w:p>
      <w:pPr>
        <w:spacing w:after="0" w:line="121" w:lineRule="exact"/>
        <w:rPr>
          <w:sz w:val="20"/>
          <w:szCs w:val="20"/>
          <w:color w:val="auto"/>
        </w:rPr>
      </w:pPr>
    </w:p>
    <w:p>
      <w:pPr>
        <w:sectPr>
          <w:pgSz w:w="11900" w:h="16838" w:orient="portrait"/>
          <w:cols w:equalWidth="0" w:num="2">
            <w:col w:w="1640" w:space="180"/>
            <w:col w:w="9220"/>
          </w:cols>
          <w:pgMar w:left="400" w:top="419" w:right="45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ectPr>
          <w:pgSz w:w="11900" w:h="16838" w:orient="portrait"/>
          <w:cols w:equalWidth="0" w:num="1">
            <w:col w:w="11040"/>
          </w:cols>
          <w:pgMar w:left="400" w:top="419" w:right="459" w:bottom="0" w:gutter="0" w:footer="0" w:header="0"/>
          <w:type w:val="continuous"/>
        </w:sectPr>
      </w:pPr>
    </w:p>
    <w:p>
      <w:pPr>
        <w:spacing w:after="0" w:line="77" w:lineRule="exact"/>
        <w:rPr>
          <w:sz w:val="20"/>
          <w:szCs w:val="20"/>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281,024 ** see Note 1 **</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3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7.0%</w:t>
      </w:r>
    </w:p>
    <w:p>
      <w:pPr>
        <w:spacing w:after="0" w:line="125" w:lineRule="exact"/>
        <w:rPr>
          <w:rFonts w:ascii="Times New Roman" w:cs="Times New Roman" w:eastAsia="Times New Roman" w:hAnsi="Times New Roman"/>
          <w:sz w:val="22"/>
          <w:szCs w:val="22"/>
          <w:color w:val="auto"/>
        </w:rPr>
      </w:pPr>
    </w:p>
    <w:p>
      <w:pPr>
        <w:ind w:left="1340" w:hanging="427"/>
        <w:spacing w:after="0"/>
        <w:tabs>
          <w:tab w:leader="none" w:pos="134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rFonts w:ascii="Times New Roman" w:cs="Times New Roman" w:eastAsia="Times New Roman" w:hAnsi="Times New Roman"/>
          <w:sz w:val="22"/>
          <w:szCs w:val="22"/>
          <w:color w:val="auto"/>
        </w:rPr>
      </w:pPr>
    </w:p>
    <w:p>
      <w:pPr>
        <w:ind w:left="1820" w:hanging="488"/>
        <w:spacing w:after="0"/>
        <w:tabs>
          <w:tab w:leader="none" w:pos="18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125" w:lineRule="exact"/>
        <w:rPr>
          <w:rFonts w:ascii="Times New Roman" w:cs="Times New Roman" w:eastAsia="Times New Roman" w:hAnsi="Times New Roman"/>
          <w:sz w:val="22"/>
          <w:szCs w:val="22"/>
          <w:color w:val="auto"/>
        </w:rPr>
      </w:pPr>
    </w:p>
    <w:p>
      <w:pPr>
        <w:ind w:left="1820" w:hanging="488"/>
        <w:spacing w:after="0"/>
        <w:tabs>
          <w:tab w:leader="none" w:pos="18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79" w:lineRule="exact"/>
        <w:rPr>
          <w:rFonts w:ascii="Times New Roman" w:cs="Times New Roman" w:eastAsia="Times New Roman" w:hAnsi="Times New Roman"/>
          <w:sz w:val="22"/>
          <w:szCs w:val="22"/>
          <w:color w:val="auto"/>
        </w:rPr>
      </w:pPr>
    </w:p>
    <w:p>
      <w:pPr>
        <w:ind w:left="1820" w:hanging="488"/>
        <w:spacing w:after="0"/>
        <w:tabs>
          <w:tab w:leader="none" w:pos="18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sole</w:t>
      </w:r>
      <w:r>
        <w:rPr>
          <w:rFonts w:ascii="Times New Roman" w:cs="Times New Roman" w:eastAsia="Times New Roman" w:hAnsi="Times New Roman"/>
          <w:sz w:val="39"/>
          <w:szCs w:val="39"/>
          <w:color w:val="auto"/>
          <w:vertAlign w:val="subscript"/>
        </w:rPr>
        <w:t>of</w:t>
      </w:r>
      <w:r>
        <w:rPr>
          <w:rFonts w:ascii="Times New Roman" w:cs="Times New Roman" w:eastAsia="Times New Roman" w:hAnsi="Times New Roman"/>
          <w:sz w:val="20"/>
          <w:szCs w:val="20"/>
          <w:color w:val="auto"/>
        </w:rPr>
        <w:t xml:space="preserve"> power to dispose or to direct the disposition</w:t>
      </w:r>
    </w:p>
    <w:p>
      <w:pPr>
        <w:spacing w:after="0" w:line="218" w:lineRule="exact"/>
        <w:rPr>
          <w:rFonts w:ascii="Times New Roman" w:cs="Times New Roman" w:eastAsia="Times New Roman" w:hAnsi="Times New Roman"/>
          <w:sz w:val="39"/>
          <w:szCs w:val="39"/>
          <w:color w:val="auto"/>
          <w:vertAlign w:val="subscript"/>
        </w:rPr>
      </w:pPr>
    </w:p>
    <w:p>
      <w:pPr>
        <w:ind w:left="1820" w:right="780" w:hanging="488"/>
        <w:spacing w:after="0" w:line="185" w:lineRule="auto"/>
        <w:tabs>
          <w:tab w:leader="none" w:pos="1820" w:val="left"/>
        </w:tabs>
        <w:numPr>
          <w:ilvl w:val="1"/>
          <w:numId w:val="5"/>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275,560 ** see Note 1 **</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281,024 ** see Note 1 **</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w:t>
      </w:r>
    </w:p>
    <w:p>
      <w:pPr>
        <w:spacing w:after="0" w:line="246" w:lineRule="exact"/>
        <w:rPr>
          <w:sz w:val="20"/>
          <w:szCs w:val="20"/>
          <w:color w:val="auto"/>
        </w:rPr>
      </w:pPr>
    </w:p>
    <w:p>
      <w:pPr>
        <w:sectPr>
          <w:pgSz w:w="11900" w:h="16838" w:orient="portrait"/>
          <w:cols w:equalWidth="0" w:num="2">
            <w:col w:w="6000" w:space="280"/>
            <w:col w:w="4760"/>
          </w:cols>
          <w:pgMar w:left="400" w:top="419" w:right="459" w:bottom="0" w:gutter="0" w:footer="0" w:header="0"/>
          <w:type w:val="continuous"/>
        </w:sectPr>
      </w:pPr>
    </w:p>
    <w:p>
      <w:pPr>
        <w:ind w:right="40" w:firstLine="9"/>
        <w:spacing w:after="0" w:line="249" w:lineRule="auto"/>
        <w:tabs>
          <w:tab w:leader="none" w:pos="27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w:t>
      </w:r>
    </w:p>
    <w:p>
      <w:pPr>
        <w:sectPr>
          <w:pgSz w:w="11900" w:h="16838" w:orient="portrait"/>
          <w:cols w:equalWidth="0" w:num="1">
            <w:col w:w="11040"/>
          </w:cols>
          <w:pgMar w:left="400" w:top="419" w:right="459" w:bottom="0" w:gutter="0" w:footer="0" w:header="0"/>
          <w:type w:val="continuous"/>
        </w:sectPr>
      </w:pPr>
    </w:p>
    <w:bookmarkStart w:id="3" w:name="page4"/>
    <w:bookmarkEnd w:id="3"/>
    <w:p>
      <w:pPr>
        <w:ind w:right="100"/>
        <w:spacing w:after="0" w:line="251" w:lineRule="auto"/>
        <w:rPr>
          <w:sz w:val="20"/>
          <w:szCs w:val="20"/>
          <w:color w:val="auto"/>
        </w:rPr>
      </w:pPr>
      <w:r>
        <w:rPr>
          <w:rFonts w:ascii="Times New Roman" w:cs="Times New Roman" w:eastAsia="Times New Roman" w:hAnsi="Times New Roman"/>
          <w:sz w:val="21"/>
          <w:szCs w:val="21"/>
          <w:color w:val="auto"/>
        </w:rPr>
        <w:t>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Section&amp;nbsp;13(d) of the Securities Exchange Act of 1934.</w:t>
      </w:r>
    </w:p>
    <w:p>
      <w:pPr>
        <w:spacing w:after="0" w:line="8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pacing w:after="0" w:line="129" w:lineRule="exact"/>
        <w:rPr>
          <w:sz w:val="20"/>
          <w:szCs w:val="20"/>
          <w:color w:val="auto"/>
        </w:rPr>
      </w:pPr>
    </w:p>
    <w:p>
      <w:pPr>
        <w:ind w:left="920" w:right="320"/>
        <w:spacing w:after="0" w:line="258" w:lineRule="auto"/>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 the beneficial owner of more than five percent of the class of securities, check the following: [ ]</w:t>
      </w:r>
    </w:p>
    <w:p>
      <w:pPr>
        <w:spacing w:after="0" w:line="7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6.</w:t>
      </w:r>
      <w:r>
        <w:rPr>
          <w:sz w:val="20"/>
          <w:szCs w:val="20"/>
          <w:color w:val="auto"/>
        </w:rPr>
        <w:tab/>
      </w:r>
      <w:r>
        <w:rPr>
          <w:rFonts w:ascii="Times New Roman" w:cs="Times New Roman" w:eastAsia="Times New Roman" w:hAnsi="Times New Roman"/>
          <w:sz w:val="21"/>
          <w:szCs w:val="21"/>
          <w:b w:val="1"/>
          <w:bCs w:val="1"/>
          <w:color w:val="auto"/>
        </w:rPr>
        <w:t>Ownership of More than Five Percent on Behalf of Another Person.</w:t>
      </w:r>
    </w:p>
    <w:p>
      <w:pPr>
        <w:spacing w:after="0" w:line="129" w:lineRule="exact"/>
        <w:rPr>
          <w:sz w:val="20"/>
          <w:szCs w:val="20"/>
          <w:color w:val="auto"/>
        </w:rPr>
      </w:pPr>
    </w:p>
    <w:p>
      <w:pPr>
        <w:ind w:left="920"/>
        <w:spacing w:after="0" w:line="239" w:lineRule="auto"/>
        <w:rPr>
          <w:sz w:val="20"/>
          <w:szCs w:val="20"/>
          <w:color w:val="auto"/>
        </w:rPr>
      </w:pPr>
      <w:r>
        <w:rPr>
          <w:rFonts w:ascii="Times New Roman" w:cs="Times New Roman" w:eastAsia="Times New Roman" w:hAnsi="Times New Roman"/>
          <w:sz w:val="22"/>
          <w:szCs w:val="22"/>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95" w:lineRule="exact"/>
        <w:rPr>
          <w:sz w:val="20"/>
          <w:szCs w:val="20"/>
          <w:color w:val="auto"/>
        </w:rPr>
      </w:pPr>
    </w:p>
    <w:p>
      <w:pPr>
        <w:ind w:left="920" w:right="400" w:hanging="903"/>
        <w:spacing w:after="0" w:line="262" w:lineRule="auto"/>
        <w:tabs>
          <w:tab w:leader="none" w:pos="900" w:val="left"/>
        </w:tabs>
        <w:rPr>
          <w:sz w:val="20"/>
          <w:szCs w:val="20"/>
          <w:color w:val="auto"/>
        </w:rPr>
      </w:pPr>
      <w:r>
        <w:rPr>
          <w:rFonts w:ascii="Times New Roman" w:cs="Times New Roman" w:eastAsia="Times New Roman" w:hAnsi="Times New Roman"/>
          <w:sz w:val="22"/>
          <w:szCs w:val="22"/>
          <w:b w:val="1"/>
          <w:bCs w:val="1"/>
          <w:color w:val="auto"/>
        </w:rPr>
        <w:t>Item 7.</w:t>
        <w:tab/>
        <w:t>Identification and Classification of the Subsidiary Which Acquired the Security Being Reported on by the Parent Holding Company.</w:t>
      </w:r>
    </w:p>
    <w:p>
      <w:pPr>
        <w:spacing w:after="0" w:line="7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8.</w:t>
      </w:r>
      <w:r>
        <w:rPr>
          <w:sz w:val="20"/>
          <w:szCs w:val="20"/>
          <w:color w:val="auto"/>
        </w:rPr>
        <w:tab/>
      </w:r>
      <w:r>
        <w:rPr>
          <w:rFonts w:ascii="Times New Roman" w:cs="Times New Roman" w:eastAsia="Times New Roman" w:hAnsi="Times New Roman"/>
          <w:sz w:val="21"/>
          <w:szCs w:val="21"/>
          <w:b w:val="1"/>
          <w:bCs w:val="1"/>
          <w:color w:val="auto"/>
        </w:rPr>
        <w:t>Identification and Classification of Members of the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 This schedule is not being filed pursuant to Rule 13d-1(b)(1)(ii)(J) or Rule 13d-1(d).</w:t>
      </w:r>
    </w:p>
    <w:p>
      <w:pPr>
        <w:spacing w:after="0" w:line="12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9.</w:t>
      </w:r>
      <w:r>
        <w:rPr>
          <w:sz w:val="20"/>
          <w:szCs w:val="20"/>
          <w:color w:val="auto"/>
        </w:rPr>
        <w:tab/>
      </w:r>
      <w:r>
        <w:rPr>
          <w:rFonts w:ascii="Times New Roman" w:cs="Times New Roman" w:eastAsia="Times New Roman" w:hAnsi="Times New Roman"/>
          <w:sz w:val="21"/>
          <w:szCs w:val="21"/>
          <w:b w:val="1"/>
          <w:bCs w:val="1"/>
          <w:color w:val="auto"/>
        </w:rPr>
        <w:t>Notice of Dissolution of Group.</w:t>
      </w:r>
    </w:p>
    <w:p>
      <w:pPr>
        <w:spacing w:after="0" w:line="23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  Certification.</w:t>
      </w:r>
    </w:p>
    <w:p>
      <w:pPr>
        <w:spacing w:after="0" w:line="237" w:lineRule="exact"/>
        <w:rPr>
          <w:sz w:val="20"/>
          <w:szCs w:val="20"/>
          <w:color w:val="auto"/>
        </w:rPr>
      </w:pPr>
    </w:p>
    <w:p>
      <w:pPr>
        <w:ind w:left="920" w:right="4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00" w:top="112" w:right="4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8890"/>
                    </a:xfrm>
                    <a:prstGeom prst="rect">
                      <a:avLst/>
                    </a:prstGeom>
                    <a:noFill/>
                  </pic:spPr>
                </pic:pic>
              </a:graphicData>
            </a:graphic>
          </wp:anchor>
        </w:drawing>
        <w:t>SIGNATURE</w:t>
      </w:r>
    </w:p>
    <w:p>
      <w:pPr>
        <w:spacing w:after="0" w:line="332" w:lineRule="exact"/>
        <w:rPr>
          <w:sz w:val="20"/>
          <w:szCs w:val="20"/>
          <w:color w:val="auto"/>
        </w:rPr>
      </w:pPr>
    </w:p>
    <w:p>
      <w:pPr>
        <w:ind w:left="60" w:right="199"/>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23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Dimensional Fund Advisors LP</w:t>
      </w:r>
    </w:p>
    <w:p>
      <w:pPr>
        <w:spacing w:after="0" w:line="1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By: Dimensional Holdings Inc., General Partner</w:t>
      </w:r>
    </w:p>
    <w:p>
      <w:pPr>
        <w:spacing w:after="0" w:line="2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Date: February 16, 2021</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Name: Selwyn Notelovitz</w:t>
      </w:r>
    </w:p>
    <w:p>
      <w:pPr>
        <w:spacing w:after="0" w:line="44"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22"/>
          <w:szCs w:val="22"/>
          <w:color w:val="auto"/>
        </w:rPr>
        <w:t>Title: Global Chief Compliance Officer</w:t>
      </w:r>
    </w:p>
    <w:sectPr>
      <w:pgSz w:w="11900" w:h="16838" w:orient="portrait"/>
      <w:cols w:equalWidth="0" w:num="1">
        <w:col w:w="9019"/>
      </w:cols>
      <w:pgMar w:left="1440" w:top="40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2]"/>
      <w:numFmt w:val="upperLetter"/>
      <w:start w:val="24"/>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lvl w:ilvl="1">
      <w:lvlJc w:val="left"/>
      <w:lvlText w:val="(%2)"/>
      <w:numFmt w:val="lowerRoman"/>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2021-02-12T15:48:31Z</dcterms:created>
  <dcterms:modified xsi:type="dcterms:W3CDTF">2021-02-12T15:48:31Z</dcterms:modified>
</cp:coreProperties>
</file>