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THE WASHINGTON POST COMPANY 1150 15TH STREET, N.W.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WASHINGTON POST CO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WPO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09/18/2008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80"/>
            <w:col w:w="7420"/>
          </w:cols>
          <w:pgMar w:left="240" w:top="220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12,276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4,695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598.86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101,521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2,246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600.82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99,275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0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Trust for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8700" w:right="400" w:hanging="10425"/>
        <w:spacing w:after="0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5,000 I Third Party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(2)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91,950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96,558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339,897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5,400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553,185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289,678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of 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5,400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5,400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9"/>
        </w:trPr>
        <w:tc>
          <w:tcPr>
            <w:tcW w:w="8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2. The reporting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(A)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or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direct and indirect ownership of Class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Bshares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(Instr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herein,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.3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I am one of five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Following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trusteesof a charitable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(I)(Instr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trust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.4)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2"/>
        </w:trPr>
        <w:tc>
          <w:tcPr>
            <w:tcW w:w="42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16,339 Class B shares in which I disclaim any beneficial ownership.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9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highlight w:val="white"/>
                <w:w w:val="98"/>
              </w:rPr>
              <w:t>/s/ Veronica Dillon for Donald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highlight w:val="white"/>
                <w:w w:val="95"/>
              </w:rPr>
              <w:t>09/22/2008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highlight w:val="white"/>
              </w:rPr>
              <w:t>E. Graham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000000"/>
                <w:vertAlign w:val="subscript"/>
              </w:rPr>
              <w:t>or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000000"/>
                <w:vertAlign w:val="superscript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1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5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Reminder: Report on a separate line for each class of securities beneficially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CodeV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owned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(A)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directly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(D)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or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Exercisable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indirectly.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2019-12-17T03:50:13Z</dcterms:created>
  <dcterms:modified xsi:type="dcterms:W3CDTF">2019-12-17T03:50:13Z</dcterms:modified>
</cp:coreProperties>
</file>