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0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Quarterly Report Pursuant to Section 13 or 15(d)</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309" w:lineRule="exact"/>
        <w:rPr>
          <w:sz w:val="24"/>
          <w:szCs w:val="24"/>
          <w:color w:val="auto"/>
        </w:rPr>
      </w:pPr>
    </w:p>
    <w:p>
      <w:pPr>
        <w:spacing w:after="0" w:line="254" w:lineRule="auto"/>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October 1, 2000</w:t>
      </w:r>
      <w:r>
        <w:rPr>
          <w:sz w:val="20"/>
          <w:szCs w:val="20"/>
          <w:color w:val="auto"/>
        </w:rPr>
        <w:tab/>
      </w:r>
      <w:r>
        <w:rPr>
          <w:rFonts w:ascii="Courier New" w:cs="Courier New" w:eastAsia="Courier New" w:hAnsi="Courier New"/>
          <w:sz w:val="14"/>
          <w:szCs w:val="14"/>
          <w:color w:val="auto"/>
        </w:rPr>
        <w:t>Commission File Number 1-6714</w:t>
      </w:r>
    </w:p>
    <w:p>
      <w:pPr>
        <w:spacing w:after="0" w:line="5" w:lineRule="exact"/>
        <w:rPr>
          <w:sz w:val="24"/>
          <w:szCs w:val="24"/>
          <w:color w:val="auto"/>
        </w:rPr>
      </w:pPr>
    </w:p>
    <w:p>
      <w:pPr>
        <w:sectPr>
          <w:pgSz w:w="11900" w:h="16838" w:orient="portrait"/>
          <w:cols w:equalWidth="0" w:num="2">
            <w:col w:w="1500" w:space="260"/>
            <w:col w:w="8479"/>
          </w:cols>
          <w:pgMar w:left="220" w:top="225" w:right="1440" w:bottom="1440" w:gutter="0" w:footer="0" w:header="0"/>
          <w:type w:val="continuous"/>
        </w:sectPr>
      </w:pPr>
    </w:p>
    <w:p>
      <w:pPr>
        <w:ind w:left="1060"/>
        <w:spacing w:after="0" w:line="231"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THE WASHINGTON POST COMPANY</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p>
      <w:pPr>
        <w:ind w:left="1140"/>
        <w:spacing w:after="0"/>
        <w:tabs>
          <w:tab w:leader="none" w:pos="472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53-0182885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280"/>
        <w:spacing w:after="0"/>
        <w:tabs>
          <w:tab w:leader="none" w:pos="454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360"/>
        <w:spacing w:after="0"/>
        <w:tabs>
          <w:tab w:leader="none" w:pos="454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35" w:lineRule="exact"/>
        <w:rPr>
          <w:sz w:val="24"/>
          <w:szCs w:val="24"/>
          <w:color w:val="auto"/>
        </w:rPr>
      </w:pPr>
    </w:p>
    <w:p>
      <w:pPr>
        <w:ind w:left="280"/>
        <w:spacing w:after="0"/>
        <w:tabs>
          <w:tab w:leader="none" w:pos="3400" w:val="left"/>
          <w:tab w:leader="none" w:pos="5760" w:val="left"/>
        </w:tabs>
        <w:rPr>
          <w:sz w:val="20"/>
          <w:szCs w:val="20"/>
          <w:color w:val="auto"/>
        </w:rPr>
      </w:pPr>
      <w:r>
        <w:rPr>
          <w:rFonts w:ascii="Courier New" w:cs="Courier New" w:eastAsia="Courier New" w:hAnsi="Courier New"/>
          <w:sz w:val="15"/>
          <w:szCs w:val="15"/>
          <w:color w:val="auto"/>
        </w:rPr>
        <w:t>1150 15th Street, N.W.</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20071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180"/>
        <w:spacing w:after="0"/>
        <w:tabs>
          <w:tab w:leader="none" w:pos="55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ind w:left="3420" w:hanging="524"/>
        <w:spacing w:after="0"/>
        <w:tabs>
          <w:tab w:leader="none" w:pos="34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10" w:lineRule="exact"/>
        <w:rPr>
          <w:sz w:val="24"/>
          <w:szCs w:val="24"/>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 No .</w:t>
      </w:r>
    </w:p>
    <w:p>
      <w:pPr>
        <w:ind w:left="4040"/>
        <w:spacing w:after="0"/>
        <w:tabs>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6"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Shares outstanding at November 1, 2000:</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Class A Common Stock</w:t>
      </w:r>
    </w:p>
    <w:p>
      <w:pPr>
        <w:spacing w:after="0" w:line="10"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1,739,250 Shares</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7,709,250 Shares</w:t>
      </w:r>
    </w:p>
    <w:p>
      <w:pPr>
        <w:sectPr>
          <w:pgSz w:w="11900" w:h="16838" w:orient="portrait"/>
          <w:cols w:equalWidth="0" w:num="2">
            <w:col w:w="3840" w:space="720"/>
            <w:col w:w="567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Condensed Consolidated Statements of Income</w:t>
      </w:r>
    </w:p>
    <w:tbl>
      <w:tblPr>
        <w:tblLayout w:type="fixed"/>
        <w:tblInd w:w="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(Unaudited) for the Thirteen and Thirty-nine</w:t>
            </w:r>
          </w:p>
        </w:tc>
        <w:tc>
          <w:tcPr>
            <w:tcW w:w="1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Weeks Ended October 1, 2000 and</w:t>
            </w:r>
          </w:p>
        </w:tc>
        <w:tc>
          <w:tcPr>
            <w:tcW w:w="1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210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October 3,</w:t>
            </w:r>
          </w:p>
        </w:tc>
        <w:tc>
          <w:tcPr>
            <w:tcW w:w="7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1999................................................................................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980" w:type="dxa"/>
            <w:vAlign w:val="bottom"/>
          </w:tcPr>
          <w:p>
            <w:pPr>
              <w:spacing w:after="0"/>
              <w:rPr>
                <w:sz w:val="24"/>
                <w:szCs w:val="24"/>
                <w:color w:val="auto"/>
              </w:rPr>
            </w:pPr>
          </w:p>
        </w:tc>
        <w:tc>
          <w:tcPr>
            <w:tcW w:w="9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Condensed Consolidated Statements of Comprehensive</w:t>
            </w:r>
          </w:p>
        </w:tc>
        <w:tc>
          <w:tcPr>
            <w:tcW w:w="1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Income (Unaudited) for the Thirteen and</w:t>
            </w:r>
          </w:p>
        </w:tc>
        <w:tc>
          <w:tcPr>
            <w:tcW w:w="1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Thirty-nine Weeks Ended October 1, 2000 and</w:t>
            </w:r>
          </w:p>
        </w:tc>
        <w:tc>
          <w:tcPr>
            <w:tcW w:w="1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w w:val="96"/>
              </w:rPr>
              <w:t>October 3, 1999................................................................................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980" w:type="dxa"/>
            <w:vAlign w:val="bottom"/>
          </w:tcPr>
          <w:p>
            <w:pPr>
              <w:spacing w:after="0"/>
              <w:rPr>
                <w:sz w:val="24"/>
                <w:szCs w:val="24"/>
                <w:color w:val="auto"/>
              </w:rPr>
            </w:pPr>
          </w:p>
        </w:tc>
        <w:tc>
          <w:tcPr>
            <w:tcW w:w="9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Condensed Consolidated Balance Sheets</w:t>
            </w:r>
          </w:p>
        </w:tc>
        <w:tc>
          <w:tcPr>
            <w:tcW w:w="1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w w:val="96"/>
              </w:rPr>
              <w:t>at October 1, 2000 (Unaudited) and January 2, 2000.............................................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980" w:type="dxa"/>
            <w:vAlign w:val="bottom"/>
          </w:tcPr>
          <w:p>
            <w:pPr>
              <w:spacing w:after="0"/>
              <w:rPr>
                <w:sz w:val="24"/>
                <w:szCs w:val="24"/>
                <w:color w:val="auto"/>
              </w:rPr>
            </w:pPr>
          </w:p>
        </w:tc>
        <w:tc>
          <w:tcPr>
            <w:tcW w:w="9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1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(Unaudited) for the Thirty-nine Weeks Ended</w:t>
            </w:r>
          </w:p>
        </w:tc>
        <w:tc>
          <w:tcPr>
            <w:tcW w:w="1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w w:val="96"/>
              </w:rPr>
              <w:t>October 1, 2000 and October 3, 1999............................................................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980" w:type="dxa"/>
            <w:vAlign w:val="bottom"/>
          </w:tcPr>
          <w:p>
            <w:pPr>
              <w:spacing w:after="0"/>
              <w:rPr>
                <w:sz w:val="24"/>
                <w:szCs w:val="24"/>
                <w:color w:val="auto"/>
              </w:rPr>
            </w:pPr>
          </w:p>
        </w:tc>
        <w:tc>
          <w:tcPr>
            <w:tcW w:w="9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210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7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9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Management's Discussion and Analysis of Results of</w:t>
            </w:r>
          </w:p>
        </w:tc>
        <w:tc>
          <w:tcPr>
            <w:tcW w:w="1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9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w w:val="97"/>
              </w:rPr>
              <w:t>Operations and Financial Condition............................................................</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12</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7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9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Exhibits and Reports on Form 8-K..........................................................................</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22</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93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24</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 11</w:t>
            </w:r>
          </w:p>
        </w:tc>
        <w:tc>
          <w:tcPr>
            <w:tcW w:w="21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(Electronic Filing Only)</w:t>
      </w:r>
    </w:p>
    <w:p>
      <w:pPr>
        <w:sectPr>
          <w:pgSz w:w="11900" w:h="16838" w:orient="portrait"/>
          <w:cols w:equalWidth="0" w:num="1">
            <w:col w:w="10760"/>
          </w:cols>
          <w:pgMar w:left="220" w:top="281" w:right="91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Condensed Consolidated Statements of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Thirteen Weeks Ended</w:t>
            </w:r>
          </w:p>
        </w:tc>
        <w:tc>
          <w:tcPr>
            <w:tcW w:w="380" w:type="dxa"/>
            <w:vAlign w:val="bottom"/>
          </w:tcPr>
          <w:p>
            <w:pPr>
              <w:spacing w:after="0"/>
              <w:rPr>
                <w:sz w:val="14"/>
                <w:szCs w:val="14"/>
                <w:color w:val="auto"/>
              </w:rPr>
            </w:pPr>
          </w:p>
        </w:tc>
        <w:tc>
          <w:tcPr>
            <w:tcW w:w="27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October 1,</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October 3,</w:t>
            </w:r>
          </w:p>
        </w:tc>
        <w:tc>
          <w:tcPr>
            <w:tcW w:w="16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October 1,</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October 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3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Advertising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338,428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311,891</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$ 1,010,807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953,494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Circulation and subscriber</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151,144</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147,016</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447,639</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431,301</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Education</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99,428</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67,522</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240,261</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174,824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13,452</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13,151</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42,057</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57,552</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602,452</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539,580</w:t>
            </w:r>
          </w:p>
        </w:tc>
        <w:tc>
          <w:tcPr>
            <w:tcW w:w="38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1,740,764</w:t>
            </w:r>
          </w:p>
        </w:tc>
        <w:tc>
          <w:tcPr>
            <w:tcW w:w="3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1,617,171</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340,733</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293,948</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953,031</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874,765</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131,206</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118,198</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405,332</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351,546</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of property, plant</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equipment</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30,019</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26,265</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87,043</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76,687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 other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intangibles</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15,937</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14,813</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45,430</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43,857</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517,895</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453,224</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1,490,836</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1,346,855</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84,557</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86,356</w:t>
            </w:r>
          </w:p>
        </w:tc>
        <w:tc>
          <w:tcPr>
            <w:tcW w:w="38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249,928</w:t>
            </w:r>
          </w:p>
        </w:tc>
        <w:tc>
          <w:tcPr>
            <w:tcW w:w="3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270,316</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losses of affiliates, net</w:t>
            </w:r>
          </w:p>
        </w:tc>
        <w:tc>
          <w:tcPr>
            <w:tcW w:w="3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(8,890)</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(29,666)</w:t>
            </w:r>
          </w:p>
        </w:tc>
        <w:tc>
          <w:tcPr>
            <w:tcW w:w="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(1,839)</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228</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726</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(14,617)</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(6,473)</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(39,757)</w:t>
            </w:r>
          </w:p>
        </w:tc>
        <w:tc>
          <w:tcPr>
            <w:tcW w:w="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(18,728)</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238</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8,279</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(5,169)</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23,893</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61,516</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88,289</w:t>
            </w:r>
          </w:p>
        </w:tc>
        <w:tc>
          <w:tcPr>
            <w:tcW w:w="38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176,062</w:t>
            </w:r>
          </w:p>
        </w:tc>
        <w:tc>
          <w:tcPr>
            <w:tcW w:w="3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274,288</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28,000</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36,600</w:t>
            </w:r>
          </w:p>
        </w:tc>
        <w:tc>
          <w:tcPr>
            <w:tcW w:w="38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77,300</w:t>
            </w:r>
          </w:p>
        </w:tc>
        <w:tc>
          <w:tcPr>
            <w:tcW w:w="3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109,500</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33,516</w:t>
            </w:r>
          </w:p>
        </w:tc>
        <w:tc>
          <w:tcPr>
            <w:tcW w:w="44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51,689</w:t>
            </w:r>
          </w:p>
        </w:tc>
        <w:tc>
          <w:tcPr>
            <w:tcW w:w="380" w:type="dxa"/>
            <w:vAlign w:val="bottom"/>
          </w:tcPr>
          <w:p>
            <w:pPr>
              <w:spacing w:after="0"/>
              <w:rPr>
                <w:sz w:val="24"/>
                <w:szCs w:val="2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98,762</w:t>
            </w:r>
          </w:p>
        </w:tc>
        <w:tc>
          <w:tcPr>
            <w:tcW w:w="3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164,788</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34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(263)</w:t>
            </w:r>
          </w:p>
        </w:tc>
        <w:tc>
          <w:tcPr>
            <w:tcW w:w="440" w:type="dxa"/>
            <w:vAlign w:val="bottom"/>
          </w:tcPr>
          <w:p>
            <w:pPr>
              <w:spacing w:after="0"/>
              <w:rPr>
                <w:sz w:val="24"/>
                <w:szCs w:val="2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(237)</w:t>
            </w:r>
          </w:p>
        </w:tc>
        <w:tc>
          <w:tcPr>
            <w:tcW w:w="38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(1,026)</w:t>
            </w:r>
          </w:p>
        </w:tc>
        <w:tc>
          <w:tcPr>
            <w:tcW w:w="3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33,253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51,452</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97,736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163,838</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5.12</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10.35</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16.25</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16.18</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w:t>
            </w:r>
          </w:p>
        </w:tc>
      </w:tr>
      <w:tr>
        <w:trPr>
          <w:trHeight w:val="168"/>
        </w:trPr>
        <w:tc>
          <w:tcPr>
            <w:tcW w:w="3780" w:type="dxa"/>
            <w:vAlign w:val="bottom"/>
          </w:tcPr>
          <w:p>
            <w:pPr>
              <w:spacing w:after="0"/>
              <w:rPr>
                <w:sz w:val="14"/>
                <w:szCs w:val="14"/>
                <w:color w:val="auto"/>
              </w:rPr>
            </w:pP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Basic average number of common shares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9,448</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10,060</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9,443</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10,085</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Diluted average number of common shares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9,463</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10,101</w:t>
            </w:r>
          </w:p>
        </w:tc>
        <w:tc>
          <w:tcPr>
            <w:tcW w:w="380" w:type="dxa"/>
            <w:vAlign w:val="bottom"/>
          </w:tcPr>
          <w:p>
            <w:pPr>
              <w:spacing w:after="0"/>
              <w:rPr>
                <w:sz w:val="14"/>
                <w:szCs w:val="14"/>
                <w:color w:val="auto"/>
              </w:rPr>
            </w:pP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9,459</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10,127</w:t>
            </w:r>
          </w:p>
        </w:tc>
      </w:tr>
    </w:tbl>
    <w:p>
      <w:pPr>
        <w:sectPr>
          <w:pgSz w:w="11900" w:h="16838" w:orient="portrait"/>
          <w:cols w:equalWidth="0" w:num="1">
            <w:col w:w="10240"/>
          </w:cols>
          <w:pgMar w:left="220" w:top="281" w:right="14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Condensed Consolidated Statements of Comprehensive Income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Thirteen Weeks Ended</w:t>
            </w:r>
          </w:p>
        </w:tc>
        <w:tc>
          <w:tcPr>
            <w:tcW w:w="440" w:type="dxa"/>
            <w:vAlign w:val="bottom"/>
          </w:tcPr>
          <w:p>
            <w:pPr>
              <w:spacing w:after="0"/>
              <w:rPr>
                <w:sz w:val="14"/>
                <w:szCs w:val="14"/>
                <w:color w:val="auto"/>
              </w:rPr>
            </w:pP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4260" w:type="dxa"/>
            <w:vAlign w:val="bottom"/>
          </w:tcPr>
          <w:p>
            <w:pPr>
              <w:spacing w:after="0"/>
              <w:rPr>
                <w:sz w:val="14"/>
                <w:szCs w:val="14"/>
                <w:color w:val="auto"/>
              </w:rPr>
            </w:pPr>
          </w:p>
        </w:tc>
        <w:tc>
          <w:tcPr>
            <w:tcW w:w="296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October 1,</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October 3,</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October 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October 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2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1999</w:t>
            </w:r>
          </w:p>
        </w:tc>
        <w:tc>
          <w:tcPr>
            <w:tcW w:w="44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260" w:type="dxa"/>
            <w:vAlign w:val="bottom"/>
          </w:tcPr>
          <w:p>
            <w:pPr>
              <w:spacing w:after="0"/>
              <w:rPr>
                <w:sz w:val="14"/>
                <w:szCs w:val="14"/>
                <w:color w:val="auto"/>
              </w:rPr>
            </w:pP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33,516</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51,689</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98,762</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$ 164,788</w:t>
            </w:r>
          </w:p>
        </w:tc>
      </w:tr>
      <w:tr>
        <w:trPr>
          <w:trHeight w:val="168"/>
        </w:trPr>
        <w:tc>
          <w:tcPr>
            <w:tcW w:w="426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4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(2,266)</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811</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(3,445)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(2,536)</w:t>
            </w: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 in unrealized gain on</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available-for-sale securities</w:t>
            </w:r>
          </w:p>
        </w:tc>
        <w:tc>
          <w:tcPr>
            <w:tcW w:w="42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30,296</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(42,480)</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(60,167)</w:t>
            </w:r>
          </w:p>
        </w:tc>
      </w:tr>
      <w:tr>
        <w:trPr>
          <w:trHeight w:val="168"/>
        </w:trPr>
        <w:tc>
          <w:tcPr>
            <w:tcW w:w="4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Less:  reclassification adjustment</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 realized gains included in</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42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(11,430)</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(11,996)</w:t>
            </w:r>
          </w:p>
        </w:tc>
      </w:tr>
      <w:tr>
        <w:trPr>
          <w:trHeight w:val="168"/>
        </w:trPr>
        <w:tc>
          <w:tcPr>
            <w:tcW w:w="426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28,030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(53,099)</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(1,766)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(74,699)</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tax (expense) benefit related</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other comprehensive loss</w:t>
            </w:r>
          </w:p>
        </w:tc>
        <w:tc>
          <w:tcPr>
            <w:tcW w:w="4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(11,757)</w:t>
            </w:r>
          </w:p>
        </w:tc>
        <w:tc>
          <w:tcPr>
            <w:tcW w:w="44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21,025</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28,138</w:t>
            </w:r>
          </w:p>
        </w:tc>
      </w:tr>
      <w:tr>
        <w:trPr>
          <w:trHeight w:val="168"/>
        </w:trPr>
        <w:tc>
          <w:tcPr>
            <w:tcW w:w="426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16,273</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(32,074)</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(2,330)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(46,561)</w:t>
            </w:r>
          </w:p>
        </w:tc>
      </w:tr>
      <w:tr>
        <w:trPr>
          <w:trHeight w:val="168"/>
        </w:trPr>
        <w:tc>
          <w:tcPr>
            <w:tcW w:w="426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4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49,789</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19,615</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96,432</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$ 118,227</w:t>
            </w:r>
          </w:p>
        </w:tc>
      </w:tr>
      <w:tr>
        <w:trPr>
          <w:trHeight w:val="168"/>
        </w:trPr>
        <w:tc>
          <w:tcPr>
            <w:tcW w:w="426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October 1,</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January 2,</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29,759</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75,479</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marketable equity securities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19,441</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37,228</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315,449</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270,264</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 and state income taxes receivable</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30,738</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48,597</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33,074</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13,890</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33,603</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30,701</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462,064</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476,159</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Buildings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258,754</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249,957</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Machinery, equipment and fixtures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1,174,922</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1,081,787</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63,362</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53,048</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1,497,038</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1,384,792</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(716,450)</w:t>
            </w:r>
          </w:p>
        </w:tc>
        <w:tc>
          <w:tcPr>
            <w:tcW w:w="4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(626,899)</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780,588</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757,893</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Land</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37,893</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37,301</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77,050</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59,712</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895,531</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854,906</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40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190,009</w:t>
            </w:r>
          </w:p>
        </w:tc>
        <w:tc>
          <w:tcPr>
            <w:tcW w:w="40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165,784</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125,636</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140,669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1,008,866</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886,060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pension cost</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383,032</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337,818</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 and other assets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160,476</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125,548</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$ 3,225,614</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$ 2,986,944</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287,348</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254,105</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subscription revenue</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82,798</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80,766</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13,000</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125,000</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487,677</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508,146</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822,548</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40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314,388</w:t>
            </w:r>
          </w:p>
        </w:tc>
        <w:tc>
          <w:tcPr>
            <w:tcW w:w="40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273,110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149,491</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114,003</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811,018</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397,620</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1,783,043</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1,607,281</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40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13,148</w:t>
            </w:r>
          </w:p>
        </w:tc>
        <w:tc>
          <w:tcPr>
            <w:tcW w:w="40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11,873</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40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shareholders' equity</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20,000</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124,883</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108,867</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2,816,433</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2,769,676</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other comprehensive income (losses)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Cumulative foreign currency translation</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adjustment</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(8,334)</w:t>
            </w:r>
          </w:p>
        </w:tc>
        <w:tc>
          <w:tcPr>
            <w:tcW w:w="4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(4,889)</w:t>
            </w:r>
          </w:p>
        </w:tc>
      </w:tr>
      <w:tr>
        <w:trPr>
          <w:trHeight w:val="168"/>
        </w:trPr>
        <w:tc>
          <w:tcPr>
            <w:tcW w:w="4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Unrealized gain on available-for-sale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securities</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6,384</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5,269</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 of Class B common stock held in treasury</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(1,529,943)</w:t>
            </w:r>
          </w:p>
        </w:tc>
        <w:tc>
          <w:tcPr>
            <w:tcW w:w="4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(1,531,133)</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1,429,423</w:t>
            </w:r>
          </w:p>
        </w:tc>
        <w:tc>
          <w:tcPr>
            <w:tcW w:w="4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1,367,790</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$ 3,225,614</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$ 2,986,944</w:t>
            </w:r>
          </w:p>
        </w:tc>
      </w:tr>
      <w:tr>
        <w:trPr>
          <w:trHeight w:val="168"/>
        </w:trPr>
        <w:tc>
          <w:tcPr>
            <w:tcW w:w="478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5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October 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October 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98,762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$ 164,788</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Depreciation of property, plant and equipment</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87,043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76,687</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45,430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43,857</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Net pension benefit</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(63,000)</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Gain on sale of marketable equity securities</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(36,174)</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Provision for deferred income taxes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26,222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9,335</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Equity in losses of affiliates, net of</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distributions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29,666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1,839</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accounts receivable, net</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(31,263)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(25,179)</w:t>
            </w:r>
          </w:p>
        </w:tc>
      </w:tr>
      <w:tr>
        <w:trPr>
          <w:trHeight w:val="168"/>
        </w:trPr>
        <w:tc>
          <w:tcPr>
            <w:tcW w:w="58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(19,184)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(2,196)</w:t>
            </w:r>
          </w:p>
        </w:tc>
      </w:tr>
      <w:tr>
        <w:trPr>
          <w:trHeight w:val="168"/>
        </w:trPr>
        <w:tc>
          <w:tcPr>
            <w:tcW w:w="58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accounts payable and</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27,174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7,337</w:t>
            </w:r>
          </w:p>
        </w:tc>
      </w:tr>
      <w:tr>
        <w:trPr>
          <w:trHeight w:val="168"/>
        </w:trPr>
        <w:tc>
          <w:tcPr>
            <w:tcW w:w="58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Decrease in income taxes receivable</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16,487</w:t>
            </w:r>
          </w:p>
        </w:tc>
      </w:tr>
      <w:tr>
        <w:trPr>
          <w:trHeight w:val="168"/>
        </w:trPr>
        <w:tc>
          <w:tcPr>
            <w:tcW w:w="58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Decrease (increase) in other assets and other</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2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liabilities, net</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25,939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(18,247)</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(4,469)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11,830</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255,457</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187,364</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proceeds from sale of business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(108,585)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(92,198)</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certain businesses</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(197,061)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(48,491)</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marketable securities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6,287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51,820</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marketable securities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(23,332)</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(14,879)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(10,456)</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800"/>
              <w:spacing w:after="0"/>
              <w:rPr>
                <w:sz w:val="20"/>
                <w:szCs w:val="20"/>
                <w:color w:val="auto"/>
              </w:rPr>
            </w:pPr>
            <w:r>
              <w:rPr>
                <w:rFonts w:ascii="Courier New" w:cs="Courier New" w:eastAsia="Courier New" w:hAnsi="Courier New"/>
                <w:sz w:val="15"/>
                <w:szCs w:val="15"/>
                <w:color w:val="auto"/>
              </w:rPr>
              <w:t>Net cash used in investing activities</w:t>
            </w:r>
          </w:p>
        </w:tc>
        <w:tc>
          <w:tcPr>
            <w:tcW w:w="40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(313,238)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(120,657)</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debt</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(387,740)</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Issuance of debt</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47,306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397,425</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paid</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(39,006)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(40,034)</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shares repurchased</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(36,083)</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4,014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4,304</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4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(62,128)</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40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(45,720)</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4,579</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4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75,479</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15,190</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29,759</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19,769</w:t>
            </w:r>
          </w:p>
        </w:tc>
      </w:tr>
      <w:tr>
        <w:trPr>
          <w:trHeight w:val="168"/>
        </w:trPr>
        <w:tc>
          <w:tcPr>
            <w:tcW w:w="5820" w:type="dxa"/>
            <w:vAlign w:val="bottom"/>
          </w:tcPr>
          <w:p>
            <w:pPr>
              <w:spacing w:after="0"/>
              <w:rPr>
                <w:sz w:val="14"/>
                <w:szCs w:val="14"/>
                <w:color w:val="auto"/>
              </w:rPr>
            </w:pP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42"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Acquisitions and Dispositions</w:t>
      </w:r>
    </w:p>
    <w:p>
      <w:pPr>
        <w:spacing w:after="0" w:line="173" w:lineRule="exact"/>
        <w:rPr>
          <w:sz w:val="20"/>
          <w:szCs w:val="20"/>
          <w:color w:val="auto"/>
        </w:rPr>
      </w:pPr>
    </w:p>
    <w:p>
      <w:pPr>
        <w:ind w:right="160"/>
        <w:spacing w:after="0" w:line="256" w:lineRule="auto"/>
        <w:rPr>
          <w:sz w:val="20"/>
          <w:szCs w:val="20"/>
          <w:color w:val="auto"/>
        </w:rPr>
      </w:pPr>
      <w:r>
        <w:rPr>
          <w:rFonts w:ascii="Courier New" w:cs="Courier New" w:eastAsia="Courier New" w:hAnsi="Courier New"/>
          <w:sz w:val="14"/>
          <w:szCs w:val="14"/>
          <w:color w:val="auto"/>
        </w:rPr>
        <w:t>Acquisitions. During the first nine months of 2000, the company acquired Quest Education Corporation (on August 2, 2000) for approximately $177.7 million, including assumed debt and related acquisition expenses, and two cable systems serving approximately 8,500 subscribers in South Sioux City, NE (in June 2000) and Diamondhead, MS (in August 2000) for approximately $16.2 million.</w:t>
      </w:r>
    </w:p>
    <w:p>
      <w:pPr>
        <w:spacing w:after="0" w:line="163" w:lineRule="exact"/>
        <w:rPr>
          <w:sz w:val="20"/>
          <w:szCs w:val="20"/>
          <w:color w:val="auto"/>
        </w:rPr>
      </w:pPr>
    </w:p>
    <w:p>
      <w:pPr>
        <w:ind w:firstLine="612"/>
        <w:spacing w:after="0" w:line="236" w:lineRule="auto"/>
        <w:rPr>
          <w:sz w:val="20"/>
          <w:szCs w:val="20"/>
          <w:color w:val="auto"/>
        </w:rPr>
      </w:pPr>
      <w:r>
        <w:rPr>
          <w:rFonts w:ascii="Courier New" w:cs="Courier New" w:eastAsia="Courier New" w:hAnsi="Courier New"/>
          <w:sz w:val="15"/>
          <w:szCs w:val="15"/>
          <w:color w:val="auto"/>
        </w:rPr>
        <w:t>The acquisition of Quest Education Corporation (Quest) was completed through an all cash tender offer in which the company purchased substantially all the outstanding stock of Quest for $18.35 per share. The acquisition was financed through the issuance of additional short-term borrowings. The operating results of Quest from the date of acquisition have been included in the Education segment.</w:t>
      </w:r>
    </w:p>
    <w:p>
      <w:pPr>
        <w:spacing w:after="0" w:line="175" w:lineRule="exact"/>
        <w:rPr>
          <w:sz w:val="20"/>
          <w:szCs w:val="20"/>
          <w:color w:val="auto"/>
        </w:rPr>
      </w:pPr>
    </w:p>
    <w:p>
      <w:pPr>
        <w:ind w:right="80" w:firstLine="612"/>
        <w:spacing w:after="0" w:line="255" w:lineRule="auto"/>
        <w:rPr>
          <w:sz w:val="20"/>
          <w:szCs w:val="20"/>
          <w:color w:val="auto"/>
        </w:rPr>
      </w:pPr>
      <w:r>
        <w:rPr>
          <w:rFonts w:ascii="Courier New" w:cs="Courier New" w:eastAsia="Courier New" w:hAnsi="Courier New"/>
          <w:sz w:val="14"/>
          <w:szCs w:val="14"/>
          <w:color w:val="auto"/>
        </w:rPr>
        <w:t>Quest, headquartered in Atlanta, Ga., is a leading provider of post-secondary education, currently serving more than 13,400 students in 30 schools located in 11 states. Quest's schools offer bachelor degrees, associate degrees, and diploma programs designed to provide students with the knowledge and skills necessary to qualify them for entry-level employment, primarily in the fields of health care, business and information technology.</w:t>
      </w:r>
    </w:p>
    <w:p>
      <w:pPr>
        <w:spacing w:after="0" w:line="166" w:lineRule="exact"/>
        <w:rPr>
          <w:sz w:val="20"/>
          <w:szCs w:val="20"/>
          <w:color w:val="auto"/>
        </w:rPr>
      </w:pPr>
    </w:p>
    <w:p>
      <w:pPr>
        <w:ind w:right="340" w:firstLine="612"/>
        <w:spacing w:after="0" w:line="255" w:lineRule="auto"/>
        <w:rPr>
          <w:sz w:val="20"/>
          <w:szCs w:val="20"/>
          <w:color w:val="auto"/>
        </w:rPr>
      </w:pPr>
      <w:r>
        <w:rPr>
          <w:rFonts w:ascii="Courier New" w:cs="Courier New" w:eastAsia="Courier New" w:hAnsi="Courier New"/>
          <w:sz w:val="14"/>
          <w:szCs w:val="14"/>
          <w:color w:val="auto"/>
        </w:rPr>
        <w:t>During the first nine months of 1999, the company acquired various businesses for approximately $48.5 million, including an accredited distance education institute that offers degrees in paralegal studies and legal nurse consulting, a provider of test preparation services for the United States Medical Licensing Exam, and a leading producer of interactive testing and certification programs for information technology professionals.</w:t>
      </w:r>
    </w:p>
    <w:p>
      <w:pPr>
        <w:spacing w:after="0" w:line="166" w:lineRule="exact"/>
        <w:rPr>
          <w:sz w:val="20"/>
          <w:szCs w:val="20"/>
          <w:color w:val="auto"/>
        </w:rPr>
      </w:pPr>
    </w:p>
    <w:p>
      <w:pPr>
        <w:ind w:right="160"/>
        <w:spacing w:after="0" w:line="235" w:lineRule="auto"/>
        <w:rPr>
          <w:sz w:val="20"/>
          <w:szCs w:val="20"/>
          <w:color w:val="auto"/>
        </w:rPr>
      </w:pPr>
      <w:r>
        <w:rPr>
          <w:rFonts w:ascii="Courier New" w:cs="Courier New" w:eastAsia="Courier New" w:hAnsi="Courier New"/>
          <w:sz w:val="15"/>
          <w:szCs w:val="15"/>
          <w:color w:val="auto"/>
        </w:rPr>
        <w:t>Dispositions. There were no business dispositions during the first nine months of 2000. In June 1999, the company sold the assets of Legi-Slate, Inc. No significant gain or loss arose from the sale.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Investments in Marketable Securities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Investments in marketable equity securities at October 1, 2000 and</w:t>
      </w:r>
    </w:p>
    <w:p>
      <w:pPr>
        <w:spacing w:after="0" w:line="237" w:lineRule="auto"/>
        <w:rPr>
          <w:sz w:val="20"/>
          <w:szCs w:val="20"/>
          <w:color w:val="auto"/>
        </w:rPr>
      </w:pPr>
      <w:r>
        <w:rPr>
          <w:rFonts w:ascii="Courier New" w:cs="Courier New" w:eastAsia="Courier New" w:hAnsi="Courier New"/>
          <w:sz w:val="15"/>
          <w:szCs w:val="15"/>
          <w:color w:val="auto"/>
        </w:rPr>
        <w:t>January 2, 2000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Total cost</w:t>
      </w:r>
    </w:p>
    <w:p>
      <w:pPr>
        <w:ind w:left="1580"/>
        <w:spacing w:after="0" w:line="237" w:lineRule="auto"/>
        <w:rPr>
          <w:sz w:val="20"/>
          <w:szCs w:val="20"/>
          <w:color w:val="auto"/>
        </w:rPr>
      </w:pPr>
      <w:r>
        <w:rPr>
          <w:rFonts w:ascii="Courier New" w:cs="Courier New" w:eastAsia="Courier New" w:hAnsi="Courier New"/>
          <w:sz w:val="15"/>
          <w:szCs w:val="15"/>
          <w:color w:val="auto"/>
        </w:rPr>
        <w:t>Gross unrealized gains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Total fair value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612"/>
        <w:spacing w:after="0" w:line="236" w:lineRule="auto"/>
        <w:rPr>
          <w:sz w:val="20"/>
          <w:szCs w:val="20"/>
          <w:color w:val="auto"/>
        </w:rPr>
      </w:pPr>
      <w:r>
        <w:rPr>
          <w:rFonts w:ascii="Courier New" w:cs="Courier New" w:eastAsia="Courier New" w:hAnsi="Courier New"/>
          <w:sz w:val="15"/>
          <w:szCs w:val="15"/>
          <w:color w:val="auto"/>
        </w:rPr>
        <w:t>During the third quarter and first nine months of 2000, proceeds from sales of marketable equity securities were $0.7 million and $6.3 million, respectively. Gross realized gains on such sales were $0.6 million and $4.9 million, respectively. During the third quarter and first nine months of 1999, proceeds from sales of marketable equity securities were $24.4 million and $51.8 million, respectively. Gross realized gains on such sales were $19.2 million and $36.2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October 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January 2,</w:t>
            </w:r>
          </w:p>
        </w:tc>
      </w:tr>
      <w:tr>
        <w:trPr>
          <w:trHeight w:val="168"/>
        </w:trPr>
        <w:tc>
          <w:tcPr>
            <w:tcW w:w="15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168"/>
        </w:trPr>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$199,123</w:t>
            </w:r>
          </w:p>
        </w:tc>
        <w:tc>
          <w:tcPr>
            <w:tcW w:w="148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$194,364</w:t>
            </w:r>
          </w:p>
        </w:tc>
      </w:tr>
      <w:tr>
        <w:trPr>
          <w:trHeight w:val="168"/>
        </w:trPr>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10,327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8,648</w:t>
            </w:r>
          </w:p>
        </w:tc>
      </w:tr>
      <w:tr>
        <w:trPr>
          <w:trHeight w:val="168"/>
        </w:trPr>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$209,450</w:t>
            </w:r>
          </w:p>
        </w:tc>
        <w:tc>
          <w:tcPr>
            <w:tcW w:w="14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$203,012</w:t>
            </w:r>
          </w:p>
        </w:tc>
      </w:tr>
      <w:tr>
        <w:trPr>
          <w:trHeight w:val="168"/>
        </w:trPr>
        <w:tc>
          <w:tcPr>
            <w:tcW w:w="15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2">
            <w:col w:w="7000" w:space="440"/>
            <w:col w:w="2980"/>
          </w:cols>
          <w:pgMar w:left="220" w:top="281" w:right="1259"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9"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respectively. Gross realized gains upon the sale of marketable equity securities are included in "Other, net" in the Condensed Consolidated Statements of Income.</w:t>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Borrowings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During the third quarter and first nine months of 2000, the company had average borrowings outstanding of approximately $883.2 million and $845.3 million, respectively, at average interest rates of approximately 6.4 percent and 6.0 percent, respectively. During the third quarter and first nine months of 1999, the company had average borrowings outstanding of approximately $446.4 million and $441.9 million, respectively, at average interest rates of approximately 5.7 percent and 5.6 percent, respectively.</w:t>
      </w:r>
    </w:p>
    <w:p>
      <w:pPr>
        <w:spacing w:after="0" w:line="176"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company's borrowings outstanding at October 1, 2000 consist of $400.0 million 5.5 percent unsecured notes due February 15, 2009 and $536.0 million in commercial paper borrowings. At October 1, 2000, the company has classified $411.0 million of its commercial paper borrowings as long-term debt in its condensed consolidated balance sheet as the company has the ability and intent to finance such borrowings on a long-term basis under its credit agreements.</w:t>
      </w:r>
    </w:p>
    <w:p>
      <w:pPr>
        <w:spacing w:after="0" w:line="16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During the first nine months of 2000 and 1999, the company incurred interest costs on borrowings of $38.4 million and $18.6 million, respectively, of which $1.7 million was capitalized in 1999. No significant interest costs were capitalized in 2000. Interest costs for construction and upgrade of qualifying assets are capitalized.</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 September 20, 2000, the company added to its existing $500 million revolving credit facility with a one-year $250 million revolving credit facility. The primary purpose of the company's revolving credit facilities is to support the issuance of commercial paper borrowings. Under the terms of the $250 million revolving credit facility, interest on borrowings are at floating rates, and the company is required to pay a variable facility fee, ranging from 0.03 percent to 0.05 percent per annum, on the used and unused portion of the facility. The credit facility also contains certain covenants, including a financial covenant that the company maintain at least $850.0 million of consolidated shareholder's equity.</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Business Segments.</w:t>
      </w:r>
    </w:p>
    <w:p>
      <w:pPr>
        <w:spacing w:after="0" w:line="173" w:lineRule="exact"/>
        <w:rPr>
          <w:sz w:val="20"/>
          <w:szCs w:val="20"/>
          <w:color w:val="auto"/>
        </w:rPr>
      </w:pPr>
    </w:p>
    <w:p>
      <w:pPr>
        <w:jc w:val="both"/>
        <w:ind w:right="4120" w:firstLine="525"/>
        <w:spacing w:after="0" w:line="235" w:lineRule="auto"/>
        <w:rPr>
          <w:sz w:val="20"/>
          <w:szCs w:val="20"/>
          <w:color w:val="auto"/>
        </w:rPr>
      </w:pPr>
      <w:r>
        <w:rPr>
          <w:rFonts w:ascii="Courier New" w:cs="Courier New" w:eastAsia="Courier New" w:hAnsi="Courier New"/>
          <w:sz w:val="15"/>
          <w:szCs w:val="15"/>
          <w:color w:val="auto"/>
        </w:rPr>
        <w:t>The following table summarizes financial information related to each of the company's business segments. The 2000 and 1999 asset information is as of October 1, 2000 and January 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Third Quarter Period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Businesses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Newspaper</w:t>
            </w:r>
          </w:p>
        </w:tc>
        <w:tc>
          <w:tcPr>
            <w:tcW w:w="1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Television</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Magazine</w:t>
            </w:r>
          </w:p>
        </w:tc>
        <w:tc>
          <w:tcPr>
            <w:tcW w:w="2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Cable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and Corporate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Publishing</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Broadcasting</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Publishing</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Television</w:t>
            </w:r>
          </w:p>
        </w:tc>
        <w:tc>
          <w:tcPr>
            <w:tcW w:w="1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Education</w:t>
            </w:r>
          </w:p>
        </w:tc>
        <w:tc>
          <w:tcPr>
            <w:tcW w:w="380" w:type="dxa"/>
            <w:vAlign w:val="bottom"/>
          </w:tcPr>
          <w:p>
            <w:pPr>
              <w:spacing w:after="0"/>
              <w:rPr>
                <w:sz w:val="14"/>
                <w:szCs w:val="14"/>
                <w:color w:val="auto"/>
              </w:rPr>
            </w:pP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2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227,634</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88,857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95,911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90,622</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99,428</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602,452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34,994</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41,906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15,923</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(6,668)</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(6,175)</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84,557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losses of</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(8,890)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(14,389)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61,516</w:t>
            </w:r>
          </w:p>
        </w:tc>
      </w:tr>
      <w:tr>
        <w:trPr>
          <w:trHeight w:val="168"/>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9,683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3,335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11,945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3,786</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30,019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3,534</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2,916</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15,937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credit (expense)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4,572</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14,577</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714,847</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437,394</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438,543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729,951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466,895</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102,898</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$2,890,528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marketable equity</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209,450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125,636</w:t>
            </w:r>
          </w:p>
        </w:tc>
      </w:tr>
      <w:tr>
        <w:trPr>
          <w:trHeight w:val="168"/>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$3,225,614</w:t>
            </w:r>
          </w:p>
        </w:tc>
      </w:tr>
      <w:tr>
        <w:trPr>
          <w:trHeight w:val="168"/>
        </w:trPr>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Businesses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Newspaper</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Television</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Magazine</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Cable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and Corporate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Publishing</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Broadcasting</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Publishing</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Television</w:t>
            </w:r>
          </w:p>
        </w:tc>
        <w:tc>
          <w:tcPr>
            <w:tcW w:w="12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Education</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24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212,459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76,677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91,850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84,799</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73,795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539,580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38,738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34,166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15,156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17,584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(13,674)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(5,614)</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86,356</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losses of</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(6,287)</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net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8,279</w:t>
            </w: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88,289</w:t>
            </w: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2,958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10,816</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26,265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3,570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7,501</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14,813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credit (expense)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2,246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12,212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21,344</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672,609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444,372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409,404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718,230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265,960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132,688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2,643,263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marketable equity</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203,012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140,669</w:t>
            </w: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2,986,944</w:t>
            </w: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bl>
    <w:p>
      <w:pPr>
        <w:sectPr>
          <w:pgSz w:w="11900" w:h="16838" w:orient="portrait"/>
          <w:cols w:equalWidth="0" w:num="1">
            <w:col w:w="10860"/>
          </w:cols>
          <w:pgMar w:left="220" w:top="281" w:right="819" w:bottom="853"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Nine Month Period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Businesses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Newspaper</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Television</w:t>
            </w:r>
          </w:p>
        </w:tc>
        <w:tc>
          <w:tcPr>
            <w:tcW w:w="280" w:type="dxa"/>
            <w:vAlign w:val="bottom"/>
          </w:tcPr>
          <w:p>
            <w:pPr>
              <w:spacing w:after="0"/>
              <w:rPr>
                <w:sz w:val="14"/>
                <w:szCs w:val="14"/>
                <w:color w:val="auto"/>
              </w:rPr>
            </w:pP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Magazine</w:t>
            </w:r>
          </w:p>
        </w:tc>
        <w:tc>
          <w:tcPr>
            <w:tcW w:w="3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Cable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and Corporate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Publishing</w:t>
            </w: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Broadcasting</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Publishing</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Television</w:t>
            </w:r>
          </w:p>
        </w:tc>
        <w:tc>
          <w:tcPr>
            <w:tcW w:w="14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Education</w:t>
            </w:r>
          </w:p>
        </w:tc>
        <w:tc>
          <w:tcPr>
            <w:tcW w:w="300" w:type="dxa"/>
            <w:vAlign w:val="bottom"/>
          </w:tcPr>
          <w:p>
            <w:pPr>
              <w:spacing w:after="0"/>
              <w:rPr>
                <w:sz w:val="14"/>
                <w:szCs w:val="14"/>
                <w:color w:val="auto"/>
              </w:rPr>
            </w:pPr>
          </w:p>
        </w:tc>
        <w:tc>
          <w:tcPr>
            <w:tcW w:w="12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Office</w:t>
            </w: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240" w:type="dxa"/>
            <w:vAlign w:val="bottom"/>
          </w:tcPr>
          <w:p>
            <w:pPr>
              <w:spacing w:after="0"/>
              <w:rPr>
                <w:sz w:val="14"/>
                <w:szCs w:val="14"/>
                <w:color w:val="auto"/>
              </w:rPr>
            </w:pP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680,448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257,017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296,225</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266,813</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240,261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$ 1,740,764</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108,456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117,050</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28,012</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46,652</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(32,650)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(17,592)</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249,928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losses of</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(29,666)</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(39,031)</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net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(5,169)</w:t>
            </w: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176,062</w:t>
            </w:r>
          </w:p>
        </w:tc>
      </w:tr>
      <w:tr>
        <w:trPr>
          <w:trHeight w:val="168"/>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28,739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9,676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3,847</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35,525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9,256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87,043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10,601</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5,091</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22,204</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6,364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45,430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credit (expense)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13,715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4,037</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27,004</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(510)</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Other</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Businesses</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Newspaper</w:t>
            </w:r>
          </w:p>
        </w:tc>
        <w:tc>
          <w:tcPr>
            <w:tcW w:w="1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Television</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Magazine</w:t>
            </w:r>
          </w:p>
        </w:tc>
        <w:tc>
          <w:tcPr>
            <w:tcW w:w="4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Cable</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and Corporate</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Publishing</w:t>
            </w: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Broadcasting</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Publishing</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Television</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Education</w:t>
            </w:r>
          </w:p>
        </w:tc>
        <w:tc>
          <w:tcPr>
            <w:tcW w:w="3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Office</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24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641,211</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247,995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283,152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248,718</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192,252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3,843</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$ 1,617,171</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114,729</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114,536</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41,845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47,975</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(28,010)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(20,759)</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270,316</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losses of</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(18,082)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23,893</w:t>
            </w:r>
          </w:p>
        </w:tc>
      </w:tr>
      <w:tr>
        <w:trPr>
          <w:trHeight w:val="168"/>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274,288</w:t>
            </w:r>
          </w:p>
        </w:tc>
      </w:tr>
      <w:tr>
        <w:trPr>
          <w:trHeight w:val="168"/>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25,235</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8,571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32,325</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6,510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76,687</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1,147</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10,689</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22,394</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5,193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43,857</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credit (expense)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21,600</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6,738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36,636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64,032</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540" w:firstLine="612"/>
        <w:spacing w:after="0" w:line="256" w:lineRule="auto"/>
        <w:rPr>
          <w:sz w:val="20"/>
          <w:szCs w:val="20"/>
          <w:color w:val="auto"/>
        </w:rPr>
      </w:pPr>
      <w:r>
        <w:rPr>
          <w:rFonts w:ascii="Courier New" w:cs="Courier New" w:eastAsia="Courier New" w:hAnsi="Courier New"/>
          <w:sz w:val="14"/>
          <w:szCs w:val="14"/>
          <w:color w:val="auto"/>
        </w:rPr>
        <w:t>Newspaper publishing includes the publication of newspapers in the Washington, D.C. area (The Washington Post and the Gazette community newspapers) and Everett, Washington (The Everett Herald). This business division also includes newsprint warehousing, recycling operations and the company's electronic media publishing business (primarily washingtonpost.com).</w:t>
      </w:r>
    </w:p>
    <w:p>
      <w:pPr>
        <w:spacing w:after="0" w:line="163" w:lineRule="exact"/>
        <w:rPr>
          <w:sz w:val="20"/>
          <w:szCs w:val="20"/>
          <w:color w:val="auto"/>
        </w:rPr>
      </w:pPr>
    </w:p>
    <w:p>
      <w:pPr>
        <w:ind w:right="4620" w:firstLine="612"/>
        <w:spacing w:after="0" w:line="235" w:lineRule="auto"/>
        <w:rPr>
          <w:sz w:val="20"/>
          <w:szCs w:val="20"/>
          <w:color w:val="auto"/>
        </w:rPr>
      </w:pPr>
      <w:r>
        <w:rPr>
          <w:rFonts w:ascii="Courier New" w:cs="Courier New" w:eastAsia="Courier New" w:hAnsi="Courier New"/>
          <w:sz w:val="15"/>
          <w:szCs w:val="15"/>
          <w:color w:val="auto"/>
        </w:rPr>
        <w:t>Television broadcasting operations are conducted through six VHF, network-affiliated television stations serving the Detroit, Houston, Miami, San Antonio, Orlando and Jacksonville television markets.</w:t>
      </w:r>
    </w:p>
    <w:p>
      <w:pPr>
        <w:spacing w:after="0" w:line="174"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74" w:lineRule="exact"/>
        <w:rPr>
          <w:sz w:val="20"/>
          <w:szCs w:val="20"/>
          <w:color w:val="auto"/>
        </w:rPr>
      </w:pPr>
    </w:p>
    <w:p>
      <w:pPr>
        <w:ind w:right="4800" w:firstLine="612"/>
        <w:spacing w:after="0" w:line="235" w:lineRule="auto"/>
        <w:rPr>
          <w:sz w:val="20"/>
          <w:szCs w:val="20"/>
          <w:color w:val="auto"/>
        </w:rPr>
      </w:pPr>
      <w:r>
        <w:rPr>
          <w:rFonts w:ascii="Courier New" w:cs="Courier New" w:eastAsia="Courier New" w:hAnsi="Courier New"/>
          <w:sz w:val="15"/>
          <w:szCs w:val="15"/>
          <w:color w:val="auto"/>
        </w:rPr>
        <w:t>Cable television operations consist of over 50 cable systems offering basic cable and pay television services to 735,700 subscribers in midwestern, western, and southern states.</w:t>
      </w:r>
    </w:p>
    <w:p>
      <w:pPr>
        <w:spacing w:after="0" w:line="174" w:lineRule="exact"/>
        <w:rPr>
          <w:sz w:val="20"/>
          <w:szCs w:val="20"/>
          <w:color w:val="auto"/>
        </w:rPr>
      </w:pPr>
    </w:p>
    <w:p>
      <w:pPr>
        <w:ind w:right="4540" w:firstLine="612"/>
        <w:spacing w:after="0" w:line="255" w:lineRule="auto"/>
        <w:rPr>
          <w:sz w:val="20"/>
          <w:szCs w:val="20"/>
          <w:color w:val="auto"/>
        </w:rPr>
      </w:pPr>
      <w:r>
        <w:rPr>
          <w:rFonts w:ascii="Courier New" w:cs="Courier New" w:eastAsia="Courier New" w:hAnsi="Courier New"/>
          <w:sz w:val="14"/>
          <w:szCs w:val="14"/>
          <w:color w:val="auto"/>
        </w:rPr>
        <w:t>Educational products and services are provided through the company's wholly-owned subsidiary Kaplan, Inc. Kaplan's five major lines of businesses include Test Preparation and Admissions, providing test preparation services for college and graduate school entrance exams; Quest Education Corporation, a provider of post-secondary education offering bachelor degrees, associate degrees and diploma programs primarily in the fields of health care, business and information technology; Kaplan Professional, providing education services to business people and other professionals; SCORE!, offering multi-media learning</w:t>
      </w:r>
    </w:p>
    <w:p>
      <w:pPr>
        <w:sectPr>
          <w:pgSz w:w="11900" w:h="16838" w:orient="portrait"/>
          <w:cols w:equalWidth="0" w:num="1">
            <w:col w:w="11540"/>
          </w:cols>
          <w:pgMar w:left="220" w:top="281" w:right="139" w:bottom="0" w:gutter="0" w:footer="0" w:header="0"/>
        </w:sectPr>
      </w:pPr>
    </w:p>
    <w:bookmarkStart w:id="10" w:name="page11"/>
    <w:bookmarkEnd w:id="10"/>
    <w:p>
      <w:pPr>
        <w:ind w:right="3679"/>
        <w:spacing w:after="0" w:line="235" w:lineRule="auto"/>
        <w:rPr>
          <w:sz w:val="20"/>
          <w:szCs w:val="20"/>
          <w:color w:val="auto"/>
        </w:rPr>
      </w:pPr>
      <w:r>
        <w:rPr>
          <w:rFonts w:ascii="Courier New" w:cs="Courier New" w:eastAsia="Courier New" w:hAnsi="Courier New"/>
          <w:sz w:val="15"/>
          <w:szCs w:val="15"/>
          <w:color w:val="auto"/>
        </w:rPr>
        <w:t>and private tutoring to children in kindergarten through twelfth grade; and Kaplancollege.com, Kaplan's distance learning business, including Concord University School of Law, the country's first online law school.</w:t>
      </w:r>
    </w:p>
    <w:p>
      <w:pPr>
        <w:sectPr>
          <w:pgSz w:w="11900" w:h="16838" w:orient="portrait"/>
          <w:cols w:equalWidth="0" w:num="1">
            <w:col w:w="10239"/>
          </w:cols>
          <w:pgMar w:left="220" w:top="14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9"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Other businesses and corporate office for 2000 includes the expenses of the company's corporate office. Through the first half of 1999, the other businesses and corporate office segment also includes the result of Legi-Slate, Inc., which was sold in June 1999.</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3" w:lineRule="exact"/>
        <w:rPr>
          <w:sz w:val="20"/>
          <w:szCs w:val="20"/>
          <w:color w:val="auto"/>
        </w:rPr>
      </w:pPr>
    </w:p>
    <w:p>
      <w:pPr>
        <w:ind w:right="3939" w:firstLine="612"/>
        <w:spacing w:after="0" w:line="234"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COMPARISONS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Net income for the third quarter of 2000 was $33.5 million ($3.51 per share), a decrease of $18.2 million, or 35 percent, from net income of $51.7 million ($5.10 per share) in the third quarter last year. The decline in third quarter earnings was primarily caused by increased costs associated with the development of new businesses (impact of $4.0 million or $0.53 per share), higher interest expense (impact of $4.9 million or $0.54 per share), a reduced pension credit (impact of $3.6 million or $0.30 per share) and lower earnings at the magazine publishing division (impact of $4.5 million or $0.46 per share). These declines were offset in part by higher operating income at the company's television broadcasting operations. In addition, the third quarter of 1999 included gains from the sale of marketable equity securities which did not recur in 2000 (impact of $3.7 million or $0.35 per share).</w:t>
      </w:r>
    </w:p>
    <w:p>
      <w:pPr>
        <w:spacing w:after="0" w:line="164"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Revenue for the third quarter of 2000 was $602.5 million, up 12 percent from $539.6 million in 1999. Advertising and circulation and subscriber revenues increased 9 percent and 3 percent, respectively, as compared to last year. Education revenues increased 47 percent over 1999. The increase in advertising revenues is primarily attributable to the contribution of political and Olympic advertising at the company's television broadcasting subsidiary, as well as advertising gains at The Washington Post newspaper, Newsweek magazine and washingtonpost.com. The increase in circulation and subscriber revenues is primarily attributable to higher subscriber revenues at Cable One, mainly due to rate increases established to offset the rising cost of programming. Approximately 75 percent of the growth in education revenue is attributable to acquisitions (principally Quest -- acquired August 2, 2000). The remaining increase in education revenue is due to growth at Score! and higher sales at Kaplan, Inc.'s test preparation division.</w:t>
      </w:r>
    </w:p>
    <w:p>
      <w:pPr>
        <w:spacing w:after="0" w:line="164"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Costs and expenses for the third quarter of 2000 increased 14 percent to $517.9 million, from $453.2 million in the third quarter of 1999. The increase in costs and expenses is attributable to acquisitions completed after September 1999, increased spending for</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9"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new business initiatives, higher depreciation expense and a lower pension credit.</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increased spending for new business initiatives occurred mainly at Kaplan, Inc., and Washingtonpost.Newsweek Interactive. At Kaplan, new business spending was focused on the build-out of various distance learning websites (including kaptest.com and kaplancollege.com) and the marketing and expansion of Score! Educational Centers. In addition, Kaplan continued the development and marketing of eScore.com, an educational services website designed to help parents with the academic advancement of their children. At Washingtonpost.Newsweek Interactive, increased spending was dedicated principally to marketing and sales initiatives.</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increase in depreciation expense is mainly due to capital spending at Cable One, The Washington Post, and Kaplan. The company's operating expenses for the third quarter of 2000 were reduced by $15.0 million of pension credits, compared to $21.0 million during the third quarter of 1999. The decline in the 2000 pension credit is mostly attributable to lower investment returns generated by pension funds in 1999.</w:t>
      </w:r>
    </w:p>
    <w:p>
      <w:pPr>
        <w:spacing w:after="0" w:line="175"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Operating income declined 2 percent to $84.6 million from $86.4 million in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NEWSPAPER PUBLISHING. At the newspaper division, revenues increased 7 percent in the third quarter of 2000 to $227.6 million; division operating income for the third quarter declined 10 percent to $35.0 million. The overall decline in division operating income is attributable to increased spending for the marketing and advancement of washingtonpost.com, lower pension credits and higher newsprint expense, offset in part by higher print and on-line advertising revenues. Newsprint expense increased 21 percent in the third quarter of 2000 mostly due to price increases.</w:t>
      </w:r>
    </w:p>
    <w:p>
      <w:pPr>
        <w:spacing w:after="0" w:line="177"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Print advertising revenues at The Washington Post newspaper increased 6 percent for the third quarter of 2000, due principally to rate increases. Advertising volume at The Washington Post totaled 814,100 inches in the third quarter of 2000, up 1 percent from 806,900 inches in the third quarter of 1999. Online advertising revenues increased approximately 130 percent. For the third quarter of 2000, Post daily and Sunday circulation declined 1.5 percent as compared to the third quarter of 1999.</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TELEVISION BROADCASTING. Revenues at the broadcast division totaled $88.9 million for the third quarter of 2000, a 16 percent increase over the third quarter of 1999. Division operating income for the quarter totaled $41.9 million, an increase of 23 percent over the prior year. Political and Olympics advertising in the third quarter</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of 2000 totaled approximately $16 million, accounting for most of the improvement in the 2000 operating results.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MAGAZINE PUBLISHING. Revenues at the magazine division were $95.9 million for the third quarter of 2000, a 4 percent increase over the third quarter of 1999; division operating income for the third quarter of 2000 declined 70 percent to $4.6 million. The 70 percent decline in third quarter operating results occurred primarily at Newsweek, where reduced pension credits and higher subscription acquisition costs outpaced improvements in domestic and international edition advertising revenues.</w:t>
      </w:r>
    </w:p>
    <w:p>
      <w:pPr>
        <w:spacing w:after="0" w:line="176"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CABLE TELEVISION. At the cable division, third quarter 2000 revenues of $90.6 million were 7 percent higher than 1999; division cash flow (operating income excluding depreciation and amortization expense) for the quarter totaled $35.3 million, a 2 percent decline from the third quarter of last year.</w:t>
      </w:r>
    </w:p>
    <w:p>
      <w:pPr>
        <w:spacing w:after="0" w:line="16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Cable division operating income decreased 9 percent in the third quarter. The decline in operating income is mostly due to an increase in programming expense, additional costs associated with the launch of new services, and higher depreciation expense. These factors were offset in part by higher subscriber revenues.</w:t>
      </w:r>
    </w:p>
    <w:p>
      <w:pPr>
        <w:spacing w:after="0" w:line="174"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increase in depreciation expense is due to capital spending for system rebuilds and upgrades which will enable the cable division to offer new digital and high-speed cable modem services to its subscribers. The cable division began its roll-out plan for these services in the second and third quarters of this year.</w:t>
      </w:r>
    </w:p>
    <w:p>
      <w:pPr>
        <w:spacing w:after="0" w:line="174"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At the end of the third quarter of 2000, there were 735,700 basic subscribers, an increase of 1 percent compared to 730,200 basic subscribers at the end of the third quarter of 1999.</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EDUCATION. Educational products and services are provided through the company's wholly-owned subsidiary Kaplan, Inc. Kaplan's five major lines of business include: Test Preparation and Admissions, providing test preparation services for college and graduate school entrance exams; Quest Education Corporation (acquired August 2, 2000), a provider of post-secondary education offering bachelor degrees, associate degrees and diploma programs primarily in the fields of health care, business and information technology; Kaplan Professional, providing education services to business people and other professionals; SCORE!, offering multi-media learning and private tutoring to children in kindergarten through twelfth grade; and Kaplancollege.com, Kaplan's distance learning business, including Concord University School of Law, the country's first online law school.</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Excluding the operating results of the career fair and HireSystems businesses from 1999 (these businesses were contributed to BrassRing in the third quarter of 1999), education division revenues increased 48 percent to $99.4 million from $67.3 million in 1999. Operating losses for the quarter totaled $6.7 million, compared to operating income of $7.1 million in the third quarter 1999. Approximately 75 percent of the increase in revenue is attributed to acquisitions (principally Quest -- acquired August 2, 2000). The remaining improvement in revenue is mostly due to growth at Score! and the test preparation business. The decline in operating income is primarily attributable to marketing and expansion activities at Score!, start-up costs associated with eScore.com and the development of various distance learning initiatives (primarily kaplancollege.com and kaptest.com). These factors were offset in part by operating income generated by acquisitions completed after the third quarter of 1999 and the test preparation business.</w:t>
      </w:r>
    </w:p>
    <w:p>
      <w:pPr>
        <w:spacing w:after="0" w:line="174" w:lineRule="exact"/>
        <w:rPr>
          <w:sz w:val="20"/>
          <w:szCs w:val="20"/>
          <w:color w:val="auto"/>
        </w:rPr>
      </w:pPr>
    </w:p>
    <w:p>
      <w:pPr>
        <w:ind w:right="3759" w:firstLine="612"/>
        <w:spacing w:after="0" w:line="234" w:lineRule="auto"/>
        <w:rPr>
          <w:sz w:val="20"/>
          <w:szCs w:val="20"/>
          <w:color w:val="auto"/>
        </w:rPr>
      </w:pPr>
      <w:r>
        <w:rPr>
          <w:rFonts w:ascii="Courier New" w:cs="Courier New" w:eastAsia="Courier New" w:hAnsi="Courier New"/>
          <w:sz w:val="15"/>
          <w:szCs w:val="15"/>
          <w:color w:val="auto"/>
        </w:rPr>
        <w:t>At the end of September 2000, Score! operated 115 learning centers, compared to 81 centers at the end of September 1999.</w:t>
      </w:r>
    </w:p>
    <w:p>
      <w:pPr>
        <w:spacing w:after="0" w:line="173" w:lineRule="exact"/>
        <w:rPr>
          <w:sz w:val="20"/>
          <w:szCs w:val="20"/>
          <w:color w:val="auto"/>
        </w:rPr>
      </w:pPr>
    </w:p>
    <w:p>
      <w:pPr>
        <w:jc w:val="both"/>
        <w:ind w:right="3679" w:firstLine="612"/>
        <w:spacing w:after="0" w:line="236" w:lineRule="auto"/>
        <w:rPr>
          <w:sz w:val="20"/>
          <w:szCs w:val="20"/>
          <w:color w:val="auto"/>
        </w:rPr>
      </w:pPr>
      <w:r>
        <w:rPr>
          <w:rFonts w:ascii="Courier New" w:cs="Courier New" w:eastAsia="Courier New" w:hAnsi="Courier New"/>
          <w:sz w:val="15"/>
          <w:szCs w:val="15"/>
          <w:color w:val="auto"/>
        </w:rPr>
        <w:t>Including the results of the career fair businesses and HireSystems, division revenues totaled $99.4 million, a 35 percent increase in division revenues of $73.8 million last year. Division operating losses totaled $6.7 million in the third quarter of 2000 compared to operating losses of $13.7 million in 1999.</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BUSINESSES AND CORPORATE OFFICE. Operating losses for the third quarter of 2000 totaled $6.2 million, representing a 10 percent improvement as compared to the third quarter of last year. The reduction in 2000 losses is primarily attributable to reduced spending at the company's corporate office.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EQUITY IN LOSSES OF AFFILIATES. The company's equity in losses of affiliates in the third quarter of 2000 was $8.9 million, compared to losses of $0.1 million for the third quarter of 1999. The company's affiliate investments consist of a 42 percent interest in BrassRing, Inc. (formed in late September 1999), a 50 percent interest in the International Herald Tribune (IHT) and a 49 percent interest in Bowater Mersey Paper Company Limited. The decline in 2000 affiliate results is primarily attributable to BrassRing, Inc., which is in the integration and marketing phase of its operations. BrassRing accounted for approximately $9.8 million of the total 2000 third quarter equity in losses of affiliates.</w:t>
      </w:r>
    </w:p>
    <w:p>
      <w:pPr>
        <w:spacing w:after="0" w:line="179"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NON-OPERATING ITEMS. The company recorded other non-operating income of $0.2 million for the third quarter of 2000, compared to $8.3 million in the third quarter of 1999. The company's 1999 other non-operating income consists principally of gains on the sale of marketable securities (mostly various Internet-related securities).</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NET INTEREST EXPENSE. For the third quarter of 2000, the company incurred net interest expense of $14.4 million, compared to net interest expense of $6.3 million for the same period in the prior year. At October 1, 2000, the company had $936.0 million in borrowings outstanding.</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INCOME TAXES. The effective tax rate in the third quarter of 2000 was 45.5 percent, compared to 41.5 percent in 1999. The increase in the effective tax rate is principally due to the non-recognition of benefits from state net operating loss carryforwards generated by certain of the company's new business start-up activities.</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EARNINGS PER SHARE. The calculation of diluted earnings per share for the third quarter of 2000 was based on 9,463,000 weighted average shares outstanding, compared to 10,101,000 for the third quarter of 1999. The company made no significant repurchases of its stock during the third quarter of 2000.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 COMPARISONS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For the first nine months of 2000, net income totaled $98.8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(10.33 per share), compared with net income of $164.8 million ($16.18 per share)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same period of 1999. Consistent with the company's results for the third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2000, the decline in the company's nine-month earnings was primarily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result of new business development, the absence of non-recurring gains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sale of marketable securities which occurred in 1999, higher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a reduced pension credit and lower earnings at the magazine publishing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These factors were offset in part by increased operating income 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Post newspaper and the company's broadcast operations.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Revenues for the first nine months of 2000 were $1,740.8 million, up 8 percent over revenue of $1,617.2 million in the first nine months of 1999. Advertising revenues increased 6 percent and circulation and subscriber revenues increased 4 percent over the prior year. Education revenues increased 37 percent, while other operating revenues decreased 27 percent as compared to last year. The increase in advertising revenues is due principally to increased advertising at The Washington Post newspaper, washingtonpost.com and the company's broadcast television stations. The increase in circulation and subscriber revenues is attributable to higher cable subscriber revenues (mainly due to rate increases). Approximately one-half of the growth in education revenues arose from acquisitions completed after September 1999, with the remaining increase due mostly to growth at Score! and Kaplan's test preparation business. The decrease in other revenues is primarily due to the absence of revenue generated by Kaplan's career fair business (contributed to BrassRing in September 1999) and Legi-Slate (sold in June 1999).</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09"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Costs and expenses for the first nine months of 2000 increased 11 percent to $1,490.8 million, from $1,346.9 million in 1999. The increase in costs and expenses is attributable to acquisitions completed after September 1999 (principally Quest), increased spending for new business initiatives, higher depreciation expense and lower pension credits.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increased spending for new business initiatives occurred mainly at Kaplan, Inc., and Washingtonpost.Newsweek Interactive. At Kaplan, new business spending was focused on the build-out of various distance learning websites (including kaptest.com and kaplancollege.com) and the marketing and expansion of Score! Educational Centers. In addition, Kaplan continued the development and marketing of eSCORE.com, an educational services website designed to help parents with the academic advancement of their children. At Washingtonpost.Newsweek Interactive, increased spending was dedicated principally to marketing and sales initiatives.</w:t>
      </w:r>
    </w:p>
    <w:p>
      <w:pPr>
        <w:spacing w:after="0" w:line="178"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The increase in depreciation expense is mainly due to capital spending at Cable One, The Washington Post, and Kaplan.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company's expenses for the first nine months of 2000 were reduced by $45.0 million of pension credits, compared to $63.0 million during the first nine months of 1999. Management expects the 2000 annual pension credit will approximate $60.0 million, compared to $81.7 million in 1999. The decline in the 2000 pension credit is mostly attributable to lower investment returns generated by pension funds in 1999.</w:t>
      </w:r>
    </w:p>
    <w:p>
      <w:pPr>
        <w:spacing w:after="0" w:line="175"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Operating income of $249.9 million decreased 8 percent from operating income of $270.3 in 1999.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NEWSPAPER PUBLISHING. Newspaper division revenues of $680.4 million for the first nine months of 2000 were up 6 percent over the comparable period of 1999; division operating income for the first nine months of 2000 totaled $108.5 million, a 5 percent decrease from 1999. The decline in operating income for the first nine months of 2000 is due to increased spending for the marketing and advancement of washingtonpost.com, reduced pension credits and higher newsprint expense, offset in part by higher print and on-line advertising revenues. For the first nine months of 2000, newsprint expense increased 4 percent over 1999, due to increases in price and consumption.</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Print advertising revenues at The Washington Post newspaper increased 5 percent over the first nine months of 1999, due to higher rates and volume. Advertising volume at The Washington Post totaled 2,416,800 inches for the first nine months of 2000, up 2 percent from 2,366,300 inches in 1999. Online advertising revenues increased approximately 130 percent.</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09" w:lineRule="exact"/>
        <w:rPr>
          <w:sz w:val="20"/>
          <w:szCs w:val="20"/>
          <w:color w:val="auto"/>
        </w:rPr>
      </w:pPr>
    </w:p>
    <w:p>
      <w:pPr>
        <w:ind w:right="3839" w:firstLine="612"/>
        <w:spacing w:after="0" w:line="261" w:lineRule="auto"/>
        <w:rPr>
          <w:sz w:val="20"/>
          <w:szCs w:val="20"/>
          <w:color w:val="auto"/>
        </w:rPr>
      </w:pPr>
      <w:r>
        <w:rPr>
          <w:rFonts w:ascii="Courier New" w:cs="Courier New" w:eastAsia="Courier New" w:hAnsi="Courier New"/>
          <w:sz w:val="14"/>
          <w:szCs w:val="14"/>
          <w:color w:val="auto"/>
        </w:rPr>
        <w:t>For the first nine months of 2000, Post daily circulation remained essentially unchanged, while Sunday circulation declined 1 percent.</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TELEVISION BROADCASTING. Revenues at the broadcast division totaled $257.0 million through the first nine months of 2000, a 4 percent increase over 1999. Division operating income totaled $117.0 million for the first nine months of 2000, a 2 percent improvement compared to the same period in 1999. The broadcast division's 2000 operating results benefited from approximately $16 million of political and Olympics advertising, which accounted for the improvement in operating results versus last year.</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MAGAZINE PUBLISHING. Magazine division revenues totaled $296.2 million for the first nine months of 2000, a 5 percent increase over 1999. Magazine division operating income for the first nine months of 2000 totaled $28.0 million, a 33 percent decrease from 1999. The decline in division operating results occurred at Newsweek, where reduced pension credits and higher subscription acquisition costs outpaced improvements in domestic and international edition advertising revenues.</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CABLE TELEVISION. Cable division revenues of $266.8 million increased 7 percent during the first nine months of 1999; division cash flow (operating income excluding depreciation and amortization expense) of $104.4 million increased 2 percent over last year. Cable division operating income declined 3 percent as compared to 1999. The decline in cable division operating income is mostly due to additional costs associated with the launch of new services, an increase in programming expenses and higher depreciation expense, offset in part by increased subscriber revenue.</w:t>
      </w:r>
    </w:p>
    <w:p>
      <w:pPr>
        <w:spacing w:after="0" w:line="177"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increase in depreciation expense is due to capital spending for system rebuilds and upgrades which will enable the cable division to offer new digital and high-speed cable modem services to its subscribers. The cable division began its roll-out plan for these services in the second and third quarters of this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 Excluding the operating results of the career fair and HireSystems</w:t>
      </w:r>
    </w:p>
    <w:p>
      <w:pPr>
        <w:spacing w:after="0" w:line="237" w:lineRule="auto"/>
        <w:rPr>
          <w:sz w:val="20"/>
          <w:szCs w:val="20"/>
          <w:color w:val="auto"/>
        </w:rPr>
      </w:pPr>
      <w:r>
        <w:rPr>
          <w:rFonts w:ascii="Courier New" w:cs="Courier New" w:eastAsia="Courier New" w:hAnsi="Courier New"/>
          <w:sz w:val="15"/>
          <w:szCs w:val="15"/>
          <w:color w:val="auto"/>
        </w:rPr>
        <w:t>businesses from 1999 (these businesses were contributed to BrassRing in the</w:t>
      </w:r>
    </w:p>
    <w:p>
      <w:pPr>
        <w:spacing w:after="0" w:line="238" w:lineRule="auto"/>
        <w:rPr>
          <w:sz w:val="20"/>
          <w:szCs w:val="20"/>
          <w:color w:val="auto"/>
        </w:rPr>
      </w:pPr>
      <w:r>
        <w:rPr>
          <w:rFonts w:ascii="Courier New" w:cs="Courier New" w:eastAsia="Courier New" w:hAnsi="Courier New"/>
          <w:sz w:val="15"/>
          <w:szCs w:val="15"/>
          <w:color w:val="auto"/>
        </w:rPr>
        <w:t>third quarter of 1999), education division revenue increased 37 percent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$240.3 million for the first nine months of 2000. Operating losses through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nine months of 2000 totaled $32.6 million, compared to operating losses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 million for the same period in 1999. Approximately one-half of the increase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revenue is attributable to acquisitions (principally Quest). The remaining</w:t>
      </w:r>
    </w:p>
    <w:p>
      <w:pPr>
        <w:spacing w:after="0" w:line="237" w:lineRule="auto"/>
        <w:rPr>
          <w:sz w:val="20"/>
          <w:szCs w:val="20"/>
          <w:color w:val="auto"/>
        </w:rPr>
      </w:pPr>
      <w:r>
        <w:rPr>
          <w:rFonts w:ascii="Courier New" w:cs="Courier New" w:eastAsia="Courier New" w:hAnsi="Courier New"/>
          <w:sz w:val="15"/>
          <w:szCs w:val="15"/>
          <w:color w:val="auto"/>
        </w:rPr>
        <w:t>improvement in revenue is mostly due to growth at Score! and Kaplan's test</w:t>
      </w:r>
    </w:p>
    <w:p>
      <w:pPr>
        <w:spacing w:after="0" w:line="238" w:lineRule="auto"/>
        <w:rPr>
          <w:sz w:val="20"/>
          <w:szCs w:val="20"/>
          <w:color w:val="auto"/>
        </w:rPr>
      </w:pPr>
      <w:r>
        <w:rPr>
          <w:rFonts w:ascii="Courier New" w:cs="Courier New" w:eastAsia="Courier New" w:hAnsi="Courier New"/>
          <w:sz w:val="15"/>
          <w:szCs w:val="15"/>
          <w:color w:val="auto"/>
        </w:rPr>
        <w:t>preparation business. The decline in 2000 operating results is primarily</w:t>
      </w:r>
    </w:p>
    <w:p>
      <w:pPr>
        <w:spacing w:after="0" w:line="237" w:lineRule="auto"/>
        <w:rPr>
          <w:sz w:val="20"/>
          <w:szCs w:val="20"/>
          <w:color w:val="auto"/>
        </w:rPr>
      </w:pPr>
      <w:r>
        <w:rPr>
          <w:rFonts w:ascii="Courier New" w:cs="Courier New" w:eastAsia="Courier New" w:hAnsi="Courier New"/>
          <w:sz w:val="15"/>
          <w:szCs w:val="15"/>
          <w:color w:val="auto"/>
        </w:rPr>
        <w:t>attributable to marketing and expansion</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activities at Score!, start-up costs associated with eScore.com and the development of various distance learning initiatives (primarily kaplancollege.com and kaptest.com), offset in part by operating income generated by acquisitions completed after the third quarter of 1999 and the test preparation business.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Including the operating results of the career fair and HireSystems</w:t>
      </w:r>
    </w:p>
    <w:p>
      <w:pPr>
        <w:spacing w:after="0" w:line="237" w:lineRule="auto"/>
        <w:rPr>
          <w:sz w:val="20"/>
          <w:szCs w:val="20"/>
          <w:color w:val="auto"/>
        </w:rPr>
      </w:pPr>
      <w:r>
        <w:rPr>
          <w:rFonts w:ascii="Courier New" w:cs="Courier New" w:eastAsia="Courier New" w:hAnsi="Courier New"/>
          <w:sz w:val="15"/>
          <w:szCs w:val="15"/>
          <w:color w:val="auto"/>
        </w:rPr>
        <w:t>businesses, revenue for the first nine months of 2000 increased 25 percent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$240.3 million. Operating losses totaled $32.6 million for the first nine months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2000, compared to losses of $28.0 million in 1999.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BUSINESSES AND CORPORATE OFFICE. Operating losses for the first nine months of 2000 totaled $17.6 million, a 15 percent improvement compared to operating losses of $20.8 million during the same period in 1999. The reduction in 2000 losses is primarily attributable to the absence of losses generated by Legi-State (sold in June 1999) and reduced spending at the company's corporate office.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EQUITY IN LOSSES OF AFFILIATES. For the first nine months of 2000, the company's equity in losses of affiliates totaled $29.7 million, compared to losses of $1.8 million in 1999. The decline in 2000 affiliate results is primarily attributable to BrassRing, Inc., which is in the integration and marketing phase of its operations. BrassRing accounted for approximately $28.1 million of the total equity in losses of affiliates during the first nine months of 2000.</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NON-OPERATING ITEMS. The company recorded other non-operating expense of $5.2 million through the first nine months of 2000, compared to non-operating income of $23.9 million for the same period of the prior year. The 1999 non-operating income was comprised mostly of non-recurring gains arising for the sale of marketable securities (mostly various Internet related securities).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INTEREST EXPENSE. Through the first nine months of 2000, the company incurred net interest expense of $39.0 million, compared to $18.1 million for the same period in 1999. The increase in net interest expense is attributable to borrowings executed after the third quarter of 1999 to fund capital improvements, business acquisitions, and common stock repurchases (principally in December 1999).</w:t>
      </w:r>
    </w:p>
    <w:p>
      <w:pPr>
        <w:spacing w:after="0" w:line="17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INCOME TAXES. The effective tax rate through the first nine months of 2000 increased to 43.9 percent from 39.9 percent through the first nine months of 1999. The increase in the effective tax rate is principally due to the non-recognition of benefits from state net operating loss carryforwards generated by certain of the company's new business start-up activities.</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09"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EARNINGS PER SHARE. The calculation of diluted earnings per share for the first nine months of 2000 was based on 9,459,000 weighted average shares outstanding, compared to 10,127,000 for the first nine months of 1999. The company made no significant repurchases of its stock during the first nine months of 2000.</w:t>
      </w:r>
    </w:p>
    <w:p>
      <w:pPr>
        <w:spacing w:after="0" w:line="158"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4"/>
          <w:szCs w:val="14"/>
          <w:color w:val="auto"/>
        </w:rPr>
        <w:t>CAPITAL RESOURCES AND LIQUIDITY</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ACQUISITIONS. In the first nine months of 2000, the company acquired various businesses for approximately $197.1 million, principally consisting of Quest Education Corporation (on August 2, 2000) for approximately $177.7 million, including assumed debt and acquisition related expenses, and two cable systems serving approximately 8,500 subscribers in South Sioux City, NE (in June 2000) and Diamondhead, MS (in August 2000) for approximately $16.2 million.</w:t>
      </w:r>
    </w:p>
    <w:p>
      <w:pPr>
        <w:spacing w:after="0" w:line="166"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INVESTMENTS IN MARKETABLE EQUITY SECURITIES. During the first nine months of 2000, the company received $6.3 million from the sale of certain marketable equity securities.</w:t>
      </w:r>
    </w:p>
    <w:p>
      <w:pPr>
        <w:spacing w:after="0" w:line="17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At October 1, 2000, the fair value of the company's investments in marketable equity securities was $209.5 million, of which $190.0 million consists of the company's investment in the common stock of Berkshire Hathaway, Inc. The remaining investment in marketable equity securities consist of common stock investments in various publicly traded companies, most of which have concentrations in Internet business activities.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CAPITAL EXPENDITURES. During the first nine months of 2000, the company's capital expenditures totaled approximately $108.6 million, the most significant portion of which related to plant upgrades at the company's cable subsidiary. The company anticipates it will spend approximately $155.0 million throughout 2000 for property and equipment, primarily for various projects at the cable, newspaper and education divisions.</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LIQUIDITY. During the first nine months of 2000, the company's commercial paper borrowings, net of repayments, increased by $47.3 million. The net increase is principally due to the Quest acquisition previously discussed.</w:t>
      </w:r>
    </w:p>
    <w:p>
      <w:pPr>
        <w:spacing w:after="0" w:line="174"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During the first nine months of 2000, the company had average borrowings outstanding of approximately $845.3 million at an average annual interest rate of 6.0 percent.</w:t>
      </w:r>
    </w:p>
    <w:p>
      <w:pPr>
        <w:spacing w:after="0" w:line="174"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On September 20, 2000, the company added to its existing $500 million revolving credit facility with a one-year $250 million revolving credit facility. The purpose of the company's revolving credit facilities is to support the issuance of commercial paper borrowings.</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9"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("SAB 101"). This bulletin summarizes certain of the Staff's views in the application of generally accepted accounting principles to revenue recognition in financial statements. The required implementation of SAB 101 has been deferred until the fourth quarter of 2000, although adoption would be as of January 1, 2000. The company is monitoring on-going interpretations of SAB 101, but at this time believes that there will be no material impact on the company's financial statements.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All public statements made by the company and its representatives which are not statements of historical fact, including statements in this quarterly report, are "forward-looking statements" within the meaning of the Private Securities Litigation Reform Act of 1995. Forward-looking statements are subject to certain risks and uncertainties that could cause actual results and achievements to differ materially from those expressed in the forward-looking statements. These risks and uncertainties include: changes in prevailing economic conditions, particularly in the specific geographic and other markets served by the company; actions of competitors; changes in customer preferences; changes in communications and broadcast technologies; and the effects of changing cost or availability of raw materials, including changes in the cost or availability of newsprint and magazine body paper. They also include other risks detailed from time to time in the company's publicly-filed documents, including the company's Annual Report on Form 10-K for the period ended January 2, 2000.</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22</w:t>
      </w:r>
    </w:p>
    <w:p>
      <w:pPr>
        <w:spacing w:after="0" w:line="33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1060" w:hanging="438"/>
        <w:spacing w:after="0"/>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exhibits to this report:</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EXHIBIT</w:t>
      </w:r>
    </w:p>
    <w:p>
      <w:pPr>
        <w:ind w:left="280"/>
        <w:spacing w:after="0" w:line="237" w:lineRule="auto"/>
        <w:tabs>
          <w:tab w:leader="none" w:pos="25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42" w:lineRule="exact"/>
        <w:rPr>
          <w:sz w:val="20"/>
          <w:szCs w:val="20"/>
          <w:color w:val="auto"/>
        </w:rPr>
      </w:pPr>
    </w:p>
    <w:p>
      <w:pPr>
        <w:ind w:left="1240" w:right="3239" w:hanging="611"/>
        <w:spacing w:after="0" w:line="256" w:lineRule="auto"/>
        <w:tabs>
          <w:tab w:leader="none" w:pos="12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163" w:lineRule="exact"/>
        <w:rPr>
          <w:sz w:val="20"/>
          <w:szCs w:val="20"/>
          <w:color w:val="auto"/>
        </w:rPr>
      </w:pPr>
    </w:p>
    <w:p>
      <w:pPr>
        <w:ind w:left="1240" w:right="3239" w:hanging="611"/>
        <w:spacing w:after="0" w:line="258" w:lineRule="auto"/>
        <w:tabs>
          <w:tab w:leader="none" w:pos="12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company as amended through September 9, 1993 (incorporated by reference to Exhibit 3 to the company's Quarterly Report on Form 10-Q for the quarter ended October 3, 1993).</w:t>
      </w:r>
    </w:p>
    <w:p>
      <w:pPr>
        <w:spacing w:after="0" w:line="161" w:lineRule="exact"/>
        <w:rPr>
          <w:sz w:val="20"/>
          <w:szCs w:val="20"/>
          <w:color w:val="auto"/>
        </w:rPr>
      </w:pPr>
    </w:p>
    <w:p>
      <w:pPr>
        <w:ind w:left="1240" w:right="3239" w:hanging="611"/>
        <w:spacing w:after="0" w:line="236" w:lineRule="auto"/>
        <w:tabs>
          <w:tab w:leader="none" w:pos="12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174" w:lineRule="exact"/>
        <w:rPr>
          <w:sz w:val="20"/>
          <w:szCs w:val="20"/>
          <w:color w:val="auto"/>
        </w:rPr>
      </w:pPr>
    </w:p>
    <w:p>
      <w:pPr>
        <w:ind w:left="1240" w:right="3399" w:hanging="611"/>
        <w:spacing w:after="0" w:line="256" w:lineRule="auto"/>
        <w:tabs>
          <w:tab w:leader="none" w:pos="12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Form of the company's 5.50% Notes due February 15, 2009, issued under the Indenture dated as of February 17, 1999, between the company and The First National Bank of Chicago, as Trustee (incorporate by reference to Exhibit 4.2 to the company's Annual Report on Form 10-K for the fiscal year ended January 3, 1999).</w:t>
      </w:r>
    </w:p>
    <w:p>
      <w:pPr>
        <w:spacing w:after="0" w:line="163" w:lineRule="exact"/>
        <w:rPr>
          <w:sz w:val="20"/>
          <w:szCs w:val="20"/>
          <w:color w:val="auto"/>
        </w:rPr>
      </w:pPr>
    </w:p>
    <w:p>
      <w:pPr>
        <w:jc w:val="both"/>
        <w:ind w:left="1240" w:right="3399" w:hanging="611"/>
        <w:spacing w:after="0" w:line="256" w:lineRule="auto"/>
        <w:tabs>
          <w:tab w:leader="none" w:pos="12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Indenture dated as of February 17, 1999, between the company and The First National Bank of Chicago, as Trustee (incorporated by reference to Exhibit 4.3 to the company's Annual Report on Form 10-K for the fiscal year ended January 3, 1999).</w:t>
      </w:r>
    </w:p>
    <w:p>
      <w:pPr>
        <w:spacing w:after="0" w:line="164" w:lineRule="exact"/>
        <w:rPr>
          <w:sz w:val="20"/>
          <w:szCs w:val="20"/>
          <w:color w:val="auto"/>
        </w:rPr>
      </w:pPr>
    </w:p>
    <w:p>
      <w:pPr>
        <w:ind w:left="1240" w:right="3239" w:hanging="611"/>
        <w:spacing w:after="0" w:line="235" w:lineRule="auto"/>
        <w:tabs>
          <w:tab w:leader="none" w:pos="12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364-Day Credit Agreement dated as of September 20, 2000, among the company, Citibank, N.A., Suntrust Bank and the Chase Manhattan Bank.</w:t>
      </w:r>
    </w:p>
    <w:p>
      <w:pPr>
        <w:spacing w:after="0" w:line="167" w:lineRule="exact"/>
        <w:rPr>
          <w:sz w:val="20"/>
          <w:szCs w:val="20"/>
          <w:color w:val="auto"/>
        </w:rPr>
      </w:pPr>
    </w:p>
    <w:p>
      <w:pPr>
        <w:ind w:left="1240" w:hanging="618"/>
        <w:spacing w:after="0"/>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66" w:lineRule="exact"/>
        <w:rPr>
          <w:rFonts w:ascii="Courier New" w:cs="Courier New" w:eastAsia="Courier New" w:hAnsi="Courier New"/>
          <w:sz w:val="15"/>
          <w:szCs w:val="15"/>
          <w:color w:val="auto"/>
        </w:rPr>
      </w:pPr>
    </w:p>
    <w:p>
      <w:pPr>
        <w:ind w:left="1240" w:hanging="618"/>
        <w:spacing w:after="0"/>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 October 1,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filing only).</w:t>
      </w:r>
    </w:p>
    <w:p>
      <w:pPr>
        <w:sectPr>
          <w:pgSz w:w="11900" w:h="16838" w:orient="portrait"/>
          <w:cols w:equalWidth="0" w:num="1">
            <w:col w:w="10239"/>
          </w:cols>
          <w:pgMar w:left="220" w:top="28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09" w:lineRule="exact"/>
        <w:rPr>
          <w:sz w:val="20"/>
          <w:szCs w:val="20"/>
          <w:color w:val="auto"/>
        </w:rPr>
      </w:pPr>
    </w:p>
    <w:p>
      <w:pPr>
        <w:ind w:left="960" w:right="3399" w:hanging="618"/>
        <w:spacing w:after="0" w:line="236" w:lineRule="auto"/>
        <w:tabs>
          <w:tab w:leader="none" w:pos="9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27, 2000, the company filed a report on Form 8-K related to the announcement of its agreement to purchase all the outstanding shares of Quest Education Corporation in an all cash tender offer to be commenced by Kaplan, Inc., a wholly-owned subsidiary of the company.</w:t>
      </w:r>
    </w:p>
    <w:p>
      <w:pPr>
        <w:sectPr>
          <w:pgSz w:w="11900" w:h="16838" w:orient="portrait"/>
          <w:cols w:equalWidth="0" w:num="1">
            <w:col w:w="9959"/>
          </w:cols>
          <w:pgMar w:left="50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09"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WASHINGTON POST COMPANY</w:t>
      </w:r>
    </w:p>
    <w:p>
      <w:pPr>
        <w:ind w:left="334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Courier New" w:cs="Courier New" w:eastAsia="Courier New" w:hAnsi="Courier New"/>
          <w:sz w:val="14"/>
          <w:szCs w:val="14"/>
          <w:color w:val="auto"/>
        </w:rPr>
        <w:t>November 8, 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Donald E. Graham, Chairman &amp;</w:t>
      </w:r>
    </w:p>
    <w:p>
      <w:pPr>
        <w:ind w:left="520"/>
        <w:spacing w:after="0" w:line="237" w:lineRule="auto"/>
        <w:rPr>
          <w:sz w:val="20"/>
          <w:szCs w:val="20"/>
          <w:color w:val="auto"/>
        </w:rPr>
      </w:pPr>
      <w:r>
        <w:rPr>
          <w:rFonts w:ascii="Courier New" w:cs="Courier New" w:eastAsia="Courier New" w:hAnsi="Courier New"/>
          <w:sz w:val="15"/>
          <w:szCs w:val="15"/>
          <w:color w:val="auto"/>
        </w:rPr>
        <w:t>Chief Executive Officer</w:t>
      </w:r>
    </w:p>
    <w:p>
      <w:pPr>
        <w:ind w:left="440"/>
        <w:spacing w:after="0" w:line="238"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40" w:space="180"/>
            <w:col w:w="1400" w:space="700"/>
            <w:col w:w="7519"/>
          </w:cols>
          <w:pgMar w:left="220" w:top="281"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Courier New" w:cs="Courier New" w:eastAsia="Courier New" w:hAnsi="Courier New"/>
          <w:sz w:val="14"/>
          <w:szCs w:val="14"/>
          <w:color w:val="auto"/>
        </w:rPr>
        <w:t>November 8, 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John B. Morse,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ind w:left="260"/>
        <w:spacing w:after="0" w:line="237" w:lineRule="auto"/>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40" w:space="180"/>
            <w:col w:w="1400" w:space="700"/>
            <w:col w:w="7519"/>
          </w:cols>
          <w:pgMar w:left="220" w:top="281"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 $250,000,000</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364-DAY CREDIT AGREEMENT</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Dated as of September 20, 2000</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WASHINGTON POST COMPANY</w:t>
      </w:r>
    </w:p>
    <w:p>
      <w:pPr>
        <w:jc w:val="center"/>
        <w:ind w:right="3399"/>
        <w:spacing w:after="0" w:line="237" w:lineRule="auto"/>
        <w:rPr>
          <w:sz w:val="20"/>
          <w:szCs w:val="20"/>
          <w:color w:val="auto"/>
        </w:rPr>
      </w:pPr>
      <w:r>
        <w:rPr>
          <w:rFonts w:ascii="Courier New" w:cs="Courier New" w:eastAsia="Courier New" w:hAnsi="Courier New"/>
          <w:sz w:val="15"/>
          <w:szCs w:val="15"/>
          <w:color w:val="auto"/>
        </w:rPr>
        <w:t>as Borrower</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INITIAL LENDERS NAMED HEREIN</w:t>
      </w:r>
    </w:p>
    <w:p>
      <w:pPr>
        <w:ind w:left="2440"/>
        <w:spacing w:after="0" w:line="237" w:lineRule="auto"/>
        <w:rPr>
          <w:sz w:val="20"/>
          <w:szCs w:val="20"/>
          <w:color w:val="auto"/>
        </w:rPr>
      </w:pPr>
      <w:r>
        <w:rPr>
          <w:rFonts w:ascii="Courier New" w:cs="Courier New" w:eastAsia="Courier New" w:hAnsi="Courier New"/>
          <w:sz w:val="15"/>
          <w:szCs w:val="15"/>
          <w:color w:val="auto"/>
        </w:rPr>
        <w:t>as Initial Lenders</w:t>
      </w:r>
    </w:p>
    <w:p>
      <w:pPr>
        <w:ind w:left="3140"/>
        <w:spacing w:after="0" w:line="238" w:lineRule="auto"/>
        <w:rPr>
          <w:sz w:val="20"/>
          <w:szCs w:val="20"/>
          <w:color w:val="auto"/>
        </w:rPr>
      </w:pPr>
      <w:r>
        <w:rPr>
          <w:rFonts w:ascii="Courier New" w:cs="Courier New" w:eastAsia="Courier New" w:hAnsi="Courier New"/>
          <w:sz w:val="15"/>
          <w:szCs w:val="15"/>
          <w:color w:val="auto"/>
        </w:rPr>
        <w:t>and</w:t>
      </w:r>
    </w:p>
    <w:p>
      <w:pPr>
        <w:spacing w:after="0" w:line="16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CITIBANK, N.A.</w:t>
      </w:r>
    </w:p>
    <w:p>
      <w:pPr>
        <w:ind w:left="2260"/>
        <w:spacing w:after="0" w:line="237" w:lineRule="auto"/>
        <w:rPr>
          <w:sz w:val="20"/>
          <w:szCs w:val="20"/>
          <w:color w:val="auto"/>
        </w:rPr>
      </w:pPr>
      <w:r>
        <w:rPr>
          <w:rFonts w:ascii="Courier New" w:cs="Courier New" w:eastAsia="Courier New" w:hAnsi="Courier New"/>
          <w:sz w:val="15"/>
          <w:szCs w:val="15"/>
          <w:color w:val="auto"/>
        </w:rPr>
        <w:t>as Administrative Agent</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SUNTRUST BANK</w:t>
      </w:r>
    </w:p>
    <w:p>
      <w:pPr>
        <w:ind w:left="2360"/>
        <w:spacing w:after="0" w:line="237" w:lineRule="auto"/>
        <w:rPr>
          <w:sz w:val="20"/>
          <w:szCs w:val="20"/>
          <w:color w:val="auto"/>
        </w:rPr>
      </w:pPr>
      <w:r>
        <w:rPr>
          <w:rFonts w:ascii="Courier New" w:cs="Courier New" w:eastAsia="Courier New" w:hAnsi="Courier New"/>
          <w:sz w:val="15"/>
          <w:szCs w:val="15"/>
          <w:color w:val="auto"/>
        </w:rPr>
        <w:t>as Syndication Agent</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CHASE MANHATTAN BANK</w:t>
      </w:r>
    </w:p>
    <w:p>
      <w:pPr>
        <w:jc w:val="center"/>
        <w:ind w:right="3499"/>
        <w:spacing w:after="0" w:line="237" w:lineRule="auto"/>
        <w:rPr>
          <w:sz w:val="20"/>
          <w:szCs w:val="20"/>
          <w:color w:val="auto"/>
        </w:rPr>
      </w:pPr>
      <w:r>
        <w:rPr>
          <w:rFonts w:ascii="Courier New" w:cs="Courier New" w:eastAsia="Courier New" w:hAnsi="Courier New"/>
          <w:sz w:val="15"/>
          <w:szCs w:val="15"/>
          <w:color w:val="auto"/>
        </w:rPr>
        <w:t>as Documentation Agent</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SALOMON SMITH BARNEY INC.</w:t>
      </w:r>
    </w:p>
    <w:p>
      <w:pPr>
        <w:ind w:left="1920"/>
        <w:spacing w:after="0" w:line="237" w:lineRule="auto"/>
        <w:rPr>
          <w:sz w:val="20"/>
          <w:szCs w:val="20"/>
          <w:color w:val="auto"/>
        </w:rPr>
      </w:pPr>
      <w:r>
        <w:rPr>
          <w:rFonts w:ascii="Courier New" w:cs="Courier New" w:eastAsia="Courier New" w:hAnsi="Courier New"/>
          <w:sz w:val="15"/>
          <w:szCs w:val="15"/>
          <w:color w:val="auto"/>
        </w:rPr>
        <w:t>Lead Arranger and Book Manager</w:t>
      </w:r>
    </w:p>
    <w:p>
      <w:pPr>
        <w:sectPr>
          <w:pgSz w:w="11900" w:h="16838" w:orient="portrait"/>
          <w:cols w:equalWidth="0" w:num="1">
            <w:col w:w="9959"/>
          </w:cols>
          <w:pgMar w:left="500" w:top="13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Page</w:t>
      </w:r>
    </w:p>
    <w:p>
      <w:pPr>
        <w:spacing w:after="0" w:line="200" w:lineRule="exact"/>
        <w:rPr>
          <w:sz w:val="20"/>
          <w:szCs w:val="20"/>
          <w:color w:val="auto"/>
        </w:rPr>
      </w:pPr>
    </w:p>
    <w:p>
      <w:pPr>
        <w:spacing w:after="0" w:line="303"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66" w:lineRule="exact"/>
        <w:rPr>
          <w:sz w:val="20"/>
          <w:szCs w:val="20"/>
          <w:color w:val="auto"/>
        </w:rPr>
      </w:pPr>
    </w:p>
    <w:p>
      <w:pPr>
        <w:ind w:left="520"/>
        <w:spacing w:after="0"/>
        <w:tabs>
          <w:tab w:leader="dot" w:pos="9680" w:val="left"/>
        </w:tabs>
        <w:rPr>
          <w:sz w:val="20"/>
          <w:szCs w:val="20"/>
          <w:color w:val="auto"/>
        </w:rPr>
      </w:pPr>
      <w:r>
        <w:rPr>
          <w:rFonts w:ascii="Courier New" w:cs="Courier New" w:eastAsia="Courier New" w:hAnsi="Courier New"/>
          <w:sz w:val="15"/>
          <w:szCs w:val="15"/>
          <w:color w:val="auto"/>
        </w:rPr>
        <w:t>SECTION 1.01. Certain Defined Terms</w:t>
      </w:r>
      <w:r>
        <w:rPr>
          <w:sz w:val="20"/>
          <w:szCs w:val="20"/>
          <w:color w:val="auto"/>
        </w:rPr>
        <w:tab/>
      </w:r>
      <w:r>
        <w:rPr>
          <w:rFonts w:ascii="Courier New" w:cs="Courier New" w:eastAsia="Courier New" w:hAnsi="Courier New"/>
          <w:sz w:val="12"/>
          <w:szCs w:val="12"/>
          <w:color w:val="auto"/>
        </w:rPr>
        <w:t>1</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1.02. Computation of Time Periods</w:t>
      </w:r>
      <w:r>
        <w:rPr>
          <w:sz w:val="20"/>
          <w:szCs w:val="20"/>
          <w:color w:val="auto"/>
        </w:rPr>
        <w:tab/>
      </w:r>
      <w:r>
        <w:rPr>
          <w:rFonts w:ascii="Courier New" w:cs="Courier New" w:eastAsia="Courier New" w:hAnsi="Courier New"/>
          <w:sz w:val="12"/>
          <w:szCs w:val="12"/>
          <w:color w:val="auto"/>
        </w:rPr>
        <w:t>13</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1.03. Accounting Terms</w:t>
      </w:r>
      <w:r>
        <w:rPr>
          <w:sz w:val="20"/>
          <w:szCs w:val="20"/>
          <w:color w:val="auto"/>
        </w:rPr>
        <w:tab/>
      </w:r>
      <w:r>
        <w:rPr>
          <w:rFonts w:ascii="Courier New" w:cs="Courier New" w:eastAsia="Courier New" w:hAnsi="Courier New"/>
          <w:sz w:val="12"/>
          <w:szCs w:val="12"/>
          <w:color w:val="auto"/>
        </w:rPr>
        <w:t>13</w:t>
      </w:r>
    </w:p>
    <w:p>
      <w:pPr>
        <w:spacing w:after="0" w:line="167"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66"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2.01. The Revolving Credit Advances</w:t>
      </w:r>
      <w:r>
        <w:rPr>
          <w:sz w:val="20"/>
          <w:szCs w:val="20"/>
          <w:color w:val="auto"/>
        </w:rPr>
        <w:tab/>
      </w:r>
      <w:r>
        <w:rPr>
          <w:rFonts w:ascii="Courier New" w:cs="Courier New" w:eastAsia="Courier New" w:hAnsi="Courier New"/>
          <w:sz w:val="12"/>
          <w:szCs w:val="12"/>
          <w:color w:val="auto"/>
        </w:rPr>
        <w:t>13</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2.02. Making the Revolving Credit Advances</w:t>
      </w:r>
      <w:r>
        <w:rPr>
          <w:sz w:val="20"/>
          <w:szCs w:val="20"/>
          <w:color w:val="auto"/>
        </w:rPr>
        <w:tab/>
      </w:r>
      <w:r>
        <w:rPr>
          <w:rFonts w:ascii="Courier New" w:cs="Courier New" w:eastAsia="Courier New" w:hAnsi="Courier New"/>
          <w:sz w:val="12"/>
          <w:szCs w:val="12"/>
          <w:color w:val="auto"/>
        </w:rPr>
        <w:t>14</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2.03. The Competitive Bid Advances</w:t>
      </w:r>
      <w:r>
        <w:rPr>
          <w:sz w:val="20"/>
          <w:szCs w:val="20"/>
          <w:color w:val="auto"/>
        </w:rPr>
        <w:tab/>
      </w:r>
      <w:r>
        <w:rPr>
          <w:rFonts w:ascii="Courier New" w:cs="Courier New" w:eastAsia="Courier New" w:hAnsi="Courier New"/>
          <w:sz w:val="12"/>
          <w:szCs w:val="12"/>
          <w:color w:val="auto"/>
        </w:rPr>
        <w:t>15</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2.04. Fees</w:t>
      </w:r>
      <w:r>
        <w:rPr>
          <w:sz w:val="20"/>
          <w:szCs w:val="20"/>
          <w:color w:val="auto"/>
        </w:rPr>
        <w:tab/>
      </w:r>
      <w:r>
        <w:rPr>
          <w:rFonts w:ascii="Courier New" w:cs="Courier New" w:eastAsia="Courier New" w:hAnsi="Courier New"/>
          <w:sz w:val="12"/>
          <w:szCs w:val="12"/>
          <w:color w:val="auto"/>
        </w:rPr>
        <w:t>19</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2.05. Termination, Reduction or Increase of the Commitments</w:t>
      </w:r>
      <w:r>
        <w:rPr>
          <w:sz w:val="20"/>
          <w:szCs w:val="20"/>
          <w:color w:val="auto"/>
        </w:rPr>
        <w:tab/>
      </w:r>
      <w:r>
        <w:rPr>
          <w:rFonts w:ascii="Courier New" w:cs="Courier New" w:eastAsia="Courier New" w:hAnsi="Courier New"/>
          <w:sz w:val="12"/>
          <w:szCs w:val="12"/>
          <w:color w:val="auto"/>
        </w:rPr>
        <w:t>19</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2.06. Repayment of Revolving Credit Advances; Term Loan Election</w:t>
      </w:r>
      <w:r>
        <w:rPr>
          <w:sz w:val="20"/>
          <w:szCs w:val="20"/>
          <w:color w:val="auto"/>
        </w:rPr>
        <w:tab/>
      </w:r>
      <w:r>
        <w:rPr>
          <w:rFonts w:ascii="Courier New" w:cs="Courier New" w:eastAsia="Courier New" w:hAnsi="Courier New"/>
          <w:sz w:val="12"/>
          <w:szCs w:val="12"/>
          <w:color w:val="auto"/>
        </w:rPr>
        <w:t>21</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2.07. Interest on Revolving Credit Advances</w:t>
      </w:r>
      <w:r>
        <w:rPr>
          <w:sz w:val="20"/>
          <w:szCs w:val="20"/>
          <w:color w:val="auto"/>
        </w:rPr>
        <w:tab/>
      </w:r>
      <w:r>
        <w:rPr>
          <w:rFonts w:ascii="Courier New" w:cs="Courier New" w:eastAsia="Courier New" w:hAnsi="Courier New"/>
          <w:sz w:val="12"/>
          <w:szCs w:val="12"/>
          <w:color w:val="auto"/>
        </w:rPr>
        <w:t>22</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2.08. Interest Rate Determination</w:t>
      </w:r>
      <w:r>
        <w:rPr>
          <w:sz w:val="20"/>
          <w:szCs w:val="20"/>
          <w:color w:val="auto"/>
        </w:rPr>
        <w:tab/>
      </w:r>
      <w:r>
        <w:rPr>
          <w:rFonts w:ascii="Courier New" w:cs="Courier New" w:eastAsia="Courier New" w:hAnsi="Courier New"/>
          <w:sz w:val="12"/>
          <w:szCs w:val="12"/>
          <w:color w:val="auto"/>
        </w:rPr>
        <w:t>22</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2.09. Optional Conversion of Revolving Credit Advances</w:t>
      </w:r>
      <w:r>
        <w:rPr>
          <w:sz w:val="20"/>
          <w:szCs w:val="20"/>
          <w:color w:val="auto"/>
        </w:rPr>
        <w:tab/>
      </w:r>
      <w:r>
        <w:rPr>
          <w:rFonts w:ascii="Courier New" w:cs="Courier New" w:eastAsia="Courier New" w:hAnsi="Courier New"/>
          <w:sz w:val="12"/>
          <w:szCs w:val="12"/>
          <w:color w:val="auto"/>
        </w:rPr>
        <w:t>23</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2.10. Optional Prepayments of Revolving Credit Advances</w:t>
      </w:r>
      <w:r>
        <w:rPr>
          <w:sz w:val="20"/>
          <w:szCs w:val="20"/>
          <w:color w:val="auto"/>
        </w:rPr>
        <w:tab/>
      </w:r>
      <w:r>
        <w:rPr>
          <w:rFonts w:ascii="Courier New" w:cs="Courier New" w:eastAsia="Courier New" w:hAnsi="Courier New"/>
          <w:sz w:val="12"/>
          <w:szCs w:val="12"/>
          <w:color w:val="auto"/>
        </w:rPr>
        <w:t>24</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2.11. Increased Costs</w:t>
      </w:r>
      <w:r>
        <w:rPr>
          <w:sz w:val="20"/>
          <w:szCs w:val="20"/>
          <w:color w:val="auto"/>
        </w:rPr>
        <w:tab/>
      </w:r>
      <w:r>
        <w:rPr>
          <w:rFonts w:ascii="Courier New" w:cs="Courier New" w:eastAsia="Courier New" w:hAnsi="Courier New"/>
          <w:sz w:val="12"/>
          <w:szCs w:val="12"/>
          <w:color w:val="auto"/>
        </w:rPr>
        <w:t>24</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2.12. Illegality</w:t>
      </w:r>
      <w:r>
        <w:rPr>
          <w:sz w:val="20"/>
          <w:szCs w:val="20"/>
          <w:color w:val="auto"/>
        </w:rPr>
        <w:tab/>
      </w:r>
      <w:r>
        <w:rPr>
          <w:rFonts w:ascii="Courier New" w:cs="Courier New" w:eastAsia="Courier New" w:hAnsi="Courier New"/>
          <w:sz w:val="12"/>
          <w:szCs w:val="12"/>
          <w:color w:val="auto"/>
        </w:rPr>
        <w:t>25</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2.13. Payments and Computations</w:t>
      </w:r>
      <w:r>
        <w:rPr>
          <w:sz w:val="20"/>
          <w:szCs w:val="20"/>
          <w:color w:val="auto"/>
        </w:rPr>
        <w:tab/>
      </w:r>
      <w:r>
        <w:rPr>
          <w:rFonts w:ascii="Courier New" w:cs="Courier New" w:eastAsia="Courier New" w:hAnsi="Courier New"/>
          <w:sz w:val="12"/>
          <w:szCs w:val="12"/>
          <w:color w:val="auto"/>
        </w:rPr>
        <w:t>26</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2.14. Taxes</w:t>
      </w:r>
      <w:r>
        <w:rPr>
          <w:sz w:val="20"/>
          <w:szCs w:val="20"/>
          <w:color w:val="auto"/>
        </w:rPr>
        <w:tab/>
      </w:r>
      <w:r>
        <w:rPr>
          <w:rFonts w:ascii="Courier New" w:cs="Courier New" w:eastAsia="Courier New" w:hAnsi="Courier New"/>
          <w:sz w:val="12"/>
          <w:szCs w:val="12"/>
          <w:color w:val="auto"/>
        </w:rPr>
        <w:t>27</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2.15. Sharing of Payments, Etc</w:t>
      </w:r>
      <w:r>
        <w:rPr>
          <w:sz w:val="20"/>
          <w:szCs w:val="20"/>
          <w:color w:val="auto"/>
        </w:rPr>
        <w:tab/>
      </w:r>
      <w:r>
        <w:rPr>
          <w:rFonts w:ascii="Courier New" w:cs="Courier New" w:eastAsia="Courier New" w:hAnsi="Courier New"/>
          <w:sz w:val="12"/>
          <w:szCs w:val="12"/>
          <w:color w:val="auto"/>
        </w:rPr>
        <w:t>29</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2.16. Use of Proceeds</w:t>
      </w:r>
      <w:r>
        <w:rPr>
          <w:sz w:val="20"/>
          <w:szCs w:val="20"/>
          <w:color w:val="auto"/>
        </w:rPr>
        <w:tab/>
      </w:r>
      <w:r>
        <w:rPr>
          <w:rFonts w:ascii="Courier New" w:cs="Courier New" w:eastAsia="Courier New" w:hAnsi="Courier New"/>
          <w:sz w:val="12"/>
          <w:szCs w:val="12"/>
          <w:color w:val="auto"/>
        </w:rPr>
        <w:t>29</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2.17. Extension of Termination Date</w:t>
      </w:r>
      <w:r>
        <w:rPr>
          <w:sz w:val="20"/>
          <w:szCs w:val="20"/>
          <w:color w:val="auto"/>
        </w:rPr>
        <w:tab/>
      </w:r>
      <w:r>
        <w:rPr>
          <w:rFonts w:ascii="Courier New" w:cs="Courier New" w:eastAsia="Courier New" w:hAnsi="Courier New"/>
          <w:sz w:val="12"/>
          <w:szCs w:val="12"/>
          <w:color w:val="auto"/>
        </w:rPr>
        <w:t>29</w:t>
      </w:r>
    </w:p>
    <w:p>
      <w:pPr>
        <w:spacing w:after="0" w:line="167"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CONDITIONS TO EFFECTIVENESS AND LENDING</w:t>
      </w:r>
    </w:p>
    <w:p>
      <w:pPr>
        <w:spacing w:after="0" w:line="166"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3.01. Conditions Precedent to Effectiveness of Sections 2.01 and 2.03</w:t>
      </w:r>
      <w:r>
        <w:rPr>
          <w:sz w:val="20"/>
          <w:szCs w:val="20"/>
          <w:color w:val="auto"/>
        </w:rPr>
        <w:tab/>
      </w:r>
      <w:r>
        <w:rPr>
          <w:rFonts w:ascii="Courier New" w:cs="Courier New" w:eastAsia="Courier New" w:hAnsi="Courier New"/>
          <w:sz w:val="12"/>
          <w:szCs w:val="12"/>
          <w:color w:val="auto"/>
        </w:rPr>
        <w:t>32</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3.02. Conditions Precedent to Each Revolving Credit Borrowing, Increase Date and Extension Date.32</w:t>
      </w:r>
    </w:p>
    <w:p>
      <w:pPr>
        <w:spacing w:after="0" w:line="3"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3.03. Conditions Precedent to Each Competitive Bid Borrowing</w:t>
      </w:r>
      <w:r>
        <w:rPr>
          <w:sz w:val="20"/>
          <w:szCs w:val="20"/>
          <w:color w:val="auto"/>
        </w:rPr>
        <w:tab/>
      </w:r>
      <w:r>
        <w:rPr>
          <w:rFonts w:ascii="Courier New" w:cs="Courier New" w:eastAsia="Courier New" w:hAnsi="Courier New"/>
          <w:sz w:val="12"/>
          <w:szCs w:val="12"/>
          <w:color w:val="auto"/>
        </w:rPr>
        <w:t>33</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3.04. Determinations Under Section 3.01</w:t>
      </w:r>
      <w:r>
        <w:rPr>
          <w:sz w:val="20"/>
          <w:szCs w:val="20"/>
          <w:color w:val="auto"/>
        </w:rPr>
        <w:tab/>
      </w:r>
      <w:r>
        <w:rPr>
          <w:rFonts w:ascii="Courier New" w:cs="Courier New" w:eastAsia="Courier New" w:hAnsi="Courier New"/>
          <w:sz w:val="12"/>
          <w:szCs w:val="12"/>
          <w:color w:val="auto"/>
        </w:rPr>
        <w:t>33</w:t>
      </w:r>
    </w:p>
    <w:p>
      <w:pPr>
        <w:spacing w:after="0" w:line="200" w:lineRule="exact"/>
        <w:rPr>
          <w:sz w:val="20"/>
          <w:szCs w:val="20"/>
          <w:color w:val="auto"/>
        </w:rPr>
      </w:pPr>
    </w:p>
    <w:p>
      <w:pPr>
        <w:spacing w:after="0" w:line="30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9959"/>
          </w:cols>
          <w:pgMar w:left="500" w:top="28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4.01. Representations and Warranties of the Borrower</w:t>
      </w:r>
      <w:r>
        <w:rPr>
          <w:sz w:val="20"/>
          <w:szCs w:val="20"/>
          <w:color w:val="auto"/>
        </w:rPr>
        <w:tab/>
      </w:r>
      <w:r>
        <w:rPr>
          <w:rFonts w:ascii="Courier New" w:cs="Courier New" w:eastAsia="Courier New" w:hAnsi="Courier New"/>
          <w:sz w:val="12"/>
          <w:szCs w:val="12"/>
          <w:color w:val="auto"/>
        </w:rPr>
        <w:t>34</w:t>
      </w:r>
    </w:p>
    <w:p>
      <w:pPr>
        <w:spacing w:after="0" w:line="166"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COVENANTS OF THE BORROWER</w:t>
      </w:r>
    </w:p>
    <w:p>
      <w:pPr>
        <w:spacing w:after="0" w:line="166"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5.01. Affirmative Covenants</w:t>
      </w:r>
      <w:r>
        <w:rPr>
          <w:sz w:val="20"/>
          <w:szCs w:val="20"/>
          <w:color w:val="auto"/>
        </w:rPr>
        <w:tab/>
      </w:r>
      <w:r>
        <w:rPr>
          <w:rFonts w:ascii="Courier New" w:cs="Courier New" w:eastAsia="Courier New" w:hAnsi="Courier New"/>
          <w:sz w:val="12"/>
          <w:szCs w:val="12"/>
          <w:color w:val="auto"/>
        </w:rPr>
        <w:t>35</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5.02. Negative Covenants</w:t>
      </w:r>
      <w:r>
        <w:rPr>
          <w:sz w:val="20"/>
          <w:szCs w:val="20"/>
          <w:color w:val="auto"/>
        </w:rPr>
        <w:tab/>
      </w:r>
      <w:r>
        <w:rPr>
          <w:rFonts w:ascii="Courier New" w:cs="Courier New" w:eastAsia="Courier New" w:hAnsi="Courier New"/>
          <w:sz w:val="12"/>
          <w:szCs w:val="12"/>
          <w:color w:val="auto"/>
        </w:rPr>
        <w:t>37</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5.03. Financial Covenant</w:t>
      </w:r>
      <w:r>
        <w:rPr>
          <w:sz w:val="20"/>
          <w:szCs w:val="20"/>
          <w:color w:val="auto"/>
        </w:rPr>
        <w:tab/>
      </w:r>
      <w:r>
        <w:rPr>
          <w:rFonts w:ascii="Courier New" w:cs="Courier New" w:eastAsia="Courier New" w:hAnsi="Courier New"/>
          <w:sz w:val="12"/>
          <w:szCs w:val="12"/>
          <w:color w:val="auto"/>
        </w:rPr>
        <w:t>39</w:t>
      </w:r>
    </w:p>
    <w:p>
      <w:pPr>
        <w:spacing w:after="0" w:line="167"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EVENTS OF DEFAULT</w:t>
      </w:r>
    </w:p>
    <w:p>
      <w:pPr>
        <w:spacing w:after="0" w:line="166"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6.01. Events of Default</w:t>
      </w:r>
      <w:r>
        <w:rPr>
          <w:sz w:val="20"/>
          <w:szCs w:val="20"/>
          <w:color w:val="auto"/>
        </w:rPr>
        <w:tab/>
      </w:r>
      <w:r>
        <w:rPr>
          <w:rFonts w:ascii="Courier New" w:cs="Courier New" w:eastAsia="Courier New" w:hAnsi="Courier New"/>
          <w:sz w:val="12"/>
          <w:szCs w:val="12"/>
          <w:color w:val="auto"/>
        </w:rPr>
        <w:t>39</w:t>
      </w:r>
    </w:p>
    <w:p>
      <w:pPr>
        <w:spacing w:after="0" w:line="166"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THE AGENT</w:t>
      </w:r>
    </w:p>
    <w:p>
      <w:pPr>
        <w:spacing w:after="0" w:line="166"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7.01. Authorization and Action</w:t>
      </w:r>
      <w:r>
        <w:rPr>
          <w:sz w:val="20"/>
          <w:szCs w:val="20"/>
          <w:color w:val="auto"/>
        </w:rPr>
        <w:tab/>
      </w:r>
      <w:r>
        <w:rPr>
          <w:rFonts w:ascii="Courier New" w:cs="Courier New" w:eastAsia="Courier New" w:hAnsi="Courier New"/>
          <w:sz w:val="12"/>
          <w:szCs w:val="12"/>
          <w:color w:val="auto"/>
        </w:rPr>
        <w:t>41</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7.02. Agent's Reliance, Etc</w:t>
      </w:r>
      <w:r>
        <w:rPr>
          <w:sz w:val="20"/>
          <w:szCs w:val="20"/>
          <w:color w:val="auto"/>
        </w:rPr>
        <w:tab/>
      </w:r>
      <w:r>
        <w:rPr>
          <w:rFonts w:ascii="Courier New" w:cs="Courier New" w:eastAsia="Courier New" w:hAnsi="Courier New"/>
          <w:sz w:val="12"/>
          <w:szCs w:val="12"/>
          <w:color w:val="auto"/>
        </w:rPr>
        <w:t>41</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7.03. Citibank and Affiliates</w:t>
      </w:r>
      <w:r>
        <w:rPr>
          <w:sz w:val="20"/>
          <w:szCs w:val="20"/>
          <w:color w:val="auto"/>
        </w:rPr>
        <w:tab/>
      </w:r>
      <w:r>
        <w:rPr>
          <w:rFonts w:ascii="Courier New" w:cs="Courier New" w:eastAsia="Courier New" w:hAnsi="Courier New"/>
          <w:sz w:val="12"/>
          <w:szCs w:val="12"/>
          <w:color w:val="auto"/>
        </w:rPr>
        <w:t>42</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7.04. Lender Credit Decision</w:t>
      </w:r>
      <w:r>
        <w:rPr>
          <w:sz w:val="20"/>
          <w:szCs w:val="20"/>
          <w:color w:val="auto"/>
        </w:rPr>
        <w:tab/>
      </w:r>
      <w:r>
        <w:rPr>
          <w:rFonts w:ascii="Courier New" w:cs="Courier New" w:eastAsia="Courier New" w:hAnsi="Courier New"/>
          <w:sz w:val="12"/>
          <w:szCs w:val="12"/>
          <w:color w:val="auto"/>
        </w:rPr>
        <w:t>42</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7.05. Indemnification</w:t>
      </w:r>
      <w:r>
        <w:rPr>
          <w:sz w:val="20"/>
          <w:szCs w:val="20"/>
          <w:color w:val="auto"/>
        </w:rPr>
        <w:tab/>
      </w:r>
      <w:r>
        <w:rPr>
          <w:rFonts w:ascii="Courier New" w:cs="Courier New" w:eastAsia="Courier New" w:hAnsi="Courier New"/>
          <w:sz w:val="12"/>
          <w:szCs w:val="12"/>
          <w:color w:val="auto"/>
        </w:rPr>
        <w:t>42</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7.06. Successor Agent</w:t>
      </w:r>
      <w:r>
        <w:rPr>
          <w:sz w:val="20"/>
          <w:szCs w:val="20"/>
          <w:color w:val="auto"/>
        </w:rPr>
        <w:tab/>
      </w:r>
      <w:r>
        <w:rPr>
          <w:rFonts w:ascii="Courier New" w:cs="Courier New" w:eastAsia="Courier New" w:hAnsi="Courier New"/>
          <w:sz w:val="12"/>
          <w:szCs w:val="12"/>
          <w:color w:val="auto"/>
        </w:rPr>
        <w:t>42</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7.07. Documentation Agent and Syndication Agent</w:t>
      </w:r>
      <w:r>
        <w:rPr>
          <w:sz w:val="20"/>
          <w:szCs w:val="20"/>
          <w:color w:val="auto"/>
        </w:rPr>
        <w:tab/>
      </w:r>
      <w:r>
        <w:rPr>
          <w:rFonts w:ascii="Courier New" w:cs="Courier New" w:eastAsia="Courier New" w:hAnsi="Courier New"/>
          <w:sz w:val="12"/>
          <w:szCs w:val="12"/>
          <w:color w:val="auto"/>
        </w:rPr>
        <w:t>43</w:t>
      </w:r>
    </w:p>
    <w:p>
      <w:pPr>
        <w:spacing w:after="0" w:line="167"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8.01. Amendments, Etc</w:t>
      </w:r>
      <w:r>
        <w:rPr>
          <w:sz w:val="20"/>
          <w:szCs w:val="20"/>
          <w:color w:val="auto"/>
        </w:rPr>
        <w:tab/>
      </w:r>
      <w:r>
        <w:rPr>
          <w:rFonts w:ascii="Courier New" w:cs="Courier New" w:eastAsia="Courier New" w:hAnsi="Courier New"/>
          <w:sz w:val="12"/>
          <w:szCs w:val="12"/>
          <w:color w:val="auto"/>
        </w:rPr>
        <w:t>43</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8.02. Notices, Etc</w:t>
      </w:r>
      <w:r>
        <w:rPr>
          <w:sz w:val="20"/>
          <w:szCs w:val="20"/>
          <w:color w:val="auto"/>
        </w:rPr>
        <w:tab/>
      </w:r>
      <w:r>
        <w:rPr>
          <w:rFonts w:ascii="Courier New" w:cs="Courier New" w:eastAsia="Courier New" w:hAnsi="Courier New"/>
          <w:sz w:val="12"/>
          <w:szCs w:val="12"/>
          <w:color w:val="auto"/>
        </w:rPr>
        <w:t>43</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8.03. No Waiver; Remedies</w:t>
      </w:r>
      <w:r>
        <w:rPr>
          <w:sz w:val="20"/>
          <w:szCs w:val="20"/>
          <w:color w:val="auto"/>
        </w:rPr>
        <w:tab/>
      </w:r>
      <w:r>
        <w:rPr>
          <w:rFonts w:ascii="Courier New" w:cs="Courier New" w:eastAsia="Courier New" w:hAnsi="Courier New"/>
          <w:sz w:val="12"/>
          <w:szCs w:val="12"/>
          <w:color w:val="auto"/>
        </w:rPr>
        <w:t>44</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8.04. Costs and Expenses</w:t>
      </w:r>
      <w:r>
        <w:rPr>
          <w:sz w:val="20"/>
          <w:szCs w:val="20"/>
          <w:color w:val="auto"/>
        </w:rPr>
        <w:tab/>
      </w:r>
      <w:r>
        <w:rPr>
          <w:rFonts w:ascii="Courier New" w:cs="Courier New" w:eastAsia="Courier New" w:hAnsi="Courier New"/>
          <w:sz w:val="12"/>
          <w:szCs w:val="12"/>
          <w:color w:val="auto"/>
        </w:rPr>
        <w:t>44</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8.05. Right of Set-off</w:t>
      </w:r>
      <w:r>
        <w:rPr>
          <w:sz w:val="20"/>
          <w:szCs w:val="20"/>
          <w:color w:val="auto"/>
        </w:rPr>
        <w:tab/>
      </w:r>
      <w:r>
        <w:rPr>
          <w:rFonts w:ascii="Courier New" w:cs="Courier New" w:eastAsia="Courier New" w:hAnsi="Courier New"/>
          <w:sz w:val="12"/>
          <w:szCs w:val="12"/>
          <w:color w:val="auto"/>
        </w:rPr>
        <w:t>45</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8.06. Binding Effect</w:t>
      </w:r>
      <w:r>
        <w:rPr>
          <w:sz w:val="20"/>
          <w:szCs w:val="20"/>
          <w:color w:val="auto"/>
        </w:rPr>
        <w:tab/>
      </w:r>
      <w:r>
        <w:rPr>
          <w:rFonts w:ascii="Courier New" w:cs="Courier New" w:eastAsia="Courier New" w:hAnsi="Courier New"/>
          <w:sz w:val="12"/>
          <w:szCs w:val="12"/>
          <w:color w:val="auto"/>
        </w:rPr>
        <w:t>45</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8.07. Assignments and Participations</w:t>
      </w:r>
      <w:r>
        <w:rPr>
          <w:sz w:val="20"/>
          <w:szCs w:val="20"/>
          <w:color w:val="auto"/>
        </w:rPr>
        <w:tab/>
      </w:r>
      <w:r>
        <w:rPr>
          <w:rFonts w:ascii="Courier New" w:cs="Courier New" w:eastAsia="Courier New" w:hAnsi="Courier New"/>
          <w:sz w:val="12"/>
          <w:szCs w:val="12"/>
          <w:color w:val="auto"/>
        </w:rPr>
        <w:t>45</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8.08. Confidentiality</w:t>
      </w:r>
      <w:r>
        <w:rPr>
          <w:sz w:val="20"/>
          <w:szCs w:val="20"/>
          <w:color w:val="auto"/>
        </w:rPr>
        <w:tab/>
      </w:r>
      <w:r>
        <w:rPr>
          <w:rFonts w:ascii="Courier New" w:cs="Courier New" w:eastAsia="Courier New" w:hAnsi="Courier New"/>
          <w:sz w:val="12"/>
          <w:szCs w:val="12"/>
          <w:color w:val="auto"/>
        </w:rPr>
        <w:t>48</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8.09. Governing Law</w:t>
      </w:r>
      <w:r>
        <w:rPr>
          <w:sz w:val="20"/>
          <w:szCs w:val="20"/>
          <w:color w:val="auto"/>
        </w:rPr>
        <w:tab/>
      </w:r>
      <w:r>
        <w:rPr>
          <w:rFonts w:ascii="Courier New" w:cs="Courier New" w:eastAsia="Courier New" w:hAnsi="Courier New"/>
          <w:sz w:val="12"/>
          <w:szCs w:val="12"/>
          <w:color w:val="auto"/>
        </w:rPr>
        <w:t>48</w:t>
      </w:r>
    </w:p>
    <w:p>
      <w:pPr>
        <w:ind w:left="520"/>
        <w:spacing w:after="0"/>
        <w:tabs>
          <w:tab w:leader="dot" w:pos="9600" w:val="left"/>
        </w:tabs>
        <w:rPr>
          <w:sz w:val="20"/>
          <w:szCs w:val="20"/>
          <w:color w:val="auto"/>
        </w:rPr>
      </w:pPr>
      <w:r>
        <w:rPr>
          <w:rFonts w:ascii="Courier New" w:cs="Courier New" w:eastAsia="Courier New" w:hAnsi="Courier New"/>
          <w:sz w:val="15"/>
          <w:szCs w:val="15"/>
          <w:color w:val="auto"/>
        </w:rPr>
        <w:t>SECTION 8.10. Execution in Counterparts</w:t>
      </w:r>
      <w:r>
        <w:rPr>
          <w:sz w:val="20"/>
          <w:szCs w:val="20"/>
          <w:color w:val="auto"/>
        </w:rPr>
        <w:tab/>
      </w:r>
      <w:r>
        <w:rPr>
          <w:rFonts w:ascii="Courier New" w:cs="Courier New" w:eastAsia="Courier New" w:hAnsi="Courier New"/>
          <w:sz w:val="12"/>
          <w:szCs w:val="12"/>
          <w:color w:val="auto"/>
        </w:rPr>
        <w:t>48</w:t>
      </w:r>
    </w:p>
    <w:p>
      <w:pPr>
        <w:spacing w:after="0" w:line="200" w:lineRule="exact"/>
        <w:rPr>
          <w:sz w:val="20"/>
          <w:szCs w:val="20"/>
          <w:color w:val="auto"/>
        </w:rPr>
      </w:pP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959"/>
          </w:cols>
          <w:pgMar w:left="500" w:top="28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8.11.</w:t>
            </w:r>
          </w:p>
        </w:tc>
        <w:tc>
          <w:tcPr>
            <w:tcW w:w="7920" w:type="dxa"/>
            <w:vAlign w:val="bottom"/>
          </w:tcPr>
          <w:p>
            <w:pPr>
              <w:ind w:left="40"/>
              <w:spacing w:after="0"/>
              <w:rPr>
                <w:sz w:val="20"/>
                <w:szCs w:val="20"/>
                <w:color w:val="auto"/>
              </w:rPr>
            </w:pPr>
            <w:r>
              <w:rPr>
                <w:rFonts w:ascii="Courier New" w:cs="Courier New" w:eastAsia="Courier New" w:hAnsi="Courier New"/>
                <w:sz w:val="15"/>
                <w:szCs w:val="15"/>
                <w:color w:val="auto"/>
                <w:w w:val="97"/>
              </w:rPr>
              <w:t>Jurisdiction, Etc.........................................................................</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49</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8.12.</w:t>
            </w:r>
          </w:p>
        </w:tc>
        <w:tc>
          <w:tcPr>
            <w:tcW w:w="7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Waiver of Jury Trial......................................................................</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 - List of Applicable Lending Offices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5.02(a) - Existing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A-1</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w w:val="98"/>
              </w:rPr>
              <w:t>Form of Revolving</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Credit Note</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A-2</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Form of Competitive Bid Note</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B-1</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w w:val="98"/>
              </w:rPr>
              <w:t>Form of Notice of</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w w:val="96"/>
              </w:rPr>
              <w:t>Revolving Credit Borrowing</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B-2</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w w:val="98"/>
              </w:rPr>
              <w:t>Form of Notice of</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Competitive Bid Borrowing</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Form of Assignment and Acceptance</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Form of Assumption Agreement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Form of Opinion of Counsel for the Borrower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364-DAY CREDIT AGREEMENT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September 20, 2000</w:t>
      </w:r>
    </w:p>
    <w:p>
      <w:pPr>
        <w:spacing w:after="0" w:line="173" w:lineRule="exact"/>
        <w:rPr>
          <w:sz w:val="20"/>
          <w:szCs w:val="20"/>
          <w:color w:val="auto"/>
        </w:rPr>
      </w:pPr>
    </w:p>
    <w:p>
      <w:pPr>
        <w:ind w:right="3319" w:firstLine="1224"/>
        <w:spacing w:after="0" w:line="255" w:lineRule="auto"/>
        <w:rPr>
          <w:sz w:val="20"/>
          <w:szCs w:val="20"/>
          <w:color w:val="auto"/>
        </w:rPr>
      </w:pPr>
      <w:r>
        <w:rPr>
          <w:rFonts w:ascii="Courier New" w:cs="Courier New" w:eastAsia="Courier New" w:hAnsi="Courier New"/>
          <w:sz w:val="14"/>
          <w:szCs w:val="14"/>
          <w:color w:val="auto"/>
        </w:rPr>
        <w:t>The Washington Post Company, a Delaware corporation (the "Borrower"), the banks, financial institutions and other institutional lenders (the "Initial Lenders") listed on the signature pages hereof, Citibank, N.A. ("Citibank"), as administrative agent (the "Agent") for the Lenders (as hereinafter defined), SunTrust Bank ("SunTrust"), as syndication agent, and The Chase Manhattan Bank ("Chase"), as documentation agent, agree as follows:</w:t>
      </w:r>
    </w:p>
    <w:p>
      <w:pPr>
        <w:spacing w:after="0" w:line="32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3" w:lineRule="exact"/>
        <w:rPr>
          <w:sz w:val="20"/>
          <w:szCs w:val="20"/>
          <w:color w:val="auto"/>
        </w:rPr>
      </w:pPr>
    </w:p>
    <w:p>
      <w:pPr>
        <w:ind w:right="3319" w:firstLine="1224"/>
        <w:spacing w:after="0" w:line="258" w:lineRule="auto"/>
        <w:rPr>
          <w:sz w:val="20"/>
          <w:szCs w:val="20"/>
          <w:color w:val="auto"/>
        </w:rPr>
      </w:pPr>
      <w:r>
        <w:rPr>
          <w:rFonts w:ascii="Courier New" w:cs="Courier New" w:eastAsia="Courier New" w:hAnsi="Courier New"/>
          <w:sz w:val="14"/>
          <w:szCs w:val="14"/>
          <w:color w:val="auto"/>
        </w:rPr>
        <w:t>SECTION 1.01. Certain Defined Terms. As used in this Agreement, the following terms shall have the following meanings (such meanings to be equally applicable to both the singular and plural forms of the terms defined):</w:t>
      </w:r>
    </w:p>
    <w:p>
      <w:pPr>
        <w:spacing w:after="0" w:line="161" w:lineRule="exact"/>
        <w:rPr>
          <w:sz w:val="20"/>
          <w:szCs w:val="20"/>
          <w:color w:val="auto"/>
        </w:rPr>
      </w:pPr>
    </w:p>
    <w:p>
      <w:pPr>
        <w:ind w:left="620" w:right="3499" w:firstLine="612"/>
        <w:spacing w:after="0" w:line="234" w:lineRule="auto"/>
        <w:rPr>
          <w:sz w:val="20"/>
          <w:szCs w:val="20"/>
          <w:color w:val="auto"/>
        </w:rPr>
      </w:pPr>
      <w:r>
        <w:rPr>
          <w:rFonts w:ascii="Courier New" w:cs="Courier New" w:eastAsia="Courier New" w:hAnsi="Courier New"/>
          <w:sz w:val="15"/>
          <w:szCs w:val="15"/>
          <w:color w:val="auto"/>
        </w:rPr>
        <w:t>"Advance" means a Revolving Credit Advance or a Competitive Bid Advance.</w:t>
      </w:r>
    </w:p>
    <w:p>
      <w:pPr>
        <w:spacing w:after="0" w:line="173" w:lineRule="exact"/>
        <w:rPr>
          <w:sz w:val="20"/>
          <w:szCs w:val="20"/>
          <w:color w:val="auto"/>
        </w:rPr>
      </w:pPr>
    </w:p>
    <w:p>
      <w:pPr>
        <w:ind w:left="620" w:right="3239" w:firstLine="612"/>
        <w:spacing w:after="0" w:line="255" w:lineRule="auto"/>
        <w:rPr>
          <w:sz w:val="20"/>
          <w:szCs w:val="20"/>
          <w:color w:val="auto"/>
        </w:rPr>
      </w:pPr>
      <w:r>
        <w:rPr>
          <w:rFonts w:ascii="Courier New" w:cs="Courier New" w:eastAsia="Courier New" w:hAnsi="Courier New"/>
          <w:sz w:val="14"/>
          <w:szCs w:val="14"/>
          <w:color w:val="auto"/>
        </w:rPr>
        <w:t>"Affiliate"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65" w:lineRule="exact"/>
        <w:rPr>
          <w:sz w:val="20"/>
          <w:szCs w:val="20"/>
          <w:color w:val="auto"/>
        </w:rPr>
      </w:pPr>
    </w:p>
    <w:p>
      <w:pPr>
        <w:jc w:val="both"/>
        <w:ind w:left="620" w:right="3239" w:firstLine="612"/>
        <w:spacing w:after="0" w:line="258" w:lineRule="auto"/>
        <w:rPr>
          <w:sz w:val="20"/>
          <w:szCs w:val="20"/>
          <w:color w:val="auto"/>
        </w:rPr>
      </w:pPr>
      <w:r>
        <w:rPr>
          <w:rFonts w:ascii="Courier New" w:cs="Courier New" w:eastAsia="Courier New" w:hAnsi="Courier New"/>
          <w:sz w:val="14"/>
          <w:szCs w:val="14"/>
          <w:color w:val="auto"/>
        </w:rPr>
        <w:t>"Agent's Account" means the account of the Agent maintained by the Agent at Citibank with its office at 399 Park Avenue, New York, New York 10043, Account No. 36852248, Attention: Bank Loans Syndications.</w:t>
      </w:r>
    </w:p>
    <w:p>
      <w:pPr>
        <w:spacing w:after="0" w:line="161" w:lineRule="exact"/>
        <w:rPr>
          <w:sz w:val="20"/>
          <w:szCs w:val="20"/>
          <w:color w:val="auto"/>
        </w:rPr>
      </w:pPr>
    </w:p>
    <w:p>
      <w:pPr>
        <w:ind w:left="620" w:right="3239" w:firstLine="612"/>
        <w:spacing w:after="0" w:line="255" w:lineRule="auto"/>
        <w:rPr>
          <w:sz w:val="20"/>
          <w:szCs w:val="20"/>
          <w:color w:val="auto"/>
        </w:rPr>
      </w:pPr>
      <w:r>
        <w:rPr>
          <w:rFonts w:ascii="Courier New" w:cs="Courier New" w:eastAsia="Courier New" w:hAnsi="Courier New"/>
          <w:sz w:val="14"/>
          <w:szCs w:val="14"/>
          <w:color w:val="auto"/>
        </w:rPr>
        <w:t>"Applicable Lending Office"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166" w:lineRule="exact"/>
        <w:rPr>
          <w:sz w:val="20"/>
          <w:szCs w:val="20"/>
          <w:color w:val="auto"/>
        </w:rPr>
      </w:pPr>
    </w:p>
    <w:p>
      <w:pPr>
        <w:jc w:val="both"/>
        <w:ind w:left="620" w:right="3399" w:firstLine="612"/>
        <w:spacing w:after="0" w:line="235" w:lineRule="auto"/>
        <w:rPr>
          <w:sz w:val="20"/>
          <w:szCs w:val="20"/>
          <w:color w:val="auto"/>
        </w:rPr>
      </w:pPr>
      <w:r>
        <w:rPr>
          <w:rFonts w:ascii="Courier New" w:cs="Courier New" w:eastAsia="Courier New" w:hAnsi="Courier New"/>
          <w:sz w:val="15"/>
          <w:szCs w:val="15"/>
          <w:color w:val="auto"/>
        </w:rPr>
        <w:t>"Applicable Margin" means as of any date, a percentage per annum determined by reference to the Performance Level in effect on such date as set forth below:</w:t>
      </w:r>
    </w:p>
    <w:p>
      <w:pPr>
        <w:sectPr>
          <w:pgSz w:w="11900" w:h="16838" w:orient="portrait"/>
          <w:cols w:equalWidth="0" w:num="1">
            <w:col w:w="10239"/>
          </w:cols>
          <w:pgMar w:left="220" w:top="28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 ============================ ================================</w:t>
      </w:r>
    </w:p>
    <w:p>
      <w:pPr>
        <w:ind w:left="3760"/>
        <w:spacing w:after="0"/>
        <w:tabs>
          <w:tab w:leader="none" w:pos="6700" w:val="left"/>
        </w:tabs>
        <w:rPr>
          <w:sz w:val="20"/>
          <w:szCs w:val="20"/>
          <w:color w:val="auto"/>
        </w:rPr>
      </w:pPr>
      <w:r>
        <w:rPr>
          <w:rFonts w:ascii="Courier New" w:cs="Courier New" w:eastAsia="Courier New" w:hAnsi="Courier New"/>
          <w:sz w:val="15"/>
          <w:szCs w:val="15"/>
          <w:color w:val="auto"/>
        </w:rPr>
        <w:t>Applicable Margin for Base</w:t>
      </w:r>
      <w:r>
        <w:rPr>
          <w:sz w:val="20"/>
          <w:szCs w:val="20"/>
          <w:color w:val="auto"/>
        </w:rPr>
        <w:tab/>
      </w:r>
      <w:r>
        <w:rPr>
          <w:rFonts w:ascii="Courier New" w:cs="Courier New" w:eastAsia="Courier New" w:hAnsi="Courier New"/>
          <w:sz w:val="14"/>
          <w:szCs w:val="14"/>
          <w:color w:val="auto"/>
        </w:rPr>
        <w:t>Applicable Margin for</w:t>
      </w:r>
    </w:p>
    <w:p>
      <w:pPr>
        <w:ind w:left="1660"/>
        <w:spacing w:after="0"/>
        <w:tabs>
          <w:tab w:leader="none" w:pos="4340" w:val="left"/>
          <w:tab w:leader="none" w:pos="6540" w:val="left"/>
        </w:tabs>
        <w:rPr>
          <w:sz w:val="20"/>
          <w:szCs w:val="20"/>
          <w:color w:val="auto"/>
        </w:rPr>
      </w:pPr>
      <w:r>
        <w:rPr>
          <w:rFonts w:ascii="Courier New" w:cs="Courier New" w:eastAsia="Courier New" w:hAnsi="Courier New"/>
          <w:sz w:val="15"/>
          <w:szCs w:val="15"/>
          <w:color w:val="auto"/>
        </w:rPr>
        <w:t>Performance Level</w:t>
      </w:r>
      <w:r>
        <w:rPr>
          <w:sz w:val="20"/>
          <w:szCs w:val="20"/>
          <w:color w:val="auto"/>
        </w:rPr>
        <w:tab/>
      </w:r>
      <w:r>
        <w:rPr>
          <w:rFonts w:ascii="Courier New" w:cs="Courier New" w:eastAsia="Courier New" w:hAnsi="Courier New"/>
          <w:sz w:val="15"/>
          <w:szCs w:val="15"/>
          <w:color w:val="auto"/>
        </w:rPr>
        <w:t>Rate Advances</w:t>
      </w:r>
      <w:r>
        <w:rPr>
          <w:sz w:val="20"/>
          <w:szCs w:val="20"/>
          <w:color w:val="auto"/>
        </w:rPr>
        <w:tab/>
      </w:r>
      <w:r>
        <w:rPr>
          <w:rFonts w:ascii="Courier New" w:cs="Courier New" w:eastAsia="Courier New" w:hAnsi="Courier New"/>
          <w:sz w:val="14"/>
          <w:szCs w:val="14"/>
          <w:color w:val="auto"/>
        </w:rPr>
        <w:t>Eurodollar Rate Advances</w:t>
      </w:r>
    </w:p>
    <w:p>
      <w:pPr>
        <w:jc w:val="right"/>
        <w:ind w:right="879"/>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ind w:left="2360"/>
        <w:spacing w:after="0"/>
        <w:tabs>
          <w:tab w:leader="none" w:pos="4780" w:val="left"/>
          <w:tab w:leader="none" w:pos="740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4"/>
          <w:szCs w:val="14"/>
          <w:color w:val="auto"/>
        </w:rPr>
        <w:t>0.12%</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2360"/>
        <w:spacing w:after="0"/>
        <w:tabs>
          <w:tab w:leader="none" w:pos="4780" w:val="left"/>
          <w:tab w:leader="none" w:pos="740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4"/>
          <w:szCs w:val="14"/>
          <w:color w:val="auto"/>
        </w:rPr>
        <w:t>0.11%</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0"/>
          <w:szCs w:val="20"/>
          <w:color w:val="auto"/>
        </w:rPr>
      </w:pPr>
    </w:p>
    <w:p>
      <w:pPr>
        <w:ind w:left="2260"/>
        <w:spacing w:after="0"/>
        <w:tabs>
          <w:tab w:leader="none" w:pos="4780" w:val="left"/>
          <w:tab w:leader="none" w:pos="7320" w:val="left"/>
        </w:tabs>
        <w:rPr>
          <w:sz w:val="20"/>
          <w:szCs w:val="20"/>
          <w:color w:val="auto"/>
        </w:rPr>
      </w:pPr>
      <w:r>
        <w:rPr>
          <w:rFonts w:ascii="Courier New" w:cs="Courier New" w:eastAsia="Courier New" w:hAnsi="Courier New"/>
          <w:sz w:val="15"/>
          <w:szCs w:val="15"/>
          <w:color w:val="auto"/>
        </w:rPr>
        <w:t>III</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4"/>
          <w:szCs w:val="14"/>
          <w:color w:val="auto"/>
        </w:rPr>
        <w:t>0.175%</w:t>
      </w:r>
    </w:p>
    <w:p>
      <w:pPr>
        <w:jc w:val="right"/>
        <w:ind w:right="879"/>
        <w:spacing w:after="0" w:line="237" w:lineRule="auto"/>
        <w:rPr>
          <w:sz w:val="20"/>
          <w:szCs w:val="20"/>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ind w:left="340" w:right="3319" w:firstLine="612"/>
        <w:spacing w:after="0" w:line="235" w:lineRule="auto"/>
        <w:rPr>
          <w:sz w:val="20"/>
          <w:szCs w:val="20"/>
          <w:color w:val="auto"/>
        </w:rPr>
      </w:pPr>
      <w:r>
        <w:rPr>
          <w:rFonts w:ascii="Courier New" w:cs="Courier New" w:eastAsia="Courier New" w:hAnsi="Courier New"/>
          <w:sz w:val="15"/>
          <w:szCs w:val="15"/>
          <w:color w:val="auto"/>
        </w:rPr>
        <w:t>"Applicable Percentage" means, as of any date, a percentage per annum determined by reference to the Performance Level in effect on such date as set forth below:</w:t>
      </w:r>
    </w:p>
    <w:p>
      <w:pPr>
        <w:spacing w:after="0" w:line="200" w:lineRule="exact"/>
        <w:rPr>
          <w:sz w:val="20"/>
          <w:szCs w:val="20"/>
          <w:color w:val="auto"/>
        </w:rPr>
      </w:pPr>
    </w:p>
    <w:p>
      <w:pPr>
        <w:spacing w:after="0" w:line="30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 =============================</w:t>
      </w:r>
    </w:p>
    <w:p>
      <w:pPr>
        <w:ind w:left="2700"/>
        <w:spacing w:after="0"/>
        <w:tabs>
          <w:tab w:leader="none" w:pos="5220" w:val="left"/>
        </w:tabs>
        <w:rPr>
          <w:sz w:val="20"/>
          <w:szCs w:val="20"/>
          <w:color w:val="auto"/>
        </w:rPr>
      </w:pPr>
      <w:r>
        <w:rPr>
          <w:rFonts w:ascii="Courier New" w:cs="Courier New" w:eastAsia="Courier New" w:hAnsi="Courier New"/>
          <w:sz w:val="15"/>
          <w:szCs w:val="15"/>
          <w:color w:val="auto"/>
        </w:rPr>
        <w:t>Performance Level</w:t>
      </w:r>
      <w:r>
        <w:rPr>
          <w:sz w:val="20"/>
          <w:szCs w:val="20"/>
          <w:color w:val="auto"/>
        </w:rPr>
        <w:tab/>
      </w:r>
      <w:r>
        <w:rPr>
          <w:rFonts w:ascii="Courier New" w:cs="Courier New" w:eastAsia="Courier New" w:hAnsi="Courier New"/>
          <w:sz w:val="14"/>
          <w:szCs w:val="14"/>
          <w:color w:val="auto"/>
        </w:rPr>
        <w:t>Applicable Percentage</w:t>
      </w:r>
    </w:p>
    <w:p>
      <w:pPr>
        <w:ind w:left="2100"/>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3400"/>
        <w:spacing w:after="0"/>
        <w:tabs>
          <w:tab w:leader="none" w:pos="592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0.03%</w:t>
      </w:r>
    </w:p>
    <w:p>
      <w:pPr>
        <w:ind w:left="2100"/>
        <w:spacing w:after="0" w:line="237" w:lineRule="auto"/>
        <w:rPr>
          <w:sz w:val="20"/>
          <w:szCs w:val="20"/>
          <w:color w:val="auto"/>
        </w:rPr>
      </w:pPr>
      <w:r>
        <w:rPr>
          <w:rFonts w:ascii="Courier New" w:cs="Courier New" w:eastAsia="Courier New" w:hAnsi="Courier New"/>
          <w:sz w:val="15"/>
          <w:szCs w:val="15"/>
          <w:color w:val="auto"/>
        </w:rPr>
        <w:t>-------------------------------- -----------------------------</w:t>
      </w:r>
    </w:p>
    <w:p>
      <w:pPr>
        <w:ind w:left="3320"/>
        <w:spacing w:after="0" w:line="238" w:lineRule="auto"/>
        <w:tabs>
          <w:tab w:leader="none" w:pos="592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0.04%</w:t>
      </w:r>
    </w:p>
    <w:p>
      <w:pPr>
        <w:ind w:left="2100"/>
        <w:spacing w:after="0" w:line="237" w:lineRule="auto"/>
        <w:rPr>
          <w:sz w:val="20"/>
          <w:szCs w:val="20"/>
          <w:color w:val="auto"/>
        </w:rPr>
      </w:pPr>
      <w:r>
        <w:rPr>
          <w:rFonts w:ascii="Courier New" w:cs="Courier New" w:eastAsia="Courier New" w:hAnsi="Courier New"/>
          <w:sz w:val="15"/>
          <w:szCs w:val="15"/>
          <w:color w:val="auto"/>
        </w:rPr>
        <w:t>-------------------------------- -----------------------------</w:t>
      </w:r>
    </w:p>
    <w:p>
      <w:pPr>
        <w:ind w:left="3320"/>
        <w:spacing w:after="0" w:line="238" w:lineRule="auto"/>
        <w:tabs>
          <w:tab w:leader="none" w:pos="5920" w:val="left"/>
        </w:tabs>
        <w:rPr>
          <w:sz w:val="20"/>
          <w:szCs w:val="20"/>
          <w:color w:val="auto"/>
        </w:rPr>
      </w:pPr>
      <w:r>
        <w:rPr>
          <w:rFonts w:ascii="Courier New" w:cs="Courier New" w:eastAsia="Courier New" w:hAnsi="Courier New"/>
          <w:sz w:val="15"/>
          <w:szCs w:val="15"/>
          <w:color w:val="auto"/>
        </w:rPr>
        <w:t>III</w:t>
      </w:r>
      <w:r>
        <w:rPr>
          <w:sz w:val="20"/>
          <w:szCs w:val="20"/>
          <w:color w:val="auto"/>
        </w:rPr>
        <w:tab/>
      </w:r>
      <w:r>
        <w:rPr>
          <w:rFonts w:ascii="Courier New" w:cs="Courier New" w:eastAsia="Courier New" w:hAnsi="Courier New"/>
          <w:sz w:val="15"/>
          <w:szCs w:val="15"/>
          <w:color w:val="auto"/>
        </w:rPr>
        <w:t>0.05%</w:t>
      </w:r>
    </w:p>
    <w:p>
      <w:pPr>
        <w:ind w:left="2100"/>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340" w:right="3319" w:firstLine="612"/>
        <w:spacing w:after="0" w:line="235" w:lineRule="auto"/>
        <w:rPr>
          <w:sz w:val="20"/>
          <w:szCs w:val="20"/>
          <w:color w:val="auto"/>
        </w:rPr>
      </w:pPr>
      <w:r>
        <w:rPr>
          <w:rFonts w:ascii="Courier New" w:cs="Courier New" w:eastAsia="Courier New" w:hAnsi="Courier New"/>
          <w:sz w:val="15"/>
          <w:szCs w:val="15"/>
          <w:color w:val="auto"/>
        </w:rPr>
        <w:t>"Assignment and Acceptance" means an assignment and acceptance entered into by a Lender and an Eligible Assignee, accepted and approved by the Agent and approved by the Borrower, in substantially the form of Exhibit C hereto.</w:t>
      </w:r>
    </w:p>
    <w:p>
      <w:pPr>
        <w:spacing w:after="0" w:line="175" w:lineRule="exact"/>
        <w:rPr>
          <w:sz w:val="20"/>
          <w:szCs w:val="20"/>
          <w:color w:val="auto"/>
        </w:rPr>
      </w:pPr>
    </w:p>
    <w:p>
      <w:pPr>
        <w:ind w:left="340" w:right="3239" w:firstLine="612"/>
        <w:spacing w:after="0" w:line="235" w:lineRule="auto"/>
        <w:rPr>
          <w:sz w:val="20"/>
          <w:szCs w:val="20"/>
          <w:color w:val="auto"/>
        </w:rPr>
      </w:pPr>
      <w:r>
        <w:rPr>
          <w:rFonts w:ascii="Courier New" w:cs="Courier New" w:eastAsia="Courier New" w:hAnsi="Courier New"/>
          <w:sz w:val="15"/>
          <w:szCs w:val="15"/>
          <w:color w:val="auto"/>
        </w:rPr>
        <w:t>"Assuming Lender" means an Eligible Assignee not previously a Lender that becomes a Lender hereunder pursuant to either Section 2.05(b) or Section 2.17.</w:t>
      </w:r>
    </w:p>
    <w:p>
      <w:pPr>
        <w:spacing w:after="0" w:line="174" w:lineRule="exact"/>
        <w:rPr>
          <w:sz w:val="20"/>
          <w:szCs w:val="20"/>
          <w:color w:val="auto"/>
        </w:rPr>
      </w:pPr>
    </w:p>
    <w:p>
      <w:pPr>
        <w:ind w:left="340" w:right="3239" w:firstLine="612"/>
        <w:spacing w:after="0" w:line="256" w:lineRule="auto"/>
        <w:rPr>
          <w:sz w:val="20"/>
          <w:szCs w:val="20"/>
          <w:color w:val="auto"/>
        </w:rPr>
      </w:pPr>
      <w:r>
        <w:rPr>
          <w:rFonts w:ascii="Courier New" w:cs="Courier New" w:eastAsia="Courier New" w:hAnsi="Courier New"/>
          <w:sz w:val="14"/>
          <w:szCs w:val="14"/>
          <w:color w:val="auto"/>
        </w:rPr>
        <w:t>"Assumption Agreement"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64" w:lineRule="exact"/>
        <w:rPr>
          <w:sz w:val="20"/>
          <w:szCs w:val="20"/>
          <w:color w:val="auto"/>
        </w:rPr>
      </w:pPr>
    </w:p>
    <w:p>
      <w:pPr>
        <w:ind w:left="340" w:right="3319" w:firstLine="612"/>
        <w:spacing w:after="0" w:line="235" w:lineRule="auto"/>
        <w:rPr>
          <w:sz w:val="20"/>
          <w:szCs w:val="20"/>
          <w:color w:val="auto"/>
        </w:rPr>
      </w:pPr>
      <w:r>
        <w:rPr>
          <w:rFonts w:ascii="Courier New" w:cs="Courier New" w:eastAsia="Courier New" w:hAnsi="Courier New"/>
          <w:sz w:val="15"/>
          <w:szCs w:val="15"/>
          <w:color w:val="auto"/>
        </w:rPr>
        <w:t>"Base Rate" means a fluctuating interest rate per annum in effect from time to time, which rate per annum shall at all times be equal to the higher of:</w:t>
      </w:r>
    </w:p>
    <w:p>
      <w:pPr>
        <w:spacing w:after="0" w:line="174" w:lineRule="exact"/>
        <w:rPr>
          <w:sz w:val="20"/>
          <w:szCs w:val="20"/>
          <w:color w:val="auto"/>
        </w:rPr>
      </w:pPr>
    </w:p>
    <w:p>
      <w:pPr>
        <w:ind w:left="960" w:right="3239" w:firstLine="606"/>
        <w:spacing w:after="0" w:line="235" w:lineRule="auto"/>
        <w:tabs>
          <w:tab w:leader="none" w:pos="21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announced publicly by Citibank in New York, New York, from time to time, as Citibank's base rate; and</w:t>
      </w:r>
    </w:p>
    <w:p>
      <w:pPr>
        <w:spacing w:after="0" w:line="167" w:lineRule="exact"/>
        <w:rPr>
          <w:rFonts w:ascii="Courier New" w:cs="Courier New" w:eastAsia="Courier New" w:hAnsi="Courier New"/>
          <w:sz w:val="15"/>
          <w:szCs w:val="15"/>
          <w:color w:val="auto"/>
        </w:rPr>
      </w:pPr>
    </w:p>
    <w:p>
      <w:pPr>
        <w:ind w:left="2180" w:hanging="614"/>
        <w:spacing w:after="0"/>
        <w:tabs>
          <w:tab w:leader="none" w:pos="2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of one percent per annum above the Federal Funds</w:t>
      </w:r>
    </w:p>
    <w:p>
      <w:pPr>
        <w:ind w:left="9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Rate.</w:t>
      </w:r>
    </w:p>
    <w:p>
      <w:pPr>
        <w:spacing w:after="0" w:line="173" w:lineRule="exact"/>
        <w:rPr>
          <w:sz w:val="20"/>
          <w:szCs w:val="20"/>
          <w:color w:val="auto"/>
        </w:rPr>
      </w:pPr>
    </w:p>
    <w:p>
      <w:pPr>
        <w:ind w:left="340" w:right="3499" w:firstLine="612"/>
        <w:spacing w:after="0" w:line="234" w:lineRule="auto"/>
        <w:rPr>
          <w:sz w:val="20"/>
          <w:szCs w:val="20"/>
          <w:color w:val="auto"/>
        </w:rPr>
      </w:pPr>
      <w:r>
        <w:rPr>
          <w:rFonts w:ascii="Courier New" w:cs="Courier New" w:eastAsia="Courier New" w:hAnsi="Courier New"/>
          <w:sz w:val="15"/>
          <w:szCs w:val="15"/>
          <w:color w:val="auto"/>
        </w:rPr>
        <w:t>"Base Rate Advance" means a Revolving Credit Advance that bears interest as provided in Section 2.07(a)(i).</w:t>
      </w:r>
    </w:p>
    <w:p>
      <w:pPr>
        <w:spacing w:after="0" w:line="173" w:lineRule="exact"/>
        <w:rPr>
          <w:sz w:val="20"/>
          <w:szCs w:val="20"/>
          <w:color w:val="auto"/>
        </w:rPr>
      </w:pPr>
    </w:p>
    <w:p>
      <w:pPr>
        <w:ind w:left="340" w:right="3499" w:firstLine="612"/>
        <w:spacing w:after="0" w:line="234" w:lineRule="auto"/>
        <w:rPr>
          <w:sz w:val="20"/>
          <w:szCs w:val="20"/>
          <w:color w:val="auto"/>
        </w:rPr>
      </w:pPr>
      <w:r>
        <w:rPr>
          <w:rFonts w:ascii="Courier New" w:cs="Courier New" w:eastAsia="Courier New" w:hAnsi="Courier New"/>
          <w:sz w:val="15"/>
          <w:szCs w:val="15"/>
          <w:color w:val="auto"/>
        </w:rPr>
        <w:t>"Borrowing" means a Revolving Credit Borrowing or a Competitive Bid Borrowing.</w:t>
      </w:r>
    </w:p>
    <w:p>
      <w:pPr>
        <w:spacing w:after="0" w:line="173" w:lineRule="exact"/>
        <w:rPr>
          <w:sz w:val="20"/>
          <w:szCs w:val="20"/>
          <w:color w:val="auto"/>
        </w:rPr>
      </w:pPr>
    </w:p>
    <w:p>
      <w:pPr>
        <w:jc w:val="both"/>
        <w:ind w:left="340" w:right="3679" w:firstLine="612"/>
        <w:spacing w:after="0" w:line="235"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by law to close in New York City and, if the applicable Business Day relates</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left="340" w:right="3319"/>
        <w:spacing w:after="0" w:line="234" w:lineRule="auto"/>
        <w:rPr>
          <w:sz w:val="20"/>
          <w:szCs w:val="20"/>
          <w:color w:val="auto"/>
        </w:rPr>
      </w:pPr>
      <w:r>
        <w:rPr>
          <w:rFonts w:ascii="Courier New" w:cs="Courier New" w:eastAsia="Courier New" w:hAnsi="Courier New"/>
          <w:sz w:val="15"/>
          <w:szCs w:val="15"/>
          <w:color w:val="auto"/>
        </w:rPr>
        <w:t>to any Eurodollar Rate Advances, on which dealings are carried on in the London interbank market.</w:t>
      </w:r>
    </w:p>
    <w:p>
      <w:pPr>
        <w:spacing w:after="0" w:line="173" w:lineRule="exact"/>
        <w:rPr>
          <w:sz w:val="20"/>
          <w:szCs w:val="20"/>
          <w:color w:val="auto"/>
        </w:rPr>
      </w:pPr>
    </w:p>
    <w:p>
      <w:pPr>
        <w:ind w:left="340" w:right="3239" w:firstLine="612"/>
        <w:spacing w:after="0" w:line="255" w:lineRule="auto"/>
        <w:rPr>
          <w:sz w:val="20"/>
          <w:szCs w:val="20"/>
          <w:color w:val="auto"/>
        </w:rPr>
      </w:pPr>
      <w:r>
        <w:rPr>
          <w:rFonts w:ascii="Courier New" w:cs="Courier New" w:eastAsia="Courier New" w:hAnsi="Courier New"/>
          <w:sz w:val="14"/>
          <w:szCs w:val="14"/>
          <w:color w:val="auto"/>
        </w:rPr>
        <w:t>"Commitment" means, with respect to any Lender at any time (i) the amount set forth opposite such Lender's name on the signature pages hereof, (ii) 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16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"Commitment Date" has the meaning specified in Section 2.05(b)(i).</w:t>
      </w:r>
    </w:p>
    <w:p>
      <w:pPr>
        <w:spacing w:after="0" w:line="178" w:lineRule="exact"/>
        <w:rPr>
          <w:sz w:val="20"/>
          <w:szCs w:val="20"/>
          <w:color w:val="auto"/>
        </w:rPr>
      </w:pPr>
    </w:p>
    <w:p>
      <w:pPr>
        <w:ind w:left="340" w:right="3939" w:firstLine="612"/>
        <w:spacing w:after="0" w:line="234" w:lineRule="auto"/>
        <w:rPr>
          <w:sz w:val="20"/>
          <w:szCs w:val="20"/>
          <w:color w:val="auto"/>
        </w:rPr>
      </w:pPr>
      <w:r>
        <w:rPr>
          <w:rFonts w:ascii="Courier New" w:cs="Courier New" w:eastAsia="Courier New" w:hAnsi="Courier New"/>
          <w:sz w:val="15"/>
          <w:szCs w:val="15"/>
          <w:color w:val="auto"/>
        </w:rPr>
        <w:t>"Commitment Increase" has the meaning specified in Section 2.05(b)(i).</w:t>
      </w:r>
    </w:p>
    <w:p>
      <w:pPr>
        <w:spacing w:after="0" w:line="173" w:lineRule="exact"/>
        <w:rPr>
          <w:sz w:val="20"/>
          <w:szCs w:val="20"/>
          <w:color w:val="auto"/>
        </w:rPr>
      </w:pPr>
    </w:p>
    <w:p>
      <w:pPr>
        <w:ind w:left="340" w:right="3399" w:firstLine="612"/>
        <w:spacing w:after="0" w:line="235" w:lineRule="auto"/>
        <w:rPr>
          <w:sz w:val="20"/>
          <w:szCs w:val="20"/>
          <w:color w:val="auto"/>
        </w:rPr>
      </w:pPr>
      <w:r>
        <w:rPr>
          <w:rFonts w:ascii="Courier New" w:cs="Courier New" w:eastAsia="Courier New" w:hAnsi="Courier New"/>
          <w:sz w:val="15"/>
          <w:szCs w:val="15"/>
          <w:color w:val="auto"/>
        </w:rPr>
        <w:t>"Competitive Bid Advance" means an advance by a Lender to the Borrower as part of a Competitive Bid Borrowing resulting from the competitive bidding procedure described in Section 2.03 and refers to a Fixed Rate Advance or a LIBO Rate Advance.</w:t>
      </w:r>
    </w:p>
    <w:p>
      <w:pPr>
        <w:spacing w:after="0" w:line="175" w:lineRule="exact"/>
        <w:rPr>
          <w:sz w:val="20"/>
          <w:szCs w:val="20"/>
          <w:color w:val="auto"/>
        </w:rPr>
      </w:pPr>
    </w:p>
    <w:p>
      <w:pPr>
        <w:ind w:left="340" w:right="3679" w:firstLine="612"/>
        <w:spacing w:after="0" w:line="236" w:lineRule="auto"/>
        <w:rPr>
          <w:sz w:val="20"/>
          <w:szCs w:val="20"/>
          <w:color w:val="auto"/>
        </w:rPr>
      </w:pPr>
      <w:r>
        <w:rPr>
          <w:rFonts w:ascii="Courier New" w:cs="Courier New" w:eastAsia="Courier New" w:hAnsi="Courier New"/>
          <w:sz w:val="15"/>
          <w:szCs w:val="15"/>
          <w:color w:val="auto"/>
        </w:rPr>
        <w:t>"Competitive Bid Borrowing"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174" w:lineRule="exact"/>
        <w:rPr>
          <w:sz w:val="20"/>
          <w:szCs w:val="20"/>
          <w:color w:val="auto"/>
        </w:rPr>
      </w:pPr>
    </w:p>
    <w:p>
      <w:pPr>
        <w:ind w:left="340" w:right="3319" w:firstLine="612"/>
        <w:spacing w:after="0" w:line="236" w:lineRule="auto"/>
        <w:rPr>
          <w:sz w:val="20"/>
          <w:szCs w:val="20"/>
          <w:color w:val="auto"/>
        </w:rPr>
      </w:pPr>
      <w:r>
        <w:rPr>
          <w:rFonts w:ascii="Courier New" w:cs="Courier New" w:eastAsia="Courier New" w:hAnsi="Courier New"/>
          <w:sz w:val="15"/>
          <w:szCs w:val="15"/>
          <w:color w:val="auto"/>
        </w:rPr>
        <w:t>"Competitive Bid Note"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174"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"Confidential Information"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"Consenting Lender" has the meaning specified in Section 2.17(b).</w:t>
      </w:r>
    </w:p>
    <w:p>
      <w:pPr>
        <w:spacing w:after="0" w:line="178" w:lineRule="exact"/>
        <w:rPr>
          <w:sz w:val="20"/>
          <w:szCs w:val="20"/>
          <w:color w:val="auto"/>
        </w:rPr>
      </w:pPr>
    </w:p>
    <w:p>
      <w:pPr>
        <w:ind w:left="340" w:right="4019" w:firstLine="612"/>
        <w:spacing w:after="0" w:line="234" w:lineRule="auto"/>
        <w:rPr>
          <w:sz w:val="20"/>
          <w:szCs w:val="20"/>
          <w:color w:val="auto"/>
        </w:rPr>
      </w:pPr>
      <w:r>
        <w:rPr>
          <w:rFonts w:ascii="Courier New" w:cs="Courier New" w:eastAsia="Courier New" w:hAnsi="Courier New"/>
          <w:sz w:val="15"/>
          <w:szCs w:val="15"/>
          <w:color w:val="auto"/>
        </w:rPr>
        <w:t>"Consolidated" refers to the consolidation of accounts in accordance with GAAP.</w:t>
      </w:r>
    </w:p>
    <w:p>
      <w:pPr>
        <w:spacing w:after="0" w:line="173"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"Continuing Directors"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33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"Convert", "Conversion" and "Converted"</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each refers to a</w:t>
            </w:r>
          </w:p>
        </w:tc>
      </w:tr>
      <w:tr>
        <w:trPr>
          <w:trHeight w:val="168"/>
        </w:trPr>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conversion of Revolving Credit Advances of one</w:t>
            </w: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5"/>
              </w:rPr>
              <w:t>Type into Revolving Credit</w:t>
            </w:r>
          </w:p>
        </w:tc>
      </w:tr>
      <w:tr>
        <w:trPr>
          <w:trHeight w:val="168"/>
        </w:trPr>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Advances of the other Type pursuant to Section</w:t>
            </w:r>
          </w:p>
        </w:tc>
        <w:tc>
          <w:tcPr>
            <w:tcW w:w="2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2.08 or 2.09.</w:t>
            </w:r>
          </w:p>
        </w:tc>
      </w:tr>
    </w:tbl>
    <w:p>
      <w:pPr>
        <w:spacing w:after="0" w:line="173" w:lineRule="exact"/>
        <w:rPr>
          <w:sz w:val="20"/>
          <w:szCs w:val="20"/>
          <w:color w:val="auto"/>
        </w:rPr>
      </w:pPr>
    </w:p>
    <w:p>
      <w:pPr>
        <w:ind w:left="340" w:right="3239" w:firstLine="612"/>
        <w:spacing w:after="0" w:line="254" w:lineRule="auto"/>
        <w:rPr>
          <w:sz w:val="20"/>
          <w:szCs w:val="20"/>
          <w:color w:val="auto"/>
        </w:rPr>
      </w:pPr>
      <w:r>
        <w:rPr>
          <w:rFonts w:ascii="Courier New" w:cs="Courier New" w:eastAsia="Courier New" w:hAnsi="Courier New"/>
          <w:sz w:val="14"/>
          <w:szCs w:val="14"/>
          <w:color w:val="auto"/>
        </w:rPr>
        <w:t>"Debt"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w:t>
      </w:r>
    </w:p>
    <w:p>
      <w:pPr>
        <w:spacing w:after="0" w:line="177" w:lineRule="exact"/>
        <w:rPr>
          <w:sz w:val="20"/>
          <w:szCs w:val="20"/>
          <w:color w:val="auto"/>
        </w:rPr>
      </w:pPr>
    </w:p>
    <w:p>
      <w:pPr>
        <w:ind w:left="340" w:right="3319" w:firstLine="2"/>
        <w:spacing w:after="0" w:line="236" w:lineRule="auto"/>
        <w:tabs>
          <w:tab w:leader="none" w:pos="6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74" w:lineRule="exact"/>
        <w:rPr>
          <w:sz w:val="20"/>
          <w:szCs w:val="20"/>
          <w:color w:val="auto"/>
        </w:rPr>
      </w:pPr>
    </w:p>
    <w:p>
      <w:pPr>
        <w:ind w:left="340" w:right="3579" w:firstLine="612"/>
        <w:spacing w:after="0" w:line="235" w:lineRule="auto"/>
        <w:rPr>
          <w:sz w:val="20"/>
          <w:szCs w:val="20"/>
          <w:color w:val="auto"/>
        </w:rPr>
      </w:pPr>
      <w:r>
        <w:rPr>
          <w:rFonts w:ascii="Courier New" w:cs="Courier New" w:eastAsia="Courier New" w:hAnsi="Courier New"/>
          <w:sz w:val="15"/>
          <w:szCs w:val="15"/>
          <w:color w:val="auto"/>
        </w:rPr>
        <w:t>"Default" means any Event of Default or any event that would constitute an Event of Default but for the requirement that notice be given or time elapse or both.</w:t>
      </w:r>
    </w:p>
    <w:p>
      <w:pPr>
        <w:spacing w:after="0" w:line="174" w:lineRule="exact"/>
        <w:rPr>
          <w:sz w:val="20"/>
          <w:szCs w:val="20"/>
          <w:color w:val="auto"/>
        </w:rPr>
      </w:pPr>
    </w:p>
    <w:p>
      <w:pPr>
        <w:ind w:left="340" w:right="3319" w:firstLine="612"/>
        <w:spacing w:after="0" w:line="236" w:lineRule="auto"/>
        <w:rPr>
          <w:sz w:val="20"/>
          <w:szCs w:val="20"/>
          <w:color w:val="auto"/>
        </w:rPr>
      </w:pPr>
      <w:r>
        <w:rPr>
          <w:rFonts w:ascii="Courier New" w:cs="Courier New" w:eastAsia="Courier New" w:hAnsi="Courier New"/>
          <w:sz w:val="15"/>
          <w:szCs w:val="15"/>
          <w:color w:val="auto"/>
        </w:rPr>
        <w:t>"Domestic Lending Office"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177" w:lineRule="exact"/>
        <w:rPr>
          <w:sz w:val="20"/>
          <w:szCs w:val="20"/>
          <w:color w:val="auto"/>
        </w:rPr>
      </w:pPr>
    </w:p>
    <w:p>
      <w:pPr>
        <w:ind w:left="340" w:right="3399" w:firstLine="612"/>
        <w:spacing w:after="0" w:line="235" w:lineRule="auto"/>
        <w:rPr>
          <w:sz w:val="20"/>
          <w:szCs w:val="20"/>
          <w:color w:val="auto"/>
        </w:rPr>
      </w:pPr>
      <w:r>
        <w:rPr>
          <w:rFonts w:ascii="Courier New" w:cs="Courier New" w:eastAsia="Courier New" w:hAnsi="Courier New"/>
          <w:sz w:val="15"/>
          <w:szCs w:val="15"/>
          <w:color w:val="auto"/>
        </w:rPr>
        <w:t>"Downgrade" means, with respect to any Lender, the lowest rating that has been most recently announced for any class of non-credit enhanced long-term senior unsecured debt issued by such Lender is lower than BBB- by S&amp;P or Baa3 by Moody's.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"Effective Date" has the meaning specified in Section 3.01.</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left="340" w:right="3239" w:firstLine="612"/>
        <w:spacing w:after="0" w:line="237" w:lineRule="auto"/>
        <w:rPr>
          <w:sz w:val="20"/>
          <w:szCs w:val="20"/>
          <w:color w:val="auto"/>
        </w:rPr>
      </w:pPr>
      <w:r>
        <w:rPr>
          <w:rFonts w:ascii="Courier New" w:cs="Courier New" w:eastAsia="Courier New" w:hAnsi="Courier New"/>
          <w:sz w:val="15"/>
          <w:szCs w:val="15"/>
          <w:color w:val="auto"/>
        </w:rPr>
        <w:t>"Eligible Assignee" means (a) a Lender; (b) an Affiliate of a Lender; (c) a commercial bank organized under the laws of the United States, or any State thereof, and having total assets in excess of $5,000,000,000; (d) a savings and loan association or savings bank organized under the laws of the United States, or any State thereof, and having total assets in excess of $5,000,000,000; (e)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(e); (f) the central bank of any country that is a member of the Organization for Economic Cooperation and Development; and (g) any other Person approved by the Agent and the Borrower, such approval not to be unreasonably withheld or delayed; provided, however, that neither the Borrower nor an Affiliate of the Borrower shall qualify as an Eligible Assignee.</w:t>
      </w:r>
    </w:p>
    <w:p>
      <w:pPr>
        <w:spacing w:after="0" w:line="176"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"Environmental Action"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80" w:lineRule="exact"/>
        <w:rPr>
          <w:sz w:val="20"/>
          <w:szCs w:val="20"/>
          <w:color w:val="auto"/>
        </w:rPr>
      </w:pPr>
    </w:p>
    <w:p>
      <w:pPr>
        <w:ind w:left="340" w:right="3499" w:firstLine="612"/>
        <w:spacing w:after="0" w:line="255" w:lineRule="auto"/>
        <w:rPr>
          <w:sz w:val="20"/>
          <w:szCs w:val="20"/>
          <w:color w:val="auto"/>
        </w:rPr>
      </w:pPr>
      <w:r>
        <w:rPr>
          <w:rFonts w:ascii="Courier New" w:cs="Courier New" w:eastAsia="Courier New" w:hAnsi="Courier New"/>
          <w:sz w:val="14"/>
          <w:szCs w:val="14"/>
          <w:color w:val="auto"/>
        </w:rPr>
        <w:t>"Environmental Law"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66" w:lineRule="exact"/>
        <w:rPr>
          <w:sz w:val="20"/>
          <w:szCs w:val="20"/>
          <w:color w:val="auto"/>
        </w:rPr>
      </w:pPr>
    </w:p>
    <w:p>
      <w:pPr>
        <w:jc w:val="both"/>
        <w:ind w:left="340" w:right="3319" w:firstLine="612"/>
        <w:spacing w:after="0" w:line="235" w:lineRule="auto"/>
        <w:rPr>
          <w:sz w:val="20"/>
          <w:szCs w:val="20"/>
          <w:color w:val="auto"/>
        </w:rPr>
      </w:pPr>
      <w:r>
        <w:rPr>
          <w:rFonts w:ascii="Courier New" w:cs="Courier New" w:eastAsia="Courier New" w:hAnsi="Courier New"/>
          <w:sz w:val="15"/>
          <w:szCs w:val="15"/>
          <w:color w:val="auto"/>
        </w:rPr>
        <w:t>"Environmental Permit" means any permit, approval, identification number, license or other authorization required under any Environmental Law.</w:t>
      </w:r>
    </w:p>
    <w:p>
      <w:pPr>
        <w:spacing w:after="0" w:line="174" w:lineRule="exact"/>
        <w:rPr>
          <w:sz w:val="20"/>
          <w:szCs w:val="20"/>
          <w:color w:val="auto"/>
        </w:rPr>
      </w:pPr>
    </w:p>
    <w:p>
      <w:pPr>
        <w:jc w:val="both"/>
        <w:ind w:left="340" w:right="3239" w:firstLine="612"/>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the regulations promulgated and rulings issued thereunder.</w:t>
      </w:r>
    </w:p>
    <w:p>
      <w:pPr>
        <w:spacing w:after="0" w:line="174"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"ERISA Affiliate"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left="340" w:right="3239" w:firstLine="612"/>
        <w:spacing w:after="0" w:line="254" w:lineRule="auto"/>
        <w:rPr>
          <w:sz w:val="20"/>
          <w:szCs w:val="20"/>
          <w:color w:val="auto"/>
        </w:rPr>
      </w:pPr>
      <w:r>
        <w:rPr>
          <w:rFonts w:ascii="Courier New" w:cs="Courier New" w:eastAsia="Courier New" w:hAnsi="Courier New"/>
          <w:sz w:val="14"/>
          <w:szCs w:val="14"/>
          <w:color w:val="auto"/>
        </w:rPr>
        <w:t>"ERISA Event"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w:t>
      </w:r>
    </w:p>
    <w:p>
      <w:pPr>
        <w:spacing w:after="0" w:line="2" w:lineRule="exact"/>
        <w:rPr>
          <w:sz w:val="20"/>
          <w:szCs w:val="20"/>
          <w:color w:val="auto"/>
        </w:rPr>
      </w:pPr>
    </w:p>
    <w:p>
      <w:pPr>
        <w:ind w:left="340" w:right="3239" w:firstLine="2"/>
        <w:spacing w:after="0" w:line="254" w:lineRule="auto"/>
        <w:tabs>
          <w:tab w:leader="none" w:pos="77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w:t>
      </w:r>
    </w:p>
    <w:p>
      <w:pPr>
        <w:spacing w:after="0" w:line="3" w:lineRule="exact"/>
        <w:rPr>
          <w:rFonts w:ascii="Courier New" w:cs="Courier New" w:eastAsia="Courier New" w:hAnsi="Courier New"/>
          <w:sz w:val="14"/>
          <w:szCs w:val="14"/>
          <w:color w:val="auto"/>
        </w:rPr>
      </w:pPr>
    </w:p>
    <w:p>
      <w:pPr>
        <w:ind w:left="3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77" w:lineRule="exact"/>
        <w:rPr>
          <w:sz w:val="20"/>
          <w:szCs w:val="20"/>
          <w:color w:val="auto"/>
        </w:rPr>
      </w:pPr>
    </w:p>
    <w:p>
      <w:pPr>
        <w:jc w:val="both"/>
        <w:ind w:left="340" w:right="3319" w:firstLine="612"/>
        <w:spacing w:after="0" w:line="235" w:lineRule="auto"/>
        <w:rPr>
          <w:sz w:val="20"/>
          <w:szCs w:val="20"/>
          <w:color w:val="auto"/>
        </w:rPr>
      </w:pPr>
      <w:r>
        <w:rPr>
          <w:rFonts w:ascii="Courier New" w:cs="Courier New" w:eastAsia="Courier New" w:hAnsi="Courier New"/>
          <w:sz w:val="15"/>
          <w:szCs w:val="15"/>
          <w:color w:val="auto"/>
        </w:rPr>
        <w:t>"Eurocurrency Liabilities" has the meaning assigned to that term in Regulation D of the Board of Governors of the Federal Reserve System, as in effect from time to time.</w:t>
      </w:r>
    </w:p>
    <w:p>
      <w:pPr>
        <w:spacing w:after="0" w:line="174"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"Eurocurrency Reserve Requirements"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178"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"Eurodollar Lending Office"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78" w:lineRule="exact"/>
        <w:rPr>
          <w:sz w:val="20"/>
          <w:szCs w:val="20"/>
          <w:color w:val="auto"/>
        </w:rPr>
      </w:pPr>
    </w:p>
    <w:p>
      <w:pPr>
        <w:ind w:left="340" w:right="3399" w:firstLine="612"/>
        <w:spacing w:after="0" w:line="236" w:lineRule="auto"/>
        <w:rPr>
          <w:sz w:val="20"/>
          <w:szCs w:val="20"/>
          <w:color w:val="auto"/>
        </w:rPr>
      </w:pPr>
      <w:r>
        <w:rPr>
          <w:rFonts w:ascii="Courier New" w:cs="Courier New" w:eastAsia="Courier New" w:hAnsi="Courier New"/>
          <w:sz w:val="15"/>
          <w:szCs w:val="15"/>
          <w:color w:val="auto"/>
        </w:rPr>
        <w:t>"Eurodollar Rate"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w:t>
      </w:r>
    </w:p>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left="340" w:right="3239"/>
        <w:spacing w:after="0" w:line="255" w:lineRule="auto"/>
        <w:rPr>
          <w:sz w:val="20"/>
          <w:szCs w:val="20"/>
          <w:color w:val="auto"/>
        </w:rPr>
      </w:pPr>
      <w:r>
        <w:rPr>
          <w:rFonts w:ascii="Courier New" w:cs="Courier New" w:eastAsia="Courier New" w:hAnsi="Courier New"/>
          <w:sz w:val="14"/>
          <w:szCs w:val="14"/>
          <w:color w:val="auto"/>
        </w:rPr>
        <w:t>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65" w:lineRule="exact"/>
        <w:rPr>
          <w:sz w:val="20"/>
          <w:szCs w:val="20"/>
          <w:color w:val="auto"/>
        </w:rPr>
      </w:pPr>
    </w:p>
    <w:p>
      <w:pPr>
        <w:ind w:left="340" w:right="3499" w:firstLine="612"/>
        <w:spacing w:after="0" w:line="234" w:lineRule="auto"/>
        <w:rPr>
          <w:sz w:val="20"/>
          <w:szCs w:val="20"/>
          <w:color w:val="auto"/>
        </w:rPr>
      </w:pPr>
      <w:r>
        <w:rPr>
          <w:rFonts w:ascii="Courier New" w:cs="Courier New" w:eastAsia="Courier New" w:hAnsi="Courier New"/>
          <w:sz w:val="15"/>
          <w:szCs w:val="15"/>
          <w:color w:val="auto"/>
        </w:rPr>
        <w:t>"Eurodollar Rate Advance" means a Revolving Credit Advance that bears interest as provided in Section 2.07(a)(ii).</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"Events of Default" has the meaning specified in Section 6.01.</w:t>
      </w:r>
    </w:p>
    <w:p>
      <w:pPr>
        <w:spacing w:after="0" w:line="16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"Extension Date" has the meaning specified in Section 2.17(b).</w:t>
      </w:r>
    </w:p>
    <w:p>
      <w:pPr>
        <w:spacing w:after="0" w:line="173"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79" w:lineRule="exact"/>
        <w:rPr>
          <w:sz w:val="20"/>
          <w:szCs w:val="20"/>
          <w:color w:val="auto"/>
        </w:rPr>
      </w:pPr>
    </w:p>
    <w:p>
      <w:pPr>
        <w:ind w:left="340" w:right="3939" w:firstLine="612"/>
        <w:spacing w:after="0" w:line="234" w:lineRule="auto"/>
        <w:rPr>
          <w:sz w:val="20"/>
          <w:szCs w:val="20"/>
          <w:color w:val="auto"/>
        </w:rPr>
      </w:pPr>
      <w:r>
        <w:rPr>
          <w:rFonts w:ascii="Courier New" w:cs="Courier New" w:eastAsia="Courier New" w:hAnsi="Courier New"/>
          <w:sz w:val="15"/>
          <w:szCs w:val="15"/>
          <w:color w:val="auto"/>
        </w:rPr>
        <w:t>"Fixed Rate Advances" has the meaning specified in Section 2.03(a)(i).</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"GAAP" has the meaning specified in Section 1.03.</w:t>
      </w:r>
    </w:p>
    <w:p>
      <w:pPr>
        <w:spacing w:after="0" w:line="173" w:lineRule="exact"/>
        <w:rPr>
          <w:sz w:val="20"/>
          <w:szCs w:val="20"/>
          <w:color w:val="auto"/>
        </w:rPr>
      </w:pPr>
    </w:p>
    <w:p>
      <w:pPr>
        <w:ind w:left="340" w:right="3319" w:firstLine="612"/>
        <w:spacing w:after="0" w:line="235" w:lineRule="auto"/>
        <w:rPr>
          <w:sz w:val="20"/>
          <w:szCs w:val="20"/>
          <w:color w:val="auto"/>
        </w:rPr>
      </w:pPr>
      <w:r>
        <w:rPr>
          <w:rFonts w:ascii="Courier New" w:cs="Courier New" w:eastAsia="Courier New" w:hAnsi="Courier New"/>
          <w:sz w:val="15"/>
          <w:szCs w:val="15"/>
          <w:color w:val="auto"/>
        </w:rPr>
        <w:t>"Graham Interests" shall mean Katharine Graham and her siblings, their descendants and any relative by marriage of the foregoing, and any trust for the benefit of any of the foregoing whether as an income or residual beneficiary.</w:t>
      </w:r>
    </w:p>
    <w:p>
      <w:pPr>
        <w:spacing w:after="0" w:line="175"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"Hazardous Materials"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"Increase Date" has the meaning specified in Section 2.05(b)(i).</w:t>
      </w:r>
    </w:p>
    <w:p>
      <w:pPr>
        <w:spacing w:after="0" w:line="178" w:lineRule="exact"/>
        <w:rPr>
          <w:sz w:val="20"/>
          <w:szCs w:val="20"/>
          <w:color w:val="auto"/>
        </w:rPr>
      </w:pPr>
    </w:p>
    <w:p>
      <w:pPr>
        <w:ind w:left="340" w:right="4099" w:firstLine="612"/>
        <w:spacing w:after="0" w:line="234" w:lineRule="auto"/>
        <w:rPr>
          <w:sz w:val="20"/>
          <w:szCs w:val="20"/>
          <w:color w:val="auto"/>
        </w:rPr>
      </w:pPr>
      <w:r>
        <w:rPr>
          <w:rFonts w:ascii="Courier New" w:cs="Courier New" w:eastAsia="Courier New" w:hAnsi="Courier New"/>
          <w:sz w:val="15"/>
          <w:szCs w:val="15"/>
          <w:color w:val="auto"/>
        </w:rPr>
        <w:t>"Increasing Lender" has the meaning specified in Section 2.05(b)(i).</w:t>
      </w:r>
    </w:p>
    <w:p>
      <w:pPr>
        <w:spacing w:after="0" w:line="173" w:lineRule="exact"/>
        <w:rPr>
          <w:sz w:val="20"/>
          <w:szCs w:val="20"/>
          <w:color w:val="auto"/>
        </w:rPr>
      </w:pPr>
    </w:p>
    <w:p>
      <w:pPr>
        <w:ind w:left="340" w:right="3239" w:firstLine="612"/>
        <w:spacing w:after="0" w:line="235" w:lineRule="auto"/>
        <w:rPr>
          <w:sz w:val="20"/>
          <w:szCs w:val="20"/>
          <w:color w:val="auto"/>
        </w:rPr>
      </w:pPr>
      <w:r>
        <w:rPr>
          <w:rFonts w:ascii="Courier New" w:cs="Courier New" w:eastAsia="Courier New" w:hAnsi="Courier New"/>
          <w:sz w:val="15"/>
          <w:szCs w:val="15"/>
          <w:color w:val="auto"/>
        </w:rPr>
        <w:t>"Interest Period" means, for each Eurodollar Rate Advance comprising part of the same Revolving Credit Borrowing and each LIBO Rate Advance comprising part of the</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left="340" w:right="3239"/>
        <w:spacing w:after="0" w:line="255" w:lineRule="auto"/>
        <w:rPr>
          <w:sz w:val="20"/>
          <w:szCs w:val="20"/>
          <w:color w:val="auto"/>
        </w:rPr>
      </w:pPr>
      <w:r>
        <w:rPr>
          <w:rFonts w:ascii="Courier New" w:cs="Courier New" w:eastAsia="Courier New" w:hAnsi="Courier New"/>
          <w:sz w:val="14"/>
          <w:szCs w:val="14"/>
          <w:color w:val="auto"/>
        </w:rPr>
        <w:t>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provided, however, that:</w:t>
      </w:r>
    </w:p>
    <w:p>
      <w:pPr>
        <w:spacing w:after="0" w:line="164" w:lineRule="exact"/>
        <w:rPr>
          <w:sz w:val="20"/>
          <w:szCs w:val="20"/>
          <w:color w:val="auto"/>
        </w:rPr>
      </w:pPr>
    </w:p>
    <w:p>
      <w:pPr>
        <w:ind w:left="960" w:right="3239" w:firstLine="606"/>
        <w:spacing w:after="0" w:line="236" w:lineRule="auto"/>
        <w:tabs>
          <w:tab w:leader="none" w:pos="218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select any Interest Period that ends after the Termination Date in effect at the time of such selection or, if the Revolving Credit Advances have been converted to a term loan pursuant to Section 2.06 prior to such selection, that ends after the Maturity Date;</w:t>
      </w:r>
    </w:p>
    <w:p>
      <w:pPr>
        <w:spacing w:after="0" w:line="173" w:lineRule="exact"/>
        <w:rPr>
          <w:rFonts w:ascii="Courier New" w:cs="Courier New" w:eastAsia="Courier New" w:hAnsi="Courier New"/>
          <w:sz w:val="15"/>
          <w:szCs w:val="15"/>
          <w:color w:val="auto"/>
        </w:rPr>
      </w:pPr>
    </w:p>
    <w:p>
      <w:pPr>
        <w:jc w:val="both"/>
        <w:ind w:left="960" w:right="3319" w:firstLine="606"/>
        <w:spacing w:after="0" w:line="256" w:lineRule="auto"/>
        <w:tabs>
          <w:tab w:leader="none" w:pos="218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pacing w:after="0" w:line="164" w:lineRule="exact"/>
        <w:rPr>
          <w:rFonts w:ascii="Courier New" w:cs="Courier New" w:eastAsia="Courier New" w:hAnsi="Courier New"/>
          <w:sz w:val="14"/>
          <w:szCs w:val="14"/>
          <w:color w:val="auto"/>
        </w:rPr>
      </w:pPr>
    </w:p>
    <w:p>
      <w:pPr>
        <w:ind w:left="960" w:right="3399" w:firstLine="606"/>
        <w:spacing w:after="0" w:line="236" w:lineRule="auto"/>
        <w:tabs>
          <w:tab w:leader="none" w:pos="218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77" w:lineRule="exact"/>
        <w:rPr>
          <w:rFonts w:ascii="Courier New" w:cs="Courier New" w:eastAsia="Courier New" w:hAnsi="Courier New"/>
          <w:sz w:val="15"/>
          <w:szCs w:val="15"/>
          <w:color w:val="auto"/>
        </w:rPr>
      </w:pPr>
    </w:p>
    <w:p>
      <w:pPr>
        <w:ind w:left="960" w:right="3239" w:firstLine="606"/>
        <w:spacing w:after="0" w:line="236" w:lineRule="auto"/>
        <w:tabs>
          <w:tab w:leader="none" w:pos="218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6" w:lineRule="exact"/>
        <w:rPr>
          <w:sz w:val="20"/>
          <w:szCs w:val="20"/>
          <w:color w:val="auto"/>
        </w:rPr>
      </w:pPr>
    </w:p>
    <w:p>
      <w:pPr>
        <w:ind w:left="340" w:right="3239" w:firstLine="612"/>
        <w:spacing w:after="0" w:line="235" w:lineRule="auto"/>
        <w:rPr>
          <w:sz w:val="20"/>
          <w:szCs w:val="20"/>
          <w:color w:val="auto"/>
        </w:rPr>
      </w:pPr>
      <w:r>
        <w:rPr>
          <w:rFonts w:ascii="Courier New" w:cs="Courier New" w:eastAsia="Courier New" w:hAnsi="Courier New"/>
          <w:sz w:val="15"/>
          <w:szCs w:val="15"/>
          <w:color w:val="auto"/>
        </w:rPr>
        <w:t>"Internal Revenue Code" means the Internal Revenue Code of 1986, as amended from time to time, and the regulations promulgated and rulings issued thereunder.</w:t>
      </w:r>
    </w:p>
    <w:p>
      <w:pPr>
        <w:spacing w:after="0" w:line="174" w:lineRule="exact"/>
        <w:rPr>
          <w:sz w:val="20"/>
          <w:szCs w:val="20"/>
          <w:color w:val="auto"/>
        </w:rPr>
      </w:pPr>
    </w:p>
    <w:p>
      <w:pPr>
        <w:ind w:left="340" w:right="3239" w:firstLine="612"/>
        <w:spacing w:after="0" w:line="254" w:lineRule="auto"/>
        <w:rPr>
          <w:sz w:val="20"/>
          <w:szCs w:val="20"/>
          <w:color w:val="auto"/>
        </w:rPr>
      </w:pPr>
      <w:r>
        <w:rPr>
          <w:rFonts w:ascii="Courier New" w:cs="Courier New" w:eastAsia="Courier New" w:hAnsi="Courier New"/>
          <w:sz w:val="14"/>
          <w:szCs w:val="14"/>
          <w:color w:val="auto"/>
        </w:rPr>
        <w:t>"Lenders" means the Initial Lenders, each Assuming Lender that shall become a party hereto pursuant to either Section 2.05(b) or Section 2.17 and each Person that shall become a party hereto pursuant to Section</w:t>
      </w:r>
    </w:p>
    <w:p>
      <w:pPr>
        <w:ind w:left="340"/>
        <w:spacing w:after="0" w:line="232" w:lineRule="auto"/>
        <w:rPr>
          <w:sz w:val="20"/>
          <w:szCs w:val="20"/>
          <w:color w:val="auto"/>
        </w:rPr>
      </w:pPr>
      <w:r>
        <w:rPr>
          <w:rFonts w:ascii="Courier New" w:cs="Courier New" w:eastAsia="Courier New" w:hAnsi="Courier New"/>
          <w:sz w:val="15"/>
          <w:szCs w:val="15"/>
          <w:color w:val="auto"/>
        </w:rPr>
        <w:t>8.07.</w:t>
      </w:r>
    </w:p>
    <w:p>
      <w:pPr>
        <w:spacing w:after="0" w:line="173" w:lineRule="exact"/>
        <w:rPr>
          <w:sz w:val="20"/>
          <w:szCs w:val="20"/>
          <w:color w:val="auto"/>
        </w:rPr>
      </w:pPr>
    </w:p>
    <w:p>
      <w:pPr>
        <w:ind w:left="340" w:right="3319" w:firstLine="612"/>
        <w:spacing w:after="0" w:line="236" w:lineRule="auto"/>
        <w:rPr>
          <w:sz w:val="20"/>
          <w:szCs w:val="20"/>
          <w:color w:val="auto"/>
        </w:rPr>
      </w:pPr>
      <w:r>
        <w:rPr>
          <w:rFonts w:ascii="Courier New" w:cs="Courier New" w:eastAsia="Courier New" w:hAnsi="Courier New"/>
          <w:sz w:val="15"/>
          <w:szCs w:val="15"/>
          <w:color w:val="auto"/>
        </w:rPr>
        <w:t>"LIBO Rate"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w:t>
      </w:r>
    </w:p>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left="340" w:right="3239"/>
        <w:spacing w:after="0" w:line="237" w:lineRule="auto"/>
        <w:rPr>
          <w:sz w:val="20"/>
          <w:szCs w:val="20"/>
          <w:color w:val="auto"/>
        </w:rPr>
      </w:pPr>
      <w:r>
        <w:rPr>
          <w:rFonts w:ascii="Courier New" w:cs="Courier New" w:eastAsia="Courier New" w:hAnsi="Courier New"/>
          <w:sz w:val="15"/>
          <w:szCs w:val="15"/>
          <w:color w:val="auto"/>
        </w:rPr>
        <w:t>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3" w:lineRule="exact"/>
        <w:rPr>
          <w:sz w:val="20"/>
          <w:szCs w:val="20"/>
          <w:color w:val="auto"/>
        </w:rPr>
      </w:pPr>
    </w:p>
    <w:p>
      <w:pPr>
        <w:ind w:left="340" w:right="4019" w:firstLine="612"/>
        <w:spacing w:after="0" w:line="234" w:lineRule="auto"/>
        <w:rPr>
          <w:sz w:val="20"/>
          <w:szCs w:val="20"/>
          <w:color w:val="auto"/>
        </w:rPr>
      </w:pPr>
      <w:r>
        <w:rPr>
          <w:rFonts w:ascii="Courier New" w:cs="Courier New" w:eastAsia="Courier New" w:hAnsi="Courier New"/>
          <w:sz w:val="15"/>
          <w:szCs w:val="15"/>
          <w:color w:val="auto"/>
        </w:rPr>
        <w:t>"LIBO Rate Advances" has the meaning specified in Section 2.03(a)(i).</w:t>
      </w:r>
    </w:p>
    <w:p>
      <w:pPr>
        <w:spacing w:after="0" w:line="173"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"Lien"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4" w:lineRule="exact"/>
        <w:rPr>
          <w:sz w:val="20"/>
          <w:szCs w:val="20"/>
          <w:color w:val="auto"/>
        </w:rPr>
      </w:pPr>
    </w:p>
    <w:p>
      <w:pPr>
        <w:ind w:left="340" w:right="3239" w:firstLine="612"/>
        <w:spacing w:after="0" w:line="235" w:lineRule="auto"/>
        <w:rPr>
          <w:sz w:val="20"/>
          <w:szCs w:val="20"/>
          <w:color w:val="auto"/>
        </w:rPr>
      </w:pPr>
      <w:r>
        <w:rPr>
          <w:rFonts w:ascii="Courier New" w:cs="Courier New" w:eastAsia="Courier New" w:hAnsi="Courier New"/>
          <w:sz w:val="15"/>
          <w:szCs w:val="15"/>
          <w:color w:val="auto"/>
        </w:rPr>
        <w:t>"Margin Stock" has the meaning assigned to such term under Regulation U of the Board of Governors of the Federal Reserve System of the United States as from time to time in effect and all official rulings and interpretations thereunder or thereof.</w:t>
      </w:r>
    </w:p>
    <w:p>
      <w:pPr>
        <w:spacing w:after="0" w:line="175" w:lineRule="exact"/>
        <w:rPr>
          <w:sz w:val="20"/>
          <w:szCs w:val="20"/>
          <w:color w:val="auto"/>
        </w:rPr>
      </w:pPr>
    </w:p>
    <w:p>
      <w:pPr>
        <w:ind w:left="340" w:right="3239" w:firstLine="612"/>
        <w:spacing w:after="0" w:line="235" w:lineRule="auto"/>
        <w:rPr>
          <w:sz w:val="20"/>
          <w:szCs w:val="20"/>
          <w:color w:val="auto"/>
        </w:rPr>
      </w:pPr>
      <w:r>
        <w:rPr>
          <w:rFonts w:ascii="Courier New" w:cs="Courier New" w:eastAsia="Courier New" w:hAnsi="Courier New"/>
          <w:sz w:val="15"/>
          <w:szCs w:val="15"/>
          <w:color w:val="auto"/>
        </w:rPr>
        <w:t>"Material Adverse Change" means any material adverse change in the business, financial condition or results of operations of the Borrower and its Subsidiaries taken as a whole.</w:t>
      </w:r>
    </w:p>
    <w:p>
      <w:pPr>
        <w:spacing w:after="0" w:line="174" w:lineRule="exact"/>
        <w:rPr>
          <w:sz w:val="20"/>
          <w:szCs w:val="20"/>
          <w:color w:val="auto"/>
        </w:rPr>
      </w:pPr>
    </w:p>
    <w:p>
      <w:pPr>
        <w:ind w:left="340" w:right="3399" w:firstLine="612"/>
        <w:spacing w:after="0" w:line="254" w:lineRule="auto"/>
        <w:rPr>
          <w:sz w:val="20"/>
          <w:szCs w:val="20"/>
          <w:color w:val="auto"/>
        </w:rPr>
      </w:pPr>
      <w:r>
        <w:rPr>
          <w:rFonts w:ascii="Courier New" w:cs="Courier New" w:eastAsia="Courier New" w:hAnsi="Courier New"/>
          <w:sz w:val="14"/>
          <w:szCs w:val="14"/>
          <w:color w:val="auto"/>
        </w:rPr>
        <w:t>"Material Adverse Effect" means a material adverse effect on (a) the business, financial condition or results of operations of the Borrower and its Subsidiaries taken as a whole, (b) the rights and remedies of the Agent or any Lender under this Agreement or any Note or</w:t>
      </w:r>
    </w:p>
    <w:p>
      <w:pPr>
        <w:spacing w:after="0" w:line="1" w:lineRule="exact"/>
        <w:rPr>
          <w:sz w:val="20"/>
          <w:szCs w:val="20"/>
          <w:color w:val="auto"/>
        </w:rPr>
      </w:pPr>
    </w:p>
    <w:p>
      <w:pPr>
        <w:ind w:left="340" w:right="3579" w:firstLine="2"/>
        <w:spacing w:after="0" w:line="234" w:lineRule="auto"/>
        <w:tabs>
          <w:tab w:leader="none" w:pos="6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Borrower to perform its obligations under this Agreement or any Note.</w:t>
      </w:r>
    </w:p>
    <w:p>
      <w:pPr>
        <w:spacing w:after="0" w:line="173" w:lineRule="exact"/>
        <w:rPr>
          <w:sz w:val="20"/>
          <w:szCs w:val="20"/>
          <w:color w:val="auto"/>
        </w:rPr>
      </w:pPr>
    </w:p>
    <w:p>
      <w:pPr>
        <w:ind w:left="340" w:right="3319" w:firstLine="612"/>
        <w:spacing w:after="0" w:line="235" w:lineRule="auto"/>
        <w:rPr>
          <w:sz w:val="20"/>
          <w:szCs w:val="20"/>
          <w:color w:val="auto"/>
        </w:rPr>
      </w:pPr>
      <w:r>
        <w:rPr>
          <w:rFonts w:ascii="Courier New" w:cs="Courier New" w:eastAsia="Courier New" w:hAnsi="Courier New"/>
          <w:sz w:val="15"/>
          <w:szCs w:val="15"/>
          <w:color w:val="auto"/>
        </w:rPr>
        <w:t>"Maturity Date" means the earlier of (a) the first anniversary of the Termination Date and (b) the date of termination in whole of the aggregate Commitments pursuant to Section 2.05 or 6.01.</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3"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74" w:lineRule="exact"/>
        <w:rPr>
          <w:sz w:val="20"/>
          <w:szCs w:val="20"/>
          <w:color w:val="auto"/>
        </w:rPr>
      </w:pPr>
    </w:p>
    <w:p>
      <w:pPr>
        <w:ind w:left="340" w:right="3319" w:firstLine="612"/>
        <w:spacing w:after="0" w:line="236" w:lineRule="auto"/>
        <w:rPr>
          <w:sz w:val="20"/>
          <w:szCs w:val="20"/>
          <w:color w:val="auto"/>
        </w:rPr>
      </w:pPr>
      <w:r>
        <w:rPr>
          <w:rFonts w:ascii="Courier New" w:cs="Courier New" w:eastAsia="Courier New" w:hAnsi="Courier New"/>
          <w:sz w:val="15"/>
          <w:szCs w:val="15"/>
          <w:color w:val="auto"/>
        </w:rPr>
        <w:t>"Multiple Employer Plan"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left="340" w:right="3239"/>
        <w:spacing w:after="0" w:line="234" w:lineRule="auto"/>
        <w:rPr>
          <w:sz w:val="20"/>
          <w:szCs w:val="20"/>
          <w:color w:val="auto"/>
        </w:rPr>
      </w:pPr>
      <w:r>
        <w:rPr>
          <w:rFonts w:ascii="Courier New" w:cs="Courier New" w:eastAsia="Courier New" w:hAnsi="Courier New"/>
          <w:sz w:val="15"/>
          <w:szCs w:val="15"/>
          <w:color w:val="auto"/>
        </w:rPr>
        <w:t>Affiliate could have liability under Section 4064 or 4069 of ERISA in the event such plan has been or were to be terminated.</w:t>
      </w:r>
    </w:p>
    <w:p>
      <w:pPr>
        <w:spacing w:after="0" w:line="173" w:lineRule="exact"/>
        <w:rPr>
          <w:sz w:val="20"/>
          <w:szCs w:val="20"/>
          <w:color w:val="auto"/>
        </w:rPr>
      </w:pPr>
    </w:p>
    <w:p>
      <w:pPr>
        <w:ind w:left="340" w:right="3759" w:firstLine="612"/>
        <w:spacing w:after="0" w:line="234" w:lineRule="auto"/>
        <w:rPr>
          <w:sz w:val="20"/>
          <w:szCs w:val="20"/>
          <w:color w:val="auto"/>
        </w:rPr>
      </w:pPr>
      <w:r>
        <w:rPr>
          <w:rFonts w:ascii="Courier New" w:cs="Courier New" w:eastAsia="Courier New" w:hAnsi="Courier New"/>
          <w:sz w:val="15"/>
          <w:szCs w:val="15"/>
          <w:color w:val="auto"/>
        </w:rPr>
        <w:t>"Non-Consenting Lender" has the meaning specified in Section 2.17(b).</w:t>
      </w:r>
    </w:p>
    <w:p>
      <w:pPr>
        <w:spacing w:after="0" w:line="173" w:lineRule="exact"/>
        <w:rPr>
          <w:sz w:val="20"/>
          <w:szCs w:val="20"/>
          <w:color w:val="auto"/>
        </w:rPr>
      </w:pPr>
    </w:p>
    <w:p>
      <w:pPr>
        <w:ind w:left="340" w:right="3239" w:firstLine="612"/>
        <w:spacing w:after="0" w:line="237" w:lineRule="auto"/>
        <w:rPr>
          <w:sz w:val="20"/>
          <w:szCs w:val="20"/>
          <w:color w:val="auto"/>
        </w:rPr>
      </w:pPr>
      <w:r>
        <w:rPr>
          <w:rFonts w:ascii="Courier New" w:cs="Courier New" w:eastAsia="Courier New" w:hAnsi="Courier New"/>
          <w:sz w:val="15"/>
          <w:szCs w:val="15"/>
          <w:color w:val="auto"/>
        </w:rPr>
        <w:t>"Non-Recourse Debt" shall mean Debt of the Borrower or its Subsidiaries incurred (a) as to which neither the Borrower nor any of its Subsidiaries (i) 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 means a Revolving Credit Note or a Competitive Bid Note.</w:t>
      </w:r>
    </w:p>
    <w:p>
      <w:pPr>
        <w:spacing w:after="0" w:line="173" w:lineRule="exact"/>
        <w:rPr>
          <w:sz w:val="20"/>
          <w:szCs w:val="20"/>
          <w:color w:val="auto"/>
        </w:rPr>
      </w:pPr>
    </w:p>
    <w:p>
      <w:pPr>
        <w:ind w:left="340" w:right="3239" w:firstLine="612"/>
        <w:spacing w:after="0" w:line="234" w:lineRule="auto"/>
        <w:rPr>
          <w:sz w:val="20"/>
          <w:szCs w:val="20"/>
          <w:color w:val="auto"/>
        </w:rPr>
      </w:pPr>
      <w:r>
        <w:rPr>
          <w:rFonts w:ascii="Courier New" w:cs="Courier New" w:eastAsia="Courier New" w:hAnsi="Courier New"/>
          <w:sz w:val="15"/>
          <w:szCs w:val="15"/>
          <w:color w:val="auto"/>
        </w:rPr>
        <w:t>"Notice of Competitive Bid Borrowing" has the meaning specified in Section 2.03(a).</w:t>
      </w:r>
    </w:p>
    <w:p>
      <w:pPr>
        <w:spacing w:after="0" w:line="173" w:lineRule="exact"/>
        <w:rPr>
          <w:sz w:val="20"/>
          <w:szCs w:val="20"/>
          <w:color w:val="auto"/>
        </w:rPr>
      </w:pPr>
    </w:p>
    <w:p>
      <w:pPr>
        <w:ind w:left="340" w:right="3399" w:firstLine="612"/>
        <w:spacing w:after="0" w:line="234" w:lineRule="auto"/>
        <w:rPr>
          <w:sz w:val="20"/>
          <w:szCs w:val="20"/>
          <w:color w:val="auto"/>
        </w:rPr>
      </w:pPr>
      <w:r>
        <w:rPr>
          <w:rFonts w:ascii="Courier New" w:cs="Courier New" w:eastAsia="Courier New" w:hAnsi="Courier New"/>
          <w:sz w:val="15"/>
          <w:szCs w:val="15"/>
          <w:color w:val="auto"/>
        </w:rPr>
        <w:t>"Notice of Revolving Credit Borrowing" has the meaning specified in Section 2.02(a).</w:t>
      </w:r>
    </w:p>
    <w:p>
      <w:pPr>
        <w:spacing w:after="0" w:line="173" w:lineRule="exact"/>
        <w:rPr>
          <w:sz w:val="20"/>
          <w:szCs w:val="20"/>
          <w:color w:val="auto"/>
        </w:rPr>
      </w:pPr>
    </w:p>
    <w:p>
      <w:pPr>
        <w:ind w:left="340" w:right="3679" w:firstLine="612"/>
        <w:spacing w:after="0" w:line="234" w:lineRule="auto"/>
        <w:rPr>
          <w:sz w:val="20"/>
          <w:szCs w:val="20"/>
          <w:color w:val="auto"/>
        </w:rPr>
      </w:pPr>
      <w:r>
        <w:rPr>
          <w:rFonts w:ascii="Courier New" w:cs="Courier New" w:eastAsia="Courier New" w:hAnsi="Courier New"/>
          <w:sz w:val="15"/>
          <w:szCs w:val="15"/>
          <w:color w:val="auto"/>
        </w:rPr>
        <w:t>"PBGC" means the Pension Benefit Guaranty Corporation (or any successor).</w:t>
      </w:r>
    </w:p>
    <w:p>
      <w:pPr>
        <w:spacing w:after="0" w:line="173" w:lineRule="exact"/>
        <w:rPr>
          <w:sz w:val="20"/>
          <w:szCs w:val="20"/>
          <w:color w:val="auto"/>
        </w:rPr>
      </w:pPr>
    </w:p>
    <w:p>
      <w:pPr>
        <w:ind w:left="340" w:right="3319" w:firstLine="612"/>
        <w:spacing w:after="0" w:line="235" w:lineRule="auto"/>
        <w:rPr>
          <w:sz w:val="20"/>
          <w:szCs w:val="20"/>
          <w:color w:val="auto"/>
        </w:rPr>
      </w:pPr>
      <w:r>
        <w:rPr>
          <w:rFonts w:ascii="Courier New" w:cs="Courier New" w:eastAsia="Courier New" w:hAnsi="Courier New"/>
          <w:sz w:val="15"/>
          <w:szCs w:val="15"/>
          <w:color w:val="auto"/>
        </w:rPr>
        <w:t>"Performance Level" means, as of any date of the determination, the level set forth below as then in effect, as determined in accordance with the following provisions of this definition:</w:t>
      </w:r>
    </w:p>
    <w:p>
      <w:pPr>
        <w:spacing w:after="0" w:line="174" w:lineRule="exact"/>
        <w:rPr>
          <w:sz w:val="20"/>
          <w:szCs w:val="20"/>
          <w:color w:val="auto"/>
        </w:rPr>
      </w:pPr>
    </w:p>
    <w:p>
      <w:pPr>
        <w:ind w:left="2180" w:right="3399" w:hanging="1223"/>
        <w:spacing w:after="0" w:line="234" w:lineRule="auto"/>
        <w:tabs>
          <w:tab w:leader="none" w:pos="2160" w:val="left"/>
        </w:tabs>
        <w:rPr>
          <w:sz w:val="20"/>
          <w:szCs w:val="20"/>
          <w:color w:val="auto"/>
        </w:rPr>
      </w:pPr>
      <w:r>
        <w:rPr>
          <w:rFonts w:ascii="Courier New" w:cs="Courier New" w:eastAsia="Courier New" w:hAnsi="Courier New"/>
          <w:sz w:val="15"/>
          <w:szCs w:val="15"/>
          <w:color w:val="auto"/>
        </w:rPr>
        <w:t>Level I:</w:t>
      </w:r>
      <w:r>
        <w:rPr>
          <w:sz w:val="20"/>
          <w:szCs w:val="20"/>
          <w:color w:val="auto"/>
        </w:rPr>
        <w:tab/>
      </w:r>
      <w:r>
        <w:rPr>
          <w:rFonts w:ascii="Courier New" w:cs="Courier New" w:eastAsia="Courier New" w:hAnsi="Courier New"/>
          <w:sz w:val="15"/>
          <w:szCs w:val="15"/>
          <w:color w:val="auto"/>
        </w:rPr>
        <w:t>Public Debt Rating of not lower than AA+ by S&amp;P or not lower than Aa1 by Moody's.</w:t>
      </w:r>
    </w:p>
    <w:p>
      <w:pPr>
        <w:spacing w:after="0" w:line="173" w:lineRule="exact"/>
        <w:rPr>
          <w:sz w:val="20"/>
          <w:szCs w:val="20"/>
          <w:color w:val="auto"/>
        </w:rPr>
      </w:pPr>
    </w:p>
    <w:p>
      <w:pPr>
        <w:ind w:left="2180" w:right="3579" w:hanging="1223"/>
        <w:spacing w:after="0" w:line="234" w:lineRule="auto"/>
        <w:tabs>
          <w:tab w:leader="none" w:pos="2160" w:val="left"/>
        </w:tabs>
        <w:rPr>
          <w:sz w:val="20"/>
          <w:szCs w:val="20"/>
          <w:color w:val="auto"/>
        </w:rPr>
      </w:pPr>
      <w:r>
        <w:rPr>
          <w:rFonts w:ascii="Courier New" w:cs="Courier New" w:eastAsia="Courier New" w:hAnsi="Courier New"/>
          <w:sz w:val="15"/>
          <w:szCs w:val="15"/>
          <w:color w:val="auto"/>
        </w:rPr>
        <w:t>Level II:</w:t>
      </w:r>
      <w:r>
        <w:rPr>
          <w:sz w:val="20"/>
          <w:szCs w:val="20"/>
          <w:color w:val="auto"/>
        </w:rPr>
        <w:tab/>
      </w:r>
      <w:r>
        <w:rPr>
          <w:rFonts w:ascii="Courier New" w:cs="Courier New" w:eastAsia="Courier New" w:hAnsi="Courier New"/>
          <w:sz w:val="15"/>
          <w:szCs w:val="15"/>
          <w:color w:val="auto"/>
        </w:rPr>
        <w:t>Public Debt Rating of lower than Level I but not lower than AA- by S&amp;P or Aa3 by Moody's.</w:t>
      </w:r>
    </w:p>
    <w:p>
      <w:pPr>
        <w:spacing w:after="0" w:line="173" w:lineRule="exact"/>
        <w:rPr>
          <w:sz w:val="20"/>
          <w:szCs w:val="20"/>
          <w:color w:val="auto"/>
        </w:rPr>
      </w:pPr>
    </w:p>
    <w:p>
      <w:pPr>
        <w:ind w:left="2180" w:right="3319" w:hanging="1223"/>
        <w:spacing w:after="0" w:line="234" w:lineRule="auto"/>
        <w:tabs>
          <w:tab w:leader="none" w:pos="2160" w:val="left"/>
        </w:tabs>
        <w:rPr>
          <w:sz w:val="20"/>
          <w:szCs w:val="20"/>
          <w:color w:val="auto"/>
        </w:rPr>
      </w:pPr>
      <w:r>
        <w:rPr>
          <w:rFonts w:ascii="Courier New" w:cs="Courier New" w:eastAsia="Courier New" w:hAnsi="Courier New"/>
          <w:sz w:val="15"/>
          <w:szCs w:val="15"/>
          <w:color w:val="auto"/>
        </w:rPr>
        <w:t>Level III:</w:t>
      </w:r>
      <w:r>
        <w:rPr>
          <w:sz w:val="20"/>
          <w:szCs w:val="20"/>
          <w:color w:val="auto"/>
        </w:rPr>
        <w:tab/>
      </w:r>
      <w:r>
        <w:rPr>
          <w:rFonts w:ascii="Courier New" w:cs="Courier New" w:eastAsia="Courier New" w:hAnsi="Courier New"/>
          <w:sz w:val="15"/>
          <w:szCs w:val="15"/>
          <w:color w:val="auto"/>
        </w:rPr>
        <w:t>Public Debt Rating of A+ by S&amp;P or A1 by Moody's or lower.</w:t>
      </w:r>
    </w:p>
    <w:p>
      <w:pPr>
        <w:spacing w:after="0" w:line="173" w:lineRule="exact"/>
        <w:rPr>
          <w:sz w:val="20"/>
          <w:szCs w:val="20"/>
          <w:color w:val="auto"/>
        </w:rPr>
      </w:pPr>
    </w:p>
    <w:p>
      <w:pPr>
        <w:ind w:left="340" w:right="3239"/>
        <w:spacing w:after="0" w:line="236" w:lineRule="auto"/>
        <w:rPr>
          <w:sz w:val="20"/>
          <w:szCs w:val="20"/>
          <w:color w:val="auto"/>
        </w:rPr>
      </w:pPr>
      <w:r>
        <w:rPr>
          <w:rFonts w:ascii="Courier New" w:cs="Courier New" w:eastAsia="Courier New" w:hAnsi="Courier New"/>
          <w:sz w:val="15"/>
          <w:szCs w:val="15"/>
          <w:color w:val="auto"/>
        </w:rPr>
        <w:t>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provided that if the lower of such ratings is more than one level below the higher of such ratings, the Performance Level shall be based on the level immediately above such lower rating.</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"Permitted Liens" means any of the following:</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left="340" w:right="3499" w:firstLine="614"/>
        <w:spacing w:after="0" w:line="235" w:lineRule="auto"/>
        <w:tabs>
          <w:tab w:leader="none" w:pos="1564"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governmental charges or levies to the extent not required to be paid under Section 5.01(b) hereof;</w:t>
      </w:r>
    </w:p>
    <w:p>
      <w:pPr>
        <w:spacing w:after="0" w:line="173" w:lineRule="exact"/>
        <w:rPr>
          <w:rFonts w:ascii="Courier New" w:cs="Courier New" w:eastAsia="Courier New" w:hAnsi="Courier New"/>
          <w:sz w:val="15"/>
          <w:szCs w:val="15"/>
          <w:color w:val="auto"/>
        </w:rPr>
      </w:pPr>
    </w:p>
    <w:p>
      <w:pPr>
        <w:ind w:left="340" w:right="3239" w:firstLine="614"/>
        <w:spacing w:after="0" w:line="254" w:lineRule="auto"/>
        <w:tabs>
          <w:tab w:leader="none" w:pos="1564"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such as materialmen's, mechanics', carriers', workmen's and repairmen's Liens and other similar Liens arising in the ordinary course of business securing obligations (other than Debt) that (i) are not overdue for a period of more than 120 days or</w:t>
      </w:r>
    </w:p>
    <w:p>
      <w:pPr>
        <w:spacing w:after="0" w:line="1" w:lineRule="exact"/>
        <w:rPr>
          <w:rFonts w:ascii="Courier New" w:cs="Courier New" w:eastAsia="Courier New" w:hAnsi="Courier New"/>
          <w:sz w:val="14"/>
          <w:szCs w:val="14"/>
          <w:color w:val="auto"/>
        </w:rPr>
      </w:pPr>
    </w:p>
    <w:p>
      <w:pPr>
        <w:ind w:left="340" w:right="3399" w:firstLine="2"/>
        <w:spacing w:after="0" w:line="235" w:lineRule="auto"/>
        <w:tabs>
          <w:tab w:leader="none" w:pos="77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being contested in good faith and by proper proceedings and as to which appropriate reserves are being maintained in accordance with GAAP;</w:t>
      </w:r>
    </w:p>
    <w:p>
      <w:pPr>
        <w:spacing w:after="0" w:line="173" w:lineRule="exact"/>
        <w:rPr>
          <w:rFonts w:ascii="Courier New" w:cs="Courier New" w:eastAsia="Courier New" w:hAnsi="Courier New"/>
          <w:sz w:val="15"/>
          <w:szCs w:val="15"/>
          <w:color w:val="auto"/>
        </w:rPr>
      </w:pPr>
    </w:p>
    <w:p>
      <w:pPr>
        <w:ind w:left="340" w:right="3239" w:firstLine="614"/>
        <w:spacing w:after="0" w:line="235" w:lineRule="auto"/>
        <w:tabs>
          <w:tab w:leader="none" w:pos="15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to secure obligations under workers' compensation laws or similar legislation or to secure public or statutory obligations;</w:t>
      </w:r>
    </w:p>
    <w:p>
      <w:pPr>
        <w:spacing w:after="0" w:line="173" w:lineRule="exact"/>
        <w:rPr>
          <w:rFonts w:ascii="Courier New" w:cs="Courier New" w:eastAsia="Courier New" w:hAnsi="Courier New"/>
          <w:sz w:val="15"/>
          <w:szCs w:val="15"/>
          <w:color w:val="auto"/>
        </w:rPr>
      </w:pPr>
    </w:p>
    <w:p>
      <w:pPr>
        <w:ind w:left="340" w:right="3239" w:firstLine="614"/>
        <w:spacing w:after="0" w:line="235" w:lineRule="auto"/>
        <w:tabs>
          <w:tab w:leader="none" w:pos="15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75" w:lineRule="exact"/>
        <w:rPr>
          <w:rFonts w:ascii="Courier New" w:cs="Courier New" w:eastAsia="Courier New" w:hAnsi="Courier New"/>
          <w:sz w:val="15"/>
          <w:szCs w:val="15"/>
          <w:color w:val="auto"/>
        </w:rPr>
      </w:pPr>
    </w:p>
    <w:p>
      <w:pPr>
        <w:ind w:left="340" w:right="3239" w:firstLine="614"/>
        <w:spacing w:after="0" w:line="235" w:lineRule="auto"/>
        <w:tabs>
          <w:tab w:leader="none" w:pos="15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 of way and other encumbrances on title to real property that do not materially adversely affect the use of such property for its present purposes.</w:t>
      </w:r>
    </w:p>
    <w:p>
      <w:pPr>
        <w:spacing w:after="0" w:line="174" w:lineRule="exact"/>
        <w:rPr>
          <w:sz w:val="20"/>
          <w:szCs w:val="20"/>
          <w:color w:val="auto"/>
        </w:rPr>
      </w:pPr>
    </w:p>
    <w:p>
      <w:pPr>
        <w:ind w:left="340" w:right="3239" w:firstLine="612"/>
        <w:spacing w:after="0" w:line="256" w:lineRule="auto"/>
        <w:rPr>
          <w:sz w:val="20"/>
          <w:szCs w:val="20"/>
          <w:color w:val="auto"/>
        </w:rPr>
      </w:pPr>
      <w:r>
        <w:rPr>
          <w:rFonts w:ascii="Courier New" w:cs="Courier New" w:eastAsia="Courier New" w:hAnsi="Courier New"/>
          <w:sz w:val="14"/>
          <w:szCs w:val="14"/>
          <w:color w:val="auto"/>
        </w:rPr>
        <w:t>"Person"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4" w:lineRule="exact"/>
        <w:rPr>
          <w:sz w:val="20"/>
          <w:szCs w:val="20"/>
          <w:color w:val="auto"/>
        </w:rPr>
      </w:pPr>
    </w:p>
    <w:p>
      <w:pPr>
        <w:ind w:left="340" w:right="3499" w:firstLine="612"/>
        <w:spacing w:after="0" w:line="235" w:lineRule="auto"/>
        <w:rPr>
          <w:sz w:val="20"/>
          <w:szCs w:val="20"/>
          <w:color w:val="auto"/>
        </w:rPr>
      </w:pPr>
      <w:r>
        <w:rPr>
          <w:rFonts w:ascii="Courier New" w:cs="Courier New" w:eastAsia="Courier New" w:hAnsi="Courier New"/>
          <w:sz w:val="15"/>
          <w:szCs w:val="15"/>
          <w:color w:val="auto"/>
        </w:rPr>
        <w:t>"Plan" means a Single Employer Plan or a Multiple Employer Plan subject to the provisions of Title IV of ERISA or Section 412 of the Internal Revenue Code or Section 302 of ERISA.</w:t>
      </w:r>
    </w:p>
    <w:p>
      <w:pPr>
        <w:spacing w:after="0" w:line="174"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"Pro Rata Share"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74" w:lineRule="exact"/>
        <w:rPr>
          <w:sz w:val="20"/>
          <w:szCs w:val="20"/>
          <w:color w:val="auto"/>
        </w:rPr>
      </w:pPr>
    </w:p>
    <w:p>
      <w:pPr>
        <w:ind w:left="340" w:right="3239" w:firstLine="612"/>
        <w:spacing w:after="0" w:line="236" w:lineRule="auto"/>
        <w:rPr>
          <w:sz w:val="20"/>
          <w:szCs w:val="20"/>
          <w:color w:val="auto"/>
        </w:rPr>
      </w:pPr>
      <w:r>
        <w:rPr>
          <w:rFonts w:ascii="Courier New" w:cs="Courier New" w:eastAsia="Courier New" w:hAnsi="Courier New"/>
          <w:sz w:val="15"/>
          <w:szCs w:val="15"/>
          <w:color w:val="auto"/>
        </w:rPr>
        <w:t>"Public Debt Rating"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74"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"Reference Banks" means Citibank, SunTrust and Chase.</w:t>
      </w:r>
    </w:p>
    <w:p>
      <w:pPr>
        <w:spacing w:after="0" w:line="166"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"Register" has the meaning specified in Section 8.07(d).</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left="340" w:right="3239" w:firstLine="612"/>
        <w:spacing w:after="0" w:line="235" w:lineRule="auto"/>
        <w:rPr>
          <w:sz w:val="20"/>
          <w:szCs w:val="20"/>
          <w:color w:val="auto"/>
        </w:rPr>
      </w:pPr>
      <w:r>
        <w:rPr>
          <w:rFonts w:ascii="Courier New" w:cs="Courier New" w:eastAsia="Courier New" w:hAnsi="Courier New"/>
          <w:sz w:val="15"/>
          <w:szCs w:val="15"/>
          <w:color w:val="auto"/>
        </w:rPr>
        <w:t>"Required Lenders" means at any time Lenders having at least a majority in interest of the Commitments or, if all of the Commitments have been terminated, Lenders owed at least a majority in interest of the then aggregate unpaid principal amount of the Advances.</w:t>
      </w:r>
    </w:p>
    <w:p>
      <w:pPr>
        <w:spacing w:after="0" w:line="175" w:lineRule="exact"/>
        <w:rPr>
          <w:sz w:val="20"/>
          <w:szCs w:val="20"/>
          <w:color w:val="auto"/>
        </w:rPr>
      </w:pPr>
    </w:p>
    <w:p>
      <w:pPr>
        <w:ind w:left="340" w:right="3579" w:firstLine="612"/>
        <w:spacing w:after="0" w:line="235" w:lineRule="auto"/>
        <w:rPr>
          <w:sz w:val="20"/>
          <w:szCs w:val="20"/>
          <w:color w:val="auto"/>
        </w:rPr>
      </w:pPr>
      <w:r>
        <w:rPr>
          <w:rFonts w:ascii="Courier New" w:cs="Courier New" w:eastAsia="Courier New" w:hAnsi="Courier New"/>
          <w:sz w:val="15"/>
          <w:szCs w:val="15"/>
          <w:color w:val="auto"/>
        </w:rPr>
        <w:t>"Revolving Credit Advance" means an advance by a Lender to the Borrower as part of a Revolving Credit Borrowing and refers to a Base Rate Advance or a Eurodollar Rate Advance (each of which shall be a "Type" of Revolving Credit Advance).</w:t>
      </w:r>
    </w:p>
    <w:p>
      <w:pPr>
        <w:spacing w:after="0" w:line="175" w:lineRule="exact"/>
        <w:rPr>
          <w:sz w:val="20"/>
          <w:szCs w:val="20"/>
          <w:color w:val="auto"/>
        </w:rPr>
      </w:pPr>
    </w:p>
    <w:p>
      <w:pPr>
        <w:ind w:left="340" w:right="3399" w:firstLine="612"/>
        <w:spacing w:after="0" w:line="235" w:lineRule="auto"/>
        <w:rPr>
          <w:sz w:val="20"/>
          <w:szCs w:val="20"/>
          <w:color w:val="auto"/>
        </w:rPr>
      </w:pPr>
      <w:r>
        <w:rPr>
          <w:rFonts w:ascii="Courier New" w:cs="Courier New" w:eastAsia="Courier New" w:hAnsi="Courier New"/>
          <w:sz w:val="15"/>
          <w:szCs w:val="15"/>
          <w:color w:val="auto"/>
        </w:rPr>
        <w:t>"Revolving Credit Borrowing" means a borrowing consisting of simultaneous Revolving Credit Advances of the same Type made by each of the Lenders pursuant to Section 2.01.</w:t>
      </w:r>
    </w:p>
    <w:p>
      <w:pPr>
        <w:spacing w:after="0" w:line="174" w:lineRule="exact"/>
        <w:rPr>
          <w:sz w:val="20"/>
          <w:szCs w:val="20"/>
          <w:color w:val="auto"/>
        </w:rPr>
      </w:pPr>
    </w:p>
    <w:p>
      <w:pPr>
        <w:ind w:left="340" w:right="3319" w:firstLine="612"/>
        <w:spacing w:after="0" w:line="236" w:lineRule="auto"/>
        <w:rPr>
          <w:sz w:val="20"/>
          <w:szCs w:val="20"/>
          <w:color w:val="auto"/>
        </w:rPr>
      </w:pPr>
      <w:r>
        <w:rPr>
          <w:rFonts w:ascii="Courier New" w:cs="Courier New" w:eastAsia="Courier New" w:hAnsi="Courier New"/>
          <w:sz w:val="15"/>
          <w:szCs w:val="15"/>
          <w:color w:val="auto"/>
        </w:rPr>
        <w:t>"Revolving Credit Note"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174" w:lineRule="exact"/>
        <w:rPr>
          <w:sz w:val="20"/>
          <w:szCs w:val="20"/>
          <w:color w:val="auto"/>
        </w:rPr>
      </w:pPr>
    </w:p>
    <w:p>
      <w:pPr>
        <w:ind w:left="340" w:right="3579" w:firstLine="612"/>
        <w:spacing w:after="0" w:line="234" w:lineRule="auto"/>
        <w:rPr>
          <w:sz w:val="20"/>
          <w:szCs w:val="20"/>
          <w:color w:val="auto"/>
        </w:rPr>
      </w:pPr>
      <w:r>
        <w:rPr>
          <w:rFonts w:ascii="Courier New" w:cs="Courier New" w:eastAsia="Courier New" w:hAnsi="Courier New"/>
          <w:sz w:val="15"/>
          <w:szCs w:val="15"/>
          <w:color w:val="auto"/>
        </w:rPr>
        <w:t>"S&amp;P" means Standard &amp; Poor's Ratings Group, a division of The McGraw-Hill Companies, Inc.</w:t>
      </w:r>
    </w:p>
    <w:p>
      <w:pPr>
        <w:spacing w:after="0" w:line="173" w:lineRule="exact"/>
        <w:rPr>
          <w:sz w:val="20"/>
          <w:szCs w:val="20"/>
          <w:color w:val="auto"/>
        </w:rPr>
      </w:pPr>
    </w:p>
    <w:p>
      <w:pPr>
        <w:ind w:left="340" w:right="3399" w:firstLine="612"/>
        <w:spacing w:after="0" w:line="256" w:lineRule="auto"/>
        <w:rPr>
          <w:sz w:val="20"/>
          <w:szCs w:val="20"/>
          <w:color w:val="auto"/>
        </w:rPr>
      </w:pPr>
      <w:r>
        <w:rPr>
          <w:rFonts w:ascii="Courier New" w:cs="Courier New" w:eastAsia="Courier New" w:hAnsi="Courier New"/>
          <w:sz w:val="14"/>
          <w:szCs w:val="14"/>
          <w:color w:val="auto"/>
        </w:rPr>
        <w:t>"Shareholders' Equity" means "shareholders' equity" as such term is construed in accordance with GAAP and as reported in the Borrower's reports and registration statements filed with the Securities and Exchange Commission or any national securities exchange.</w:t>
      </w:r>
    </w:p>
    <w:p>
      <w:pPr>
        <w:spacing w:after="0" w:line="164" w:lineRule="exact"/>
        <w:rPr>
          <w:sz w:val="20"/>
          <w:szCs w:val="20"/>
          <w:color w:val="auto"/>
        </w:rPr>
      </w:pPr>
    </w:p>
    <w:p>
      <w:pPr>
        <w:ind w:left="340" w:right="3239" w:firstLine="612"/>
        <w:spacing w:after="0" w:line="235" w:lineRule="auto"/>
        <w:rPr>
          <w:sz w:val="20"/>
          <w:szCs w:val="20"/>
          <w:color w:val="auto"/>
        </w:rPr>
      </w:pPr>
      <w:r>
        <w:rPr>
          <w:rFonts w:ascii="Courier New" w:cs="Courier New" w:eastAsia="Courier New" w:hAnsi="Courier New"/>
          <w:sz w:val="15"/>
          <w:szCs w:val="15"/>
          <w:color w:val="auto"/>
        </w:rPr>
        <w:t>"Significant Subsidiary" shall mean any Subsidiary that would be a "significant subsidiary" within the meaning of Rule 1-02 of the SEC's Regulation S-X.</w:t>
      </w:r>
    </w:p>
    <w:p>
      <w:pPr>
        <w:spacing w:after="0" w:line="174" w:lineRule="exact"/>
        <w:rPr>
          <w:sz w:val="20"/>
          <w:szCs w:val="20"/>
          <w:color w:val="auto"/>
        </w:rPr>
      </w:pPr>
    </w:p>
    <w:p>
      <w:pPr>
        <w:ind w:left="340" w:right="3239" w:firstLine="612"/>
        <w:spacing w:after="0" w:line="255" w:lineRule="auto"/>
        <w:rPr>
          <w:sz w:val="20"/>
          <w:szCs w:val="20"/>
          <w:color w:val="auto"/>
        </w:rPr>
      </w:pPr>
      <w:r>
        <w:rPr>
          <w:rFonts w:ascii="Courier New" w:cs="Courier New" w:eastAsia="Courier New" w:hAnsi="Courier New"/>
          <w:sz w:val="14"/>
          <w:szCs w:val="14"/>
          <w:color w:val="auto"/>
        </w:rPr>
        <w:t>"Single Employer Plan"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66" w:lineRule="exact"/>
        <w:rPr>
          <w:sz w:val="20"/>
          <w:szCs w:val="20"/>
          <w:color w:val="auto"/>
        </w:rPr>
      </w:pPr>
    </w:p>
    <w:p>
      <w:pPr>
        <w:ind w:left="340" w:right="3239" w:firstLine="612"/>
        <w:spacing w:after="0" w:line="237" w:lineRule="auto"/>
        <w:rPr>
          <w:sz w:val="20"/>
          <w:szCs w:val="20"/>
          <w:color w:val="auto"/>
        </w:rPr>
      </w:pPr>
      <w:r>
        <w:rPr>
          <w:rFonts w:ascii="Courier New" w:cs="Courier New" w:eastAsia="Courier New" w:hAnsi="Courier New"/>
          <w:sz w:val="15"/>
          <w:szCs w:val="15"/>
          <w:color w:val="auto"/>
        </w:rPr>
        <w:t>"Subsidiary"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left="620" w:right="3239" w:firstLine="612"/>
        <w:spacing w:after="0" w:line="235" w:lineRule="auto"/>
        <w:rPr>
          <w:sz w:val="20"/>
          <w:szCs w:val="20"/>
          <w:color w:val="auto"/>
        </w:rPr>
      </w:pPr>
      <w:r>
        <w:rPr>
          <w:rFonts w:ascii="Courier New" w:cs="Courier New" w:eastAsia="Courier New" w:hAnsi="Courier New"/>
          <w:sz w:val="15"/>
          <w:szCs w:val="15"/>
          <w:color w:val="auto"/>
        </w:rPr>
        <w:t>"Term Loan Conversion Date" means the Termination Date on which all Revolving Credit Advances outstanding on such date are converted into a term loan pursuant to Section 2.06.</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"Term Loan Election" has the meaning specified in Section 2.06.</w:t>
      </w:r>
    </w:p>
    <w:p>
      <w:pPr>
        <w:spacing w:after="0" w:line="173" w:lineRule="exact"/>
        <w:rPr>
          <w:sz w:val="20"/>
          <w:szCs w:val="20"/>
          <w:color w:val="auto"/>
        </w:rPr>
      </w:pPr>
    </w:p>
    <w:p>
      <w:pPr>
        <w:ind w:left="620" w:right="3239" w:firstLine="612"/>
        <w:spacing w:after="0" w:line="255" w:lineRule="auto"/>
        <w:rPr>
          <w:sz w:val="20"/>
          <w:szCs w:val="20"/>
          <w:color w:val="auto"/>
        </w:rPr>
      </w:pPr>
      <w:r>
        <w:rPr>
          <w:rFonts w:ascii="Courier New" w:cs="Courier New" w:eastAsia="Courier New" w:hAnsi="Courier New"/>
          <w:sz w:val="14"/>
          <w:szCs w:val="14"/>
          <w:color w:val="auto"/>
        </w:rPr>
        <w:t>"Termination Date" means the earlier of (a) September 19, 2001, subject to the extension thereof pursuant to Section 2.17 and (b) the date of termination in whole of the Commitments pursuant to Section 2.05 or 6.01; provided, however,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"Unused Commitment" means, with respect to any Lender at any time,</w:t>
      </w:r>
    </w:p>
    <w:p>
      <w:pPr>
        <w:spacing w:after="0" w:line="5" w:lineRule="exact"/>
        <w:rPr>
          <w:sz w:val="20"/>
          <w:szCs w:val="20"/>
          <w:color w:val="auto"/>
        </w:rPr>
      </w:pPr>
    </w:p>
    <w:p>
      <w:pPr>
        <w:ind w:left="620" w:right="3319" w:firstLine="2"/>
        <w:spacing w:after="0" w:line="236" w:lineRule="auto"/>
        <w:tabs>
          <w:tab w:leader="none" w:pos="9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174" w:lineRule="exact"/>
        <w:rPr>
          <w:sz w:val="20"/>
          <w:szCs w:val="20"/>
          <w:color w:val="auto"/>
        </w:rPr>
      </w:pPr>
    </w:p>
    <w:p>
      <w:pPr>
        <w:ind w:left="620" w:right="3579" w:firstLine="612"/>
        <w:spacing w:after="0" w:line="255" w:lineRule="auto"/>
        <w:rPr>
          <w:sz w:val="20"/>
          <w:szCs w:val="20"/>
          <w:color w:val="auto"/>
        </w:rPr>
      </w:pPr>
      <w:r>
        <w:rPr>
          <w:rFonts w:ascii="Courier New" w:cs="Courier New" w:eastAsia="Courier New" w:hAnsi="Courier New"/>
          <w:sz w:val="14"/>
          <w:szCs w:val="14"/>
          <w:color w:val="auto"/>
        </w:rPr>
        <w:t>"Voting Stock"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66" w:lineRule="exact"/>
        <w:rPr>
          <w:sz w:val="20"/>
          <w:szCs w:val="20"/>
          <w:color w:val="auto"/>
        </w:rPr>
      </w:pPr>
    </w:p>
    <w:p>
      <w:pPr>
        <w:ind w:right="3319" w:firstLine="1224"/>
        <w:spacing w:after="0" w:line="235" w:lineRule="auto"/>
        <w:rPr>
          <w:sz w:val="20"/>
          <w:szCs w:val="20"/>
          <w:color w:val="auto"/>
        </w:rPr>
      </w:pPr>
      <w:r>
        <w:rPr>
          <w:rFonts w:ascii="Courier New" w:cs="Courier New" w:eastAsia="Courier New" w:hAnsi="Courier New"/>
          <w:sz w:val="15"/>
          <w:szCs w:val="15"/>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75" w:lineRule="exact"/>
        <w:rPr>
          <w:sz w:val="20"/>
          <w:szCs w:val="20"/>
          <w:color w:val="auto"/>
        </w:rPr>
      </w:pPr>
    </w:p>
    <w:p>
      <w:pPr>
        <w:ind w:right="3399" w:firstLine="1224"/>
        <w:spacing w:after="0" w:line="255" w:lineRule="auto"/>
        <w:rPr>
          <w:sz w:val="20"/>
          <w:szCs w:val="20"/>
          <w:color w:val="auto"/>
        </w:rPr>
      </w:pPr>
      <w:r>
        <w:rPr>
          <w:rFonts w:ascii="Courier New" w:cs="Courier New" w:eastAsia="Courier New" w:hAnsi="Courier New"/>
          <w:sz w:val="14"/>
          <w:szCs w:val="14"/>
          <w:color w:val="auto"/>
        </w:rPr>
        <w:t>SECTION 1.03. Accounting Terms. All terms of an accounting or financial nature shall be construed in accordance with generally accepted accounting principles ("GAAP"), as in effect from time to time; provided, however,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73" w:lineRule="exact"/>
        <w:rPr>
          <w:sz w:val="20"/>
          <w:szCs w:val="20"/>
          <w:color w:val="auto"/>
        </w:rPr>
      </w:pPr>
    </w:p>
    <w:p>
      <w:pPr>
        <w:ind w:right="3239" w:firstLine="1224"/>
        <w:spacing w:after="0" w:line="235" w:lineRule="auto"/>
        <w:rPr>
          <w:sz w:val="20"/>
          <w:szCs w:val="20"/>
          <w:color w:val="auto"/>
        </w:rPr>
      </w:pPr>
      <w:r>
        <w:rPr>
          <w:rFonts w:ascii="Courier New" w:cs="Courier New" w:eastAsia="Courier New" w:hAnsi="Courier New"/>
          <w:sz w:val="15"/>
          <w:szCs w:val="15"/>
          <w:color w:val="auto"/>
        </w:rPr>
        <w:t>SECTION 2.01. The Revolving Credit Advances. Each Lender severally agrees, on the terms and conditions hereinafter set forth, to make Revolving Credit Advances to the Borrower from time to time on any Business Day during the period from the Effective Date until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Termination Date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164"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2.02. Making the Revolving Credit Advances.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or telex. Each such notice of a Revolving Credit Borrowing (a "Notice of Revolving Credit Borrowing") shall be by telephone, confirmed at once in writing, or telecopier or telex in substantially the form of Exhibit B-1 hereto, specifying therein the requested (i) date of such Revolving Credit Borrowing, (ii) Type of Advances comprising such Revolving Credit Borrowing, (iii) aggregate amount of such Revolving Credit Borrowing, and</w:t>
      </w:r>
    </w:p>
    <w:p>
      <w:pPr>
        <w:spacing w:after="0" w:line="5" w:lineRule="exact"/>
        <w:rPr>
          <w:sz w:val="20"/>
          <w:szCs w:val="20"/>
          <w:color w:val="auto"/>
        </w:rPr>
      </w:pPr>
    </w:p>
    <w:p>
      <w:pPr>
        <w:ind w:right="3399" w:firstLine="10"/>
        <w:spacing w:after="0" w:line="255" w:lineRule="auto"/>
        <w:tabs>
          <w:tab w:leader="none" w:pos="43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165" w:lineRule="exact"/>
        <w:rPr>
          <w:rFonts w:ascii="Courier New" w:cs="Courier New" w:eastAsia="Courier New" w:hAnsi="Courier New"/>
          <w:sz w:val="14"/>
          <w:szCs w:val="14"/>
          <w:color w:val="auto"/>
        </w:rPr>
      </w:pPr>
    </w:p>
    <w:p>
      <w:pPr>
        <w:ind w:right="3319" w:firstLine="1234"/>
        <w:spacing w:after="0" w:line="255" w:lineRule="auto"/>
        <w:tabs>
          <w:tab w:leader="none" w:pos="1837"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66" w:lineRule="exact"/>
        <w:rPr>
          <w:rFonts w:ascii="Courier New" w:cs="Courier New" w:eastAsia="Courier New" w:hAnsi="Courier New"/>
          <w:sz w:val="14"/>
          <w:szCs w:val="14"/>
          <w:color w:val="auto"/>
        </w:rPr>
      </w:pPr>
    </w:p>
    <w:p>
      <w:pPr>
        <w:ind w:right="3319" w:firstLine="1234"/>
        <w:spacing w:after="0" w:line="255" w:lineRule="auto"/>
        <w:tabs>
          <w:tab w:leader="none" w:pos="1837"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acquired by such Lender to fund the Revolving Credit Advance to be made by such Lender as part of such Revolving Credit Borrowing when such Revolving Credit Advance, as a result of such failure, is not made on such date.</w:t>
      </w:r>
    </w:p>
    <w:p>
      <w:pPr>
        <w:spacing w:after="0" w:line="174" w:lineRule="exact"/>
        <w:rPr>
          <w:sz w:val="20"/>
          <w:szCs w:val="20"/>
          <w:color w:val="auto"/>
        </w:rPr>
      </w:pPr>
    </w:p>
    <w:p>
      <w:pPr>
        <w:ind w:right="3239" w:firstLine="1234"/>
        <w:spacing w:after="0" w:line="237" w:lineRule="auto"/>
        <w:tabs>
          <w:tab w:leader="none" w:pos="18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75" w:lineRule="exact"/>
        <w:rPr>
          <w:rFonts w:ascii="Courier New" w:cs="Courier New" w:eastAsia="Courier New" w:hAnsi="Courier New"/>
          <w:sz w:val="15"/>
          <w:szCs w:val="15"/>
          <w:color w:val="auto"/>
        </w:rPr>
      </w:pPr>
    </w:p>
    <w:p>
      <w:pPr>
        <w:ind w:right="3239" w:firstLine="1234"/>
        <w:spacing w:after="0" w:line="236" w:lineRule="auto"/>
        <w:tabs>
          <w:tab w:leader="none" w:pos="18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76"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SECTION 2.03. The Competitive Bid Advances. (a) Each Lender severally agrees that the Borrower may make Competitive Bid Borrowings under this Section 2.03 from time to time on any Business Day during the period from the date hereof until the date occurring 30 days prior to the Termination Date in the manner set forth below; provided that the amount of each Competitive Bid Borrowing shall not exceed the aggregate amount of the Unused Commitments of the Lenders on such Business Day.</w:t>
      </w:r>
    </w:p>
    <w:p>
      <w:pPr>
        <w:spacing w:after="0" w:line="176" w:lineRule="exact"/>
        <w:rPr>
          <w:sz w:val="20"/>
          <w:szCs w:val="20"/>
          <w:color w:val="auto"/>
        </w:rPr>
      </w:pPr>
    </w:p>
    <w:p>
      <w:pPr>
        <w:ind w:left="620" w:right="3239" w:firstLine="614"/>
        <w:spacing w:after="0" w:line="255" w:lineRule="auto"/>
        <w:tabs>
          <w:tab w:leader="none" w:pos="18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request a Competitive Bid Borrowing under this Section 2.03 by delivering to the Agent, by telecopier or telex, a notice of a Competitive Bid Borrowing (a "Notice of Competitive Bid Borrowing"), in substantially the form of Exhibit B-2 hereto, specifying therein the requested (u) date of such proposed Competitive Bid Borrowing, (v) aggregate amount of such proposed Competitive Bid 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(x) in the case of a Competitive Bid Advance consisting of LIBO Rate Advances, Interest Period thereof, (y) interest payment date or dates relating thereto, and (z) other terms (if any) to be applicable to such Competitive Bid Borrowing, not later than 10:00 A.M. (New York City time) (A) at least one Business Day prior to the date of</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left="340" w:right="3239"/>
        <w:spacing w:after="0" w:line="255" w:lineRule="auto"/>
        <w:rPr>
          <w:sz w:val="20"/>
          <w:szCs w:val="20"/>
          <w:color w:val="auto"/>
        </w:rPr>
      </w:pPr>
      <w:r>
        <w:rPr>
          <w:rFonts w:ascii="Courier New" w:cs="Courier New" w:eastAsia="Courier New" w:hAnsi="Courier New"/>
          <w:sz w:val="14"/>
          <w:szCs w:val="14"/>
          <w:color w:val="auto"/>
        </w:rPr>
        <w:t>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"Fixed Rate Advances") and (B) at least four 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"LIBO Rate Advances").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164" w:lineRule="exact"/>
        <w:rPr>
          <w:sz w:val="20"/>
          <w:szCs w:val="20"/>
          <w:color w:val="auto"/>
        </w:rPr>
      </w:pPr>
    </w:p>
    <w:p>
      <w:pPr>
        <w:ind w:left="340" w:right="3239" w:firstLine="614"/>
        <w:spacing w:after="0" w:line="254" w:lineRule="auto"/>
        <w:tabs>
          <w:tab w:leader="none" w:pos="156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w:t>
      </w:r>
    </w:p>
    <w:p>
      <w:pPr>
        <w:spacing w:after="0" w:line="4" w:lineRule="exact"/>
        <w:rPr>
          <w:rFonts w:ascii="Courier New" w:cs="Courier New" w:eastAsia="Courier New" w:hAnsi="Courier New"/>
          <w:sz w:val="14"/>
          <w:szCs w:val="14"/>
          <w:color w:val="auto"/>
        </w:rPr>
      </w:pPr>
    </w:p>
    <w:p>
      <w:pPr>
        <w:ind w:left="34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2.03(a), exceed such Lender's Commitment), the rate or rates of interest therefor and such Lender's Applicable Lending Office with respect to such Competitive Bid Advance; provided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provided that the failure by any Lender to give such notice shall not cause such Lender to be obligated to make any Competitive Bid Advance as part of such proposed Competitive Bid Borrowing.</w:t>
      </w:r>
    </w:p>
    <w:p>
      <w:pPr>
        <w:spacing w:after="0" w:line="174" w:lineRule="exact"/>
        <w:rPr>
          <w:rFonts w:ascii="Courier New" w:cs="Courier New" w:eastAsia="Courier New" w:hAnsi="Courier New"/>
          <w:sz w:val="14"/>
          <w:szCs w:val="14"/>
          <w:color w:val="auto"/>
        </w:rPr>
      </w:pPr>
    </w:p>
    <w:p>
      <w:pPr>
        <w:ind w:left="340" w:right="3239" w:firstLine="614"/>
        <w:spacing w:after="0" w:line="255" w:lineRule="auto"/>
        <w:tabs>
          <w:tab w:leader="none" w:pos="156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66" w:lineRule="exact"/>
        <w:rPr>
          <w:rFonts w:ascii="Courier New" w:cs="Courier New" w:eastAsia="Courier New" w:hAnsi="Courier New"/>
          <w:sz w:val="14"/>
          <w:szCs w:val="14"/>
          <w:color w:val="auto"/>
        </w:rPr>
      </w:pPr>
    </w:p>
    <w:p>
      <w:pPr>
        <w:ind w:left="960" w:right="3319" w:firstLine="606"/>
        <w:spacing w:after="0" w:line="234" w:lineRule="auto"/>
        <w:tabs>
          <w:tab w:leader="none" w:pos="2184"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such Competitive Bid Borrowing by giving the Agent notice to that effect, or</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8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22</w:t>
      </w:r>
    </w:p>
    <w:p>
      <w:pPr>
        <w:spacing w:after="0" w:line="341" w:lineRule="exact"/>
        <w:rPr>
          <w:sz w:val="20"/>
          <w:szCs w:val="20"/>
          <w:color w:val="auto"/>
        </w:rPr>
      </w:pPr>
    </w:p>
    <w:p>
      <w:pPr>
        <w:ind w:left="960" w:right="3239" w:firstLine="606"/>
        <w:spacing w:after="0" w:line="237" w:lineRule="auto"/>
        <w:tabs>
          <w:tab w:leader="none" w:pos="2184"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 Lender for such Competitive Bid Advance pursuant to paragraph (ii) 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75" w:lineRule="exact"/>
        <w:rPr>
          <w:rFonts w:ascii="Courier New" w:cs="Courier New" w:eastAsia="Courier New" w:hAnsi="Courier New"/>
          <w:sz w:val="15"/>
          <w:szCs w:val="15"/>
          <w:color w:val="auto"/>
        </w:rPr>
      </w:pPr>
    </w:p>
    <w:p>
      <w:pPr>
        <w:ind w:left="340" w:right="3499" w:firstLine="614"/>
        <w:spacing w:after="0" w:line="235" w:lineRule="auto"/>
        <w:tabs>
          <w:tab w:leader="none" w:pos="15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175" w:lineRule="exact"/>
        <w:rPr>
          <w:rFonts w:ascii="Courier New" w:cs="Courier New" w:eastAsia="Courier New" w:hAnsi="Courier New"/>
          <w:sz w:val="15"/>
          <w:szCs w:val="15"/>
          <w:color w:val="auto"/>
        </w:rPr>
      </w:pPr>
    </w:p>
    <w:p>
      <w:pPr>
        <w:ind w:left="340" w:right="3239" w:firstLine="614"/>
        <w:spacing w:after="0" w:line="254" w:lineRule="auto"/>
        <w:tabs>
          <w:tab w:leader="none" w:pos="156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 funds available to the Borrower at the Agent's address referred to in Section 8.02. Promptly after each Competitive Bid Borrowing the Agent will notify each Lender of the amount of the Competitive Bid Borrowing.</w:t>
      </w:r>
    </w:p>
    <w:p>
      <w:pPr>
        <w:spacing w:after="0" w:line="345" w:lineRule="exact"/>
        <w:rPr>
          <w:rFonts w:ascii="Courier New" w:cs="Courier New" w:eastAsia="Courier New" w:hAnsi="Courier New"/>
          <w:sz w:val="14"/>
          <w:szCs w:val="14"/>
          <w:color w:val="auto"/>
        </w:rPr>
      </w:pPr>
    </w:p>
    <w:p>
      <w:pPr>
        <w:ind w:left="340" w:right="3239" w:firstLine="614"/>
        <w:spacing w:after="0" w:line="236" w:lineRule="auto"/>
        <w:tabs>
          <w:tab w:leader="none" w:pos="15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w:t>
      </w:r>
    </w:p>
    <w:p>
      <w:pPr>
        <w:spacing w:after="0" w:line="33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23</w:t>
      </w:r>
    </w:p>
    <w:p>
      <w:pPr>
        <w:spacing w:after="0" w:line="341" w:lineRule="exact"/>
        <w:rPr>
          <w:sz w:val="20"/>
          <w:szCs w:val="20"/>
          <w:color w:val="auto"/>
        </w:rPr>
      </w:pPr>
    </w:p>
    <w:p>
      <w:pPr>
        <w:ind w:left="340" w:right="3239"/>
        <w:spacing w:after="0" w:line="236" w:lineRule="auto"/>
        <w:rPr>
          <w:sz w:val="20"/>
          <w:szCs w:val="20"/>
          <w:color w:val="auto"/>
        </w:rPr>
      </w:pPr>
      <w:r>
        <w:rPr>
          <w:rFonts w:ascii="Courier New" w:cs="Courier New" w:eastAsia="Courier New" w:hAnsi="Courier New"/>
          <w:sz w:val="15"/>
          <w:szCs w:val="15"/>
          <w:color w:val="auto"/>
        </w:rPr>
        <w:t>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77" w:lineRule="exact"/>
        <w:rPr>
          <w:sz w:val="20"/>
          <w:szCs w:val="20"/>
          <w:color w:val="auto"/>
        </w:rPr>
      </w:pPr>
    </w:p>
    <w:p>
      <w:pPr>
        <w:ind w:left="-280" w:right="3319" w:firstLine="1234"/>
        <w:spacing w:after="0" w:line="236" w:lineRule="auto"/>
        <w:tabs>
          <w:tab w:leader="none" w:pos="155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73" w:lineRule="exact"/>
        <w:rPr>
          <w:rFonts w:ascii="Courier New" w:cs="Courier New" w:eastAsia="Courier New" w:hAnsi="Courier New"/>
          <w:sz w:val="15"/>
          <w:szCs w:val="15"/>
          <w:color w:val="auto"/>
        </w:rPr>
      </w:pPr>
    </w:p>
    <w:p>
      <w:pPr>
        <w:ind w:left="-280" w:right="3239" w:firstLine="1234"/>
        <w:spacing w:after="0" w:line="256" w:lineRule="auto"/>
        <w:tabs>
          <w:tab w:leader="none" w:pos="155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limits and on the conditions set forth in this Section 2.03, the Borrower may from time to time borrow under this Section 2.03, repay or prepay pursuant to subsection (d) below, and reborrow under this Section 2.03, provided that a Competitive Bid Borrowing shall not be made within one Business Day of the date of any other Competitive Bid Borrowing.</w:t>
      </w:r>
    </w:p>
    <w:p>
      <w:pPr>
        <w:spacing w:after="0" w:line="163" w:lineRule="exact"/>
        <w:rPr>
          <w:rFonts w:ascii="Courier New" w:cs="Courier New" w:eastAsia="Courier New" w:hAnsi="Courier New"/>
          <w:sz w:val="14"/>
          <w:szCs w:val="14"/>
          <w:color w:val="auto"/>
        </w:rPr>
      </w:pPr>
    </w:p>
    <w:p>
      <w:pPr>
        <w:ind w:left="-280" w:right="3319" w:firstLine="1234"/>
        <w:spacing w:after="0" w:line="255" w:lineRule="auto"/>
        <w:tabs>
          <w:tab w:leader="none" w:pos="155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64" w:lineRule="exact"/>
        <w:rPr>
          <w:rFonts w:ascii="Courier New" w:cs="Courier New" w:eastAsia="Courier New" w:hAnsi="Courier New"/>
          <w:sz w:val="14"/>
          <w:szCs w:val="14"/>
          <w:color w:val="auto"/>
        </w:rPr>
      </w:pPr>
    </w:p>
    <w:p>
      <w:pPr>
        <w:ind w:left="-280" w:right="3239" w:firstLine="1234"/>
        <w:spacing w:after="0" w:line="237" w:lineRule="auto"/>
        <w:tabs>
          <w:tab w:leader="none" w:pos="155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 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75" w:lineRule="exact"/>
        <w:rPr>
          <w:rFonts w:ascii="Courier New" w:cs="Courier New" w:eastAsia="Courier New" w:hAnsi="Courier New"/>
          <w:sz w:val="15"/>
          <w:szCs w:val="15"/>
          <w:color w:val="auto"/>
        </w:rPr>
      </w:pPr>
    </w:p>
    <w:p>
      <w:pPr>
        <w:jc w:val="both"/>
        <w:ind w:left="-280" w:right="3839" w:firstLine="1234"/>
        <w:spacing w:after="0" w:line="235" w:lineRule="auto"/>
        <w:tabs>
          <w:tab w:leader="none" w:pos="155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indebtedness of the Borrower resulting from each Competitive Bid Advance made to the Borrower as part of a Competitive Bid Borrowing shall be evidenced by a</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24</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separate Competitive Bid Note of the Borrower payable to the order of the Lender making such Competitive Bid Advance.</w:t>
      </w:r>
    </w:p>
    <w:p>
      <w:pPr>
        <w:spacing w:after="0" w:line="173"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SECTION 2.04. Fees. (a) Facility Fee.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September 30, 2000, and on the Termination Date.</w:t>
      </w:r>
    </w:p>
    <w:p>
      <w:pPr>
        <w:spacing w:after="0" w:line="165" w:lineRule="exact"/>
        <w:rPr>
          <w:sz w:val="20"/>
          <w:szCs w:val="20"/>
          <w:color w:val="auto"/>
        </w:rPr>
      </w:pPr>
    </w:p>
    <w:p>
      <w:pPr>
        <w:ind w:right="3399" w:firstLine="1234"/>
        <w:spacing w:after="0" w:line="235" w:lineRule="auto"/>
        <w:tabs>
          <w:tab w:leader="none" w:pos="183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Fees. The Borrower shall pay to the Agent for its own account such fees as may from time to time be agreed between the Borrower and the Agent.</w:t>
      </w:r>
    </w:p>
    <w:p>
      <w:pPr>
        <w:spacing w:after="0" w:line="174"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2.05. Termination, Reduction or Increase of the Commitments. (a) Termination or Reduction. (i) Optional. The Borrower shall have the right, upon at least three Business Days' notice to the Agent, to terminate in whole or reduce ratably in part the respective Unused Commitments of the Lenders, provided that each partial reduction shall be in the aggregate amount of $10,000,000 or an integral multiple of $1,000,000 in excess thereof. The aggregate amount of the Commitments once reduced as provided in this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2.05(a)(i), may not be reinstated, except as provided in Section 2.05(b) below.</w:t>
      </w:r>
    </w:p>
    <w:p>
      <w:pPr>
        <w:spacing w:after="0" w:line="178" w:lineRule="exact"/>
        <w:rPr>
          <w:sz w:val="20"/>
          <w:szCs w:val="20"/>
          <w:color w:val="auto"/>
        </w:rPr>
      </w:pPr>
    </w:p>
    <w:p>
      <w:pPr>
        <w:ind w:left="620" w:right="3319" w:firstLine="614"/>
        <w:spacing w:after="0" w:line="255" w:lineRule="auto"/>
        <w:tabs>
          <w:tab w:leader="none" w:pos="166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On the Termination Date, if the Borrower has made the Term Loan Election in accordance with Section 2.06 prior to such date, and from time to time thereafter upon each prepayment of the Revolving Credit Advances, the Commitments of the Lenders shall be automatically and permanently reduced on a pro rata basis by an amount equal to the amount by which (A) the aggregate Commitments immediately prior to such reduction exceed (B) the aggregate unpaid principal amount of all Revolving Credit Advances outstanding at such time.</w:t>
      </w:r>
    </w:p>
    <w:p>
      <w:pPr>
        <w:spacing w:after="0" w:line="166" w:lineRule="exact"/>
        <w:rPr>
          <w:sz w:val="20"/>
          <w:szCs w:val="20"/>
          <w:color w:val="auto"/>
        </w:rPr>
      </w:pPr>
    </w:p>
    <w:p>
      <w:pPr>
        <w:ind w:right="3239" w:firstLine="1234"/>
        <w:spacing w:after="0" w:line="254" w:lineRule="auto"/>
        <w:tabs>
          <w:tab w:leader="none" w:pos="183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Aggregate of the Commitments. (i) The Borrower may at any time, by notice to the Agent, propose that the aggregate amount of the Commitments be increased (such aggregate amount being, a "Commitment Increase"), effective as at a date prior to the Termination Date (an "Increase Date") as to which agreement is to be reached by an earlier date specified in such notice (a "Commitment Date"); provided, however, that (A) the Borrower may not propose more than two Commitment Increases in any calendar year, (B) the minimum proposed Commitment Increase per notice shall be $25,000,000, (C) in no event shall the aggregate amount of the Commitments at any time exceed $350,000,000, (D) 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"Increasing Lender") and the addition of one or more other Eligible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25</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Assignees as Assuming Lenders and as parties to this Agreement; provided, however, that it shall be in each Lender's sole discretion whether to increase its Commitment hereunder in connection with the proposed Commitment Increase; and provided further that the minimum Commitment of 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provided that:</w:t>
      </w:r>
    </w:p>
    <w:p>
      <w:pPr>
        <w:spacing w:after="0" w:line="176" w:lineRule="exact"/>
        <w:rPr>
          <w:sz w:val="20"/>
          <w:szCs w:val="20"/>
          <w:color w:val="auto"/>
        </w:rPr>
      </w:pPr>
    </w:p>
    <w:p>
      <w:pPr>
        <w:ind w:left="620" w:right="3239" w:firstLine="614"/>
        <w:spacing w:after="0" w:line="255" w:lineRule="auto"/>
        <w:tabs>
          <w:tab w:leader="none" w:pos="18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 (2) an opinion of counsel for the Borrower (which may be in-house counsel), in substantially the form of Exhibit E hereto;</w:t>
      </w:r>
    </w:p>
    <w:p>
      <w:pPr>
        <w:spacing w:after="0" w:line="166" w:lineRule="exact"/>
        <w:rPr>
          <w:rFonts w:ascii="Courier New" w:cs="Courier New" w:eastAsia="Courier New" w:hAnsi="Courier New"/>
          <w:sz w:val="14"/>
          <w:szCs w:val="14"/>
          <w:color w:val="auto"/>
        </w:rPr>
      </w:pPr>
    </w:p>
    <w:p>
      <w:pPr>
        <w:ind w:left="620" w:right="3239" w:firstLine="614"/>
        <w:spacing w:after="0" w:line="236" w:lineRule="auto"/>
        <w:tabs>
          <w:tab w:leader="none" w:pos="184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73" w:lineRule="exact"/>
        <w:rPr>
          <w:rFonts w:ascii="Courier New" w:cs="Courier New" w:eastAsia="Courier New" w:hAnsi="Courier New"/>
          <w:sz w:val="15"/>
          <w:szCs w:val="15"/>
          <w:color w:val="auto"/>
        </w:rPr>
      </w:pPr>
    </w:p>
    <w:p>
      <w:pPr>
        <w:ind w:left="620" w:right="3319" w:firstLine="614"/>
        <w:spacing w:after="0" w:line="256" w:lineRule="auto"/>
        <w:tabs>
          <w:tab w:leader="none" w:pos="184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Increasing Lender shall have delivered to the Agent by, no later than 10:00 A.M. (New York City time) on such Increase Date, (A) its existing Revolving Credit Note and (B) confirmation in writing satisfactory to the Agent as to its increased Commitment.</w:t>
      </w:r>
    </w:p>
    <w:p>
      <w:pPr>
        <w:spacing w:after="0" w:line="164" w:lineRule="exact"/>
        <w:rPr>
          <w:sz w:val="20"/>
          <w:szCs w:val="20"/>
          <w:color w:val="auto"/>
        </w:rPr>
      </w:pPr>
    </w:p>
    <w:p>
      <w:pPr>
        <w:ind w:left="620" w:right="3239" w:firstLine="614"/>
        <w:spacing w:after="0" w:line="254" w:lineRule="auto"/>
        <w:tabs>
          <w:tab w:leader="none" w:pos="184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 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26</w:t>
      </w:r>
    </w:p>
    <w:p>
      <w:pPr>
        <w:spacing w:after="0" w:line="341" w:lineRule="exact"/>
        <w:rPr>
          <w:sz w:val="20"/>
          <w:szCs w:val="20"/>
          <w:color w:val="auto"/>
        </w:rPr>
      </w:pPr>
    </w:p>
    <w:p>
      <w:pPr>
        <w:ind w:left="620" w:right="3239"/>
        <w:spacing w:after="0" w:line="254" w:lineRule="auto"/>
        <w:rPr>
          <w:sz w:val="20"/>
          <w:szCs w:val="20"/>
          <w:color w:val="auto"/>
        </w:rPr>
      </w:pPr>
      <w:r>
        <w:rPr>
          <w:rFonts w:ascii="Courier New" w:cs="Courier New" w:eastAsia="Courier New" w:hAnsi="Courier New"/>
          <w:sz w:val="14"/>
          <w:szCs w:val="14"/>
          <w:color w:val="auto"/>
        </w:rPr>
        <w:t>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178" w:lineRule="exact"/>
        <w:rPr>
          <w:sz w:val="20"/>
          <w:szCs w:val="20"/>
          <w:color w:val="auto"/>
        </w:rPr>
      </w:pPr>
    </w:p>
    <w:p>
      <w:pPr>
        <w:ind w:left="620" w:right="3239" w:firstLine="614"/>
        <w:spacing w:after="0" w:line="236" w:lineRule="auto"/>
        <w:tabs>
          <w:tab w:leader="none" w:pos="184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80" w:lineRule="exact"/>
        <w:rPr>
          <w:sz w:val="20"/>
          <w:szCs w:val="20"/>
          <w:color w:val="auto"/>
        </w:rPr>
      </w:pPr>
    </w:p>
    <w:p>
      <w:pPr>
        <w:ind w:right="3319" w:firstLine="1224"/>
        <w:spacing w:after="0" w:line="254" w:lineRule="auto"/>
        <w:rPr>
          <w:sz w:val="20"/>
          <w:szCs w:val="20"/>
          <w:color w:val="auto"/>
        </w:rPr>
      </w:pPr>
      <w:r>
        <w:rPr>
          <w:rFonts w:ascii="Courier New" w:cs="Courier New" w:eastAsia="Courier New" w:hAnsi="Courier New"/>
          <w:sz w:val="14"/>
          <w:szCs w:val="14"/>
          <w:color w:val="auto"/>
        </w:rPr>
        <w:t>SECTION 2.06. Repayment of Revolving Credit Advances; Term Loan Election. The Borrower shall, subject to the next succeeding sentence, repay to the Agent for the ratable account of the Lenders on the Termination Date the aggregate principal amount of the Revolving Credit Advances then outstanding. The Borrower may, upon not less than 15 days' notice to the Agent, elect (the "Term Loan Election") to convert a portion or all of the Revolving Credit Advances outstanding on the Termination Date in effect at such time into a term loan which the Borrower shall repay in full ratably to the Lenders on the Maturity Date; provided that (i) the Term Loan Election may not be exercised if a Default has occurred and is continuing on the date of notice of the Term Loan Election or on the date on which the Term Loan Election is to be effected and</w:t>
      </w:r>
    </w:p>
    <w:p>
      <w:pPr>
        <w:spacing w:after="0" w:line="4" w:lineRule="exact"/>
        <w:rPr>
          <w:sz w:val="20"/>
          <w:szCs w:val="20"/>
          <w:color w:val="auto"/>
        </w:rPr>
      </w:pPr>
    </w:p>
    <w:p>
      <w:pPr>
        <w:ind w:right="3239" w:firstLine="10"/>
        <w:spacing w:after="0" w:line="235" w:lineRule="auto"/>
        <w:tabs>
          <w:tab w:leader="none" w:pos="43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any portion of the outstanding Revolving Credit Advances not converted pursuant to the Term Loan Election shall be repaid on the Termination Date. All Revolving Credit Advances converted into a term loan pursuant to this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27</w:t>
      </w:r>
    </w:p>
    <w:p>
      <w:pPr>
        <w:spacing w:after="0" w:line="341"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Section 2.06 shall continue to constitute Revolving Credit Advances except that the Borrower may not reborrow pursuant to Section 2.01 after all or any portion of such Revolving Credit Advances have been prepaid pursuant to Section 2.10.</w:t>
      </w:r>
    </w:p>
    <w:p>
      <w:pPr>
        <w:spacing w:after="0" w:line="161"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SECTION 2.07. Interest on Revolving Credit Advances. (a) Scheduled Interest.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174" w:lineRule="exact"/>
        <w:rPr>
          <w:sz w:val="20"/>
          <w:szCs w:val="20"/>
          <w:color w:val="auto"/>
        </w:rPr>
      </w:pPr>
    </w:p>
    <w:p>
      <w:pPr>
        <w:ind w:left="620" w:right="3239" w:firstLine="614"/>
        <w:spacing w:after="0" w:line="236" w:lineRule="auto"/>
        <w:tabs>
          <w:tab w:leader="none" w:pos="184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Advances. During such periods as such Revolving Credit Advance is a Base Rate Advance a rate per annum equal at all times to the sum of (x) the Base Rate in effect from time to time plus (y) the Applicable Margin in effect from time to time, payable in arrears quarterly on the last day of each March, June, September and December during such periods and on the date such Base Rate Advance shall be Converted or paid in full.</w:t>
      </w:r>
    </w:p>
    <w:p>
      <w:pPr>
        <w:spacing w:after="0" w:line="175" w:lineRule="exact"/>
        <w:rPr>
          <w:rFonts w:ascii="Courier New" w:cs="Courier New" w:eastAsia="Courier New" w:hAnsi="Courier New"/>
          <w:sz w:val="15"/>
          <w:szCs w:val="15"/>
          <w:color w:val="auto"/>
        </w:rPr>
      </w:pPr>
    </w:p>
    <w:p>
      <w:pPr>
        <w:ind w:left="620" w:right="3319" w:firstLine="614"/>
        <w:spacing w:after="0" w:line="255" w:lineRule="auto"/>
        <w:tabs>
          <w:tab w:leader="none" w:pos="18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Rate Advances. During such periods as such Revolving Credit Advance is a Eurodollar Rate Advance, a rate per annum equal at all times during each Interest Period for such Revolving Credit Advance to the sum of (x) the Eurodollar Rate for such Interest Period for such Revolving Credit Advance plus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65" w:lineRule="exact"/>
        <w:rPr>
          <w:sz w:val="20"/>
          <w:szCs w:val="20"/>
          <w:color w:val="auto"/>
        </w:rPr>
      </w:pPr>
    </w:p>
    <w:p>
      <w:pPr>
        <w:ind w:right="3239" w:firstLine="1234"/>
        <w:spacing w:after="0" w:line="255" w:lineRule="auto"/>
        <w:tabs>
          <w:tab w:leader="none" w:pos="183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Interest.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pacing w:after="0" w:line="165"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2.08. Interest Rate Determination.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w:t>
      </w:r>
    </w:p>
    <w:p>
      <w:pPr>
        <w:spacing w:after="0" w:line="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2.07(a)(i) or (ii), and the rate, if any, furnished by each Reference Bank for the purpose of determining the interest rate under Section 2.07(a)(ii).</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28</w:t>
      </w:r>
    </w:p>
    <w:p>
      <w:pPr>
        <w:spacing w:after="0" w:line="341" w:lineRule="exact"/>
        <w:rPr>
          <w:sz w:val="20"/>
          <w:szCs w:val="20"/>
          <w:color w:val="auto"/>
        </w:rPr>
      </w:pPr>
    </w:p>
    <w:p>
      <w:pPr>
        <w:ind w:right="3399" w:firstLine="1234"/>
        <w:spacing w:after="0" w:line="255" w:lineRule="auto"/>
        <w:tabs>
          <w:tab w:leader="none" w:pos="183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64" w:lineRule="exact"/>
        <w:rPr>
          <w:rFonts w:ascii="Courier New" w:cs="Courier New" w:eastAsia="Courier New" w:hAnsi="Courier New"/>
          <w:sz w:val="14"/>
          <w:szCs w:val="14"/>
          <w:color w:val="auto"/>
        </w:rPr>
      </w:pPr>
    </w:p>
    <w:p>
      <w:pPr>
        <w:ind w:right="3239" w:firstLine="1234"/>
        <w:spacing w:after="0" w:line="236" w:lineRule="auto"/>
        <w:tabs>
          <w:tab w:leader="none" w:pos="18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73" w:lineRule="exact"/>
        <w:rPr>
          <w:rFonts w:ascii="Courier New" w:cs="Courier New" w:eastAsia="Courier New" w:hAnsi="Courier New"/>
          <w:sz w:val="15"/>
          <w:szCs w:val="15"/>
          <w:color w:val="auto"/>
        </w:rPr>
      </w:pPr>
    </w:p>
    <w:p>
      <w:pPr>
        <w:ind w:right="3239" w:firstLine="1234"/>
        <w:spacing w:after="0" w:line="256" w:lineRule="auto"/>
        <w:tabs>
          <w:tab w:leader="none" w:pos="183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63" w:lineRule="exact"/>
        <w:rPr>
          <w:rFonts w:ascii="Courier New" w:cs="Courier New" w:eastAsia="Courier New" w:hAnsi="Courier New"/>
          <w:sz w:val="14"/>
          <w:szCs w:val="14"/>
          <w:color w:val="auto"/>
        </w:rPr>
      </w:pPr>
    </w:p>
    <w:p>
      <w:pPr>
        <w:ind w:right="3319" w:firstLine="1234"/>
        <w:spacing w:after="0" w:line="236" w:lineRule="auto"/>
        <w:tabs>
          <w:tab w:leader="none" w:pos="18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Dow Jones Markets Page 3750 (or any successor page) as of 11:00 A.M. (London time), or in the event such offered rate is not available from the Dow Jones Markets Page 3750,</w:t>
      </w:r>
    </w:p>
    <w:p>
      <w:pPr>
        <w:spacing w:after="0" w:line="178" w:lineRule="exact"/>
        <w:rPr>
          <w:sz w:val="20"/>
          <w:szCs w:val="20"/>
          <w:color w:val="auto"/>
        </w:rPr>
      </w:pPr>
    </w:p>
    <w:p>
      <w:pPr>
        <w:ind w:left="620" w:right="3399" w:firstLine="614"/>
        <w:spacing w:after="0" w:line="235" w:lineRule="auto"/>
        <w:tabs>
          <w:tab w:leader="none" w:pos="184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forthwith notify the Borrower and the Lenders that the interest rate cannot be determined for such Eurodollar Rate Advances or LIBO Rate Advances, as the case may be,</w:t>
      </w:r>
    </w:p>
    <w:p>
      <w:pPr>
        <w:spacing w:after="0" w:line="173" w:lineRule="exact"/>
        <w:rPr>
          <w:rFonts w:ascii="Courier New" w:cs="Courier New" w:eastAsia="Courier New" w:hAnsi="Courier New"/>
          <w:sz w:val="15"/>
          <w:szCs w:val="15"/>
          <w:color w:val="auto"/>
        </w:rPr>
      </w:pPr>
    </w:p>
    <w:p>
      <w:pPr>
        <w:ind w:left="620" w:right="3239" w:firstLine="614"/>
        <w:spacing w:after="0" w:line="256" w:lineRule="auto"/>
        <w:tabs>
          <w:tab w:leader="none" w:pos="18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164" w:lineRule="exact"/>
        <w:rPr>
          <w:rFonts w:ascii="Courier New" w:cs="Courier New" w:eastAsia="Courier New" w:hAnsi="Courier New"/>
          <w:sz w:val="14"/>
          <w:szCs w:val="14"/>
          <w:color w:val="auto"/>
        </w:rPr>
      </w:pPr>
    </w:p>
    <w:p>
      <w:pPr>
        <w:ind w:left="620" w:right="3399" w:firstLine="614"/>
        <w:spacing w:after="0" w:line="236" w:lineRule="auto"/>
        <w:tabs>
          <w:tab w:leader="none" w:pos="184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74" w:lineRule="exact"/>
        <w:rPr>
          <w:sz w:val="20"/>
          <w:szCs w:val="20"/>
          <w:color w:val="auto"/>
        </w:rPr>
      </w:pPr>
    </w:p>
    <w:p>
      <w:pPr>
        <w:ind w:right="3239" w:firstLine="1224"/>
        <w:spacing w:after="0" w:line="235" w:lineRule="auto"/>
        <w:rPr>
          <w:sz w:val="20"/>
          <w:szCs w:val="20"/>
          <w:color w:val="auto"/>
        </w:rPr>
      </w:pPr>
      <w:r>
        <w:rPr>
          <w:rFonts w:ascii="Courier New" w:cs="Courier New" w:eastAsia="Courier New" w:hAnsi="Courier New"/>
          <w:sz w:val="15"/>
          <w:szCs w:val="15"/>
          <w:color w:val="auto"/>
        </w:rPr>
        <w:t>SECTION 2.09. Optional Conversion of Revolving Credit Advances. The Borrower may on any Business Day, upon notice given to the Agent not later than 11:00 A.M. (New York City time) on the third Business Day prior to the date of the proposed Conversion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and subject to the provisions of Sections 2.08 and 2.12, Convert all Revolving Credit Advances of one Type comprising the same Borrowing into Revolving Credit Advances of the other Type; provided, however,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73"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SECTION 2.10. Optional Prepayments of Revolving Credit Advances.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provided, however,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63"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2.11. Increased Costs.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w:t>
      </w:r>
    </w:p>
    <w:p>
      <w:pPr>
        <w:spacing w:after="0" w:line="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2.11(a) to the Borrower in respect of any increased costs except in accordance with the internal policy of such Lender as to the exercise of similar rights and remedies in similar circumstances.</w:t>
      </w:r>
    </w:p>
    <w:p>
      <w:pPr>
        <w:spacing w:after="0" w:line="174" w:lineRule="exact"/>
        <w:rPr>
          <w:sz w:val="20"/>
          <w:szCs w:val="20"/>
          <w:color w:val="auto"/>
        </w:rPr>
      </w:pPr>
    </w:p>
    <w:p>
      <w:pPr>
        <w:ind w:right="3499" w:firstLine="1234"/>
        <w:spacing w:after="0" w:line="235" w:lineRule="auto"/>
        <w:tabs>
          <w:tab w:leader="none" w:pos="183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that compliance with any law or regulation or any guideline or request from any central bank or other governmental authority (whether or not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30</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343" w:lineRule="exact"/>
        <w:rPr>
          <w:sz w:val="20"/>
          <w:szCs w:val="20"/>
          <w:color w:val="auto"/>
        </w:rPr>
      </w:pPr>
    </w:p>
    <w:p>
      <w:pPr>
        <w:ind w:right="3319" w:firstLine="1234"/>
        <w:spacing w:after="0" w:line="254" w:lineRule="auto"/>
        <w:tabs>
          <w:tab w:leader="none" w:pos="1837"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w:t>
      </w:r>
    </w:p>
    <w:p>
      <w:pPr>
        <w:spacing w:after="0" w:line="4"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obtained by dividing such Eurodollar Rate by a percentage equal to</w:t>
      </w:r>
    </w:p>
    <w:p>
      <w:pPr>
        <w:spacing w:after="0" w:line="9"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166" w:lineRule="exact"/>
        <w:rPr>
          <w:rFonts w:ascii="Courier New" w:cs="Courier New" w:eastAsia="Courier New" w:hAnsi="Courier New"/>
          <w:sz w:val="14"/>
          <w:szCs w:val="14"/>
          <w:color w:val="auto"/>
        </w:rPr>
      </w:pPr>
    </w:p>
    <w:p>
      <w:pPr>
        <w:ind w:right="3319" w:firstLine="1234"/>
        <w:spacing w:after="0" w:line="256" w:lineRule="auto"/>
        <w:tabs>
          <w:tab w:leader="none" w:pos="1837"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163"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2.12. Illegality.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w:t>
      </w:r>
    </w:p>
    <w:p>
      <w:pPr>
        <w:spacing w:after="0" w:line="2" w:lineRule="exact"/>
        <w:rPr>
          <w:sz w:val="20"/>
          <w:szCs w:val="20"/>
          <w:color w:val="auto"/>
        </w:rPr>
      </w:pPr>
    </w:p>
    <w:p>
      <w:pPr>
        <w:ind w:right="3499" w:firstLine="10"/>
        <w:spacing w:after="0" w:line="234"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Eurodollar Rate Advance or LIBO Rate Advance, as the case may be, of such Lender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31</w:t>
      </w:r>
    </w:p>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w:t>
      </w:r>
    </w:p>
    <w:p>
      <w:pPr>
        <w:spacing w:after="0" w:line="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174" w:lineRule="exact"/>
        <w:rPr>
          <w:sz w:val="20"/>
          <w:szCs w:val="20"/>
          <w:color w:val="auto"/>
        </w:rPr>
      </w:pPr>
    </w:p>
    <w:p>
      <w:pPr>
        <w:ind w:right="3239" w:firstLine="1234"/>
        <w:spacing w:after="0" w:line="256" w:lineRule="auto"/>
        <w:tabs>
          <w:tab w:leader="none" w:pos="183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63"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2.13. Payments and Computations.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w:t>
      </w:r>
    </w:p>
    <w:p>
      <w:pPr>
        <w:spacing w:after="0" w:line="345" w:lineRule="exact"/>
        <w:rPr>
          <w:sz w:val="20"/>
          <w:szCs w:val="20"/>
          <w:color w:val="auto"/>
        </w:rPr>
      </w:pPr>
    </w:p>
    <w:p>
      <w:pPr>
        <w:ind w:right="3319" w:firstLine="1234"/>
        <w:spacing w:after="0" w:line="256" w:lineRule="auto"/>
        <w:tabs>
          <w:tab w:leader="none" w:pos="183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32</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75" w:lineRule="exact"/>
        <w:rPr>
          <w:sz w:val="20"/>
          <w:szCs w:val="20"/>
          <w:color w:val="auto"/>
        </w:rPr>
      </w:pPr>
    </w:p>
    <w:p>
      <w:pPr>
        <w:ind w:right="3239" w:firstLine="1234"/>
        <w:spacing w:after="0" w:line="236" w:lineRule="auto"/>
        <w:tabs>
          <w:tab w:leader="none" w:pos="183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provided, however, that, if such extension would cause payment of interest on or principal of Eurodollar Rate Advances or LIBO Rate Advances to be made in the next following calendar month, such payment shall be made on the next preceding Business Day.</w:t>
      </w:r>
    </w:p>
    <w:p>
      <w:pPr>
        <w:spacing w:after="0" w:line="177" w:lineRule="exact"/>
        <w:rPr>
          <w:rFonts w:ascii="Courier New" w:cs="Courier New" w:eastAsia="Courier New" w:hAnsi="Courier New"/>
          <w:sz w:val="15"/>
          <w:szCs w:val="15"/>
          <w:color w:val="auto"/>
        </w:rPr>
      </w:pPr>
    </w:p>
    <w:p>
      <w:pPr>
        <w:ind w:right="3239" w:firstLine="1234"/>
        <w:spacing w:after="0" w:line="255" w:lineRule="auto"/>
        <w:tabs>
          <w:tab w:leader="none" w:pos="183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65"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2.14. Taxes.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 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"Taxes").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33</w:t>
      </w:r>
    </w:p>
    <w:p>
      <w:pPr>
        <w:spacing w:after="0" w:line="341" w:lineRule="exact"/>
        <w:rPr>
          <w:sz w:val="20"/>
          <w:szCs w:val="20"/>
          <w:color w:val="auto"/>
        </w:rPr>
      </w:pPr>
    </w:p>
    <w:p>
      <w:pPr>
        <w:ind w:left="-280" w:right="3239" w:firstLine="1234"/>
        <w:spacing w:after="0" w:line="236" w:lineRule="auto"/>
        <w:tabs>
          <w:tab w:leader="none" w:pos="155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"Other Taxes").</w:t>
      </w:r>
    </w:p>
    <w:p>
      <w:pPr>
        <w:spacing w:after="0" w:line="174" w:lineRule="exact"/>
        <w:rPr>
          <w:rFonts w:ascii="Courier New" w:cs="Courier New" w:eastAsia="Courier New" w:hAnsi="Courier New"/>
          <w:sz w:val="15"/>
          <w:szCs w:val="15"/>
          <w:color w:val="auto"/>
        </w:rPr>
      </w:pPr>
    </w:p>
    <w:p>
      <w:pPr>
        <w:ind w:left="-280" w:right="3239" w:firstLine="1234"/>
        <w:spacing w:after="0" w:line="255" w:lineRule="auto"/>
        <w:tabs>
          <w:tab w:leader="none" w:pos="155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66" w:lineRule="exact"/>
        <w:rPr>
          <w:rFonts w:ascii="Courier New" w:cs="Courier New" w:eastAsia="Courier New" w:hAnsi="Courier New"/>
          <w:sz w:val="14"/>
          <w:szCs w:val="14"/>
          <w:color w:val="auto"/>
        </w:rPr>
      </w:pPr>
    </w:p>
    <w:p>
      <w:pPr>
        <w:ind w:left="-280" w:right="3239" w:firstLine="1234"/>
        <w:spacing w:after="0" w:line="255" w:lineRule="auto"/>
        <w:tabs>
          <w:tab w:leader="none" w:pos="155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"United States" and "United States person" shall have the meanings specified in Section 7701 of the Internal Revenue Code.</w:t>
      </w:r>
    </w:p>
    <w:p>
      <w:pPr>
        <w:spacing w:after="0" w:line="164" w:lineRule="exact"/>
        <w:rPr>
          <w:rFonts w:ascii="Courier New" w:cs="Courier New" w:eastAsia="Courier New" w:hAnsi="Courier New"/>
          <w:sz w:val="14"/>
          <w:szCs w:val="14"/>
          <w:color w:val="auto"/>
        </w:rPr>
      </w:pPr>
    </w:p>
    <w:p>
      <w:pPr>
        <w:ind w:left="-280" w:right="3239" w:firstLine="1234"/>
        <w:spacing w:after="0" w:line="237" w:lineRule="auto"/>
        <w:tabs>
          <w:tab w:leader="none" w:pos="155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provided, however,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34</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175" w:lineRule="exact"/>
        <w:rPr>
          <w:sz w:val="20"/>
          <w:szCs w:val="20"/>
          <w:color w:val="auto"/>
        </w:rPr>
      </w:pPr>
    </w:p>
    <w:p>
      <w:pPr>
        <w:ind w:right="3239" w:firstLine="1234"/>
        <w:spacing w:after="0" w:line="254" w:lineRule="auto"/>
        <w:tabs>
          <w:tab w:leader="none" w:pos="1837"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period with respect to which a Lender has failed to provide the Borrower with the appropriate form described in Section 2.14(e) (other than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w:t>
      </w:r>
    </w:p>
    <w:p>
      <w:pPr>
        <w:spacing w:after="0" w:line="2"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Taxes imposed by the United States by reason of such failure; provided, however, that should a Lender become subject to Taxes because of its failure to deliver a form required hereunder, the Borrower shall take such steps as the Lender shall reasonably request to assist the Lender to recover such Taxes.</w:t>
      </w:r>
    </w:p>
    <w:p>
      <w:pPr>
        <w:spacing w:after="0" w:line="173" w:lineRule="exact"/>
        <w:rPr>
          <w:rFonts w:ascii="Courier New" w:cs="Courier New" w:eastAsia="Courier New" w:hAnsi="Courier New"/>
          <w:sz w:val="15"/>
          <w:szCs w:val="15"/>
          <w:color w:val="auto"/>
        </w:rPr>
      </w:pPr>
    </w:p>
    <w:p>
      <w:pPr>
        <w:ind w:right="3239" w:firstLine="1234"/>
        <w:spacing w:after="0" w:line="236" w:lineRule="auto"/>
        <w:tabs>
          <w:tab w:leader="none" w:pos="1837"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76"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2.15. Sharing of Payments, Etc.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75" w:lineRule="exact"/>
        <w:rPr>
          <w:sz w:val="20"/>
          <w:szCs w:val="20"/>
          <w:color w:val="auto"/>
        </w:rPr>
      </w:pPr>
    </w:p>
    <w:p>
      <w:pPr>
        <w:ind w:right="3319" w:firstLine="1224"/>
        <w:spacing w:after="0" w:line="235" w:lineRule="auto"/>
        <w:rPr>
          <w:sz w:val="20"/>
          <w:szCs w:val="20"/>
          <w:color w:val="auto"/>
        </w:rPr>
      </w:pPr>
      <w:r>
        <w:rPr>
          <w:rFonts w:ascii="Courier New" w:cs="Courier New" w:eastAsia="Courier New" w:hAnsi="Courier New"/>
          <w:sz w:val="15"/>
          <w:szCs w:val="15"/>
          <w:color w:val="auto"/>
        </w:rPr>
        <w:t>SECTION 2.16. Use of Proceeds.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175" w:lineRule="exact"/>
        <w:rPr>
          <w:sz w:val="20"/>
          <w:szCs w:val="20"/>
          <w:color w:val="auto"/>
        </w:rPr>
      </w:pPr>
    </w:p>
    <w:p>
      <w:pPr>
        <w:ind w:right="3319" w:firstLine="1224"/>
        <w:spacing w:after="0" w:line="235" w:lineRule="auto"/>
        <w:rPr>
          <w:sz w:val="20"/>
          <w:szCs w:val="20"/>
          <w:color w:val="auto"/>
        </w:rPr>
      </w:pPr>
      <w:r>
        <w:rPr>
          <w:rFonts w:ascii="Courier New" w:cs="Courier New" w:eastAsia="Courier New" w:hAnsi="Courier New"/>
          <w:sz w:val="15"/>
          <w:szCs w:val="15"/>
          <w:color w:val="auto"/>
        </w:rPr>
        <w:t>SECTION 2.17. Extension of Termination Date. (a) At least 30 days but not more than 45 days prior to the Termination Date, the Borrower, by written notice to the Agent,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35</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may request an extension of the Termination Date in effect at such time by 364 days from its then scheduled expiration. The Agent shall promptly notify each Lender of such request, and each Lender shall in turn, in its sole discretion, not later than 20 days prior to the Termination Date, notify the Borrower and the Agent in writing as to whether such Lender will consent to such extension. If any Lender shall fail to notify the Agent and the Borrower in writing of its consent to any such request for extension of the Termination Date at least 20 days prior to the Termination Date, such Lender shall be deemed to be a Non-Consenting Lender with respect to such request. The Agent shall notify the Borrower not later than 15 days prior to the Termination Date of the decision of the Lenders regarding the Borrower's request for an extension of the Termination Date.</w:t>
      </w:r>
    </w:p>
    <w:p>
      <w:pPr>
        <w:spacing w:after="0" w:line="173" w:lineRule="exact"/>
        <w:rPr>
          <w:sz w:val="20"/>
          <w:szCs w:val="20"/>
          <w:color w:val="auto"/>
        </w:rPr>
      </w:pPr>
    </w:p>
    <w:p>
      <w:pPr>
        <w:ind w:right="3239" w:firstLine="1234"/>
        <w:spacing w:after="0" w:line="254" w:lineRule="auto"/>
        <w:tabs>
          <w:tab w:leader="none" w:pos="1837"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all the Lenders consent in writing to any such request in accordance with subsection (a) of this Section 2.17, the Termination Date in effect at such time shall, effective as at the Termination Date (the "Extension Date"), be extended for 364 days; provided that on each Extension Date the applicable conditions set forth in Article III shall be satisfied. If less than all of the Lenders consent in writing to any such request in accordance with subsection (a) of this Section 2.17, the Termination Date in effect at such time shall, effective as at the applicable Extension Date and subject to subsection</w:t>
      </w:r>
    </w:p>
    <w:p>
      <w:pPr>
        <w:spacing w:after="0" w:line="2"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2.17, be extended as to those Lenders that so consented (each a "Consenting Lender") but shall not be extended as to any other Lender (each a "Non-Consenting Lender"). To the extent that the Termination Date is not extended as to any Lender pursuant to this Section 2.17 and the Commitment of such Lender is not assumed in accordance with subsection (c) of this Section 2.17 on or prior to the applicable Extension Date, the Commitment of such Non-Consenting Lender shall automatically terminate in whole on such unextended Termination Date without any further notice or other action by the Borrower, such Lender or any other Person; provided that such Non-Consenting Lender's rights under Sections 2.11, 2.14 and 8.04, and its obligations under Section</w:t>
      </w:r>
    </w:p>
    <w:p>
      <w:pPr>
        <w:spacing w:after="0" w:line="3"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175" w:lineRule="exact"/>
        <w:rPr>
          <w:rFonts w:ascii="Courier New" w:cs="Courier New" w:eastAsia="Courier New" w:hAnsi="Courier New"/>
          <w:sz w:val="14"/>
          <w:szCs w:val="14"/>
          <w:color w:val="auto"/>
        </w:rPr>
      </w:pPr>
    </w:p>
    <w:p>
      <w:pPr>
        <w:ind w:right="3239" w:firstLine="1234"/>
        <w:spacing w:after="0" w:line="254" w:lineRule="auto"/>
        <w:tabs>
          <w:tab w:leader="none" w:pos="1837"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of the Lenders consent to any such request pursuant to subsection (a) of this Section 2.17, the Agent shall promptly so notify the Consenting Lenders, and each Consenting Lender may, in its sole discretion, give written notice to the Agent not later than 10 days prior to the Termination Date of the amount of the Non-Consenting Lenders' Commitments for which it is willing to accept an assignment. If the Consenting Lenders notify the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Agent. If after giving effect to the assignments of Commitments described above there remains any Commitments of Non-Consenting Lenders, the Borrower may arrange for one or more Consenting Lenders or other Eligible Assignees as Assuming Lenders to assume, effective as of the Extension Date, any Non-Consenting Lender's Commitment and all of the obligations of such Non-Consenting Lender under this Agreement thereafter arising, without recourse to or warranty by, or expense to, such Non-Consenting Lender; provided, however, that the amount of the Commitment of any such Assuming Lender as a result of such substitution shall in no event be less than $10,000,000 unless the amount of the Commitment of such Non-Consenting Lender is less than $10,000,000,</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36</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 which case such Assuming Lender shall assume all of such lesser amount; and provided further that:</w:t>
      </w:r>
    </w:p>
    <w:p>
      <w:pPr>
        <w:spacing w:after="0" w:line="173" w:lineRule="exact"/>
        <w:rPr>
          <w:sz w:val="20"/>
          <w:szCs w:val="20"/>
          <w:color w:val="auto"/>
        </w:rPr>
      </w:pPr>
    </w:p>
    <w:p>
      <w:pPr>
        <w:ind w:left="620" w:right="3239" w:firstLine="614"/>
        <w:spacing w:after="0" w:line="255" w:lineRule="auto"/>
        <w:tabs>
          <w:tab w:leader="none" w:pos="184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facility fees owing to such Non-Consenting Lender as of the effective date of such assignment;</w:t>
      </w:r>
    </w:p>
    <w:p>
      <w:pPr>
        <w:spacing w:after="0" w:line="166" w:lineRule="exact"/>
        <w:rPr>
          <w:rFonts w:ascii="Courier New" w:cs="Courier New" w:eastAsia="Courier New" w:hAnsi="Courier New"/>
          <w:sz w:val="14"/>
          <w:szCs w:val="14"/>
          <w:color w:val="auto"/>
        </w:rPr>
      </w:pPr>
    </w:p>
    <w:p>
      <w:pPr>
        <w:ind w:left="620" w:right="3239" w:firstLine="614"/>
        <w:spacing w:after="0" w:line="236" w:lineRule="auto"/>
        <w:tabs>
          <w:tab w:leader="none" w:pos="184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73" w:lineRule="exact"/>
        <w:rPr>
          <w:rFonts w:ascii="Courier New" w:cs="Courier New" w:eastAsia="Courier New" w:hAnsi="Courier New"/>
          <w:sz w:val="15"/>
          <w:szCs w:val="15"/>
          <w:color w:val="auto"/>
        </w:rPr>
      </w:pPr>
    </w:p>
    <w:p>
      <w:pPr>
        <w:jc w:val="both"/>
        <w:ind w:left="620" w:right="3499" w:firstLine="614"/>
        <w:spacing w:after="0" w:line="235" w:lineRule="auto"/>
        <w:tabs>
          <w:tab w:leader="none" w:pos="184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such Assuming Lender, the applicable processing and recordation fee required under Section 8.07(a) for such assignment shall have been paid;</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provided further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 Assumption Agreement, duly executed by such Assuming Lender, such Non-Consenting Lender, the Borrower and the Agent, (B) any such Consenting Lender shall have delivered confirmation in writing satisfactory to the Borrower and the Agent as to the increase in the amount of its Commitment and (C) each Non-Consenting Lender being replaced pursuant to this Section 2.17 shall have delivered to the Agent any Note or Notes held by such Non-Consenting Lender. Upon the payment or prepayment of all amounts referred to in clauses (i), (ii) and (iii) of the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75" w:lineRule="exact"/>
        <w:rPr>
          <w:sz w:val="20"/>
          <w:szCs w:val="20"/>
          <w:color w:val="auto"/>
        </w:rPr>
      </w:pPr>
    </w:p>
    <w:p>
      <w:pPr>
        <w:ind w:right="3239" w:firstLine="1234"/>
        <w:spacing w:after="0" w:line="237" w:lineRule="auto"/>
        <w:tabs>
          <w:tab w:leader="none" w:pos="183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assignments or assumptions pursuant to subsection (c) of this Section 2.17) Lenders having Commitments equal to at least 50% of the Commitments in effect immediately prior to the Extension Date consent in writing to a requested extension (whether by execution or delivery of an Assumption Agreement or otherwise) not later than one Business Day prior to such Extension Date, the Agent shall so notify the Borrower, and, subject to the satisfaction to the applicable conditions in Article III, the Termination Date then in effect shall be extended for the additional 364-day period as described in subsection (a) of this Section 2.17, and all references in this Agreement, and in the Notes, if any, to the "Termination Date"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37</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CONDITIONS TO EFFECTIVENESS AND LENDING</w:t>
      </w:r>
    </w:p>
    <w:p>
      <w:pPr>
        <w:spacing w:after="0" w:line="173" w:lineRule="exact"/>
        <w:rPr>
          <w:sz w:val="20"/>
          <w:szCs w:val="20"/>
          <w:color w:val="auto"/>
        </w:rPr>
      </w:pPr>
    </w:p>
    <w:p>
      <w:pPr>
        <w:ind w:right="3399" w:firstLine="1224"/>
        <w:spacing w:after="0" w:line="235" w:lineRule="auto"/>
        <w:rPr>
          <w:sz w:val="20"/>
          <w:szCs w:val="20"/>
          <w:color w:val="auto"/>
        </w:rPr>
      </w:pPr>
      <w:r>
        <w:rPr>
          <w:rFonts w:ascii="Courier New" w:cs="Courier New" w:eastAsia="Courier New" w:hAnsi="Courier New"/>
          <w:sz w:val="15"/>
          <w:szCs w:val="15"/>
          <w:color w:val="auto"/>
        </w:rPr>
        <w:t>SECTION 3.01. Conditions Precedent to Effectiveness of Sections 2.01 and 2.03. Sections 2.01 and 2.03 of this Agreement shall become effective on and as of the first date (the "Effective Date") on which the following conditions precedent have been satisfied:</w:t>
      </w:r>
    </w:p>
    <w:p>
      <w:pPr>
        <w:spacing w:after="0" w:line="175" w:lineRule="exact"/>
        <w:rPr>
          <w:sz w:val="20"/>
          <w:szCs w:val="20"/>
          <w:color w:val="auto"/>
        </w:rPr>
      </w:pPr>
    </w:p>
    <w:p>
      <w:pPr>
        <w:jc w:val="both"/>
        <w:ind w:left="620" w:right="3319" w:firstLine="614"/>
        <w:spacing w:after="0" w:line="235" w:lineRule="auto"/>
        <w:tabs>
          <w:tab w:leader="none" w:pos="184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paid all accrued fees and expenses of the Agent and the Lenders (including the accrued fees and expenses of counsel to the Agent).</w:t>
      </w:r>
    </w:p>
    <w:p>
      <w:pPr>
        <w:spacing w:after="0" w:line="173" w:lineRule="exact"/>
        <w:rPr>
          <w:rFonts w:ascii="Courier New" w:cs="Courier New" w:eastAsia="Courier New" w:hAnsi="Courier New"/>
          <w:sz w:val="15"/>
          <w:szCs w:val="15"/>
          <w:color w:val="auto"/>
        </w:rPr>
      </w:pPr>
    </w:p>
    <w:p>
      <w:pPr>
        <w:ind w:left="620" w:right="3399" w:firstLine="614"/>
        <w:spacing w:after="0" w:line="235" w:lineRule="auto"/>
        <w:tabs>
          <w:tab w:leader="none" w:pos="184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175" w:lineRule="exact"/>
        <w:rPr>
          <w:rFonts w:ascii="Courier New" w:cs="Courier New" w:eastAsia="Courier New" w:hAnsi="Courier New"/>
          <w:sz w:val="15"/>
          <w:szCs w:val="15"/>
          <w:color w:val="auto"/>
        </w:rPr>
      </w:pPr>
    </w:p>
    <w:p>
      <w:pPr>
        <w:ind w:left="1240" w:right="3239" w:firstLine="606"/>
        <w:spacing w:after="0" w:line="235" w:lineRule="auto"/>
        <w:tabs>
          <w:tab w:leader="none" w:pos="246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are correct in all material respects on and as of the Effective Date, and</w:t>
      </w:r>
    </w:p>
    <w:p>
      <w:pPr>
        <w:spacing w:after="0" w:line="173" w:lineRule="exact"/>
        <w:rPr>
          <w:rFonts w:ascii="Courier New" w:cs="Courier New" w:eastAsia="Courier New" w:hAnsi="Courier New"/>
          <w:sz w:val="15"/>
          <w:szCs w:val="15"/>
          <w:color w:val="auto"/>
        </w:rPr>
      </w:pPr>
    </w:p>
    <w:p>
      <w:pPr>
        <w:ind w:left="1240" w:right="3939" w:firstLine="606"/>
        <w:spacing w:after="0" w:line="234" w:lineRule="auto"/>
        <w:tabs>
          <w:tab w:leader="none" w:pos="246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that constitutes a Default.</w:t>
      </w:r>
    </w:p>
    <w:p>
      <w:pPr>
        <w:spacing w:after="0" w:line="173" w:lineRule="exact"/>
        <w:rPr>
          <w:rFonts w:ascii="Courier New" w:cs="Courier New" w:eastAsia="Courier New" w:hAnsi="Courier New"/>
          <w:sz w:val="15"/>
          <w:szCs w:val="15"/>
          <w:color w:val="auto"/>
        </w:rPr>
      </w:pPr>
    </w:p>
    <w:p>
      <w:pPr>
        <w:ind w:left="620" w:right="3319" w:firstLine="614"/>
        <w:spacing w:after="0" w:line="235" w:lineRule="auto"/>
        <w:tabs>
          <w:tab w:leader="none" w:pos="184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175" w:lineRule="exact"/>
        <w:rPr>
          <w:rFonts w:ascii="Courier New" w:cs="Courier New" w:eastAsia="Courier New" w:hAnsi="Courier New"/>
          <w:sz w:val="15"/>
          <w:szCs w:val="15"/>
          <w:color w:val="auto"/>
        </w:rPr>
      </w:pPr>
    </w:p>
    <w:p>
      <w:pPr>
        <w:ind w:left="1240" w:right="3759" w:firstLine="606"/>
        <w:spacing w:after="0" w:line="234" w:lineRule="auto"/>
        <w:tabs>
          <w:tab w:leader="none" w:pos="246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Notes to the order of the Lenders, respectively.</w:t>
      </w:r>
    </w:p>
    <w:p>
      <w:pPr>
        <w:spacing w:after="0" w:line="173" w:lineRule="exact"/>
        <w:rPr>
          <w:rFonts w:ascii="Courier New" w:cs="Courier New" w:eastAsia="Courier New" w:hAnsi="Courier New"/>
          <w:sz w:val="15"/>
          <w:szCs w:val="15"/>
          <w:color w:val="auto"/>
        </w:rPr>
      </w:pPr>
    </w:p>
    <w:p>
      <w:pPr>
        <w:ind w:left="1240" w:right="3239" w:firstLine="606"/>
        <w:spacing w:after="0" w:line="236" w:lineRule="auto"/>
        <w:tabs>
          <w:tab w:leader="none" w:pos="246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73" w:lineRule="exact"/>
        <w:rPr>
          <w:rFonts w:ascii="Courier New" w:cs="Courier New" w:eastAsia="Courier New" w:hAnsi="Courier New"/>
          <w:sz w:val="15"/>
          <w:szCs w:val="15"/>
          <w:color w:val="auto"/>
        </w:rPr>
      </w:pPr>
    </w:p>
    <w:p>
      <w:pPr>
        <w:ind w:left="1240" w:right="3239" w:firstLine="606"/>
        <w:spacing w:after="0" w:line="256" w:lineRule="auto"/>
        <w:tabs>
          <w:tab w:leader="none" w:pos="246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64" w:lineRule="exact"/>
        <w:rPr>
          <w:rFonts w:ascii="Courier New" w:cs="Courier New" w:eastAsia="Courier New" w:hAnsi="Courier New"/>
          <w:sz w:val="14"/>
          <w:szCs w:val="14"/>
          <w:color w:val="auto"/>
        </w:rPr>
      </w:pPr>
    </w:p>
    <w:p>
      <w:pPr>
        <w:ind w:left="1240" w:right="3399" w:firstLine="606"/>
        <w:spacing w:after="0" w:line="235" w:lineRule="auto"/>
        <w:tabs>
          <w:tab w:leader="none" w:pos="246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Diana M. Daniels, general counsel for the Borrower, substantially in the form of Exhibit E hereto and as to such other matters as any Lender through the Agent may reasonably request.</w:t>
      </w:r>
    </w:p>
    <w:p>
      <w:pPr>
        <w:spacing w:after="0" w:line="175" w:lineRule="exact"/>
        <w:rPr>
          <w:rFonts w:ascii="Courier New" w:cs="Courier New" w:eastAsia="Courier New" w:hAnsi="Courier New"/>
          <w:sz w:val="15"/>
          <w:szCs w:val="15"/>
          <w:color w:val="auto"/>
        </w:rPr>
      </w:pPr>
    </w:p>
    <w:p>
      <w:pPr>
        <w:ind w:left="1240" w:right="3319" w:firstLine="606"/>
        <w:spacing w:after="0" w:line="261" w:lineRule="auto"/>
        <w:tabs>
          <w:tab w:leader="none" w:pos="246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Shearman &amp; Sterling, counsel for the Agent, in form and substance satisfactory to the Agent.</w:t>
      </w:r>
    </w:p>
    <w:p>
      <w:pPr>
        <w:spacing w:after="0" w:line="160" w:lineRule="exact"/>
        <w:rPr>
          <w:sz w:val="20"/>
          <w:szCs w:val="20"/>
          <w:color w:val="auto"/>
        </w:rPr>
      </w:pPr>
    </w:p>
    <w:p>
      <w:pPr>
        <w:ind w:right="3399" w:firstLine="1224"/>
        <w:spacing w:after="0" w:line="236" w:lineRule="auto"/>
        <w:rPr>
          <w:sz w:val="20"/>
          <w:szCs w:val="20"/>
          <w:color w:val="auto"/>
        </w:rPr>
      </w:pPr>
      <w:r>
        <w:rPr>
          <w:rFonts w:ascii="Courier New" w:cs="Courier New" w:eastAsia="Courier New" w:hAnsi="Courier New"/>
          <w:sz w:val="15"/>
          <w:szCs w:val="15"/>
          <w:color w:val="auto"/>
        </w:rPr>
        <w:t>SECTION 3.02. Conditions Precedent to Each Revolving Credit Borrowing, Increase Date and Extension Date. The obligation of each Lender to make a Revolving Credit Advance on the occasion of each Revolving Credit Borrowing (other than a Competitive Bid Advance), each Commitment Increase and each extension of Commitments pursuant to Section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38</w:t>
      </w:r>
    </w:p>
    <w:p>
      <w:pPr>
        <w:spacing w:after="0" w:line="341"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2.17 shall be subject to the conditions precedent that the Effective Date shall have occurred and on the date of such Revolving Credit Borrowing, such Increase Date or such Extension Date the following statements shall be true (and each of the giving of the applicable Notice of Revolving Credit Borrowing, request for Commitment Increase, request for Commitment Extension and the acceptance by the Borrower of the proceeds of such Revolving Credit Borrowing shall constitute a representation and warranty by the Borrower that on the date of such Revolving Credit Borrowing, such Increase Date or such Extension Date such statements are true):</w:t>
      </w:r>
    </w:p>
    <w:p>
      <w:pPr>
        <w:spacing w:after="0" w:line="178" w:lineRule="exact"/>
        <w:rPr>
          <w:sz w:val="20"/>
          <w:szCs w:val="20"/>
          <w:color w:val="auto"/>
        </w:rPr>
      </w:pPr>
    </w:p>
    <w:p>
      <w:pPr>
        <w:ind w:left="620" w:right="3239" w:firstLine="614"/>
        <w:spacing w:after="0" w:line="236" w:lineRule="auto"/>
        <w:tabs>
          <w:tab w:leader="none" w:pos="184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are correct in all material respects on and as of date of such Revolving Credit Borrowing, such Increase Date or such Extension Date, before and after giving effect to such Revolving Credit Borrowing, such Increase Date or such Extension Date and to the application of the proceeds therefrom, as though made on and as of such date except to the extent such representations and warranties expressly relate to an earlier date, and</w:t>
      </w:r>
    </w:p>
    <w:p>
      <w:pPr>
        <w:spacing w:after="0" w:line="177" w:lineRule="exact"/>
        <w:rPr>
          <w:rFonts w:ascii="Courier New" w:cs="Courier New" w:eastAsia="Courier New" w:hAnsi="Courier New"/>
          <w:sz w:val="15"/>
          <w:szCs w:val="15"/>
          <w:color w:val="auto"/>
        </w:rPr>
      </w:pPr>
    </w:p>
    <w:p>
      <w:pPr>
        <w:ind w:left="620" w:right="3499" w:firstLine="614"/>
        <w:spacing w:after="0" w:line="235" w:lineRule="auto"/>
        <w:tabs>
          <w:tab w:leader="none" w:pos="184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Revolving Credit Borrowing, such Increase Date or such Extension Date or from the application of the proceeds therefrom, that constitutes a Default.</w:t>
      </w:r>
    </w:p>
    <w:p>
      <w:pPr>
        <w:spacing w:after="0" w:line="175"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3.03. Conditions Precedent to Each Competitive Bid Borrowing.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174" w:lineRule="exact"/>
        <w:rPr>
          <w:sz w:val="20"/>
          <w:szCs w:val="20"/>
          <w:color w:val="auto"/>
        </w:rPr>
      </w:pPr>
    </w:p>
    <w:p>
      <w:pPr>
        <w:ind w:left="620" w:right="3399" w:firstLine="614"/>
        <w:spacing w:after="0" w:line="236" w:lineRule="auto"/>
        <w:tabs>
          <w:tab w:leader="none" w:pos="184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73" w:lineRule="exact"/>
        <w:rPr>
          <w:rFonts w:ascii="Courier New" w:cs="Courier New" w:eastAsia="Courier New" w:hAnsi="Courier New"/>
          <w:sz w:val="15"/>
          <w:szCs w:val="15"/>
          <w:color w:val="auto"/>
        </w:rPr>
      </w:pPr>
    </w:p>
    <w:p>
      <w:pPr>
        <w:ind w:left="620" w:right="3499" w:firstLine="614"/>
        <w:spacing w:after="0" w:line="235" w:lineRule="auto"/>
        <w:tabs>
          <w:tab w:leader="none" w:pos="184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Competitive Bid Borrowing or from the application of the proceeds therefrom, that constitutes a Default.</w:t>
      </w:r>
    </w:p>
    <w:p>
      <w:pPr>
        <w:spacing w:after="0" w:line="174" w:lineRule="exact"/>
        <w:rPr>
          <w:sz w:val="20"/>
          <w:szCs w:val="20"/>
          <w:color w:val="auto"/>
        </w:rPr>
      </w:pPr>
    </w:p>
    <w:p>
      <w:pPr>
        <w:ind w:right="3399" w:firstLine="1224"/>
        <w:spacing w:after="0" w:line="235" w:lineRule="auto"/>
        <w:rPr>
          <w:sz w:val="20"/>
          <w:szCs w:val="20"/>
          <w:color w:val="auto"/>
        </w:rPr>
      </w:pPr>
      <w:r>
        <w:rPr>
          <w:rFonts w:ascii="Courier New" w:cs="Courier New" w:eastAsia="Courier New" w:hAnsi="Courier New"/>
          <w:sz w:val="15"/>
          <w:szCs w:val="15"/>
          <w:color w:val="auto"/>
        </w:rPr>
        <w:t>SECTION 3.04. Determinations Under Section 3.01. For purposes of determining compliance with the conditions specified in Section 3.01, each Lender shall be deemed to have consented to, approved or accepted or to be satisfied with each document or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39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319" w:firstLine="1224"/>
        <w:spacing w:after="0" w:line="234" w:lineRule="auto"/>
        <w:rPr>
          <w:sz w:val="20"/>
          <w:szCs w:val="20"/>
          <w:color w:val="auto"/>
        </w:rPr>
      </w:pPr>
      <w:r>
        <w:rPr>
          <w:rFonts w:ascii="Courier New" w:cs="Courier New" w:eastAsia="Courier New" w:hAnsi="Courier New"/>
          <w:sz w:val="15"/>
          <w:szCs w:val="15"/>
          <w:color w:val="auto"/>
        </w:rPr>
        <w:t>SECTION 4.01. Representations and Warranties of the Borrower. The Borrower represents and warrants as follows:</w:t>
      </w:r>
    </w:p>
    <w:p>
      <w:pPr>
        <w:spacing w:after="0" w:line="173" w:lineRule="exact"/>
        <w:rPr>
          <w:sz w:val="20"/>
          <w:szCs w:val="20"/>
          <w:color w:val="auto"/>
        </w:rPr>
      </w:pPr>
    </w:p>
    <w:p>
      <w:pPr>
        <w:ind w:left="620" w:right="3499" w:firstLine="614"/>
        <w:spacing w:after="0" w:line="261" w:lineRule="auto"/>
        <w:tabs>
          <w:tab w:leader="none" w:pos="18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a corporation duly organized, validly existing and in good standing under the laws of the State of Delaware.</w:t>
      </w:r>
    </w:p>
    <w:p>
      <w:pPr>
        <w:spacing w:after="0" w:line="159" w:lineRule="exact"/>
        <w:rPr>
          <w:rFonts w:ascii="Courier New" w:cs="Courier New" w:eastAsia="Courier New" w:hAnsi="Courier New"/>
          <w:sz w:val="14"/>
          <w:szCs w:val="14"/>
          <w:color w:val="auto"/>
        </w:rPr>
      </w:pPr>
    </w:p>
    <w:p>
      <w:pPr>
        <w:ind w:left="620" w:right="3319" w:firstLine="614"/>
        <w:spacing w:after="0" w:line="255" w:lineRule="auto"/>
        <w:tabs>
          <w:tab w:leader="none" w:pos="18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Borrower of this Agreement and the Notes,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66" w:lineRule="exact"/>
        <w:rPr>
          <w:rFonts w:ascii="Courier New" w:cs="Courier New" w:eastAsia="Courier New" w:hAnsi="Courier New"/>
          <w:sz w:val="14"/>
          <w:szCs w:val="14"/>
          <w:color w:val="auto"/>
        </w:rPr>
      </w:pPr>
    </w:p>
    <w:p>
      <w:pPr>
        <w:ind w:left="620" w:right="3319" w:firstLine="614"/>
        <w:spacing w:after="0" w:line="256" w:lineRule="auto"/>
        <w:tabs>
          <w:tab w:leader="none" w:pos="18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164" w:lineRule="exact"/>
        <w:rPr>
          <w:rFonts w:ascii="Courier New" w:cs="Courier New" w:eastAsia="Courier New" w:hAnsi="Courier New"/>
          <w:sz w:val="14"/>
          <w:szCs w:val="14"/>
          <w:color w:val="auto"/>
        </w:rPr>
      </w:pPr>
    </w:p>
    <w:p>
      <w:pPr>
        <w:ind w:left="620" w:right="3499" w:firstLine="614"/>
        <w:spacing w:after="0" w:line="236" w:lineRule="auto"/>
        <w:tabs>
          <w:tab w:leader="none" w:pos="184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174" w:lineRule="exact"/>
        <w:rPr>
          <w:rFonts w:ascii="Courier New" w:cs="Courier New" w:eastAsia="Courier New" w:hAnsi="Courier New"/>
          <w:sz w:val="15"/>
          <w:szCs w:val="15"/>
          <w:color w:val="auto"/>
        </w:rPr>
      </w:pPr>
    </w:p>
    <w:p>
      <w:pPr>
        <w:ind w:left="620" w:right="3239" w:firstLine="614"/>
        <w:spacing w:after="0" w:line="237" w:lineRule="auto"/>
        <w:tabs>
          <w:tab w:leader="none" w:pos="184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 of the Borrower and its Subsidiaries as at January 2, 2000, and the related Consolidated statements of income and cash flows of the Borrower and its Subsidiaries for the fiscal year then ended, accompanied by an opinion of PricewaterhouseCoopers LLP, independent public accountants, and the Consolidated balance sheet of the Borrower and its Subsidiaries as at April 2, 2000, and the related Consolidated statements of income and cash flows of the Borrower and its Subsidiaries for the three months then ended, duly certified by the chief financial officer of the Borrower, copies of which have been furnished to each Lender, fairly present, subject in the case of said balance sheet as at April 2, 2000, and said statements of income and cash flows for the three months then ended, to year-end audit adjustments, the Consolidated financial condition of the Borrower and its Subsidiaries as at such dates and the Consolidated results of the operations of the Borrower and its Subsidiaries for the periods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40</w:t>
      </w:r>
    </w:p>
    <w:p>
      <w:pPr>
        <w:spacing w:after="0" w:line="341" w:lineRule="exact"/>
        <w:rPr>
          <w:sz w:val="20"/>
          <w:szCs w:val="20"/>
          <w:color w:val="auto"/>
        </w:rPr>
      </w:pPr>
    </w:p>
    <w:p>
      <w:pPr>
        <w:ind w:left="620" w:right="3239"/>
        <w:spacing w:after="0" w:line="235" w:lineRule="auto"/>
        <w:rPr>
          <w:sz w:val="20"/>
          <w:szCs w:val="20"/>
          <w:color w:val="auto"/>
        </w:rPr>
      </w:pPr>
      <w:r>
        <w:rPr>
          <w:rFonts w:ascii="Courier New" w:cs="Courier New" w:eastAsia="Courier New" w:hAnsi="Courier New"/>
          <w:sz w:val="15"/>
          <w:szCs w:val="15"/>
          <w:color w:val="auto"/>
        </w:rPr>
        <w:t>ended on such dates, all in accordance with generally accepted accounting principles consistently applied. Between January 2, 2000 and the date hereof, there has been no Material Adverse Change.</w:t>
      </w:r>
    </w:p>
    <w:p>
      <w:pPr>
        <w:spacing w:after="0" w:line="174" w:lineRule="exact"/>
        <w:rPr>
          <w:sz w:val="20"/>
          <w:szCs w:val="20"/>
          <w:color w:val="auto"/>
        </w:rPr>
      </w:pPr>
    </w:p>
    <w:p>
      <w:pPr>
        <w:ind w:left="620" w:right="3239" w:firstLine="614"/>
        <w:spacing w:after="0" w:line="236" w:lineRule="auto"/>
        <w:tabs>
          <w:tab w:leader="none" w:pos="184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177" w:lineRule="exact"/>
        <w:rPr>
          <w:rFonts w:ascii="Courier New" w:cs="Courier New" w:eastAsia="Courier New" w:hAnsi="Courier New"/>
          <w:sz w:val="15"/>
          <w:szCs w:val="15"/>
          <w:color w:val="auto"/>
        </w:rPr>
      </w:pPr>
    </w:p>
    <w:p>
      <w:pPr>
        <w:ind w:left="620" w:right="3319" w:firstLine="614"/>
        <w:spacing w:after="0" w:line="235" w:lineRule="auto"/>
        <w:tabs>
          <w:tab w:leader="none" w:pos="184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not, and immediately after the application by the Borrower of the proceeds of each Advance will not be an "investment company" within the meaning of the Investment Company Act of 1940, as amended.</w:t>
      </w:r>
    </w:p>
    <w:p>
      <w:pPr>
        <w:spacing w:after="0" w:line="175" w:lineRule="exact"/>
        <w:rPr>
          <w:rFonts w:ascii="Courier New" w:cs="Courier New" w:eastAsia="Courier New" w:hAnsi="Courier New"/>
          <w:sz w:val="15"/>
          <w:szCs w:val="15"/>
          <w:color w:val="auto"/>
        </w:rPr>
      </w:pPr>
    </w:p>
    <w:p>
      <w:pPr>
        <w:ind w:left="620" w:right="3239" w:firstLine="614"/>
        <w:spacing w:after="0" w:line="236" w:lineRule="auto"/>
        <w:tabs>
          <w:tab w:leader="none" w:pos="184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COVENANTS OF THE BORROWER</w:t>
      </w:r>
    </w:p>
    <w:p>
      <w:pPr>
        <w:spacing w:after="0" w:line="173" w:lineRule="exact"/>
        <w:rPr>
          <w:sz w:val="20"/>
          <w:szCs w:val="20"/>
          <w:color w:val="auto"/>
        </w:rPr>
      </w:pPr>
    </w:p>
    <w:p>
      <w:pPr>
        <w:ind w:right="3319" w:firstLine="1224"/>
        <w:spacing w:after="0" w:line="235" w:lineRule="auto"/>
        <w:rPr>
          <w:sz w:val="20"/>
          <w:szCs w:val="20"/>
          <w:color w:val="auto"/>
        </w:rPr>
      </w:pPr>
      <w:r>
        <w:rPr>
          <w:rFonts w:ascii="Courier New" w:cs="Courier New" w:eastAsia="Courier New" w:hAnsi="Courier New"/>
          <w:sz w:val="15"/>
          <w:szCs w:val="15"/>
          <w:color w:val="auto"/>
        </w:rPr>
        <w:t>SECTION 5.01. Affirmative Covenants. So long as any Advance shall remain unpaid or any Lender shall have any Commitment hereunder, the Borrower will:</w:t>
      </w:r>
    </w:p>
    <w:p>
      <w:pPr>
        <w:spacing w:after="0" w:line="174" w:lineRule="exact"/>
        <w:rPr>
          <w:sz w:val="20"/>
          <w:szCs w:val="20"/>
          <w:color w:val="auto"/>
        </w:rPr>
      </w:pPr>
    </w:p>
    <w:p>
      <w:pPr>
        <w:ind w:left="620" w:right="3319" w:firstLine="614"/>
        <w:spacing w:after="0" w:line="255" w:lineRule="auto"/>
        <w:tabs>
          <w:tab w:leader="none" w:pos="184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Etc.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provided, however,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165" w:lineRule="exact"/>
        <w:rPr>
          <w:rFonts w:ascii="Courier New" w:cs="Courier New" w:eastAsia="Courier New" w:hAnsi="Courier New"/>
          <w:sz w:val="14"/>
          <w:szCs w:val="14"/>
          <w:color w:val="auto"/>
        </w:rPr>
      </w:pPr>
    </w:p>
    <w:p>
      <w:pPr>
        <w:ind w:left="620" w:right="3239" w:firstLine="614"/>
        <w:spacing w:after="0" w:line="255" w:lineRule="auto"/>
        <w:tabs>
          <w:tab w:leader="none" w:pos="184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Taxes, Etc. Pay and discharge, and cause each of its Subsidiaries to pay and discharge, before the same shall become delinquent, all material taxes, assessments and governmental charges or levies imposed upon it or upon its property; provided, however, that neither the Borrower nor any of its Subsidiaries shall be required to pay or discharge any such tax, assessment, charge or claim that is being</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41</w:t>
      </w:r>
    </w:p>
    <w:p>
      <w:pPr>
        <w:spacing w:after="0" w:line="341" w:lineRule="exact"/>
        <w:rPr>
          <w:sz w:val="20"/>
          <w:szCs w:val="20"/>
          <w:color w:val="auto"/>
        </w:rPr>
      </w:pPr>
    </w:p>
    <w:p>
      <w:pPr>
        <w:ind w:left="340" w:right="3939"/>
        <w:spacing w:after="0" w:line="234" w:lineRule="auto"/>
        <w:rPr>
          <w:sz w:val="20"/>
          <w:szCs w:val="20"/>
          <w:color w:val="auto"/>
        </w:rPr>
      </w:pPr>
      <w:r>
        <w:rPr>
          <w:rFonts w:ascii="Courier New" w:cs="Courier New" w:eastAsia="Courier New" w:hAnsi="Courier New"/>
          <w:sz w:val="15"/>
          <w:szCs w:val="15"/>
          <w:color w:val="auto"/>
        </w:rPr>
        <w:t>contested in good faith and by proper proceedings and as to which appropriate reserves are being maintained.</w:t>
      </w:r>
    </w:p>
    <w:p>
      <w:pPr>
        <w:spacing w:after="0" w:line="173" w:lineRule="exact"/>
        <w:rPr>
          <w:sz w:val="20"/>
          <w:szCs w:val="20"/>
          <w:color w:val="auto"/>
        </w:rPr>
      </w:pPr>
    </w:p>
    <w:p>
      <w:pPr>
        <w:ind w:left="340" w:right="3239" w:firstLine="614"/>
        <w:spacing w:after="0" w:line="236" w:lineRule="auto"/>
        <w:tabs>
          <w:tab w:leader="none" w:pos="15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74" w:lineRule="exact"/>
        <w:rPr>
          <w:rFonts w:ascii="Courier New" w:cs="Courier New" w:eastAsia="Courier New" w:hAnsi="Courier New"/>
          <w:sz w:val="15"/>
          <w:szCs w:val="15"/>
          <w:color w:val="auto"/>
        </w:rPr>
      </w:pPr>
    </w:p>
    <w:p>
      <w:pPr>
        <w:ind w:left="340" w:right="3239" w:firstLine="614"/>
        <w:spacing w:after="0" w:line="255" w:lineRule="auto"/>
        <w:tabs>
          <w:tab w:leader="none" w:pos="156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Preservation of Corporate Existence, Etc. Preserve and maintain its corporate existence, rights (charter and statutory) and franchises if the loss or failure to maintain the same could, individually or in the aggregate, be reasonably likely to have a Material Adverse Effect; provided, however, that the Borrower may consummate any merger or consolidation permitted under Section 5.02(b).</w:t>
      </w:r>
    </w:p>
    <w:p>
      <w:pPr>
        <w:spacing w:after="0" w:line="166" w:lineRule="exact"/>
        <w:rPr>
          <w:rFonts w:ascii="Courier New" w:cs="Courier New" w:eastAsia="Courier New" w:hAnsi="Courier New"/>
          <w:sz w:val="14"/>
          <w:szCs w:val="14"/>
          <w:color w:val="auto"/>
        </w:rPr>
      </w:pPr>
    </w:p>
    <w:p>
      <w:pPr>
        <w:ind w:left="340" w:right="3239" w:firstLine="614"/>
        <w:spacing w:after="0" w:line="236" w:lineRule="auto"/>
        <w:tabs>
          <w:tab w:leader="none" w:pos="15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Visitation Rights.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180" w:lineRule="exact"/>
        <w:rPr>
          <w:rFonts w:ascii="Courier New" w:cs="Courier New" w:eastAsia="Courier New" w:hAnsi="Courier New"/>
          <w:sz w:val="15"/>
          <w:szCs w:val="15"/>
          <w:color w:val="auto"/>
        </w:rPr>
      </w:pPr>
    </w:p>
    <w:p>
      <w:pPr>
        <w:ind w:left="340" w:right="3319" w:firstLine="614"/>
        <w:spacing w:after="0" w:line="256" w:lineRule="auto"/>
        <w:tabs>
          <w:tab w:leader="none" w:pos="156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Keeping of Books.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163" w:lineRule="exact"/>
        <w:rPr>
          <w:rFonts w:ascii="Courier New" w:cs="Courier New" w:eastAsia="Courier New" w:hAnsi="Courier New"/>
          <w:sz w:val="14"/>
          <w:szCs w:val="14"/>
          <w:color w:val="auto"/>
        </w:rPr>
      </w:pPr>
    </w:p>
    <w:p>
      <w:pPr>
        <w:ind w:left="340" w:right="3319" w:firstLine="614"/>
        <w:spacing w:after="0" w:line="236" w:lineRule="auto"/>
        <w:tabs>
          <w:tab w:leader="none" w:pos="15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Properties, Etc.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75" w:lineRule="exact"/>
        <w:rPr>
          <w:rFonts w:ascii="Courier New" w:cs="Courier New" w:eastAsia="Courier New" w:hAnsi="Courier New"/>
          <w:sz w:val="15"/>
          <w:szCs w:val="15"/>
          <w:color w:val="auto"/>
        </w:rPr>
      </w:pPr>
    </w:p>
    <w:p>
      <w:pPr>
        <w:ind w:left="340" w:right="3239" w:firstLine="614"/>
        <w:spacing w:after="0" w:line="235" w:lineRule="auto"/>
        <w:tabs>
          <w:tab w:leader="none" w:pos="15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Business. The Borrower shall continue to be engaged primarily in lines of business as carried on at the date hereof or lines of business related thereto.</w:t>
      </w:r>
    </w:p>
    <w:p>
      <w:pPr>
        <w:spacing w:after="0" w:line="167" w:lineRule="exact"/>
        <w:rPr>
          <w:rFonts w:ascii="Courier New" w:cs="Courier New" w:eastAsia="Courier New" w:hAnsi="Courier New"/>
          <w:sz w:val="15"/>
          <w:szCs w:val="15"/>
          <w:color w:val="auto"/>
        </w:rPr>
      </w:pPr>
    </w:p>
    <w:p>
      <w:pPr>
        <w:ind w:left="1560" w:hanging="606"/>
        <w:spacing w:after="0"/>
        <w:tabs>
          <w:tab w:leader="none" w:pos="15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Requirements. Furnish to the Lenders:</w:t>
      </w:r>
    </w:p>
    <w:p>
      <w:pPr>
        <w:spacing w:after="0" w:line="172" w:lineRule="exact"/>
        <w:rPr>
          <w:rFonts w:ascii="Courier New" w:cs="Courier New" w:eastAsia="Courier New" w:hAnsi="Courier New"/>
          <w:sz w:val="15"/>
          <w:szCs w:val="15"/>
          <w:color w:val="auto"/>
        </w:rPr>
      </w:pPr>
    </w:p>
    <w:p>
      <w:pPr>
        <w:ind w:left="960" w:right="3239" w:firstLine="606"/>
        <w:spacing w:after="0" w:line="236" w:lineRule="auto"/>
        <w:tabs>
          <w:tab w:leader="none" w:pos="2184"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w:t>
      </w: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959"/>
          </w:cols>
          <w:pgMar w:left="50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42</w:t>
      </w:r>
    </w:p>
    <w:p>
      <w:pPr>
        <w:spacing w:after="0" w:line="341" w:lineRule="exact"/>
        <w:rPr>
          <w:sz w:val="20"/>
          <w:szCs w:val="20"/>
          <w:color w:val="auto"/>
        </w:rPr>
      </w:pPr>
    </w:p>
    <w:p>
      <w:pPr>
        <w:ind w:left="1240" w:right="3239"/>
        <w:spacing w:after="0" w:line="236" w:lineRule="auto"/>
        <w:rPr>
          <w:sz w:val="20"/>
          <w:szCs w:val="20"/>
          <w:color w:val="auto"/>
        </w:rPr>
      </w:pPr>
      <w:r>
        <w:rPr>
          <w:rFonts w:ascii="Courier New" w:cs="Courier New" w:eastAsia="Courier New" w:hAnsi="Courier New"/>
          <w:sz w:val="15"/>
          <w:szCs w:val="15"/>
          <w:color w:val="auto"/>
        </w:rPr>
        <w:t>Borrower as having been prepared in accordance with generally accepted accounting principles and certificates of the chief financial officer of the Borrower as to compliance with the terms of this Agreement, provided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77" w:lineRule="exact"/>
        <w:rPr>
          <w:sz w:val="20"/>
          <w:szCs w:val="20"/>
          <w:color w:val="auto"/>
        </w:rPr>
      </w:pPr>
    </w:p>
    <w:p>
      <w:pPr>
        <w:ind w:left="1240" w:right="3319" w:firstLine="606"/>
        <w:spacing w:after="0" w:line="237" w:lineRule="auto"/>
        <w:tabs>
          <w:tab w:leader="none" w:pos="24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provided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73" w:lineRule="exact"/>
        <w:rPr>
          <w:rFonts w:ascii="Courier New" w:cs="Courier New" w:eastAsia="Courier New" w:hAnsi="Courier New"/>
          <w:sz w:val="15"/>
          <w:szCs w:val="15"/>
          <w:color w:val="auto"/>
        </w:rPr>
      </w:pPr>
    </w:p>
    <w:p>
      <w:pPr>
        <w:ind w:left="1240" w:right="3319" w:firstLine="606"/>
        <w:spacing w:after="0" w:line="236" w:lineRule="auto"/>
        <w:tabs>
          <w:tab w:leader="none" w:pos="24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174" w:lineRule="exact"/>
        <w:rPr>
          <w:rFonts w:ascii="Courier New" w:cs="Courier New" w:eastAsia="Courier New" w:hAnsi="Courier New"/>
          <w:sz w:val="15"/>
          <w:szCs w:val="15"/>
          <w:color w:val="auto"/>
        </w:rPr>
      </w:pPr>
    </w:p>
    <w:p>
      <w:pPr>
        <w:ind w:left="1240" w:right="3239" w:firstLine="606"/>
        <w:spacing w:after="0" w:line="255" w:lineRule="auto"/>
        <w:tabs>
          <w:tab w:leader="none" w:pos="246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66" w:lineRule="exact"/>
        <w:rPr>
          <w:rFonts w:ascii="Courier New" w:cs="Courier New" w:eastAsia="Courier New" w:hAnsi="Courier New"/>
          <w:sz w:val="14"/>
          <w:szCs w:val="14"/>
          <w:color w:val="auto"/>
        </w:rPr>
      </w:pPr>
    </w:p>
    <w:p>
      <w:pPr>
        <w:ind w:left="1240" w:right="3239" w:firstLine="606"/>
        <w:spacing w:after="0" w:line="235" w:lineRule="auto"/>
        <w:tabs>
          <w:tab w:leader="none" w:pos="24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75" w:lineRule="exact"/>
        <w:rPr>
          <w:rFonts w:ascii="Courier New" w:cs="Courier New" w:eastAsia="Courier New" w:hAnsi="Courier New"/>
          <w:sz w:val="15"/>
          <w:szCs w:val="15"/>
          <w:color w:val="auto"/>
        </w:rPr>
      </w:pPr>
    </w:p>
    <w:p>
      <w:pPr>
        <w:ind w:left="1240" w:right="3399" w:firstLine="606"/>
        <w:spacing w:after="0" w:line="235" w:lineRule="auto"/>
        <w:tabs>
          <w:tab w:leader="none" w:pos="246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respecting the Borrower or any of its Subsidiaries as any Lender through the Agent may from time to time reasonably request.</w:t>
      </w:r>
    </w:p>
    <w:p>
      <w:pPr>
        <w:spacing w:after="0" w:line="174" w:lineRule="exact"/>
        <w:rPr>
          <w:sz w:val="20"/>
          <w:szCs w:val="20"/>
          <w:color w:val="auto"/>
        </w:rPr>
      </w:pPr>
    </w:p>
    <w:p>
      <w:pPr>
        <w:ind w:right="3499" w:firstLine="1224"/>
        <w:spacing w:after="0" w:line="235" w:lineRule="auto"/>
        <w:rPr>
          <w:sz w:val="20"/>
          <w:szCs w:val="20"/>
          <w:color w:val="auto"/>
        </w:rPr>
      </w:pPr>
      <w:r>
        <w:rPr>
          <w:rFonts w:ascii="Courier New" w:cs="Courier New" w:eastAsia="Courier New" w:hAnsi="Courier New"/>
          <w:sz w:val="15"/>
          <w:szCs w:val="15"/>
          <w:color w:val="auto"/>
        </w:rPr>
        <w:t>SECTION 5.02. Negative Covenants. So long as any Advance shall remain unpaid or any Lender shall have any Commitment hereunder, the Borrower will not:</w:t>
      </w:r>
    </w:p>
    <w:p>
      <w:pPr>
        <w:spacing w:after="0" w:line="174" w:lineRule="exact"/>
        <w:rPr>
          <w:sz w:val="20"/>
          <w:szCs w:val="20"/>
          <w:color w:val="auto"/>
        </w:rPr>
      </w:pPr>
    </w:p>
    <w:p>
      <w:pPr>
        <w:jc w:val="both"/>
        <w:ind w:left="620" w:right="3239" w:firstLine="614"/>
        <w:spacing w:after="0" w:line="235" w:lineRule="auto"/>
        <w:tabs>
          <w:tab w:leader="none" w:pos="184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Etc. Create or suffer to exist, or permit any of its Subsidiaries to create or suffer to exist, any Lien on or with respect to any of its properties (which for purposes of this subsection (a) shall be deemed not to include shares of the Borrower's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43</w:t>
      </w:r>
    </w:p>
    <w:p>
      <w:pPr>
        <w:spacing w:after="0" w:line="341" w:lineRule="exact"/>
        <w:rPr>
          <w:sz w:val="20"/>
          <w:szCs w:val="20"/>
          <w:color w:val="auto"/>
        </w:rPr>
      </w:pPr>
    </w:p>
    <w:p>
      <w:pPr>
        <w:jc w:val="both"/>
        <w:ind w:left="340" w:right="3499"/>
        <w:spacing w:after="0" w:line="235" w:lineRule="auto"/>
        <w:rPr>
          <w:sz w:val="20"/>
          <w:szCs w:val="20"/>
          <w:color w:val="auto"/>
        </w:rPr>
      </w:pPr>
      <w:r>
        <w:rPr>
          <w:rFonts w:ascii="Courier New" w:cs="Courier New" w:eastAsia="Courier New" w:hAnsi="Courier New"/>
          <w:sz w:val="15"/>
          <w:szCs w:val="15"/>
          <w:color w:val="auto"/>
        </w:rPr>
        <w:t>capital stock), whether now owned or hereafter acquired, or assign, or permit any of its Subsidiaries to assign, any right to receive income, other than:</w:t>
      </w:r>
    </w:p>
    <w:p>
      <w:pPr>
        <w:spacing w:after="0" w:line="167" w:lineRule="exact"/>
        <w:rPr>
          <w:sz w:val="20"/>
          <w:szCs w:val="20"/>
          <w:color w:val="auto"/>
        </w:rPr>
      </w:pPr>
    </w:p>
    <w:p>
      <w:pPr>
        <w:ind w:left="2180" w:hanging="614"/>
        <w:spacing w:after="0"/>
        <w:tabs>
          <w:tab w:leader="none" w:pos="218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2" w:lineRule="exact"/>
        <w:rPr>
          <w:rFonts w:ascii="Courier New" w:cs="Courier New" w:eastAsia="Courier New" w:hAnsi="Courier New"/>
          <w:sz w:val="15"/>
          <w:szCs w:val="15"/>
          <w:color w:val="auto"/>
        </w:rPr>
      </w:pPr>
    </w:p>
    <w:p>
      <w:pPr>
        <w:ind w:left="960" w:right="3239" w:firstLine="606"/>
        <w:spacing w:after="0" w:line="255" w:lineRule="auto"/>
        <w:tabs>
          <w:tab w:leader="none" w:pos="218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provided, however,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331" w:lineRule="exact"/>
        <w:rPr>
          <w:rFonts w:ascii="Courier New" w:cs="Courier New" w:eastAsia="Courier New" w:hAnsi="Courier New"/>
          <w:sz w:val="14"/>
          <w:szCs w:val="14"/>
          <w:color w:val="auto"/>
        </w:rPr>
      </w:pPr>
    </w:p>
    <w:p>
      <w:pPr>
        <w:ind w:left="960" w:right="3939" w:firstLine="606"/>
        <w:spacing w:after="0" w:line="234" w:lineRule="auto"/>
        <w:tabs>
          <w:tab w:leader="none" w:pos="2184"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Liens existing on the Effective Date and described on Schedule 5.02(a) hereto,</w:t>
      </w:r>
    </w:p>
    <w:p>
      <w:pPr>
        <w:spacing w:after="0" w:line="166" w:lineRule="exact"/>
        <w:rPr>
          <w:rFonts w:ascii="Courier New" w:cs="Courier New" w:eastAsia="Courier New" w:hAnsi="Courier New"/>
          <w:sz w:val="15"/>
          <w:szCs w:val="15"/>
          <w:color w:val="auto"/>
        </w:rPr>
      </w:pPr>
    </w:p>
    <w:p>
      <w:pPr>
        <w:ind w:left="2180" w:hanging="614"/>
        <w:spacing w:after="0"/>
        <w:tabs>
          <w:tab w:leader="none" w:pos="218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Debt payable to the Borrower,</w:t>
      </w:r>
    </w:p>
    <w:p>
      <w:pPr>
        <w:spacing w:after="0" w:line="172" w:lineRule="exact"/>
        <w:rPr>
          <w:rFonts w:ascii="Courier New" w:cs="Courier New" w:eastAsia="Courier New" w:hAnsi="Courier New"/>
          <w:sz w:val="15"/>
          <w:szCs w:val="15"/>
          <w:color w:val="auto"/>
        </w:rPr>
      </w:pPr>
    </w:p>
    <w:p>
      <w:pPr>
        <w:ind w:left="960" w:right="3319" w:firstLine="606"/>
        <w:spacing w:after="0" w:line="235" w:lineRule="auto"/>
        <w:tabs>
          <w:tab w:leader="none" w:pos="2184"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securing Debt in an aggregate principal amount not to exceed at any time outstanding an amount equal to 20% of Consolidated Shareholders' Equity, and</w:t>
      </w:r>
    </w:p>
    <w:p>
      <w:pPr>
        <w:spacing w:after="0" w:line="173" w:lineRule="exact"/>
        <w:rPr>
          <w:rFonts w:ascii="Courier New" w:cs="Courier New" w:eastAsia="Courier New" w:hAnsi="Courier New"/>
          <w:sz w:val="15"/>
          <w:szCs w:val="15"/>
          <w:color w:val="auto"/>
        </w:rPr>
      </w:pPr>
    </w:p>
    <w:p>
      <w:pPr>
        <w:ind w:left="960" w:right="3499" w:firstLine="606"/>
        <w:spacing w:after="0" w:line="236" w:lineRule="auto"/>
        <w:tabs>
          <w:tab w:leader="none" w:pos="2184"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173" w:lineRule="exact"/>
        <w:rPr>
          <w:rFonts w:ascii="Courier New" w:cs="Courier New" w:eastAsia="Courier New" w:hAnsi="Courier New"/>
          <w:sz w:val="15"/>
          <w:szCs w:val="15"/>
          <w:color w:val="auto"/>
        </w:rPr>
      </w:pPr>
    </w:p>
    <w:p>
      <w:pPr>
        <w:ind w:left="340" w:right="3239" w:firstLine="614"/>
        <w:spacing w:after="0" w:line="236" w:lineRule="auto"/>
        <w:tabs>
          <w:tab w:leader="none" w:pos="15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Etc. Merge or consolidate with or into, or convey, transfer, lease or otherwise dispose of (whether in one transaction or in a series of transactions) all or substantially all of its assets (whether now owned or hereafter acquired) to, any Person, provided that the Borrower may merge or consolidate with any other Person so long as the Borrower is the surviving corporation and provided further that no Default shall have occurred and be continuing at the time of such proposed transaction or would result therefrom.</w:t>
      </w:r>
    </w:p>
    <w:p>
      <w:pPr>
        <w:spacing w:after="0" w:line="177" w:lineRule="exact"/>
        <w:rPr>
          <w:rFonts w:ascii="Courier New" w:cs="Courier New" w:eastAsia="Courier New" w:hAnsi="Courier New"/>
          <w:sz w:val="15"/>
          <w:szCs w:val="15"/>
          <w:color w:val="auto"/>
        </w:rPr>
      </w:pPr>
    </w:p>
    <w:p>
      <w:pPr>
        <w:ind w:left="340" w:right="3239" w:firstLine="614"/>
        <w:spacing w:after="0" w:line="236" w:lineRule="auto"/>
        <w:tabs>
          <w:tab w:leader="none" w:pos="15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959"/>
          </w:cols>
          <w:pgMar w:left="50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44</w:t>
      </w:r>
    </w:p>
    <w:p>
      <w:pPr>
        <w:spacing w:after="0" w:line="341" w:lineRule="exact"/>
        <w:rPr>
          <w:sz w:val="20"/>
          <w:szCs w:val="20"/>
          <w:color w:val="auto"/>
        </w:rPr>
      </w:pPr>
    </w:p>
    <w:p>
      <w:pPr>
        <w:ind w:right="3399" w:firstLine="1224"/>
        <w:spacing w:after="0" w:line="258" w:lineRule="auto"/>
        <w:rPr>
          <w:sz w:val="20"/>
          <w:szCs w:val="20"/>
          <w:color w:val="auto"/>
        </w:rPr>
      </w:pPr>
      <w:r>
        <w:rPr>
          <w:rFonts w:ascii="Courier New" w:cs="Courier New" w:eastAsia="Courier New" w:hAnsi="Courier New"/>
          <w:sz w:val="14"/>
          <w:szCs w:val="14"/>
          <w:color w:val="auto"/>
        </w:rPr>
        <w:t>SECTION 5.03. Financial Covenant. So long as any Advance shall remain unpaid or any Lender shall have any Commitment hereunder, the Borrower will maintain Consolidated Shareholders' Equity of not less than $850,000,000.</w:t>
      </w:r>
    </w:p>
    <w:p>
      <w:pPr>
        <w:spacing w:after="0" w:line="32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499" w:firstLine="1224"/>
        <w:spacing w:after="0" w:line="234" w:lineRule="auto"/>
        <w:rPr>
          <w:sz w:val="20"/>
          <w:szCs w:val="20"/>
          <w:color w:val="auto"/>
        </w:rPr>
      </w:pPr>
      <w:r>
        <w:rPr>
          <w:rFonts w:ascii="Courier New" w:cs="Courier New" w:eastAsia="Courier New" w:hAnsi="Courier New"/>
          <w:sz w:val="15"/>
          <w:szCs w:val="15"/>
          <w:color w:val="auto"/>
        </w:rPr>
        <w:t>SECTION 6.01. Events of Default. If any of the following events ("Events of Default") shall occur and be continuing:</w:t>
      </w:r>
    </w:p>
    <w:p>
      <w:pPr>
        <w:spacing w:after="0" w:line="173" w:lineRule="exact"/>
        <w:rPr>
          <w:sz w:val="20"/>
          <w:szCs w:val="20"/>
          <w:color w:val="auto"/>
        </w:rPr>
      </w:pPr>
    </w:p>
    <w:p>
      <w:pPr>
        <w:ind w:left="620" w:right="3239" w:firstLine="614"/>
        <w:spacing w:after="0" w:line="236" w:lineRule="auto"/>
        <w:tabs>
          <w:tab w:leader="none" w:pos="184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77" w:lineRule="exact"/>
        <w:rPr>
          <w:rFonts w:ascii="Courier New" w:cs="Courier New" w:eastAsia="Courier New" w:hAnsi="Courier New"/>
          <w:sz w:val="15"/>
          <w:szCs w:val="15"/>
          <w:color w:val="auto"/>
        </w:rPr>
      </w:pPr>
    </w:p>
    <w:p>
      <w:pPr>
        <w:ind w:left="620" w:right="3239" w:firstLine="614"/>
        <w:spacing w:after="0" w:line="235" w:lineRule="auto"/>
        <w:tabs>
          <w:tab w:leader="none" w:pos="184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the Borrower herein or by the Borrower (or any of its officers) in connection with this Agreement shall prove to have been incorrect in any material respect when made; or</w:t>
      </w:r>
    </w:p>
    <w:p>
      <w:pPr>
        <w:spacing w:after="0" w:line="175" w:lineRule="exact"/>
        <w:rPr>
          <w:rFonts w:ascii="Courier New" w:cs="Courier New" w:eastAsia="Courier New" w:hAnsi="Courier New"/>
          <w:sz w:val="15"/>
          <w:szCs w:val="15"/>
          <w:color w:val="auto"/>
        </w:rPr>
      </w:pPr>
    </w:p>
    <w:p>
      <w:pPr>
        <w:ind w:left="620" w:right="3239" w:firstLine="614"/>
        <w:spacing w:after="0" w:line="236" w:lineRule="auto"/>
        <w:tabs>
          <w:tab w:leader="none" w:pos="184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75" w:lineRule="exact"/>
        <w:rPr>
          <w:rFonts w:ascii="Courier New" w:cs="Courier New" w:eastAsia="Courier New" w:hAnsi="Courier New"/>
          <w:sz w:val="15"/>
          <w:szCs w:val="15"/>
          <w:color w:val="auto"/>
        </w:rPr>
      </w:pPr>
    </w:p>
    <w:p>
      <w:pPr>
        <w:ind w:left="620" w:right="3239" w:firstLine="614"/>
        <w:spacing w:after="0" w:line="237" w:lineRule="auto"/>
        <w:tabs>
          <w:tab w:leader="none" w:pos="184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173" w:lineRule="exact"/>
        <w:rPr>
          <w:rFonts w:ascii="Courier New" w:cs="Courier New" w:eastAsia="Courier New" w:hAnsi="Courier New"/>
          <w:sz w:val="15"/>
          <w:szCs w:val="15"/>
          <w:color w:val="auto"/>
        </w:rPr>
      </w:pPr>
    </w:p>
    <w:p>
      <w:pPr>
        <w:ind w:left="620" w:right="3239" w:firstLine="614"/>
        <w:spacing w:after="0" w:line="256" w:lineRule="auto"/>
        <w:tabs>
          <w:tab w:leader="none" w:pos="184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45</w:t>
      </w:r>
    </w:p>
    <w:p>
      <w:pPr>
        <w:spacing w:after="0" w:line="341" w:lineRule="exact"/>
        <w:rPr>
          <w:sz w:val="20"/>
          <w:szCs w:val="20"/>
          <w:color w:val="auto"/>
        </w:rPr>
      </w:pPr>
    </w:p>
    <w:p>
      <w:pPr>
        <w:ind w:left="620" w:right="3239"/>
        <w:spacing w:after="0" w:line="255" w:lineRule="auto"/>
        <w:rPr>
          <w:sz w:val="20"/>
          <w:szCs w:val="20"/>
          <w:color w:val="auto"/>
        </w:rPr>
      </w:pPr>
      <w:r>
        <w:rPr>
          <w:rFonts w:ascii="Courier New" w:cs="Courier New" w:eastAsia="Courier New" w:hAnsi="Courier New"/>
          <w:sz w:val="14"/>
          <w:szCs w:val="14"/>
          <w:color w:val="auto"/>
        </w:rPr>
        <w:t>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332" w:lineRule="exact"/>
        <w:rPr>
          <w:sz w:val="20"/>
          <w:szCs w:val="20"/>
          <w:color w:val="auto"/>
        </w:rPr>
      </w:pPr>
    </w:p>
    <w:p>
      <w:pPr>
        <w:ind w:left="620" w:right="3319" w:firstLine="614"/>
        <w:spacing w:after="0" w:line="254" w:lineRule="auto"/>
        <w:tabs>
          <w:tab w:leader="none" w:pos="1844"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judgment or order of a court of competent jurisdiction for the payment of money in excess of $20,000,000 shall be rendered against the Borrower or any of its Significant Subsidiaries and either</w:t>
      </w:r>
    </w:p>
    <w:p>
      <w:pPr>
        <w:spacing w:after="0" w:line="1" w:lineRule="exact"/>
        <w:rPr>
          <w:rFonts w:ascii="Courier New" w:cs="Courier New" w:eastAsia="Courier New" w:hAnsi="Courier New"/>
          <w:sz w:val="14"/>
          <w:szCs w:val="14"/>
          <w:color w:val="auto"/>
        </w:rPr>
      </w:pPr>
    </w:p>
    <w:p>
      <w:pPr>
        <w:ind w:left="620" w:right="3239" w:firstLine="2"/>
        <w:spacing w:after="0" w:line="255" w:lineRule="auto"/>
        <w:tabs>
          <w:tab w:leader="none" w:pos="97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provided, however,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64" w:lineRule="exact"/>
        <w:rPr>
          <w:rFonts w:ascii="Courier New" w:cs="Courier New" w:eastAsia="Courier New" w:hAnsi="Courier New"/>
          <w:sz w:val="14"/>
          <w:szCs w:val="14"/>
          <w:color w:val="auto"/>
        </w:rPr>
      </w:pPr>
    </w:p>
    <w:p>
      <w:pPr>
        <w:ind w:left="620" w:right="3239" w:firstLine="614"/>
        <w:spacing w:after="0" w:line="237" w:lineRule="auto"/>
        <w:tabs>
          <w:tab w:leader="none" w:pos="1844"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173" w:lineRule="exact"/>
        <w:rPr>
          <w:rFonts w:ascii="Courier New" w:cs="Courier New" w:eastAsia="Courier New" w:hAnsi="Courier New"/>
          <w:sz w:val="15"/>
          <w:szCs w:val="15"/>
          <w:color w:val="auto"/>
        </w:rPr>
      </w:pPr>
    </w:p>
    <w:p>
      <w:pPr>
        <w:ind w:left="620" w:right="3239" w:firstLine="614"/>
        <w:spacing w:after="0" w:line="254" w:lineRule="auto"/>
        <w:tabs>
          <w:tab w:leader="none" w:pos="1844"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ERISA Affiliates shall incur liability as a result of one or more of the following: (i) the occurrence of any ERISA Event; (ii) the partial or complete withdrawal of the Borrower or any of its ERISA Affiliates from a Multiemployer Plan; or</w:t>
      </w:r>
    </w:p>
    <w:p>
      <w:pPr>
        <w:spacing w:after="0" w:line="1" w:lineRule="exact"/>
        <w:rPr>
          <w:rFonts w:ascii="Courier New" w:cs="Courier New" w:eastAsia="Courier New" w:hAnsi="Courier New"/>
          <w:sz w:val="14"/>
          <w:szCs w:val="14"/>
          <w:color w:val="auto"/>
        </w:rPr>
      </w:pPr>
    </w:p>
    <w:p>
      <w:pPr>
        <w:ind w:left="620" w:right="3319" w:firstLine="2"/>
        <w:spacing w:after="0" w:line="236" w:lineRule="auto"/>
        <w:tabs>
          <w:tab w:leader="none" w:pos="114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or termination of a Multiemployer Plan; and, in the reasonable opinion of the Required Lenders, such incurrence would be likely to result in a Material Adverse Effect, provided that any such liability in an amount not to exceed $20,000,000 shall be deemed not to be likely to result in a Material Adverse Effect;</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then, and in any such event, the Agent (i) shall at the request, or may with the consent, of the Required Lenders, by notice to the Borrower, declare the obligation of each Lender to make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46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to be terminated, whereupon the same shall forthwith terminate, and</w:t>
      </w:r>
    </w:p>
    <w:p>
      <w:pPr>
        <w:spacing w:after="0" w:line="5" w:lineRule="exact"/>
        <w:rPr>
          <w:sz w:val="20"/>
          <w:szCs w:val="20"/>
          <w:color w:val="auto"/>
        </w:rPr>
      </w:pPr>
    </w:p>
    <w:p>
      <w:pPr>
        <w:ind w:right="3239" w:firstLine="10"/>
        <w:spacing w:after="0" w:line="254" w:lineRule="auto"/>
        <w:tabs>
          <w:tab w:leader="none" w:pos="43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provided, however, that in the event of an actual or deemed entry of an order for relief with respect to the Borrower under the Federal Bankruptcy Code, (A) the obligation of each Lender to make Advances shall automatically be terminated and</w:t>
      </w:r>
    </w:p>
    <w:p>
      <w:pPr>
        <w:spacing w:after="0" w:line="3"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the Notes, all such interest and all such amounts shall automatically become and be due and payable, without presentment, demand, protest or any notice of any kind, all of which are hereby expressly waived by the Borrower.</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AGENT</w:t>
      </w:r>
    </w:p>
    <w:p>
      <w:pPr>
        <w:spacing w:after="0" w:line="173"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SECTION 7.01. Authorization and Action.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provided, however,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332"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7.02. Agent's Reliance, Etc.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 2.05(b) or 2.17, as the case may be,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47</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66"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SECTION 7.03. Citibank and Affiliates.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80" w:lineRule="exact"/>
        <w:rPr>
          <w:sz w:val="20"/>
          <w:szCs w:val="20"/>
          <w:color w:val="auto"/>
        </w:rPr>
      </w:pPr>
    </w:p>
    <w:p>
      <w:pPr>
        <w:ind w:right="3319" w:firstLine="1224"/>
        <w:spacing w:after="0" w:line="236" w:lineRule="auto"/>
        <w:rPr>
          <w:sz w:val="20"/>
          <w:szCs w:val="20"/>
          <w:color w:val="auto"/>
        </w:rPr>
      </w:pPr>
      <w:r>
        <w:rPr>
          <w:rFonts w:ascii="Courier New" w:cs="Courier New" w:eastAsia="Courier New" w:hAnsi="Courier New"/>
          <w:sz w:val="15"/>
          <w:szCs w:val="15"/>
          <w:color w:val="auto"/>
        </w:rPr>
        <w:t>SECTION 7.04. Lender Credit Decision.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78"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7.05. Indemnification.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provided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343"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SECTION 7.06. Successor Agent.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If no successor Agent shall have been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48</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64" w:lineRule="exact"/>
        <w:rPr>
          <w:sz w:val="20"/>
          <w:szCs w:val="20"/>
          <w:color w:val="auto"/>
        </w:rPr>
      </w:pPr>
    </w:p>
    <w:p>
      <w:pPr>
        <w:ind w:right="3319" w:firstLine="1224"/>
        <w:spacing w:after="0" w:line="236" w:lineRule="auto"/>
        <w:rPr>
          <w:sz w:val="20"/>
          <w:szCs w:val="20"/>
          <w:color w:val="auto"/>
        </w:rPr>
      </w:pPr>
      <w:r>
        <w:rPr>
          <w:rFonts w:ascii="Courier New" w:cs="Courier New" w:eastAsia="Courier New" w:hAnsi="Courier New"/>
          <w:sz w:val="15"/>
          <w:szCs w:val="15"/>
          <w:color w:val="auto"/>
        </w:rPr>
        <w:t>SECTION 7.07. Documentation Agent and Syndication Agent. SunTrust has been designated as syndication agent and Chase has been designated as documentation agent in recognition of their respective Commitments, and the use of such title does not impose on such Lender any duties or obligations greater than those of any other Lender.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1224"/>
        <w:spacing w:after="0" w:line="254" w:lineRule="auto"/>
        <w:rPr>
          <w:sz w:val="20"/>
          <w:szCs w:val="20"/>
          <w:color w:val="auto"/>
        </w:rPr>
      </w:pPr>
      <w:r>
        <w:rPr>
          <w:rFonts w:ascii="Courier New" w:cs="Courier New" w:eastAsia="Courier New" w:hAnsi="Courier New"/>
          <w:sz w:val="14"/>
          <w:szCs w:val="14"/>
          <w:color w:val="auto"/>
        </w:rPr>
        <w:t>SECTION 8.01. Amendments, Etc. No amendment or waiver of any provision of this Agreement or the Revolving Credit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provided, however, that no amendment, waiver or consent shall, unless in writing and signed by all the Lenders, do any of the following: (a) waive any of the conditions specified in Section 3.01, (b) increase the Commitments of the Lenders other than as provided in Section</w:t>
      </w:r>
    </w:p>
    <w:p>
      <w:pPr>
        <w:spacing w:after="0" w:line="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or (f) amend this Section 8.01; provided further that no amendment, waiver or consent shall, unless in writing and signed by the Agent in addition to the Lenders required above to take such action, affect the rights or duties of the Agent under this Agreement or any Note.</w:t>
      </w:r>
    </w:p>
    <w:p>
      <w:pPr>
        <w:spacing w:after="0" w:line="165"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SECTION 8.02. Notices, Etc.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Brian Maxwell;</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49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78"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SECTION 8.03. No Waiver; Remedies.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5"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SECTION 8.04. Costs and Expenses.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63" w:lineRule="exact"/>
        <w:rPr>
          <w:sz w:val="20"/>
          <w:szCs w:val="20"/>
          <w:color w:val="auto"/>
        </w:rPr>
      </w:pPr>
    </w:p>
    <w:p>
      <w:pPr>
        <w:ind w:right="3239" w:firstLine="1234"/>
        <w:spacing w:after="0" w:line="254" w:lineRule="auto"/>
        <w:tabs>
          <w:tab w:leader="none" w:pos="183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indemnify and hold harmless the Agent and each Lender and each of their Affiliates and their officers, directors, employees, agents and advisors (each, an "Indemnified Party")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74" w:lineRule="exact"/>
        <w:rPr>
          <w:rFonts w:ascii="Courier New" w:cs="Courier New" w:eastAsia="Courier New" w:hAnsi="Courier New"/>
          <w:sz w:val="14"/>
          <w:szCs w:val="14"/>
          <w:color w:val="auto"/>
        </w:rPr>
      </w:pPr>
    </w:p>
    <w:p>
      <w:pPr>
        <w:ind w:right="3399" w:firstLine="1234"/>
        <w:spacing w:after="0" w:line="235" w:lineRule="auto"/>
        <w:tabs>
          <w:tab w:leader="none" w:pos="18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payment of principal of, or Conversion of, any Eurodollar Rate Advance or LIBO Rate Advance is made by the Borrower to or for the account of a Lender other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50</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than on the last day of the Interest Period for such Advance, as a result of a payment or Conversion pursuant to Section 2.08(d) or (e), 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74" w:lineRule="exact"/>
        <w:rPr>
          <w:sz w:val="20"/>
          <w:szCs w:val="20"/>
          <w:color w:val="auto"/>
        </w:rPr>
      </w:pPr>
    </w:p>
    <w:p>
      <w:pPr>
        <w:jc w:val="both"/>
        <w:ind w:right="3239" w:firstLine="1234"/>
        <w:spacing w:after="0" w:line="256" w:lineRule="auto"/>
        <w:tabs>
          <w:tab w:leader="none" w:pos="183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164"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SECTION 8.05. Right of Set-off.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provided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331"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SECTION 8.06. Binding Effect.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65" w:lineRule="exact"/>
        <w:rPr>
          <w:sz w:val="20"/>
          <w:szCs w:val="20"/>
          <w:color w:val="auto"/>
        </w:rPr>
      </w:pPr>
    </w:p>
    <w:p>
      <w:pPr>
        <w:ind w:right="3319" w:firstLine="1224"/>
        <w:spacing w:after="0" w:line="236" w:lineRule="auto"/>
        <w:rPr>
          <w:sz w:val="20"/>
          <w:szCs w:val="20"/>
          <w:color w:val="auto"/>
        </w:rPr>
      </w:pPr>
      <w:r>
        <w:rPr>
          <w:rFonts w:ascii="Courier New" w:cs="Courier New" w:eastAsia="Courier New" w:hAnsi="Courier New"/>
          <w:sz w:val="15"/>
          <w:szCs w:val="15"/>
          <w:color w:val="auto"/>
        </w:rPr>
        <w:t>SECTION 8.07. Assignments and Participations. (a) Each Lender may with the consent of the Agent and the Borrower (which consent shall not be unreasonably withheld or delayed) and, if demanded by the Borrower (following a demand by such Lender pursuant to Section 2.11 or 2.14 or following such Lender's Downgrade) at a time when no Default has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51</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occurred and is continuing upon at least five Business Days' notice to such Lender and the Agent, will assign to one or more Persons all or a portion of its rights and obligations under this Agreement (including, without limitation, all or a portion of its Commitment, the Revolving Credit Advances owing to it and the Revolving Credit Note or Notes held by it); provided, however, that (i) each such assignment shall be of a constant, and not a varying, percentage of all rights and obligations under this Agreement (other than any right to make Competitive Bid Advances, Competitive Bid Advances owing to it and Competitive Bid Notes), (ii) 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$10,000,000 or an integral multiple of $1,000,000 in excess thereof and the amount of the Commitment of such Lender remaining after such assignment shall not be less than $10,000,000 or shall be zero, (iii) each such assignment shall be to an Eligible Assignee, (iv) 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(vi) unless such assignment is demanded by the Borrower, the parties to each such assignment shall execute and deliver to the Agent, for its acceptance and recording in the Register, an Assignment and Acceptance, together with any Revolving Credit Note subject to such assignment and a processing and recordation fee of $3,500.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0" w:lineRule="exact"/>
        <w:rPr>
          <w:sz w:val="20"/>
          <w:szCs w:val="20"/>
          <w:color w:val="auto"/>
        </w:rPr>
      </w:pPr>
    </w:p>
    <w:p>
      <w:pPr>
        <w:spacing w:after="0" w:line="320" w:lineRule="exact"/>
        <w:rPr>
          <w:sz w:val="20"/>
          <w:szCs w:val="20"/>
          <w:color w:val="auto"/>
        </w:rPr>
      </w:pPr>
    </w:p>
    <w:p>
      <w:pPr>
        <w:ind w:right="3239" w:firstLine="1234"/>
        <w:spacing w:after="0" w:line="236" w:lineRule="auto"/>
        <w:tabs>
          <w:tab w:leader="none" w:pos="18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52</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331" w:lineRule="exact"/>
        <w:rPr>
          <w:sz w:val="20"/>
          <w:szCs w:val="20"/>
          <w:color w:val="auto"/>
        </w:rPr>
      </w:pPr>
    </w:p>
    <w:p>
      <w:pPr>
        <w:ind w:right="3239" w:firstLine="1234"/>
        <w:spacing w:after="0" w:line="255" w:lineRule="auto"/>
        <w:tabs>
          <w:tab w:leader="none" w:pos="183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331" w:lineRule="exact"/>
        <w:rPr>
          <w:rFonts w:ascii="Courier New" w:cs="Courier New" w:eastAsia="Courier New" w:hAnsi="Courier New"/>
          <w:sz w:val="14"/>
          <w:szCs w:val="14"/>
          <w:color w:val="auto"/>
        </w:rPr>
      </w:pPr>
    </w:p>
    <w:p>
      <w:pPr>
        <w:ind w:right="3239" w:firstLine="1234"/>
        <w:spacing w:after="0" w:line="236" w:lineRule="auto"/>
        <w:tabs>
          <w:tab w:leader="none" w:pos="183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"Register").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80" w:lineRule="exact"/>
        <w:rPr>
          <w:rFonts w:ascii="Courier New" w:cs="Courier New" w:eastAsia="Courier New" w:hAnsi="Courier New"/>
          <w:sz w:val="15"/>
          <w:szCs w:val="15"/>
          <w:color w:val="auto"/>
        </w:rPr>
      </w:pPr>
    </w:p>
    <w:p>
      <w:pPr>
        <w:ind w:right="3239" w:firstLine="1234"/>
        <w:spacing w:after="0" w:line="255" w:lineRule="auto"/>
        <w:tabs>
          <w:tab w:leader="none" w:pos="183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provided, however,</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53</w:t>
      </w:r>
    </w:p>
    <w:p>
      <w:pPr>
        <w:spacing w:after="0" w:line="34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that (i) such Lender's obligations under this Agreement (including, without limitation, its Commitment to the Borrower hereunder) shall remain unchanged,</w:t>
      </w:r>
    </w:p>
    <w:p>
      <w:pPr>
        <w:spacing w:after="0" w:line="1" w:lineRule="exact"/>
        <w:rPr>
          <w:sz w:val="20"/>
          <w:szCs w:val="20"/>
          <w:color w:val="auto"/>
        </w:rPr>
      </w:pPr>
    </w:p>
    <w:p>
      <w:pPr>
        <w:ind w:right="3239" w:firstLine="10"/>
        <w:spacing w:after="0" w:line="237" w:lineRule="auto"/>
        <w:tabs>
          <w:tab w:leader="none" w:pos="43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73" w:lineRule="exact"/>
        <w:rPr>
          <w:rFonts w:ascii="Courier New" w:cs="Courier New" w:eastAsia="Courier New" w:hAnsi="Courier New"/>
          <w:sz w:val="15"/>
          <w:szCs w:val="15"/>
          <w:color w:val="auto"/>
        </w:rPr>
      </w:pPr>
    </w:p>
    <w:p>
      <w:pPr>
        <w:ind w:right="3399" w:firstLine="1234"/>
        <w:spacing w:after="0" w:line="236" w:lineRule="auto"/>
        <w:tabs>
          <w:tab w:leader="none" w:pos="183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provided that, prior to any such disclosure, the assignee or participant or proposed assignee or participant shall agree to preserve the confidentiality of any Confidential Information relating to the Borrower received by it from such Lender.</w:t>
      </w:r>
    </w:p>
    <w:p>
      <w:pPr>
        <w:spacing w:after="0" w:line="177" w:lineRule="exact"/>
        <w:rPr>
          <w:rFonts w:ascii="Courier New" w:cs="Courier New" w:eastAsia="Courier New" w:hAnsi="Courier New"/>
          <w:sz w:val="15"/>
          <w:szCs w:val="15"/>
          <w:color w:val="auto"/>
        </w:rPr>
      </w:pPr>
    </w:p>
    <w:p>
      <w:pPr>
        <w:ind w:right="3399" w:firstLine="1234"/>
        <w:spacing w:after="0" w:line="236" w:lineRule="auto"/>
        <w:tabs>
          <w:tab w:leader="none" w:pos="183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75" w:lineRule="exact"/>
        <w:rPr>
          <w:sz w:val="20"/>
          <w:szCs w:val="20"/>
          <w:color w:val="auto"/>
        </w:rPr>
      </w:pPr>
    </w:p>
    <w:p>
      <w:pPr>
        <w:ind w:right="3319" w:firstLine="1224"/>
        <w:spacing w:after="0" w:line="255" w:lineRule="auto"/>
        <w:rPr>
          <w:sz w:val="20"/>
          <w:szCs w:val="20"/>
          <w:color w:val="auto"/>
        </w:rPr>
      </w:pPr>
      <w:r>
        <w:rPr>
          <w:rFonts w:ascii="Courier New" w:cs="Courier New" w:eastAsia="Courier New" w:hAnsi="Courier New"/>
          <w:sz w:val="14"/>
          <w:szCs w:val="14"/>
          <w:color w:val="auto"/>
        </w:rPr>
        <w:t>SECTION 8.08. Confidentiality.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provided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pacing w:after="0" w:line="164" w:lineRule="exact"/>
        <w:rPr>
          <w:sz w:val="20"/>
          <w:szCs w:val="20"/>
          <w:color w:val="auto"/>
        </w:rPr>
      </w:pPr>
    </w:p>
    <w:p>
      <w:pPr>
        <w:ind w:right="3239" w:firstLine="1224"/>
        <w:spacing w:after="0" w:line="235" w:lineRule="auto"/>
        <w:rPr>
          <w:sz w:val="20"/>
          <w:szCs w:val="20"/>
          <w:color w:val="auto"/>
        </w:rPr>
      </w:pPr>
      <w:r>
        <w:rPr>
          <w:rFonts w:ascii="Courier New" w:cs="Courier New" w:eastAsia="Courier New" w:hAnsi="Courier New"/>
          <w:sz w:val="15"/>
          <w:szCs w:val="15"/>
          <w:color w:val="auto"/>
        </w:rPr>
        <w:t>SECTION 8.09. Governing Law. This Agreement and the Notes shall be governed by, and construed in accordance with, the laws of the State of New York.</w:t>
      </w:r>
    </w:p>
    <w:p>
      <w:pPr>
        <w:spacing w:after="0" w:line="174" w:lineRule="exact"/>
        <w:rPr>
          <w:sz w:val="20"/>
          <w:szCs w:val="20"/>
          <w:color w:val="auto"/>
        </w:rPr>
      </w:pPr>
    </w:p>
    <w:p>
      <w:pPr>
        <w:ind w:right="3399" w:firstLine="1224"/>
        <w:spacing w:after="0" w:line="236" w:lineRule="auto"/>
        <w:rPr>
          <w:sz w:val="20"/>
          <w:szCs w:val="20"/>
          <w:color w:val="auto"/>
        </w:rPr>
      </w:pPr>
      <w:r>
        <w:rPr>
          <w:rFonts w:ascii="Courier New" w:cs="Courier New" w:eastAsia="Courier New" w:hAnsi="Courier New"/>
          <w:sz w:val="15"/>
          <w:szCs w:val="15"/>
          <w:color w:val="auto"/>
        </w:rPr>
        <w:t>SECTION 8.10.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54</w:t>
      </w:r>
    </w:p>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to this Agreement by telecopier shall be effective as delivery of a manually executed counterpart of this Agreement.</w:t>
      </w:r>
    </w:p>
    <w:p>
      <w:pPr>
        <w:spacing w:after="0" w:line="173"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SECTION 8.11. Jurisdiction, Etc.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63" w:lineRule="exact"/>
        <w:rPr>
          <w:sz w:val="20"/>
          <w:szCs w:val="20"/>
          <w:color w:val="auto"/>
        </w:rPr>
      </w:pPr>
    </w:p>
    <w:p>
      <w:pPr>
        <w:ind w:right="3319" w:firstLine="1234"/>
        <w:spacing w:after="0" w:line="236" w:lineRule="auto"/>
        <w:tabs>
          <w:tab w:leader="none" w:pos="18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77" w:lineRule="exact"/>
        <w:rPr>
          <w:sz w:val="20"/>
          <w:szCs w:val="20"/>
          <w:color w:val="auto"/>
        </w:rPr>
      </w:pPr>
    </w:p>
    <w:p>
      <w:pPr>
        <w:ind w:right="3499" w:firstLine="1224"/>
        <w:spacing w:after="0" w:line="236" w:lineRule="auto"/>
        <w:rPr>
          <w:sz w:val="20"/>
          <w:szCs w:val="20"/>
          <w:color w:val="auto"/>
        </w:rPr>
      </w:pPr>
      <w:r>
        <w:rPr>
          <w:rFonts w:ascii="Courier New" w:cs="Courier New" w:eastAsia="Courier New" w:hAnsi="Courier New"/>
          <w:sz w:val="15"/>
          <w:szCs w:val="15"/>
          <w:color w:val="auto"/>
        </w:rPr>
        <w:t>SECTION 8.12. Waiver of Jury Trial.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55</w:t>
      </w:r>
    </w:p>
    <w:p>
      <w:pPr>
        <w:spacing w:after="0" w:line="341" w:lineRule="exact"/>
        <w:rPr>
          <w:sz w:val="20"/>
          <w:szCs w:val="20"/>
          <w:color w:val="auto"/>
        </w:rPr>
      </w:pPr>
    </w:p>
    <w:p>
      <w:pPr>
        <w:jc w:val="both"/>
        <w:ind w:right="3239" w:firstLine="1224"/>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30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WASHINGTON POST COMPANY</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 John B. Morse,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2980" w:space="100"/>
            <w:col w:w="7159"/>
          </w:cols>
          <w:pgMar w:left="220" w:top="281"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CITIBANK, N.A.</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as Agent</w:t>
      </w:r>
    </w:p>
    <w:p>
      <w:pPr>
        <w:sectPr>
          <w:pgSz w:w="11900" w:h="16838" w:orient="portrait"/>
          <w:cols w:equalWidth="0" w:num="1">
            <w:col w:w="10239"/>
          </w:cols>
          <w:pgMar w:left="220" w:top="281" w:right="1440" w:bottom="1440" w:gutter="0" w:footer="0" w:header="0"/>
          <w:type w:val="continuous"/>
        </w:sectPr>
      </w:pP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 Carolyn A. Kee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2980" w:space="100"/>
            <w:col w:w="715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70"/>
        </w:trPr>
        <w:tc>
          <w:tcPr>
            <w:tcW w:w="19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56</w:t>
            </w:r>
          </w:p>
        </w:tc>
        <w:tc>
          <w:tcPr>
            <w:tcW w:w="188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505"/>
        </w:trPr>
        <w:tc>
          <w:tcPr>
            <w:tcW w:w="1940" w:type="dxa"/>
            <w:vAlign w:val="bottom"/>
          </w:tcPr>
          <w:p>
            <w:pPr>
              <w:spacing w:after="0"/>
              <w:rPr>
                <w:sz w:val="24"/>
                <w:szCs w:val="24"/>
                <w:color w:val="auto"/>
              </w:rPr>
            </w:pPr>
          </w:p>
        </w:tc>
        <w:tc>
          <w:tcPr>
            <w:tcW w:w="50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Initial Lenders</w:t>
            </w:r>
          </w:p>
        </w:tc>
      </w:tr>
      <w:tr>
        <w:trPr>
          <w:trHeight w:val="505"/>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Commitment</w:t>
            </w:r>
          </w:p>
        </w:tc>
        <w:tc>
          <w:tcPr>
            <w:tcW w:w="18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188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Agent</w:t>
            </w:r>
          </w:p>
        </w:tc>
        <w:tc>
          <w:tcPr>
            <w:tcW w:w="318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$100,000,000</w:t>
            </w:r>
          </w:p>
        </w:tc>
        <w:tc>
          <w:tcPr>
            <w:tcW w:w="50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CITIBANK, N.A.</w:t>
            </w:r>
          </w:p>
        </w:tc>
      </w:tr>
      <w:tr>
        <w:trPr>
          <w:trHeight w:val="505"/>
        </w:trPr>
        <w:tc>
          <w:tcPr>
            <w:tcW w:w="1940" w:type="dxa"/>
            <w:vAlign w:val="bottom"/>
          </w:tcPr>
          <w:p>
            <w:pPr>
              <w:spacing w:after="0"/>
              <w:rPr>
                <w:sz w:val="24"/>
                <w:szCs w:val="24"/>
                <w:color w:val="auto"/>
              </w:rPr>
            </w:pPr>
          </w:p>
        </w:tc>
        <w:tc>
          <w:tcPr>
            <w:tcW w:w="1880" w:type="dxa"/>
            <w:vAlign w:val="bottom"/>
          </w:tcPr>
          <w:p>
            <w:pPr>
              <w:ind w:left="860"/>
              <w:spacing w:after="0"/>
              <w:rPr>
                <w:sz w:val="20"/>
                <w:szCs w:val="20"/>
                <w:color w:val="auto"/>
              </w:rPr>
            </w:pPr>
            <w:r>
              <w:rPr>
                <w:rFonts w:ascii="Courier New" w:cs="Courier New" w:eastAsia="Courier New" w:hAnsi="Courier New"/>
                <w:sz w:val="15"/>
                <w:szCs w:val="15"/>
                <w:color w:val="auto"/>
              </w:rPr>
              <w:t>By</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rPr>
              <w:t>/s/ Carolyn A. Kee</w:t>
            </w:r>
          </w:p>
        </w:tc>
      </w:tr>
      <w:tr>
        <w:trPr>
          <w:trHeight w:val="168"/>
        </w:trPr>
        <w:tc>
          <w:tcPr>
            <w:tcW w:w="1940" w:type="dxa"/>
            <w:vAlign w:val="bottom"/>
          </w:tcPr>
          <w:p>
            <w:pPr>
              <w:spacing w:after="0"/>
              <w:rPr>
                <w:sz w:val="14"/>
                <w:szCs w:val="14"/>
                <w:color w:val="auto"/>
              </w:rPr>
            </w:pPr>
          </w:p>
        </w:tc>
        <w:tc>
          <w:tcPr>
            <w:tcW w:w="5060" w:type="dxa"/>
            <w:vAlign w:val="bottom"/>
            <w:gridSpan w:val="2"/>
          </w:tcPr>
          <w:p>
            <w:pPr>
              <w:ind w:left="1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40" w:type="dxa"/>
            <w:vAlign w:val="bottom"/>
          </w:tcPr>
          <w:p>
            <w:pPr>
              <w:spacing w:after="0"/>
              <w:rPr>
                <w:sz w:val="14"/>
                <w:szCs w:val="14"/>
                <w:color w:val="auto"/>
              </w:rPr>
            </w:pPr>
          </w:p>
        </w:tc>
        <w:tc>
          <w:tcPr>
            <w:tcW w:w="188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Title:</w:t>
            </w:r>
          </w:p>
        </w:tc>
        <w:tc>
          <w:tcPr>
            <w:tcW w:w="31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510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Syndication Agent</w:t>
            </w:r>
          </w:p>
        </w:tc>
      </w:tr>
      <w:tr>
        <w:trPr>
          <w:trHeight w:val="336"/>
        </w:trPr>
        <w:tc>
          <w:tcPr>
            <w:tcW w:w="190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6"/>
              </w:rPr>
              <w:t>$75,000,000</w:t>
            </w: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w w:val="95"/>
              </w:rPr>
              <w:t>SUNTRUST BANK</w:t>
            </w:r>
          </w:p>
        </w:tc>
        <w:tc>
          <w:tcPr>
            <w:tcW w:w="3060" w:type="dxa"/>
            <w:vAlign w:val="bottom"/>
          </w:tcPr>
          <w:p>
            <w:pPr>
              <w:spacing w:after="0"/>
              <w:rPr>
                <w:sz w:val="24"/>
                <w:szCs w:val="24"/>
                <w:color w:val="auto"/>
              </w:rPr>
            </w:pPr>
          </w:p>
        </w:tc>
      </w:tr>
      <w:tr>
        <w:trPr>
          <w:trHeight w:val="505"/>
        </w:trPr>
        <w:tc>
          <w:tcPr>
            <w:tcW w:w="1900" w:type="dxa"/>
            <w:vAlign w:val="bottom"/>
          </w:tcPr>
          <w:p>
            <w:pPr>
              <w:spacing w:after="0"/>
              <w:rPr>
                <w:sz w:val="24"/>
                <w:szCs w:val="2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By</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/s/ Nancy R. Petrash</w:t>
            </w:r>
          </w:p>
        </w:tc>
      </w:tr>
      <w:tr>
        <w:trPr>
          <w:trHeight w:val="168"/>
        </w:trPr>
        <w:tc>
          <w:tcPr>
            <w:tcW w:w="1900" w:type="dxa"/>
            <w:vAlign w:val="bottom"/>
          </w:tcPr>
          <w:p>
            <w:pPr>
              <w:spacing w:after="0"/>
              <w:rPr>
                <w:sz w:val="14"/>
                <w:szCs w:val="14"/>
                <w:color w:val="auto"/>
              </w:rPr>
            </w:pPr>
          </w:p>
        </w:tc>
        <w:tc>
          <w:tcPr>
            <w:tcW w:w="5100" w:type="dxa"/>
            <w:vAlign w:val="bottom"/>
            <w:gridSpan w:val="2"/>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00" w:type="dxa"/>
            <w:vAlign w:val="bottom"/>
          </w:tcPr>
          <w:p>
            <w:pPr>
              <w:spacing w:after="0"/>
              <w:rPr>
                <w:sz w:val="14"/>
                <w:szCs w:val="14"/>
                <w:color w:val="auto"/>
              </w:rPr>
            </w:pPr>
          </w:p>
        </w:tc>
        <w:tc>
          <w:tcPr>
            <w:tcW w:w="204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Title:</w:t>
            </w:r>
          </w:p>
        </w:tc>
        <w:tc>
          <w:tcPr>
            <w:tcW w:w="3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262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9"/>
              </w:rPr>
              <w:t>Documentation Agent</w:t>
            </w:r>
          </w:p>
        </w:tc>
        <w:tc>
          <w:tcPr>
            <w:tcW w:w="1440" w:type="dxa"/>
            <w:vAlign w:val="bottom"/>
          </w:tcPr>
          <w:p>
            <w:pPr>
              <w:spacing w:after="0"/>
              <w:rPr>
                <w:sz w:val="14"/>
                <w:szCs w:val="14"/>
                <w:color w:val="auto"/>
              </w:rPr>
            </w:pPr>
          </w:p>
        </w:tc>
      </w:tr>
      <w:tr>
        <w:trPr>
          <w:trHeight w:val="336"/>
        </w:trPr>
        <w:tc>
          <w:tcPr>
            <w:tcW w:w="190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6"/>
              </w:rPr>
              <w:t>$75,000,000</w:t>
            </w:r>
          </w:p>
        </w:tc>
        <w:tc>
          <w:tcPr>
            <w:tcW w:w="262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9"/>
              </w:rPr>
              <w:t>THE CHASE MANHATTAN</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BANK</w:t>
            </w:r>
          </w:p>
        </w:tc>
      </w:tr>
      <w:tr>
        <w:trPr>
          <w:trHeight w:val="505"/>
        </w:trPr>
        <w:tc>
          <w:tcPr>
            <w:tcW w:w="1900" w:type="dxa"/>
            <w:vAlign w:val="bottom"/>
          </w:tcPr>
          <w:p>
            <w:pPr>
              <w:spacing w:after="0"/>
              <w:rPr>
                <w:sz w:val="24"/>
                <w:szCs w:val="24"/>
                <w:color w:val="auto"/>
              </w:rPr>
            </w:pP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By</w:t>
            </w:r>
          </w:p>
        </w:tc>
        <w:tc>
          <w:tcPr>
            <w:tcW w:w="25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/s/ Charles Swarns, Jr.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5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20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Title:</w:t>
            </w:r>
          </w:p>
        </w:tc>
        <w:tc>
          <w:tcPr>
            <w:tcW w:w="3060" w:type="dxa"/>
            <w:vAlign w:val="bottom"/>
          </w:tcPr>
          <w:p>
            <w:pPr>
              <w:jc w:val="right"/>
              <w:ind w:right="1487"/>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673"/>
        </w:trPr>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$250,000,000</w:t>
            </w:r>
          </w:p>
        </w:tc>
        <w:tc>
          <w:tcPr>
            <w:tcW w:w="5060" w:type="dxa"/>
            <w:vAlign w:val="bottom"/>
            <w:gridSpan w:val="2"/>
          </w:tcPr>
          <w:p>
            <w:pPr>
              <w:jc w:val="right"/>
              <w:ind w:right="2027"/>
              <w:spacing w:after="0"/>
              <w:rPr>
                <w:sz w:val="20"/>
                <w:szCs w:val="20"/>
                <w:color w:val="auto"/>
              </w:rPr>
            </w:pPr>
            <w:r>
              <w:rPr>
                <w:rFonts w:ascii="Courier New" w:cs="Courier New" w:eastAsia="Courier New" w:hAnsi="Courier New"/>
                <w:sz w:val="15"/>
                <w:szCs w:val="15"/>
                <w:color w:val="auto"/>
              </w:rPr>
              <w:t>Total of the Commitments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57</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SCHEDULE I</w:t>
      </w:r>
    </w:p>
    <w:p>
      <w:pPr>
        <w:jc w:val="right"/>
        <w:ind w:right="3239"/>
        <w:spacing w:after="0" w:line="237" w:lineRule="auto"/>
        <w:rPr>
          <w:sz w:val="20"/>
          <w:szCs w:val="20"/>
          <w:color w:val="auto"/>
        </w:rPr>
      </w:pPr>
      <w:r>
        <w:rPr>
          <w:rFonts w:ascii="Courier New" w:cs="Courier New" w:eastAsia="Courier New" w:hAnsi="Courier New"/>
          <w:sz w:val="15"/>
          <w:szCs w:val="15"/>
          <w:color w:val="auto"/>
        </w:rPr>
        <w:t>The Washington Post Company</w:t>
      </w:r>
    </w:p>
    <w:p>
      <w:pPr>
        <w:jc w:val="right"/>
        <w:ind w:right="3239"/>
        <w:spacing w:after="0" w:line="238" w:lineRule="auto"/>
        <w:rPr>
          <w:sz w:val="20"/>
          <w:szCs w:val="20"/>
          <w:color w:val="auto"/>
        </w:rPr>
      </w:pPr>
      <w:r>
        <w:rPr>
          <w:rFonts w:ascii="Courier New" w:cs="Courier New" w:eastAsia="Courier New" w:hAnsi="Courier New"/>
          <w:sz w:val="15"/>
          <w:szCs w:val="15"/>
          <w:color w:val="auto"/>
        </w:rPr>
        <w:t>364-Day Credit Agreement</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APPLICABLE LENDING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 of Initial Lender</w:t>
            </w:r>
          </w:p>
        </w:tc>
        <w:tc>
          <w:tcPr>
            <w:tcW w:w="288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Domestic Lending Office</w:t>
            </w:r>
          </w:p>
        </w:tc>
        <w:tc>
          <w:tcPr>
            <w:tcW w:w="2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Eurodollar Lending Office</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80" w:type="dxa"/>
            <w:vAlign w:val="bottom"/>
            <w:gridSpan w:val="4"/>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4"/>
          </w:tcPr>
          <w:p>
            <w:pPr>
              <w:ind w:left="6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rPr>
              <w:t>The Chase Manhattan Bank</w:t>
            </w:r>
          </w:p>
        </w:tc>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270</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Park Avenue</w:t>
            </w:r>
          </w:p>
        </w:tc>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270</w:t>
            </w:r>
          </w:p>
        </w:tc>
        <w:tc>
          <w:tcPr>
            <w:tcW w:w="2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Park Avenue</w:t>
            </w:r>
          </w:p>
        </w:tc>
      </w:tr>
      <w:tr>
        <w:trPr>
          <w:trHeight w:val="168"/>
        </w:trPr>
        <w:tc>
          <w:tcPr>
            <w:tcW w:w="2380" w:type="dxa"/>
            <w:vAlign w:val="bottom"/>
          </w:tcPr>
          <w:p>
            <w:pPr>
              <w:spacing w:after="0"/>
              <w:rPr>
                <w:sz w:val="14"/>
                <w:szCs w:val="14"/>
                <w:color w:val="auto"/>
              </w:rPr>
            </w:pPr>
          </w:p>
        </w:tc>
        <w:tc>
          <w:tcPr>
            <w:tcW w:w="14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New York, NY</w:t>
            </w: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3"/>
              </w:rPr>
              <w:t>10017</w:t>
            </w:r>
          </w:p>
        </w:tc>
        <w:tc>
          <w:tcPr>
            <w:tcW w:w="16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New York, NY</w:t>
            </w: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10017</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Attn:</w:t>
            </w:r>
          </w:p>
        </w:tc>
        <w:tc>
          <w:tcPr>
            <w:tcW w:w="21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Charles Swarns</w:t>
            </w:r>
          </w:p>
        </w:tc>
        <w:tc>
          <w:tcPr>
            <w:tcW w:w="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Attn:</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Charles Swarns</w:t>
            </w:r>
          </w:p>
        </w:tc>
      </w:tr>
      <w:tr>
        <w:trPr>
          <w:trHeight w:val="168"/>
        </w:trPr>
        <w:tc>
          <w:tcPr>
            <w:tcW w:w="2380" w:type="dxa"/>
            <w:vAlign w:val="bottom"/>
          </w:tcPr>
          <w:p>
            <w:pPr>
              <w:spacing w:after="0"/>
              <w:rPr>
                <w:sz w:val="14"/>
                <w:szCs w:val="14"/>
                <w:color w:val="auto"/>
              </w:rPr>
            </w:pP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w:t>
            </w:r>
          </w:p>
        </w:tc>
        <w:tc>
          <w:tcPr>
            <w:tcW w:w="23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718 242-3792</w:t>
            </w:r>
          </w:p>
        </w:tc>
        <w:tc>
          <w:tcPr>
            <w:tcW w:w="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w:t>
            </w:r>
          </w:p>
        </w:tc>
        <w:tc>
          <w:tcPr>
            <w:tcW w:w="20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718 242-3792</w:t>
            </w:r>
          </w:p>
        </w:tc>
      </w:tr>
      <w:tr>
        <w:trPr>
          <w:trHeight w:val="168"/>
        </w:trPr>
        <w:tc>
          <w:tcPr>
            <w:tcW w:w="2380" w:type="dxa"/>
            <w:vAlign w:val="bottom"/>
          </w:tcPr>
          <w:p>
            <w:pPr>
              <w:spacing w:after="0"/>
              <w:rPr>
                <w:sz w:val="14"/>
                <w:szCs w:val="14"/>
                <w:color w:val="auto"/>
              </w:rPr>
            </w:pP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w:t>
            </w:r>
          </w:p>
        </w:tc>
        <w:tc>
          <w:tcPr>
            <w:tcW w:w="23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718 242-3846</w:t>
            </w:r>
          </w:p>
        </w:tc>
        <w:tc>
          <w:tcPr>
            <w:tcW w:w="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w:t>
            </w:r>
          </w:p>
        </w:tc>
        <w:tc>
          <w:tcPr>
            <w:tcW w:w="20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718 242-3846</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Two</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Penns Way</w:t>
            </w:r>
          </w:p>
        </w:tc>
        <w:tc>
          <w:tcPr>
            <w:tcW w:w="140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Two</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Penns Way</w:t>
            </w:r>
          </w:p>
        </w:tc>
        <w:tc>
          <w:tcPr>
            <w:tcW w:w="114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New</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Castle, DE</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19720</w:t>
            </w:r>
          </w:p>
        </w:tc>
        <w:tc>
          <w:tcPr>
            <w:tcW w:w="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New</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Castle, DE</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19720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SunTrust Bank</w:t>
            </w:r>
          </w:p>
        </w:tc>
        <w:tc>
          <w:tcPr>
            <w:tcW w:w="288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1445 New York Avenue, NW</w:t>
            </w:r>
          </w:p>
        </w:tc>
        <w:tc>
          <w:tcPr>
            <w:tcW w:w="2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1445 New York Avenue, NW</w:t>
            </w:r>
          </w:p>
        </w:tc>
      </w:tr>
      <w:tr>
        <w:trPr>
          <w:trHeight w:val="168"/>
        </w:trPr>
        <w:tc>
          <w:tcPr>
            <w:tcW w:w="2380" w:type="dxa"/>
            <w:vAlign w:val="bottom"/>
          </w:tcPr>
          <w:p>
            <w:pPr>
              <w:spacing w:after="0"/>
              <w:rPr>
                <w:sz w:val="14"/>
                <w:szCs w:val="14"/>
                <w:color w:val="auto"/>
              </w:rPr>
            </w:pPr>
          </w:p>
        </w:tc>
        <w:tc>
          <w:tcPr>
            <w:tcW w:w="14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5"/>
              </w:rPr>
              <w:t>Washington, DC</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20005</w:t>
            </w:r>
          </w:p>
        </w:tc>
        <w:tc>
          <w:tcPr>
            <w:tcW w:w="16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5"/>
              </w:rPr>
              <w:t>Washington, DC</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20005</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Attn:</w:t>
            </w: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Nancy Petrash</w:t>
            </w:r>
          </w:p>
        </w:tc>
        <w:tc>
          <w:tcPr>
            <w:tcW w:w="9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Attn:</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Nancy Petrash</w:t>
            </w:r>
          </w:p>
        </w:tc>
      </w:tr>
      <w:tr>
        <w:trPr>
          <w:trHeight w:val="168"/>
        </w:trPr>
        <w:tc>
          <w:tcPr>
            <w:tcW w:w="2380" w:type="dxa"/>
            <w:vAlign w:val="bottom"/>
          </w:tcPr>
          <w:p>
            <w:pPr>
              <w:spacing w:after="0"/>
              <w:rPr>
                <w:sz w:val="14"/>
                <w:szCs w:val="14"/>
                <w:color w:val="auto"/>
              </w:rPr>
            </w:pP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w:t>
            </w:r>
          </w:p>
        </w:tc>
        <w:tc>
          <w:tcPr>
            <w:tcW w:w="23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202 879-6432</w:t>
            </w:r>
          </w:p>
        </w:tc>
        <w:tc>
          <w:tcPr>
            <w:tcW w:w="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w:t>
            </w:r>
          </w:p>
        </w:tc>
        <w:tc>
          <w:tcPr>
            <w:tcW w:w="20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202 879-6432</w:t>
            </w:r>
          </w:p>
        </w:tc>
      </w:tr>
      <w:tr>
        <w:trPr>
          <w:trHeight w:val="168"/>
        </w:trPr>
        <w:tc>
          <w:tcPr>
            <w:tcW w:w="2380" w:type="dxa"/>
            <w:vAlign w:val="bottom"/>
          </w:tcPr>
          <w:p>
            <w:pPr>
              <w:spacing w:after="0"/>
              <w:rPr>
                <w:sz w:val="14"/>
                <w:szCs w:val="14"/>
                <w:color w:val="auto"/>
              </w:rPr>
            </w:pP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w:t>
            </w:r>
          </w:p>
        </w:tc>
        <w:tc>
          <w:tcPr>
            <w:tcW w:w="23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202 879-6137</w:t>
            </w:r>
          </w:p>
        </w:tc>
        <w:tc>
          <w:tcPr>
            <w:tcW w:w="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w:t>
            </w:r>
          </w:p>
        </w:tc>
        <w:tc>
          <w:tcPr>
            <w:tcW w:w="20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202 879-6137</w:t>
            </w:r>
          </w:p>
        </w:tc>
      </w:tr>
    </w:tbl>
    <w:p>
      <w:pPr>
        <w:sectPr>
          <w:pgSz w:w="11900" w:h="16838" w:orient="portrait"/>
          <w:cols w:equalWidth="0" w:num="1">
            <w:col w:w="10239"/>
          </w:cols>
          <w:pgMar w:left="220" w:top="28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58</w:t>
      </w:r>
    </w:p>
    <w:p>
      <w:pPr>
        <w:spacing w:after="0" w:line="341"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SCHEDULE 5.02(a)</w:t>
      </w:r>
    </w:p>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9959"/>
          </w:cols>
          <w:pgMar w:left="50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59</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A-1 - FORM OF</w:t>
      </w:r>
    </w:p>
    <w:p>
      <w:pPr>
        <w:jc w:val="right"/>
        <w:ind w:right="3239"/>
        <w:spacing w:after="0" w:line="237" w:lineRule="auto"/>
        <w:rPr>
          <w:sz w:val="20"/>
          <w:szCs w:val="20"/>
          <w:color w:val="auto"/>
        </w:rPr>
      </w:pPr>
      <w:r>
        <w:rPr>
          <w:rFonts w:ascii="Courier New" w:cs="Courier New" w:eastAsia="Courier New" w:hAnsi="Courier New"/>
          <w:sz w:val="15"/>
          <w:szCs w:val="15"/>
          <w:color w:val="auto"/>
        </w:rPr>
        <w:t>REVOLVING CREDIT</w:t>
      </w:r>
    </w:p>
    <w:p>
      <w:pPr>
        <w:jc w:val="right"/>
        <w:ind w:right="3239"/>
        <w:spacing w:after="0" w:line="238" w:lineRule="auto"/>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200_</w:t>
      </w:r>
    </w:p>
    <w:p>
      <w:pPr>
        <w:spacing w:after="0" w:line="178" w:lineRule="exact"/>
        <w:rPr>
          <w:sz w:val="20"/>
          <w:szCs w:val="20"/>
          <w:color w:val="auto"/>
        </w:rPr>
      </w:pPr>
    </w:p>
    <w:p>
      <w:pPr>
        <w:sectPr>
          <w:pgSz w:w="11900" w:h="16838" w:orient="portrait"/>
          <w:cols w:equalWidth="0" w:num="3">
            <w:col w:w="3060" w:space="720"/>
            <w:col w:w="520" w:space="180"/>
            <w:col w:w="5759"/>
          </w:cols>
          <w:pgMar w:left="220" w:top="281" w:right="1440" w:bottom="1440" w:gutter="0" w:footer="0" w:header="0"/>
          <w:type w:val="continuous"/>
        </w:sectPr>
      </w:pPr>
    </w:p>
    <w:p>
      <w:pPr>
        <w:ind w:right="3319" w:firstLine="1224"/>
        <w:spacing w:after="0" w:line="254" w:lineRule="auto"/>
        <w:rPr>
          <w:sz w:val="20"/>
          <w:szCs w:val="20"/>
          <w:color w:val="auto"/>
        </w:rPr>
      </w:pPr>
      <w:r>
        <w:rPr>
          <w:rFonts w:ascii="Courier New" w:cs="Courier New" w:eastAsia="Courier New" w:hAnsi="Courier New"/>
          <w:sz w:val="14"/>
          <w:szCs w:val="14"/>
          <w:color w:val="auto"/>
        </w:rPr>
        <w:t>FOR VALUE RECEIVED, the undersigned, THE WASHINGTON POST COMPANY, a Delaware corporation (the "Borrower"), HEREBY PROMISES TO PAY to the order of</w:t>
      </w:r>
    </w:p>
    <w:p>
      <w:pPr>
        <w:spacing w:after="0" w:line="231" w:lineRule="auto"/>
        <w:rPr>
          <w:sz w:val="20"/>
          <w:szCs w:val="20"/>
          <w:color w:val="auto"/>
        </w:rPr>
      </w:pPr>
      <w:r>
        <w:rPr>
          <w:rFonts w:ascii="Courier New" w:cs="Courier New" w:eastAsia="Courier New" w:hAnsi="Courier New"/>
          <w:sz w:val="15"/>
          <w:szCs w:val="15"/>
          <w:color w:val="auto"/>
        </w:rPr>
        <w:t>_________________________ (the "Lender") for the account of its Applicable</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Lending Office on the later of the Termination Date and the date designated pursuant to Section 2.06 of the Credit Agreement (each as defined in the Credit Agreement referred to below) the principal sum of U.S.$[amount of the Lender's Commitment in figures] or, if less, the aggregate principal amount of the Revolving Credit Advances made by the Lender to the Borrower pursuant to the</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364-Day Credit Agreement dated as of September 20, 2000 among the Borrower, the Lender and certain other lenders parties thereto, Citibank, N.A., as Agent for the Lender and such other lenders, Salomon Smith Barney Inc., as lead arranger and book manager, SunTrust Bank, as syndication agent, and The Chase Manhattan Bank, as documentation agent (as amended or modified from time to time, the "Credit Agreement"; the terms defined therein being used herein as therein defined), outstanding on such date.</w:t>
      </w:r>
    </w:p>
    <w:p>
      <w:pPr>
        <w:spacing w:after="0" w:line="176" w:lineRule="exact"/>
        <w:rPr>
          <w:sz w:val="20"/>
          <w:szCs w:val="20"/>
          <w:color w:val="auto"/>
        </w:rPr>
      </w:pPr>
    </w:p>
    <w:p>
      <w:pPr>
        <w:ind w:right="3239" w:firstLine="1224"/>
        <w:spacing w:after="0" w:line="235" w:lineRule="auto"/>
        <w:rPr>
          <w:sz w:val="20"/>
          <w:szCs w:val="20"/>
          <w:color w:val="auto"/>
        </w:rPr>
      </w:pPr>
      <w:r>
        <w:rPr>
          <w:rFonts w:ascii="Courier New" w:cs="Courier New" w:eastAsia="Courier New" w:hAnsi="Courier New"/>
          <w:sz w:val="15"/>
          <w:szCs w:val="15"/>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75"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as Agent, at 399 Park Avenue, New York, New York 10043,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ectPr>
          <w:pgSz w:w="11900" w:h="16838" w:orient="portrait"/>
          <w:cols w:equalWidth="0" w:num="1">
            <w:col w:w="10239"/>
          </w:cols>
          <w:pgMar w:left="220" w:top="281" w:right="1440" w:bottom="1440" w:gutter="0" w:footer="0" w:header="0"/>
          <w:type w:val="continuous"/>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60</w:t>
      </w:r>
    </w:p>
    <w:p>
      <w:pPr>
        <w:spacing w:after="0" w:line="341"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200" w:lineRule="exact"/>
        <w:rPr>
          <w:sz w:val="20"/>
          <w:szCs w:val="20"/>
          <w:color w:val="auto"/>
        </w:rPr>
      </w:pPr>
    </w:p>
    <w:p>
      <w:pPr>
        <w:spacing w:after="0" w:line="29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61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ADVANCES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AMOUNT OF</w:t>
            </w:r>
          </w:p>
        </w:tc>
        <w:tc>
          <w:tcPr>
            <w:tcW w:w="1960" w:type="dxa"/>
            <w:vAlign w:val="bottom"/>
          </w:tcPr>
          <w:p>
            <w:pPr>
              <w:ind w:left="700"/>
              <w:spacing w:after="0"/>
              <w:rPr>
                <w:sz w:val="20"/>
                <w:szCs w:val="20"/>
                <w:color w:val="auto"/>
              </w:rPr>
            </w:pPr>
            <w:r>
              <w:rPr>
                <w:rFonts w:ascii="Courier New" w:cs="Courier New" w:eastAsia="Courier New" w:hAnsi="Courier New"/>
                <w:sz w:val="15"/>
                <w:szCs w:val="15"/>
                <w:color w:val="auto"/>
              </w:rPr>
              <w:t>UNPAID</w:t>
            </w:r>
          </w:p>
        </w:tc>
        <w:tc>
          <w:tcPr>
            <w:tcW w:w="1960" w:type="dxa"/>
            <w:vAlign w:val="bottom"/>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22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AMOUNT OF</w:t>
            </w:r>
          </w:p>
        </w:tc>
        <w:tc>
          <w:tcPr>
            <w:tcW w:w="24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PRINCIPAL PAID</w:t>
            </w:r>
          </w:p>
        </w:tc>
        <w:tc>
          <w:tcPr>
            <w:tcW w:w="19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PRINCIPAL</w:t>
            </w:r>
          </w:p>
        </w:tc>
        <w:tc>
          <w:tcPr>
            <w:tcW w:w="1960" w:type="dxa"/>
            <w:vAlign w:val="bottom"/>
          </w:tcPr>
          <w:p>
            <w:pPr>
              <w:spacing w:after="0"/>
              <w:rPr>
                <w:sz w:val="14"/>
                <w:szCs w:val="14"/>
                <w:color w:val="auto"/>
              </w:rPr>
            </w:pP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DATE</w:t>
            </w:r>
          </w:p>
        </w:tc>
        <w:tc>
          <w:tcPr>
            <w:tcW w:w="22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8"/>
              </w:rPr>
              <w:t>ADVANCE</w:t>
            </w:r>
          </w:p>
        </w:tc>
        <w:tc>
          <w:tcPr>
            <w:tcW w:w="24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OR PREPAID</w:t>
            </w:r>
          </w:p>
        </w:tc>
        <w:tc>
          <w:tcPr>
            <w:tcW w:w="1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BALANCE</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NOTATION MADE BY</w:t>
            </w:r>
          </w:p>
        </w:tc>
      </w:tr>
    </w:tbl>
    <w:p>
      <w:pPr>
        <w:spacing w:after="0" w:line="5" w:lineRule="exact"/>
        <w:rPr>
          <w:sz w:val="20"/>
          <w:szCs w:val="20"/>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34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80"/>
          </w:cols>
          <w:pgMar w:left="220" w:top="281" w:right="299"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62</w:t>
      </w:r>
    </w:p>
    <w:p>
      <w:pPr>
        <w:spacing w:after="0" w:line="341"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EXHIBIT A-2 - FORM OF</w:t>
      </w:r>
    </w:p>
    <w:p>
      <w:pPr>
        <w:spacing w:after="0" w:line="10"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COMPETITIVE BID</w:t>
      </w:r>
    </w:p>
    <w:p>
      <w:pPr>
        <w:spacing w:after="0" w:line="10"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200_</w:t>
      </w:r>
    </w:p>
    <w:p>
      <w:pPr>
        <w:spacing w:after="0" w:line="178" w:lineRule="exact"/>
        <w:rPr>
          <w:sz w:val="20"/>
          <w:szCs w:val="20"/>
          <w:color w:val="auto"/>
        </w:rPr>
      </w:pPr>
    </w:p>
    <w:p>
      <w:pPr>
        <w:sectPr>
          <w:pgSz w:w="11900" w:h="16838" w:orient="portrait"/>
          <w:cols w:equalWidth="0" w:num="3">
            <w:col w:w="3060" w:space="720"/>
            <w:col w:w="520" w:space="180"/>
            <w:col w:w="5759"/>
          </w:cols>
          <w:pgMar w:left="220" w:top="281" w:right="1440" w:bottom="1440" w:gutter="0" w:footer="0" w:header="0"/>
          <w:type w:val="continuous"/>
        </w:sectPr>
      </w:pPr>
    </w:p>
    <w:p>
      <w:pPr>
        <w:ind w:right="3319" w:firstLine="1224"/>
        <w:spacing w:after="0" w:line="254" w:lineRule="auto"/>
        <w:rPr>
          <w:sz w:val="20"/>
          <w:szCs w:val="20"/>
          <w:color w:val="auto"/>
        </w:rPr>
      </w:pPr>
      <w:r>
        <w:rPr>
          <w:rFonts w:ascii="Courier New" w:cs="Courier New" w:eastAsia="Courier New" w:hAnsi="Courier New"/>
          <w:sz w:val="14"/>
          <w:szCs w:val="14"/>
          <w:color w:val="auto"/>
        </w:rPr>
        <w:t>FOR VALUE RECEIVED, the undersigned, THE WASHINGTON POST COMPANY, a Delaware corporation (the "Borrower"), HEREBY PROMISES TO PAY to the order of</w:t>
      </w:r>
    </w:p>
    <w:p>
      <w:pPr>
        <w:spacing w:after="0" w:line="231" w:lineRule="auto"/>
        <w:rPr>
          <w:sz w:val="20"/>
          <w:szCs w:val="20"/>
          <w:color w:val="auto"/>
        </w:rPr>
      </w:pPr>
      <w:r>
        <w:rPr>
          <w:rFonts w:ascii="Courier New" w:cs="Courier New" w:eastAsia="Courier New" w:hAnsi="Courier New"/>
          <w:sz w:val="15"/>
          <w:szCs w:val="15"/>
          <w:color w:val="auto"/>
        </w:rPr>
        <w:t>_________________________ (the "Lender") for the account of its Applicable</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Lending Office (as defined in the 364-Day Credit Agreement dated as of September 20, 2000 among the Borrower, the Lender and certain other lenders parties thereto, Citibank, N.A., as Agent for the Lender and such other lenders, Salomon Smith Barney Inc., as lead arranger and book manager, SunTrust Bank, as syndication agent, and The Chase Manhattan Bank, as documentation agent (as amended or modified from time to time, the "Credit Agreement"; the terms defined therein being used herein as therein defined)), on _______________, 200_, the</w:t>
      </w:r>
    </w:p>
    <w:p>
      <w:pPr>
        <w:spacing w:after="0" w:line="234" w:lineRule="auto"/>
        <w:rPr>
          <w:sz w:val="20"/>
          <w:szCs w:val="20"/>
          <w:color w:val="auto"/>
        </w:rPr>
      </w:pPr>
      <w:r>
        <w:rPr>
          <w:rFonts w:ascii="Courier New" w:cs="Courier New" w:eastAsia="Courier New" w:hAnsi="Courier New"/>
          <w:sz w:val="15"/>
          <w:szCs w:val="15"/>
          <w:color w:val="auto"/>
        </w:rPr>
        <w:t>principal amount of U.S.$_______________.</w:t>
      </w:r>
    </w:p>
    <w:p>
      <w:pPr>
        <w:spacing w:after="0" w:line="173" w:lineRule="exact"/>
        <w:rPr>
          <w:sz w:val="20"/>
          <w:szCs w:val="20"/>
          <w:color w:val="auto"/>
        </w:rPr>
      </w:pPr>
    </w:p>
    <w:p>
      <w:pPr>
        <w:ind w:right="3319" w:firstLine="1224"/>
        <w:spacing w:after="0" w:line="235" w:lineRule="auto"/>
        <w:rPr>
          <w:sz w:val="20"/>
          <w:szCs w:val="20"/>
          <w:color w:val="auto"/>
        </w:rPr>
      </w:pPr>
      <w:r>
        <w:rPr>
          <w:rFonts w:ascii="Courier New" w:cs="Courier New" w:eastAsia="Courier New" w:hAnsi="Courier New"/>
          <w:sz w:val="15"/>
          <w:szCs w:val="15"/>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6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[Interest Rate: _____% per annum (calculated on the basis of a</w:t>
      </w:r>
    </w:p>
    <w:p>
      <w:pPr>
        <w:spacing w:after="0" w:line="237" w:lineRule="auto"/>
        <w:rPr>
          <w:sz w:val="20"/>
          <w:szCs w:val="20"/>
          <w:color w:val="auto"/>
        </w:rPr>
      </w:pPr>
      <w:r>
        <w:rPr>
          <w:rFonts w:ascii="Courier New" w:cs="Courier New" w:eastAsia="Courier New" w:hAnsi="Courier New"/>
          <w:sz w:val="15"/>
          <w:szCs w:val="15"/>
          <w:color w:val="auto"/>
        </w:rPr>
        <w:t>year of _____ days for the actual number of days elapsed).]</w:t>
      </w:r>
    </w:p>
    <w:p>
      <w:pPr>
        <w:spacing w:after="0" w:line="173" w:lineRule="exact"/>
        <w:rPr>
          <w:sz w:val="20"/>
          <w:szCs w:val="20"/>
          <w:color w:val="auto"/>
        </w:rPr>
      </w:pPr>
    </w:p>
    <w:p>
      <w:pPr>
        <w:ind w:right="3319" w:firstLine="1224"/>
        <w:spacing w:after="0" w:line="235"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for the account of the Lender at the office of Citibank, N.A., at 399 Park Avenue, New York, New York 10043 in same day funds.</w:t>
      </w:r>
    </w:p>
    <w:p>
      <w:pPr>
        <w:spacing w:after="0" w:line="175" w:lineRule="exact"/>
        <w:rPr>
          <w:sz w:val="20"/>
          <w:szCs w:val="20"/>
          <w:color w:val="auto"/>
        </w:rPr>
      </w:pPr>
    </w:p>
    <w:p>
      <w:pPr>
        <w:ind w:right="3319" w:firstLine="1224"/>
        <w:spacing w:after="0" w:line="256" w:lineRule="auto"/>
        <w:rPr>
          <w:sz w:val="20"/>
          <w:szCs w:val="20"/>
          <w:color w:val="auto"/>
        </w:rPr>
      </w:pPr>
      <w:r>
        <w:rPr>
          <w:rFonts w:ascii="Courier New" w:cs="Courier New" w:eastAsia="Courier New" w:hAnsi="Courier New"/>
          <w:sz w:val="14"/>
          <w:szCs w:val="14"/>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164" w:lineRule="exact"/>
        <w:rPr>
          <w:sz w:val="20"/>
          <w:szCs w:val="20"/>
          <w:color w:val="auto"/>
        </w:rPr>
      </w:pPr>
    </w:p>
    <w:p>
      <w:pPr>
        <w:ind w:right="3239" w:firstLine="1224"/>
        <w:spacing w:after="0" w:line="235" w:lineRule="auto"/>
        <w:rPr>
          <w:sz w:val="20"/>
          <w:szCs w:val="20"/>
          <w:color w:val="auto"/>
        </w:rPr>
      </w:pPr>
      <w:r>
        <w:rPr>
          <w:rFonts w:ascii="Courier New" w:cs="Courier New" w:eastAsia="Courier New" w:hAnsi="Courier New"/>
          <w:sz w:val="15"/>
          <w:szCs w:val="15"/>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0239"/>
          </w:cols>
          <w:pgMar w:left="220" w:top="281" w:right="1440" w:bottom="1440" w:gutter="0" w:footer="0" w:header="0"/>
          <w:type w:val="continuous"/>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63</w:t>
      </w:r>
    </w:p>
    <w:p>
      <w:pPr>
        <w:spacing w:after="0" w:line="341" w:lineRule="exact"/>
        <w:rPr>
          <w:sz w:val="20"/>
          <w:szCs w:val="20"/>
          <w:color w:val="auto"/>
        </w:rPr>
      </w:pPr>
    </w:p>
    <w:p>
      <w:pPr>
        <w:ind w:right="3839" w:firstLine="1224"/>
        <w:spacing w:after="0" w:line="234" w:lineRule="auto"/>
        <w:rPr>
          <w:sz w:val="20"/>
          <w:szCs w:val="20"/>
          <w:color w:val="auto"/>
        </w:rPr>
      </w:pPr>
      <w:r>
        <w:rPr>
          <w:rFonts w:ascii="Courier New" w:cs="Courier New" w:eastAsia="Courier New" w:hAnsi="Courier New"/>
          <w:sz w:val="15"/>
          <w:szCs w:val="15"/>
          <w:color w:val="auto"/>
        </w:rPr>
        <w:t>This Promissory Note shall be governed by, and construed in accordance with, the laws of the State of New York.</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64</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B-1 - FORM OF NOTICE OF</w:t>
      </w:r>
    </w:p>
    <w:p>
      <w:pPr>
        <w:jc w:val="right"/>
        <w:ind w:right="3239"/>
        <w:spacing w:after="0" w:line="237" w:lineRule="auto"/>
        <w:rPr>
          <w:sz w:val="20"/>
          <w:szCs w:val="20"/>
          <w:color w:val="auto"/>
        </w:rPr>
      </w:pPr>
      <w:r>
        <w:rPr>
          <w:rFonts w:ascii="Courier New" w:cs="Courier New" w:eastAsia="Courier New" w:hAnsi="Courier New"/>
          <w:sz w:val="15"/>
          <w:szCs w:val="15"/>
          <w:color w:val="auto"/>
        </w:rPr>
        <w:t>REVOLVING CREDIT BORROWING</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ind w:left="100"/>
        <w:spacing w:after="0" w:line="237" w:lineRule="auto"/>
        <w:rPr>
          <w:sz w:val="20"/>
          <w:szCs w:val="20"/>
          <w:color w:val="auto"/>
        </w:rPr>
      </w:pPr>
      <w:r>
        <w:rPr>
          <w:rFonts w:ascii="Courier New" w:cs="Courier New" w:eastAsia="Courier New" w:hAnsi="Courier New"/>
          <w:sz w:val="15"/>
          <w:szCs w:val="15"/>
          <w:color w:val="auto"/>
        </w:rPr>
        <w:t>for the Lenders parties</w:t>
      </w:r>
    </w:p>
    <w:p>
      <w:pPr>
        <w:ind w:left="100"/>
        <w:spacing w:after="0" w:line="238" w:lineRule="auto"/>
        <w:rPr>
          <w:sz w:val="20"/>
          <w:szCs w:val="20"/>
          <w:color w:val="auto"/>
        </w:rPr>
      </w:pPr>
      <w:r>
        <w:rPr>
          <w:rFonts w:ascii="Courier New" w:cs="Courier New" w:eastAsia="Courier New" w:hAnsi="Courier New"/>
          <w:sz w:val="15"/>
          <w:szCs w:val="15"/>
          <w:color w:val="auto"/>
        </w:rPr>
        <w:t>to the Credit Agreement</w:t>
      </w:r>
    </w:p>
    <w:p>
      <w:pPr>
        <w:ind w:left="100"/>
        <w:spacing w:after="0" w:line="237" w:lineRule="auto"/>
        <w:rPr>
          <w:sz w:val="20"/>
          <w:szCs w:val="20"/>
          <w:color w:val="auto"/>
        </w:rPr>
      </w:pPr>
      <w:r>
        <w:rPr>
          <w:rFonts w:ascii="Courier New" w:cs="Courier New" w:eastAsia="Courier New" w:hAnsi="Courier New"/>
          <w:sz w:val="15"/>
          <w:szCs w:val="15"/>
          <w:color w:val="auto"/>
        </w:rPr>
        <w:t>referred to below</w:t>
      </w:r>
    </w:p>
    <w:p>
      <w:pPr>
        <w:spacing w:after="0" w:line="238" w:lineRule="auto"/>
        <w:rPr>
          <w:sz w:val="20"/>
          <w:szCs w:val="20"/>
          <w:color w:val="auto"/>
        </w:rPr>
      </w:pPr>
      <w:r>
        <w:rPr>
          <w:rFonts w:ascii="Courier New" w:cs="Courier New" w:eastAsia="Courier New" w:hAnsi="Courier New"/>
          <w:sz w:val="15"/>
          <w:szCs w:val="15"/>
          <w:color w:val="auto"/>
        </w:rPr>
        <w:t>Two Penns Way</w:t>
      </w:r>
    </w:p>
    <w:p>
      <w:pPr>
        <w:spacing w:after="0"/>
        <w:tabs>
          <w:tab w:leader="none" w:pos="1920" w:val="left"/>
        </w:tabs>
        <w:rPr>
          <w:sz w:val="20"/>
          <w:szCs w:val="20"/>
          <w:color w:val="auto"/>
        </w:rPr>
      </w:pPr>
      <w:r>
        <w:rPr>
          <w:rFonts w:ascii="Courier New" w:cs="Courier New" w:eastAsia="Courier New" w:hAnsi="Courier New"/>
          <w:sz w:val="15"/>
          <w:szCs w:val="15"/>
          <w:color w:val="auto"/>
        </w:rPr>
        <w:t>New Castle, Delaware</w:t>
      </w:r>
      <w:r>
        <w:rPr>
          <w:sz w:val="20"/>
          <w:szCs w:val="20"/>
          <w:color w:val="auto"/>
        </w:rPr>
        <w:tab/>
      </w:r>
      <w:r>
        <w:rPr>
          <w:rFonts w:ascii="Courier New" w:cs="Courier New" w:eastAsia="Courier New" w:hAnsi="Courier New"/>
          <w:sz w:val="14"/>
          <w:szCs w:val="14"/>
          <w:color w:val="auto"/>
        </w:rPr>
        <w:t>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8" w:lineRule="exact"/>
        <w:rPr>
          <w:sz w:val="20"/>
          <w:szCs w:val="20"/>
          <w:color w:val="auto"/>
        </w:rPr>
      </w:pPr>
    </w:p>
    <w:p>
      <w:pPr>
        <w:sectPr>
          <w:pgSz w:w="11900" w:h="16838" w:orient="portrait"/>
          <w:cols w:equalWidth="0" w:num="2">
            <w:col w:w="3580" w:space="720"/>
            <w:col w:w="5939"/>
          </w:cols>
          <w:pgMar w:left="220" w:top="28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Attention: Brian Maxwell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right="3239" w:firstLine="1224"/>
        <w:spacing w:after="0" w:line="237" w:lineRule="auto"/>
        <w:rPr>
          <w:sz w:val="20"/>
          <w:szCs w:val="20"/>
          <w:color w:val="auto"/>
        </w:rPr>
      </w:pPr>
      <w:r>
        <w:rPr>
          <w:rFonts w:ascii="Courier New" w:cs="Courier New" w:eastAsia="Courier New" w:hAnsi="Courier New"/>
          <w:sz w:val="15"/>
          <w:szCs w:val="15"/>
          <w:color w:val="auto"/>
        </w:rPr>
        <w:t>The undersigned, The Washington Post Company, refers to the 364-Day Credit Agreement, dated as of September 20, 2000 (as amended or modified from time to time, the "Credit Agreement", the terms defined therein being used herein as therein defined), among the undersigned, certain Lenders parties thereto, Citibank, N.A., as Agent for said Lenders, Salomon Smith Barney Inc., as lead arranger and book manager, SunTrust Bank, as syndication agent, and The Chase Manhattan Bank, as documentation agent,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"Proposed Revolving Credit Borrowing") as required by Section 2.02(a) of the Credit Agreement:</w:t>
      </w:r>
    </w:p>
    <w:p>
      <w:pPr>
        <w:spacing w:after="0" w:line="173" w:lineRule="exact"/>
        <w:rPr>
          <w:sz w:val="20"/>
          <w:szCs w:val="20"/>
          <w:color w:val="auto"/>
        </w:rPr>
      </w:pPr>
    </w:p>
    <w:p>
      <w:pPr>
        <w:ind w:left="620" w:right="3239" w:firstLine="614"/>
        <w:spacing w:after="0" w:line="234" w:lineRule="auto"/>
        <w:tabs>
          <w:tab w:leader="none" w:pos="184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of the Proposed Revolving Credit Borrowing is _______________, 200_.</w:t>
      </w:r>
    </w:p>
    <w:p>
      <w:pPr>
        <w:spacing w:after="0" w:line="173" w:lineRule="exact"/>
        <w:rPr>
          <w:rFonts w:ascii="Courier New" w:cs="Courier New" w:eastAsia="Courier New" w:hAnsi="Courier New"/>
          <w:sz w:val="15"/>
          <w:szCs w:val="15"/>
          <w:color w:val="auto"/>
        </w:rPr>
      </w:pPr>
    </w:p>
    <w:p>
      <w:pPr>
        <w:jc w:val="both"/>
        <w:ind w:left="620" w:right="3679" w:firstLine="614"/>
        <w:spacing w:after="0" w:line="261" w:lineRule="auto"/>
        <w:tabs>
          <w:tab w:leader="none" w:pos="184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Type of Advances comprising the Proposed Revolving Credit Borrowing is [Base Rate Advances] [Eurodollar Rate Advances].</w:t>
      </w:r>
    </w:p>
    <w:p>
      <w:pPr>
        <w:spacing w:after="0" w:line="159" w:lineRule="exact"/>
        <w:rPr>
          <w:rFonts w:ascii="Courier New" w:cs="Courier New" w:eastAsia="Courier New" w:hAnsi="Courier New"/>
          <w:sz w:val="14"/>
          <w:szCs w:val="14"/>
          <w:color w:val="auto"/>
        </w:rPr>
      </w:pPr>
    </w:p>
    <w:p>
      <w:pPr>
        <w:ind w:left="620" w:right="3759" w:firstLine="614"/>
        <w:spacing w:after="0" w:line="234" w:lineRule="auto"/>
        <w:tabs>
          <w:tab w:leader="none" w:pos="184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 Revolving Credit Borrowing is $_______________.</w:t>
      </w:r>
    </w:p>
    <w:p>
      <w:pPr>
        <w:spacing w:after="0" w:line="173" w:lineRule="exact"/>
        <w:rPr>
          <w:rFonts w:ascii="Courier New" w:cs="Courier New" w:eastAsia="Courier New" w:hAnsi="Courier New"/>
          <w:sz w:val="15"/>
          <w:szCs w:val="15"/>
          <w:color w:val="auto"/>
        </w:rPr>
      </w:pPr>
    </w:p>
    <w:p>
      <w:pPr>
        <w:ind w:left="620" w:right="3319" w:firstLine="614"/>
        <w:spacing w:after="0" w:line="254" w:lineRule="auto"/>
        <w:tabs>
          <w:tab w:leader="none" w:pos="184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Interest Period for each Eurodollar Rate Advance made as part of the Proposed Revolving Credit Borrowing is _____</w:t>
      </w: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month[s].]</w:t>
      </w:r>
    </w:p>
    <w:p>
      <w:pPr>
        <w:spacing w:after="0" w:line="173" w:lineRule="exact"/>
        <w:rPr>
          <w:sz w:val="20"/>
          <w:szCs w:val="20"/>
          <w:color w:val="auto"/>
        </w:rPr>
      </w:pPr>
    </w:p>
    <w:p>
      <w:pPr>
        <w:jc w:val="both"/>
        <w:ind w:right="3239" w:firstLine="1224"/>
        <w:spacing w:after="0" w:line="235"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Revolving Credit Borrowing:</w:t>
      </w:r>
    </w:p>
    <w:p>
      <w:pPr>
        <w:spacing w:after="0" w:line="167" w:lineRule="exact"/>
        <w:rPr>
          <w:sz w:val="20"/>
          <w:szCs w:val="20"/>
          <w:color w:val="auto"/>
        </w:rPr>
      </w:pPr>
    </w:p>
    <w:p>
      <w:pPr>
        <w:ind w:left="1840" w:hanging="606"/>
        <w:spacing w:after="0"/>
        <w:tabs>
          <w:tab w:leader="none" w:pos="18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w:t>
      </w:r>
    </w:p>
    <w:p>
      <w:pPr>
        <w:spacing w:after="0" w:line="5"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ectPr>
          <w:pgSz w:w="11900" w:h="16838" w:orient="portrait"/>
          <w:cols w:equalWidth="0" w:num="1">
            <w:col w:w="10239"/>
          </w:cols>
          <w:pgMar w:left="220" w:top="281" w:right="1440" w:bottom="1440" w:gutter="0" w:footer="0" w:header="0"/>
          <w:type w:val="continuous"/>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65</w:t>
      </w:r>
    </w:p>
    <w:p>
      <w:pPr>
        <w:spacing w:after="0" w:line="341" w:lineRule="exact"/>
        <w:rPr>
          <w:sz w:val="20"/>
          <w:szCs w:val="20"/>
          <w:color w:val="auto"/>
        </w:rPr>
      </w:pPr>
    </w:p>
    <w:p>
      <w:pPr>
        <w:ind w:left="340" w:right="3319" w:firstLine="614"/>
        <w:spacing w:after="0" w:line="235" w:lineRule="auto"/>
        <w:tabs>
          <w:tab w:leader="none" w:pos="15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Proposed Revolving Credit Borrowing or from the application of the proceeds therefrom, that constitutes a Default.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66</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B-2 - FORM OF NOTICE OF</w:t>
      </w:r>
    </w:p>
    <w:p>
      <w:pPr>
        <w:jc w:val="right"/>
        <w:ind w:right="3239"/>
        <w:spacing w:after="0" w:line="237" w:lineRule="auto"/>
        <w:rPr>
          <w:sz w:val="20"/>
          <w:szCs w:val="20"/>
          <w:color w:val="auto"/>
        </w:rPr>
      </w:pPr>
      <w:r>
        <w:rPr>
          <w:rFonts w:ascii="Courier New" w:cs="Courier New" w:eastAsia="Courier New" w:hAnsi="Courier New"/>
          <w:sz w:val="15"/>
          <w:szCs w:val="15"/>
          <w:color w:val="auto"/>
        </w:rPr>
        <w:t>COMPETITIVE BID BORROWING</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ind w:left="100"/>
        <w:spacing w:after="0" w:line="237" w:lineRule="auto"/>
        <w:rPr>
          <w:sz w:val="20"/>
          <w:szCs w:val="20"/>
          <w:color w:val="auto"/>
        </w:rPr>
      </w:pPr>
      <w:r>
        <w:rPr>
          <w:rFonts w:ascii="Courier New" w:cs="Courier New" w:eastAsia="Courier New" w:hAnsi="Courier New"/>
          <w:sz w:val="15"/>
          <w:szCs w:val="15"/>
          <w:color w:val="auto"/>
        </w:rPr>
        <w:t>for the Lenders parties</w:t>
      </w:r>
    </w:p>
    <w:p>
      <w:pPr>
        <w:ind w:left="100"/>
        <w:spacing w:after="0" w:line="238" w:lineRule="auto"/>
        <w:rPr>
          <w:sz w:val="20"/>
          <w:szCs w:val="20"/>
          <w:color w:val="auto"/>
        </w:rPr>
      </w:pPr>
      <w:r>
        <w:rPr>
          <w:rFonts w:ascii="Courier New" w:cs="Courier New" w:eastAsia="Courier New" w:hAnsi="Courier New"/>
          <w:sz w:val="15"/>
          <w:szCs w:val="15"/>
          <w:color w:val="auto"/>
        </w:rPr>
        <w:t>to the Credit Agreement</w:t>
      </w:r>
    </w:p>
    <w:p>
      <w:pPr>
        <w:ind w:left="100"/>
        <w:spacing w:after="0" w:line="237" w:lineRule="auto"/>
        <w:rPr>
          <w:sz w:val="20"/>
          <w:szCs w:val="20"/>
          <w:color w:val="auto"/>
        </w:rPr>
      </w:pPr>
      <w:r>
        <w:rPr>
          <w:rFonts w:ascii="Courier New" w:cs="Courier New" w:eastAsia="Courier New" w:hAnsi="Courier New"/>
          <w:sz w:val="15"/>
          <w:szCs w:val="15"/>
          <w:color w:val="auto"/>
        </w:rPr>
        <w:t>referred to below</w:t>
      </w:r>
    </w:p>
    <w:p>
      <w:pPr>
        <w:spacing w:after="0" w:line="238" w:lineRule="auto"/>
        <w:rPr>
          <w:sz w:val="20"/>
          <w:szCs w:val="20"/>
          <w:color w:val="auto"/>
        </w:rPr>
      </w:pPr>
      <w:r>
        <w:rPr>
          <w:rFonts w:ascii="Courier New" w:cs="Courier New" w:eastAsia="Courier New" w:hAnsi="Courier New"/>
          <w:sz w:val="15"/>
          <w:szCs w:val="15"/>
          <w:color w:val="auto"/>
        </w:rPr>
        <w:t>Two Penns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1" w:lineRule="exact"/>
        <w:rPr>
          <w:sz w:val="20"/>
          <w:szCs w:val="20"/>
          <w:color w:val="auto"/>
        </w:rPr>
      </w:pPr>
    </w:p>
    <w:p>
      <w:pPr>
        <w:sectPr>
          <w:pgSz w:w="11900" w:h="16838" w:orient="portrait"/>
          <w:cols w:equalWidth="0" w:num="2">
            <w:col w:w="3580" w:space="720"/>
            <w:col w:w="5939"/>
          </w:cols>
          <w:pgMar w:left="220" w:top="281" w:right="1440" w:bottom="1440" w:gutter="0" w:footer="0" w:header="0"/>
          <w:type w:val="continuous"/>
        </w:sectPr>
      </w:pPr>
    </w:p>
    <w:p>
      <w:pPr>
        <w:ind w:left="2460"/>
        <w:spacing w:after="0"/>
        <w:rPr>
          <w:sz w:val="20"/>
          <w:szCs w:val="20"/>
          <w:color w:val="auto"/>
        </w:rPr>
      </w:pPr>
      <w:r>
        <w:rPr>
          <w:rFonts w:ascii="Courier New" w:cs="Courier New" w:eastAsia="Courier New" w:hAnsi="Courier New"/>
          <w:sz w:val="15"/>
          <w:szCs w:val="15"/>
          <w:color w:val="auto"/>
        </w:rPr>
        <w:t>Attention: Brian Maxwell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1224"/>
        <w:spacing w:after="0" w:line="237" w:lineRule="auto"/>
        <w:rPr>
          <w:sz w:val="20"/>
          <w:szCs w:val="20"/>
          <w:color w:val="auto"/>
        </w:rPr>
      </w:pPr>
      <w:r>
        <w:rPr>
          <w:rFonts w:ascii="Courier New" w:cs="Courier New" w:eastAsia="Courier New" w:hAnsi="Courier New"/>
          <w:sz w:val="15"/>
          <w:szCs w:val="15"/>
          <w:color w:val="auto"/>
        </w:rPr>
        <w:t>The undersigned, The Washington Post Company, refers to the 364-Day Credit Agreement, dated as of September 20, 2000 (as amended or modified from time to time, the "Credit Agreement", the terms defined therein being used herein as therein defined), among the undersigned, certain Lenders parties thereto, Citibank, N.A., as Agent for said Lenders, Salomon Smith Barney Inc., as lead arranger and book manager, SunTrust Bank, as syndication agent, and The Chase Manhattan Bank, as documentation agent, and hereby gives you notice, irrevocably, pursuant to Section 2.03 of the Credit Agreement that the undersigned hereby requests a Competitive Bid Borrowing under the Credit Agreement, and in that connection sets forth the terms on which such Competitive Bid Borrowing (the "Proposed Competitive Bid Borrowing") is requested to be made:</w:t>
      </w:r>
    </w:p>
    <w:p>
      <w:pPr>
        <w:spacing w:after="0" w:line="200" w:lineRule="exact"/>
        <w:rPr>
          <w:sz w:val="20"/>
          <w:szCs w:val="20"/>
          <w:color w:val="auto"/>
        </w:rPr>
      </w:pPr>
    </w:p>
    <w:p>
      <w:pPr>
        <w:spacing w:after="0" w:line="303" w:lineRule="exact"/>
        <w:rPr>
          <w:sz w:val="20"/>
          <w:szCs w:val="20"/>
          <w:color w:val="auto"/>
        </w:rPr>
      </w:pPr>
    </w:p>
    <w:p>
      <w:pPr>
        <w:ind w:left="1240"/>
        <w:spacing w:after="0"/>
        <w:tabs>
          <w:tab w:leader="none" w:pos="18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Date of Competitive Bid Borrowing</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40"/>
        <w:spacing w:after="0"/>
        <w:tabs>
          <w:tab w:leader="none" w:pos="182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Amount of Competitive Bid Borrowing</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40" w:hanging="606"/>
        <w:spacing w:after="0"/>
        <w:tabs>
          <w:tab w:leader="none" w:pos="18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Date] [Interest Period]</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40"/>
        <w:spacing w:after="0"/>
        <w:tabs>
          <w:tab w:leader="none" w:pos="182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Interest Rate Basis</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40" w:hanging="606"/>
        <w:spacing w:after="0"/>
        <w:tabs>
          <w:tab w:leader="none" w:pos="18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Payment Date(s)</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w:t>
      </w:r>
    </w:p>
    <w:p>
      <w:pPr>
        <w:spacing w:after="0" w:line="5" w:lineRule="exact"/>
        <w:rPr>
          <w:sz w:val="20"/>
          <w:szCs w:val="20"/>
          <w:color w:val="auto"/>
        </w:rPr>
      </w:pPr>
    </w:p>
    <w:p>
      <w:pPr>
        <w:ind w:left="1840"/>
        <w:spacing w:after="0"/>
        <w:tabs>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(G)</w:t>
      </w:r>
    </w:p>
    <w:p>
      <w:pPr>
        <w:spacing w:after="0" w:line="5" w:lineRule="exact"/>
        <w:rPr>
          <w:sz w:val="20"/>
          <w:szCs w:val="20"/>
          <w:color w:val="auto"/>
        </w:rPr>
      </w:pPr>
    </w:p>
    <w:p>
      <w:pPr>
        <w:ind w:left="1840"/>
        <w:spacing w:after="0"/>
        <w:tabs>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(H)</w:t>
      </w:r>
    </w:p>
    <w:p>
      <w:pPr>
        <w:spacing w:after="0" w:line="5" w:lineRule="exact"/>
        <w:rPr>
          <w:sz w:val="20"/>
          <w:szCs w:val="20"/>
          <w:color w:val="auto"/>
        </w:rPr>
      </w:pPr>
    </w:p>
    <w:p>
      <w:pPr>
        <w:ind w:left="1840"/>
        <w:spacing w:after="0"/>
        <w:tabs>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ind w:right="3239" w:firstLine="1224"/>
        <w:spacing w:after="0" w:line="235"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Competitive Bid Borrowing:</w:t>
      </w:r>
    </w:p>
    <w:p>
      <w:pPr>
        <w:spacing w:after="0" w:line="167" w:lineRule="exact"/>
        <w:rPr>
          <w:sz w:val="20"/>
          <w:szCs w:val="20"/>
          <w:color w:val="auto"/>
        </w:rPr>
      </w:pPr>
    </w:p>
    <w:p>
      <w:pPr>
        <w:ind w:left="1840" w:hanging="606"/>
        <w:spacing w:after="0"/>
        <w:tabs>
          <w:tab w:leader="none" w:pos="18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w:t>
      </w:r>
    </w:p>
    <w:p>
      <w:pPr>
        <w:spacing w:after="0" w:line="5" w:lineRule="exact"/>
        <w:rPr>
          <w:sz w:val="20"/>
          <w:szCs w:val="20"/>
          <w:color w:val="auto"/>
        </w:rPr>
      </w:pPr>
    </w:p>
    <w:p>
      <w:pPr>
        <w:ind w:left="620" w:right="3239"/>
        <w:spacing w:after="0" w:line="256" w:lineRule="auto"/>
        <w:rPr>
          <w:sz w:val="20"/>
          <w:szCs w:val="20"/>
          <w:color w:val="auto"/>
        </w:rPr>
      </w:pPr>
      <w:r>
        <w:rPr>
          <w:rFonts w:ascii="Courier New" w:cs="Courier New" w:eastAsia="Courier New" w:hAnsi="Courier New"/>
          <w:sz w:val="14"/>
          <w:szCs w:val="14"/>
          <w:color w:val="auto"/>
        </w:rPr>
        <w:t>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ectPr>
          <w:pgSz w:w="11900" w:h="16838" w:orient="portrait"/>
          <w:cols w:equalWidth="0" w:num="1">
            <w:col w:w="10239"/>
          </w:cols>
          <w:pgMar w:left="220" w:top="281" w:right="1440" w:bottom="1440" w:gutter="0" w:footer="0" w:header="0"/>
          <w:type w:val="continuous"/>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67</w:t>
      </w:r>
    </w:p>
    <w:p>
      <w:pPr>
        <w:spacing w:after="0" w:line="341" w:lineRule="exact"/>
        <w:rPr>
          <w:sz w:val="20"/>
          <w:szCs w:val="20"/>
          <w:color w:val="auto"/>
        </w:rPr>
      </w:pPr>
    </w:p>
    <w:p>
      <w:pPr>
        <w:jc w:val="both"/>
        <w:ind w:left="620" w:right="3499" w:firstLine="614"/>
        <w:spacing w:after="0" w:line="258" w:lineRule="auto"/>
        <w:tabs>
          <w:tab w:leader="none" w:pos="184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or would result from the Proposed Competitive Bid Borrowing or from the application of the proceeds therefrom, that constitutes a Default; and</w:t>
      </w:r>
    </w:p>
    <w:p>
      <w:pPr>
        <w:spacing w:after="0" w:line="161" w:lineRule="exact"/>
        <w:rPr>
          <w:rFonts w:ascii="Courier New" w:cs="Courier New" w:eastAsia="Courier New" w:hAnsi="Courier New"/>
          <w:sz w:val="14"/>
          <w:szCs w:val="14"/>
          <w:color w:val="auto"/>
        </w:rPr>
      </w:pPr>
    </w:p>
    <w:p>
      <w:pPr>
        <w:ind w:left="620" w:right="3239" w:firstLine="614"/>
        <w:spacing w:after="0" w:line="235" w:lineRule="auto"/>
        <w:tabs>
          <w:tab w:leader="none" w:pos="184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 Competitive Bid Borrowing and all other Borrowings to be made on the same day under the Credit Agreement is within the aggregate amount of the Unused Commitments of the Lenders.</w:t>
      </w:r>
    </w:p>
    <w:p>
      <w:pPr>
        <w:spacing w:after="0" w:line="175" w:lineRule="exact"/>
        <w:rPr>
          <w:sz w:val="20"/>
          <w:szCs w:val="20"/>
          <w:color w:val="auto"/>
        </w:rPr>
      </w:pPr>
    </w:p>
    <w:p>
      <w:pPr>
        <w:jc w:val="both"/>
        <w:ind w:right="3239" w:firstLine="1224"/>
        <w:spacing w:after="0" w:line="235" w:lineRule="auto"/>
        <w:rPr>
          <w:sz w:val="20"/>
          <w:szCs w:val="20"/>
          <w:color w:val="auto"/>
        </w:rPr>
      </w:pPr>
      <w:r>
        <w:rPr>
          <w:rFonts w:ascii="Courier New" w:cs="Courier New" w:eastAsia="Courier New" w:hAnsi="Courier New"/>
          <w:sz w:val="15"/>
          <w:szCs w:val="15"/>
          <w:color w:val="auto"/>
        </w:rPr>
        <w:t>The undersigned hereby confirms that the Proposed Competitive Bid Borrowing is to be made available to it in accordance with Section 2.03(a)(v) of the Credit Agreement.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68</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C - FORM OF</w:t>
      </w:r>
    </w:p>
    <w:p>
      <w:pPr>
        <w:jc w:val="right"/>
        <w:ind w:right="3239"/>
        <w:spacing w:after="0" w:line="237" w:lineRule="auto"/>
        <w:rPr>
          <w:sz w:val="20"/>
          <w:szCs w:val="20"/>
          <w:color w:val="auto"/>
        </w:rPr>
      </w:pPr>
      <w:r>
        <w:rPr>
          <w:rFonts w:ascii="Courier New" w:cs="Courier New" w:eastAsia="Courier New" w:hAnsi="Courier New"/>
          <w:sz w:val="15"/>
          <w:szCs w:val="15"/>
          <w:color w:val="auto"/>
        </w:rPr>
        <w:t>ASSIGNMENT AND ACCEPTANCE</w:t>
      </w:r>
    </w:p>
    <w:p>
      <w:pPr>
        <w:spacing w:after="0" w:line="342" w:lineRule="exact"/>
        <w:rPr>
          <w:sz w:val="20"/>
          <w:szCs w:val="20"/>
          <w:color w:val="auto"/>
        </w:rPr>
      </w:pPr>
    </w:p>
    <w:p>
      <w:pPr>
        <w:ind w:right="3399" w:firstLine="1224"/>
        <w:spacing w:after="0" w:line="236" w:lineRule="auto"/>
        <w:rPr>
          <w:sz w:val="20"/>
          <w:szCs w:val="20"/>
          <w:color w:val="auto"/>
        </w:rPr>
      </w:pPr>
      <w:r>
        <w:rPr>
          <w:rFonts w:ascii="Courier New" w:cs="Courier New" w:eastAsia="Courier New" w:hAnsi="Courier New"/>
          <w:sz w:val="15"/>
          <w:szCs w:val="15"/>
          <w:color w:val="auto"/>
        </w:rPr>
        <w:t>Reference is made to the 364-Day Credit Agreement dated as of September 20, 2000 (as amended or modified from time to time, the "Credit Agreement") among The Washington Post Company, a Delaware corporation (the "Borrower"), the Lenders (as defined in the Credit Agreement), Citibank, N.A., as agent for the Lenders (the "Agent"), Salomon Smith Barney Inc., as lead arranger and book manager, SunTrust Bank, as syndication agent, and The Chase Manhattan Bank, as documentation agent. Terms defined in the Credit Agreement are used herein with the same meaning.</w:t>
      </w:r>
    </w:p>
    <w:p>
      <w:pPr>
        <w:spacing w:after="0" w:line="177" w:lineRule="exact"/>
        <w:rPr>
          <w:sz w:val="20"/>
          <w:szCs w:val="20"/>
          <w:color w:val="auto"/>
        </w:rPr>
      </w:pPr>
    </w:p>
    <w:p>
      <w:pPr>
        <w:ind w:right="3239" w:firstLine="1224"/>
        <w:spacing w:after="0" w:line="234" w:lineRule="auto"/>
        <w:rPr>
          <w:sz w:val="20"/>
          <w:szCs w:val="20"/>
          <w:color w:val="auto"/>
        </w:rPr>
      </w:pPr>
      <w:r>
        <w:rPr>
          <w:rFonts w:ascii="Courier New" w:cs="Courier New" w:eastAsia="Courier New" w:hAnsi="Courier New"/>
          <w:sz w:val="15"/>
          <w:szCs w:val="15"/>
          <w:color w:val="auto"/>
        </w:rPr>
        <w:t>The "Assignor" and the "Assignee" referred to on Schedule 1 hereto agree as follows:</w:t>
      </w:r>
    </w:p>
    <w:p>
      <w:pPr>
        <w:spacing w:after="0" w:line="173" w:lineRule="exact"/>
        <w:rPr>
          <w:sz w:val="20"/>
          <w:szCs w:val="20"/>
          <w:color w:val="auto"/>
        </w:rPr>
      </w:pPr>
    </w:p>
    <w:p>
      <w:pPr>
        <w:ind w:right="3239" w:firstLine="1234"/>
        <w:spacing w:after="0" w:line="236" w:lineRule="auto"/>
        <w:tabs>
          <w:tab w:leader="none" w:pos="18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79" w:lineRule="exact"/>
        <w:rPr>
          <w:rFonts w:ascii="Courier New" w:cs="Courier New" w:eastAsia="Courier New" w:hAnsi="Courier New"/>
          <w:sz w:val="15"/>
          <w:szCs w:val="15"/>
          <w:color w:val="auto"/>
        </w:rPr>
      </w:pPr>
    </w:p>
    <w:p>
      <w:pPr>
        <w:ind w:right="3239" w:firstLine="1234"/>
        <w:spacing w:after="0" w:line="254" w:lineRule="auto"/>
        <w:tabs>
          <w:tab w:leader="none" w:pos="183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342" w:lineRule="exact"/>
        <w:rPr>
          <w:rFonts w:ascii="Courier New" w:cs="Courier New" w:eastAsia="Courier New" w:hAnsi="Courier New"/>
          <w:sz w:val="14"/>
          <w:szCs w:val="14"/>
          <w:color w:val="auto"/>
        </w:rPr>
      </w:pPr>
    </w:p>
    <w:p>
      <w:pPr>
        <w:ind w:right="3319" w:firstLine="1234"/>
        <w:spacing w:after="0" w:line="236" w:lineRule="auto"/>
        <w:tabs>
          <w:tab w:leader="none" w:pos="183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w:t>
      </w:r>
    </w:p>
    <w:p>
      <w:pPr>
        <w:spacing w:after="0" w:line="3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69</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 credit decisions in taking or not taking action under the Credit Agreement;</w:t>
      </w:r>
    </w:p>
    <w:p>
      <w:pPr>
        <w:spacing w:after="0" w:line="10" w:lineRule="exact"/>
        <w:rPr>
          <w:sz w:val="20"/>
          <w:szCs w:val="20"/>
          <w:color w:val="auto"/>
        </w:rPr>
      </w:pPr>
    </w:p>
    <w:p>
      <w:pPr>
        <w:ind w:right="3239" w:firstLine="10"/>
        <w:spacing w:after="0" w:line="255" w:lineRule="auto"/>
        <w:tabs>
          <w:tab w:leader="none" w:pos="52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confirms that it is an Eligible Assignee; (iv) appoints and authorizes the Agent to take such action as agent 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65" w:lineRule="exact"/>
        <w:rPr>
          <w:rFonts w:ascii="Courier New" w:cs="Courier New" w:eastAsia="Courier New" w:hAnsi="Courier New"/>
          <w:sz w:val="14"/>
          <w:szCs w:val="14"/>
          <w:color w:val="auto"/>
        </w:rPr>
      </w:pPr>
    </w:p>
    <w:p>
      <w:pPr>
        <w:ind w:right="3239" w:firstLine="1234"/>
        <w:spacing w:after="0" w:line="236" w:lineRule="auto"/>
        <w:tabs>
          <w:tab w:leader="none" w:pos="183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73" w:lineRule="exact"/>
        <w:rPr>
          <w:rFonts w:ascii="Courier New" w:cs="Courier New" w:eastAsia="Courier New" w:hAnsi="Courier New"/>
          <w:sz w:val="15"/>
          <w:szCs w:val="15"/>
          <w:color w:val="auto"/>
        </w:rPr>
      </w:pPr>
    </w:p>
    <w:p>
      <w:pPr>
        <w:ind w:right="3319" w:firstLine="1234"/>
        <w:spacing w:after="0" w:line="236" w:lineRule="auto"/>
        <w:tabs>
          <w:tab w:leader="none" w:pos="183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74" w:lineRule="exact"/>
        <w:rPr>
          <w:rFonts w:ascii="Courier New" w:cs="Courier New" w:eastAsia="Courier New" w:hAnsi="Courier New"/>
          <w:sz w:val="15"/>
          <w:szCs w:val="15"/>
          <w:color w:val="auto"/>
        </w:rPr>
      </w:pPr>
    </w:p>
    <w:p>
      <w:pPr>
        <w:ind w:right="3319" w:firstLine="1234"/>
        <w:spacing w:after="0" w:line="236" w:lineRule="auto"/>
        <w:tabs>
          <w:tab w:leader="none" w:pos="183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77" w:lineRule="exact"/>
        <w:rPr>
          <w:rFonts w:ascii="Courier New" w:cs="Courier New" w:eastAsia="Courier New" w:hAnsi="Courier New"/>
          <w:sz w:val="15"/>
          <w:szCs w:val="15"/>
          <w:color w:val="auto"/>
        </w:rPr>
      </w:pPr>
    </w:p>
    <w:p>
      <w:pPr>
        <w:ind w:right="3499" w:firstLine="1234"/>
        <w:spacing w:after="0" w:line="234" w:lineRule="auto"/>
        <w:tabs>
          <w:tab w:leader="none" w:pos="183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shall be governed by, and construed in accordance with, the laws of the State of New York.</w:t>
      </w:r>
    </w:p>
    <w:p>
      <w:pPr>
        <w:spacing w:after="0" w:line="173" w:lineRule="exact"/>
        <w:rPr>
          <w:rFonts w:ascii="Courier New" w:cs="Courier New" w:eastAsia="Courier New" w:hAnsi="Courier New"/>
          <w:sz w:val="15"/>
          <w:szCs w:val="15"/>
          <w:color w:val="auto"/>
        </w:rPr>
      </w:pPr>
    </w:p>
    <w:p>
      <w:pPr>
        <w:ind w:right="3239" w:firstLine="1234"/>
        <w:spacing w:after="0" w:line="236" w:lineRule="auto"/>
        <w:tabs>
          <w:tab w:leader="none" w:pos="183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76" w:lineRule="exact"/>
        <w:rPr>
          <w:sz w:val="20"/>
          <w:szCs w:val="20"/>
          <w:color w:val="auto"/>
        </w:rPr>
      </w:pPr>
    </w:p>
    <w:p>
      <w:pPr>
        <w:ind w:right="3499" w:firstLine="1224"/>
        <w:spacing w:after="0" w:line="235" w:lineRule="auto"/>
        <w:rPr>
          <w:sz w:val="20"/>
          <w:szCs w:val="20"/>
          <w:color w:val="auto"/>
        </w:rPr>
      </w:pPr>
      <w:r>
        <w:rPr>
          <w:rFonts w:ascii="Courier New" w:cs="Courier New" w:eastAsia="Courier New" w:hAnsi="Courier New"/>
          <w:sz w:val="15"/>
          <w:szCs w:val="15"/>
          <w:color w:val="auto"/>
        </w:rPr>
        <w:t>IN WITNESS WHEREOF, the Assignor and the Assignee have caused Schedule 1 to this Assignment and Acceptance to be executed by their officers thereunto duly authorized as of the date specified thereon.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70</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1</w:t>
      </w:r>
    </w:p>
    <w:p>
      <w:pPr>
        <w:jc w:val="center"/>
        <w:ind w:right="3219"/>
        <w:spacing w:after="0" w:line="237" w:lineRule="auto"/>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interest assigned: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2">
            <w:col w:w="7160" w:space="720"/>
            <w:col w:w="2359"/>
          </w:cols>
          <w:pgMar w:left="220" w:top="281" w:right="1440" w:bottom="1440" w:gutter="0" w:footer="0" w:header="0"/>
          <w:type w:val="continuous"/>
        </w:sectPr>
      </w:pPr>
    </w:p>
    <w:p>
      <w:pPr>
        <w:ind w:left="7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Assignee's Commitment: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6280" w:space="720"/>
            <w:col w:w="3239"/>
          </w:cols>
          <w:pgMar w:left="220" w:top="281" w:right="1440" w:bottom="1440" w:gutter="0" w:footer="0" w:header="0"/>
          <w:type w:val="continuous"/>
        </w:sectPr>
      </w:pPr>
    </w:p>
    <w:p>
      <w:pPr>
        <w:ind w:left="7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outstanding principal amount of Revolving</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Credit Advances assigned: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6280" w:space="720"/>
            <w:col w:w="3239"/>
          </w:cols>
          <w:pgMar w:left="220" w:top="281" w:right="1440" w:bottom="1440" w:gutter="0" w:footer="0" w:header="0"/>
          <w:type w:val="continuous"/>
        </w:sectPr>
      </w:pPr>
    </w:p>
    <w:p>
      <w:pPr>
        <w:ind w:left="7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Revolving Credit Note payable to Assignee: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6280" w:space="720"/>
            <w:col w:w="3239"/>
          </w:cols>
          <w:pgMar w:left="220" w:top="281" w:right="1440" w:bottom="1440" w:gutter="0" w:footer="0" w:header="0"/>
          <w:type w:val="continuous"/>
        </w:sectPr>
      </w:pPr>
    </w:p>
    <w:p>
      <w:pPr>
        <w:ind w:left="7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Revolving Credit Note payable to Assignor: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6280" w:space="720"/>
            <w:col w:w="3239"/>
          </w:cols>
          <w:pgMar w:left="220" w:top="281" w:right="1440" w:bottom="1440" w:gutter="0" w:footer="0" w:header="0"/>
          <w:type w:val="continuous"/>
        </w:sectPr>
      </w:pPr>
    </w:p>
    <w:p>
      <w:pPr>
        <w:ind w:left="7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w:t>
      </w:r>
    </w:p>
    <w:p>
      <w:pPr>
        <w:spacing w:after="0" w:line="10" w:lineRule="exact"/>
        <w:rPr>
          <w:sz w:val="20"/>
          <w:szCs w:val="20"/>
          <w:color w:val="auto"/>
        </w:rPr>
      </w:pPr>
    </w:p>
    <w:p>
      <w:pPr>
        <w:sectPr>
          <w:pgSz w:w="11900" w:h="16838" w:orient="portrait"/>
          <w:cols w:equalWidth="0" w:num="2">
            <w:col w:w="2180" w:space="720"/>
            <w:col w:w="733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22" w:lineRule="exact"/>
        <w:rPr>
          <w:sz w:val="20"/>
          <w:szCs w:val="20"/>
          <w:color w:val="auto"/>
        </w:rPr>
      </w:pPr>
    </w:p>
    <w:p>
      <w:pPr>
        <w:sectPr>
          <w:pgSz w:w="11900" w:h="16838" w:orient="portrait"/>
          <w:cols w:equalWidth="0" w:num="2">
            <w:col w:w="2900" w:space="440"/>
            <w:col w:w="6899"/>
          </w:cols>
          <w:pgMar w:left="220" w:top="281" w:right="1440" w:bottom="1440" w:gutter="0" w:footer="0" w:header="0"/>
          <w:type w:val="continuous"/>
        </w:sectPr>
      </w:pPr>
    </w:p>
    <w:p>
      <w:pPr>
        <w:spacing w:after="0" w:line="14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[NAME OF ASSIGNOR], as Assignor</w:t>
      </w: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w:t>
      </w:r>
    </w:p>
    <w:p>
      <w:pPr>
        <w:spacing w:after="0" w:line="10" w:lineRule="exact"/>
        <w:rPr>
          <w:sz w:val="20"/>
          <w:szCs w:val="20"/>
          <w:color w:val="auto"/>
        </w:rPr>
      </w:pPr>
    </w:p>
    <w:p>
      <w:pPr>
        <w:sectPr>
          <w:pgSz w:w="11900" w:h="16838" w:orient="portrait"/>
          <w:cols w:equalWidth="0" w:num="2">
            <w:col w:w="4800" w:space="720"/>
            <w:col w:w="4719"/>
          </w:cols>
          <w:pgMar w:left="220" w:top="281" w:right="1440" w:bottom="1440" w:gutter="0" w:footer="0" w:header="0"/>
          <w:type w:val="continuous"/>
        </w:sect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520" w:space="440"/>
            <w:col w:w="4279"/>
          </w:cols>
          <w:pgMar w:left="220" w:top="281" w:right="1440" w:bottom="1440" w:gutter="0" w:footer="0" w:header="0"/>
          <w:type w:val="continuous"/>
        </w:sectPr>
      </w:pPr>
    </w:p>
    <w:p>
      <w:pPr>
        <w:jc w:val="center"/>
        <w:ind w:right="339"/>
        <w:spacing w:after="0"/>
        <w:rPr>
          <w:sz w:val="20"/>
          <w:szCs w:val="20"/>
          <w:color w:val="auto"/>
        </w:rPr>
      </w:pPr>
      <w:r>
        <w:rPr>
          <w:rFonts w:ascii="Courier New" w:cs="Courier New" w:eastAsia="Courier New" w:hAnsi="Courier New"/>
          <w:sz w:val="14"/>
          <w:szCs w:val="14"/>
          <w:color w:val="auto"/>
        </w:rPr>
        <w:t>[NAME OF ASSIGNEE], as Assignee</w:t>
      </w: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w:t>
      </w:r>
    </w:p>
    <w:p>
      <w:pPr>
        <w:spacing w:after="0" w:line="10" w:lineRule="exact"/>
        <w:rPr>
          <w:sz w:val="20"/>
          <w:szCs w:val="20"/>
          <w:color w:val="auto"/>
        </w:rPr>
      </w:pPr>
    </w:p>
    <w:p>
      <w:pPr>
        <w:sectPr>
          <w:pgSz w:w="11900" w:h="16838" w:orient="portrait"/>
          <w:cols w:equalWidth="0" w:num="2">
            <w:col w:w="4800" w:space="720"/>
            <w:col w:w="4719"/>
          </w:cols>
          <w:pgMar w:left="220" w:top="281" w:right="1440" w:bottom="1440" w:gutter="0" w:footer="0" w:header="0"/>
          <w:type w:val="continuous"/>
        </w:sect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20" w:space="440"/>
            <w:col w:w="42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0" w:right="3239" w:hanging="610"/>
        <w:spacing w:after="0" w:line="234"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date should be no earlier than five Business Days after the delivery of this Assignment and Acceptance to the Agent.</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type w:val="continuous"/>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71</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Domestic Lending Office:</w:t>
      </w:r>
    </w:p>
    <w:p>
      <w:pPr>
        <w:ind w:left="4040"/>
        <w:spacing w:after="0" w:line="237" w:lineRule="auto"/>
        <w:rPr>
          <w:sz w:val="20"/>
          <w:szCs w:val="20"/>
          <w:color w:val="auto"/>
        </w:rPr>
      </w:pPr>
      <w:r>
        <w:rPr>
          <w:rFonts w:ascii="Courier New" w:cs="Courier New" w:eastAsia="Courier New" w:hAnsi="Courier New"/>
          <w:sz w:val="15"/>
          <w:szCs w:val="15"/>
          <w:color w:val="auto"/>
        </w:rPr>
        <w:t>[Address]</w:t>
      </w:r>
    </w:p>
    <w:p>
      <w:pPr>
        <w:spacing w:after="0" w:line="342"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Eurodollar Lending Office: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[Address]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Approved this</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day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 200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3">
            <w:col w:w="1500" w:space="260"/>
            <w:col w:w="1580" w:space="160"/>
            <w:col w:w="673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this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w:t>
      </w:r>
    </w:p>
    <w:p>
      <w:pPr>
        <w:spacing w:after="0" w:line="10" w:lineRule="exact"/>
        <w:rPr>
          <w:sz w:val="20"/>
          <w:szCs w:val="20"/>
          <w:color w:val="auto"/>
        </w:rPr>
      </w:pPr>
    </w:p>
    <w:p>
      <w:pPr>
        <w:sectPr>
          <w:pgSz w:w="11900" w:h="16838" w:orient="portrait"/>
          <w:cols w:equalWidth="0" w:num="2">
            <w:col w:w="1480" w:space="720"/>
            <w:col w:w="8039"/>
          </w:cols>
          <w:pgMar w:left="220" w:top="281" w:right="1440"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200</w:t>
      </w:r>
    </w:p>
    <w:p>
      <w:pPr>
        <w:spacing w:after="0" w:line="5" w:lineRule="exact"/>
        <w:rPr>
          <w:sz w:val="20"/>
          <w:szCs w:val="20"/>
          <w:color w:val="auto"/>
        </w:rPr>
      </w:pPr>
    </w:p>
    <w:p>
      <w:pPr>
        <w:sectPr>
          <w:pgSz w:w="11900" w:h="16838" w:orient="portrait"/>
          <w:cols w:equalWidth="0" w:num="2">
            <w:col w:w="520" w:space="720"/>
            <w:col w:w="8999"/>
          </w:cols>
          <w:pgMar w:left="220" w:top="281"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580" w:space="440"/>
            <w:col w:w="8219"/>
          </w:cols>
          <w:pgMar w:left="220" w:top="281"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type w:val="continuous"/>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72</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D - FORM OF</w:t>
      </w:r>
    </w:p>
    <w:p>
      <w:pPr>
        <w:jc w:val="right"/>
        <w:ind w:right="3239"/>
        <w:spacing w:after="0" w:line="237" w:lineRule="auto"/>
        <w:rPr>
          <w:sz w:val="20"/>
          <w:szCs w:val="20"/>
          <w:color w:val="auto"/>
        </w:rPr>
      </w:pPr>
      <w:r>
        <w:rPr>
          <w:rFonts w:ascii="Courier New" w:cs="Courier New" w:eastAsia="Courier New" w:hAnsi="Courier New"/>
          <w:sz w:val="15"/>
          <w:szCs w:val="15"/>
          <w:color w:val="auto"/>
        </w:rPr>
        <w:t>ASSUMPTION AGREEMENT</w:t>
      </w:r>
    </w:p>
    <w:p>
      <w:pPr>
        <w:spacing w:after="0" w:line="167"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Dated:</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1150 15th Street, N.W.</w:t>
      </w: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20071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ectPr>
          <w:pgSz w:w="11900" w:h="16838" w:orient="portrait"/>
          <w:cols w:equalWidth="0" w:num="1">
            <w:col w:w="10239"/>
          </w:cols>
          <w:pgMar w:left="220" w:top="281"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Two Penns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Castle, Delaware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19720</w:t>
      </w:r>
    </w:p>
    <w:p>
      <w:pPr>
        <w:spacing w:after="0" w:line="178" w:lineRule="exact"/>
        <w:rPr>
          <w:sz w:val="20"/>
          <w:szCs w:val="20"/>
          <w:color w:val="auto"/>
        </w:rPr>
      </w:pPr>
    </w:p>
    <w:p>
      <w:pPr>
        <w:sectPr>
          <w:pgSz w:w="11900" w:h="16838" w:orient="portrait"/>
          <w:cols w:equalWidth="0" w:num="2">
            <w:col w:w="1760" w:space="180"/>
            <w:col w:w="8299"/>
          </w:cols>
          <w:pgMar w:left="220" w:top="281" w:right="1440" w:bottom="1440" w:gutter="0" w:footer="0" w:header="0"/>
          <w:type w:val="continuous"/>
        </w:sectPr>
      </w:pPr>
    </w:p>
    <w:p>
      <w:pPr>
        <w:jc w:val="center"/>
        <w:ind w:left="700"/>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Brian Maxwell</w:t>
      </w:r>
    </w:p>
    <w:p>
      <w:pPr>
        <w:spacing w:after="0" w:line="178" w:lineRule="exact"/>
        <w:rPr>
          <w:sz w:val="20"/>
          <w:szCs w:val="20"/>
          <w:color w:val="auto"/>
        </w:rPr>
      </w:pPr>
    </w:p>
    <w:p>
      <w:pPr>
        <w:sectPr>
          <w:pgSz w:w="11900" w:h="16838" w:orient="portrait"/>
          <w:cols w:equalWidth="0" w:num="2">
            <w:col w:w="1580" w:space="700"/>
            <w:col w:w="79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Ladies and Gentlemen:</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ind w:right="3239" w:firstLine="1224"/>
        <w:spacing w:after="0" w:line="255" w:lineRule="auto"/>
        <w:rPr>
          <w:sz w:val="20"/>
          <w:szCs w:val="20"/>
          <w:color w:val="auto"/>
        </w:rPr>
      </w:pPr>
      <w:r>
        <w:rPr>
          <w:rFonts w:ascii="Courier New" w:cs="Courier New" w:eastAsia="Courier New" w:hAnsi="Courier New"/>
          <w:sz w:val="14"/>
          <w:szCs w:val="14"/>
          <w:color w:val="auto"/>
        </w:rPr>
        <w:t>Reference is made to the 364-Day Credit Agreement dated as of September 20, 2000 among The Washington Post Company (the "Borrower"), the Lenders parties thereto, Citibank, N.A., as Agent, Salomon Smith Barney Inc., as lead arranger and book manager, SunTrust Bank, as syndication agent, and The Chase Manhattan Bank, as documentation agent (the "Credit Agreement"; terms defined therein being used herein as therein defined), for such Lenders.</w:t>
      </w:r>
    </w:p>
    <w:p>
      <w:pPr>
        <w:spacing w:after="0" w:line="166" w:lineRule="exact"/>
        <w:rPr>
          <w:sz w:val="20"/>
          <w:szCs w:val="20"/>
          <w:color w:val="auto"/>
        </w:rPr>
      </w:pPr>
    </w:p>
    <w:p>
      <w:pPr>
        <w:ind w:right="3499" w:firstLine="1224"/>
        <w:spacing w:after="0" w:line="256" w:lineRule="auto"/>
        <w:rPr>
          <w:sz w:val="20"/>
          <w:szCs w:val="20"/>
          <w:color w:val="auto"/>
        </w:rPr>
      </w:pPr>
      <w:r>
        <w:rPr>
          <w:rFonts w:ascii="Courier New" w:cs="Courier New" w:eastAsia="Courier New" w:hAnsi="Courier New"/>
          <w:sz w:val="14"/>
          <w:szCs w:val="14"/>
          <w:color w:val="auto"/>
        </w:rPr>
        <w:t>The undersigned (the "Assuming Lender") proposes to become an Assuming Lender pursuant to Section [2.05(b)] [2.17] of the Credit Agreement and, in that connection, hereby agrees that it shall become a Lender for purposes of the Credit Agreement on [applicable Increase Date/Extension Date] and that its Commitment shall as of such date be $__________.</w:t>
      </w:r>
    </w:p>
    <w:p>
      <w:pPr>
        <w:spacing w:after="0" w:line="163" w:lineRule="exact"/>
        <w:rPr>
          <w:sz w:val="20"/>
          <w:szCs w:val="20"/>
          <w:color w:val="auto"/>
        </w:rPr>
      </w:pPr>
    </w:p>
    <w:p>
      <w:pPr>
        <w:ind w:right="3319" w:firstLine="1224"/>
        <w:spacing w:after="0" w:line="254" w:lineRule="auto"/>
        <w:rPr>
          <w:sz w:val="20"/>
          <w:szCs w:val="20"/>
          <w:color w:val="auto"/>
        </w:rPr>
      </w:pPr>
      <w:r>
        <w:rPr>
          <w:rFonts w:ascii="Courier New" w:cs="Courier New" w:eastAsia="Courier New" w:hAnsi="Courier New"/>
          <w:sz w:val="14"/>
          <w:szCs w:val="14"/>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w:t>
      </w:r>
    </w:p>
    <w:p>
      <w:pPr>
        <w:spacing w:after="0" w:line="3" w:lineRule="exact"/>
        <w:rPr>
          <w:sz w:val="20"/>
          <w:szCs w:val="20"/>
          <w:color w:val="auto"/>
        </w:rPr>
      </w:pPr>
    </w:p>
    <w:p>
      <w:pPr>
        <w:ind w:right="3319" w:firstLine="10"/>
        <w:spacing w:after="0" w:line="255" w:lineRule="auto"/>
        <w:tabs>
          <w:tab w:leader="none" w:pos="52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65" w:lineRule="exact"/>
        <w:rPr>
          <w:sz w:val="20"/>
          <w:szCs w:val="20"/>
          <w:color w:val="auto"/>
        </w:rPr>
      </w:pPr>
    </w:p>
    <w:p>
      <w:pPr>
        <w:ind w:right="3319" w:firstLine="1224"/>
        <w:spacing w:after="0" w:line="235" w:lineRule="auto"/>
        <w:rPr>
          <w:sz w:val="20"/>
          <w:szCs w:val="20"/>
          <w:color w:val="auto"/>
        </w:rPr>
      </w:pPr>
      <w:r>
        <w:rPr>
          <w:rFonts w:ascii="Courier New" w:cs="Courier New" w:eastAsia="Courier New" w:hAnsi="Courier New"/>
          <w:sz w:val="15"/>
          <w:szCs w:val="15"/>
          <w:color w:val="auto"/>
        </w:rPr>
        <w:t>The Assuming Lender requests that the Borrower deliver to the Agent (to be promptly delivered to the Assuming Lender) a Revolving Credit Note payable to the order of the</w:t>
      </w:r>
    </w:p>
    <w:p>
      <w:pPr>
        <w:sectPr>
          <w:pgSz w:w="11900" w:h="16838" w:orient="portrait"/>
          <w:cols w:equalWidth="0" w:num="1">
            <w:col w:w="10239"/>
          </w:cols>
          <w:pgMar w:left="220" w:top="281" w:right="1440" w:bottom="1440" w:gutter="0" w:footer="0" w:header="0"/>
          <w:type w:val="continuous"/>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73</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Assuming Lender, dated as of the [applicable Increase Date/Extension Date] and substantially in the form of Exhibit A-1 to the Credit Agreement.</w:t>
      </w:r>
    </w:p>
    <w:p>
      <w:pPr>
        <w:spacing w:after="0" w:line="173" w:lineRule="exact"/>
        <w:rPr>
          <w:sz w:val="20"/>
          <w:szCs w:val="20"/>
          <w:color w:val="auto"/>
        </w:rPr>
      </w:pPr>
    </w:p>
    <w:p>
      <w:pPr>
        <w:ind w:right="3319" w:firstLine="1224"/>
        <w:spacing w:after="0" w:line="236" w:lineRule="auto"/>
        <w:rPr>
          <w:sz w:val="20"/>
          <w:szCs w:val="20"/>
          <w:color w:val="auto"/>
        </w:rPr>
      </w:pPr>
      <w:r>
        <w:rPr>
          <w:rFonts w:ascii="Courier New" w:cs="Courier New" w:eastAsia="Courier New" w:hAnsi="Courier New"/>
          <w:sz w:val="15"/>
          <w:szCs w:val="15"/>
          <w:color w:val="auto"/>
        </w:rPr>
        <w:t>The effective date for this Assumption Agreement shall be [applicable Increase Date/Extension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78"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75" w:lineRule="exact"/>
        <w:rPr>
          <w:sz w:val="20"/>
          <w:szCs w:val="20"/>
          <w:color w:val="auto"/>
        </w:rPr>
      </w:pPr>
    </w:p>
    <w:p>
      <w:pPr>
        <w:ind w:right="3399" w:firstLine="1224"/>
        <w:spacing w:after="0" w:line="234" w:lineRule="auto"/>
        <w:rPr>
          <w:sz w:val="20"/>
          <w:szCs w:val="20"/>
          <w:color w:val="auto"/>
        </w:rPr>
      </w:pPr>
      <w:r>
        <w:rPr>
          <w:rFonts w:ascii="Courier New" w:cs="Courier New" w:eastAsia="Courier New" w:hAnsi="Courier New"/>
          <w:sz w:val="15"/>
          <w:szCs w:val="15"/>
          <w:color w:val="auto"/>
        </w:rPr>
        <w:t>This Assumption Agreement shall be governed by, and construed in accordance with, the laws of the State of New York.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 OF ASSUMING LENDER]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ind w:left="3600"/>
        <w:spacing w:after="0" w:line="238" w:lineRule="auto"/>
        <w:rPr>
          <w:sz w:val="20"/>
          <w:szCs w:val="20"/>
          <w:color w:val="auto"/>
        </w:rPr>
      </w:pPr>
      <w:r>
        <w:rPr>
          <w:rFonts w:ascii="Courier New" w:cs="Courier New" w:eastAsia="Courier New" w:hAnsi="Courier New"/>
          <w:sz w:val="15"/>
          <w:szCs w:val="15"/>
          <w:color w:val="auto"/>
        </w:rPr>
        <w:t>Name:</w:t>
      </w:r>
    </w:p>
    <w:p>
      <w:pPr>
        <w:ind w:left="36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Domestic Lending Office</w:t>
      </w:r>
    </w:p>
    <w:p>
      <w:pPr>
        <w:ind w:left="3340"/>
        <w:spacing w:after="0" w:line="237" w:lineRule="auto"/>
        <w:rPr>
          <w:sz w:val="20"/>
          <w:szCs w:val="20"/>
          <w:color w:val="auto"/>
        </w:rPr>
      </w:pPr>
      <w:r>
        <w:rPr>
          <w:rFonts w:ascii="Courier New" w:cs="Courier New" w:eastAsia="Courier New" w:hAnsi="Courier New"/>
          <w:sz w:val="15"/>
          <w:szCs w:val="15"/>
          <w:color w:val="auto"/>
        </w:rPr>
        <w:t>(and address for notices):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[Address]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Eurodollar Lending Office: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74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 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w:t>
      </w:r>
    </w:p>
    <w:p>
      <w:pPr>
        <w:ind w:left="2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75</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E - FORM OF</w:t>
      </w:r>
    </w:p>
    <w:p>
      <w:pPr>
        <w:jc w:val="right"/>
        <w:ind w:right="3239"/>
        <w:spacing w:after="0" w:line="237" w:lineRule="auto"/>
        <w:rPr>
          <w:sz w:val="20"/>
          <w:szCs w:val="20"/>
          <w:color w:val="auto"/>
        </w:rPr>
      </w:pPr>
      <w:r>
        <w:rPr>
          <w:rFonts w:ascii="Courier New" w:cs="Courier New" w:eastAsia="Courier New" w:hAnsi="Courier New"/>
          <w:sz w:val="15"/>
          <w:szCs w:val="15"/>
          <w:color w:val="auto"/>
        </w:rPr>
        <w:t>OPINION OF COUNSEL</w:t>
      </w:r>
    </w:p>
    <w:p>
      <w:pPr>
        <w:jc w:val="right"/>
        <w:ind w:right="3239"/>
        <w:spacing w:after="0" w:line="238" w:lineRule="auto"/>
        <w:rPr>
          <w:sz w:val="20"/>
          <w:szCs w:val="20"/>
          <w:color w:val="auto"/>
        </w:rPr>
      </w:pPr>
      <w:r>
        <w:rPr>
          <w:rFonts w:ascii="Courier New" w:cs="Courier New" w:eastAsia="Courier New" w:hAnsi="Courier New"/>
          <w:sz w:val="15"/>
          <w:szCs w:val="15"/>
          <w:color w:val="auto"/>
        </w:rPr>
        <w:t>FOR THE BORROWER</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September 20,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spacing w:after="0" w:line="237" w:lineRule="auto"/>
        <w:rPr>
          <w:sz w:val="20"/>
          <w:szCs w:val="20"/>
          <w:color w:val="auto"/>
        </w:rPr>
      </w:pPr>
      <w:r>
        <w:rPr>
          <w:rFonts w:ascii="Courier New" w:cs="Courier New" w:eastAsia="Courier New" w:hAnsi="Courier New"/>
          <w:sz w:val="15"/>
          <w:szCs w:val="15"/>
          <w:color w:val="auto"/>
        </w:rPr>
        <w:t>to the Credit Agreement dated</w:t>
      </w:r>
    </w:p>
    <w:p>
      <w:pPr>
        <w:spacing w:after="0" w:line="238" w:lineRule="auto"/>
        <w:rPr>
          <w:sz w:val="20"/>
          <w:szCs w:val="20"/>
          <w:color w:val="auto"/>
        </w:rPr>
      </w:pPr>
      <w:r>
        <w:rPr>
          <w:rFonts w:ascii="Courier New" w:cs="Courier New" w:eastAsia="Courier New" w:hAnsi="Courier New"/>
          <w:sz w:val="15"/>
          <w:szCs w:val="15"/>
          <w:color w:val="auto"/>
        </w:rPr>
        <w:t>as of September 20, 2000 among</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238" w:lineRule="auto"/>
        <w:rPr>
          <w:sz w:val="20"/>
          <w:szCs w:val="20"/>
          <w:color w:val="auto"/>
        </w:rPr>
      </w:pPr>
      <w:r>
        <w:rPr>
          <w:rFonts w:ascii="Courier New" w:cs="Courier New" w:eastAsia="Courier New" w:hAnsi="Courier New"/>
          <w:sz w:val="15"/>
          <w:szCs w:val="15"/>
          <w:color w:val="auto"/>
        </w:rPr>
        <w:t>said Lenders, Citibank, N.A., as</w:t>
      </w:r>
    </w:p>
    <w:p>
      <w:pPr>
        <w:spacing w:after="0" w:line="237" w:lineRule="auto"/>
        <w:rPr>
          <w:sz w:val="20"/>
          <w:szCs w:val="20"/>
          <w:color w:val="auto"/>
        </w:rPr>
      </w:pPr>
      <w:r>
        <w:rPr>
          <w:rFonts w:ascii="Courier New" w:cs="Courier New" w:eastAsia="Courier New" w:hAnsi="Courier New"/>
          <w:sz w:val="15"/>
          <w:szCs w:val="15"/>
          <w:color w:val="auto"/>
        </w:rPr>
        <w:t>Agent for said Lenders,</w:t>
      </w:r>
    </w:p>
    <w:p>
      <w:pPr>
        <w:spacing w:after="0" w:line="238" w:lineRule="auto"/>
        <w:rPr>
          <w:sz w:val="20"/>
          <w:szCs w:val="20"/>
          <w:color w:val="auto"/>
        </w:rPr>
      </w:pPr>
      <w:r>
        <w:rPr>
          <w:rFonts w:ascii="Courier New" w:cs="Courier New" w:eastAsia="Courier New" w:hAnsi="Courier New"/>
          <w:sz w:val="15"/>
          <w:szCs w:val="15"/>
          <w:color w:val="auto"/>
        </w:rPr>
        <w:t>Salomon Smith Barney Inc.,</w:t>
      </w:r>
    </w:p>
    <w:p>
      <w:pPr>
        <w:spacing w:after="0" w:line="237" w:lineRule="auto"/>
        <w:rPr>
          <w:sz w:val="20"/>
          <w:szCs w:val="20"/>
          <w:color w:val="auto"/>
        </w:rPr>
      </w:pPr>
      <w:r>
        <w:rPr>
          <w:rFonts w:ascii="Courier New" w:cs="Courier New" w:eastAsia="Courier New" w:hAnsi="Courier New"/>
          <w:sz w:val="15"/>
          <w:szCs w:val="15"/>
          <w:color w:val="auto"/>
        </w:rPr>
        <w:t>as lead arranger and book</w:t>
      </w:r>
    </w:p>
    <w:p>
      <w:pPr>
        <w:spacing w:after="0" w:line="238" w:lineRule="auto"/>
        <w:rPr>
          <w:sz w:val="20"/>
          <w:szCs w:val="20"/>
          <w:color w:val="auto"/>
        </w:rPr>
      </w:pPr>
      <w:r>
        <w:rPr>
          <w:rFonts w:ascii="Courier New" w:cs="Courier New" w:eastAsia="Courier New" w:hAnsi="Courier New"/>
          <w:sz w:val="15"/>
          <w:szCs w:val="15"/>
          <w:color w:val="auto"/>
        </w:rPr>
        <w:t>manager, SunTrust Bank, as</w:t>
      </w:r>
    </w:p>
    <w:p>
      <w:pPr>
        <w:spacing w:after="0" w:line="238" w:lineRule="auto"/>
        <w:rPr>
          <w:sz w:val="20"/>
          <w:szCs w:val="20"/>
          <w:color w:val="auto"/>
        </w:rPr>
      </w:pPr>
      <w:r>
        <w:rPr>
          <w:rFonts w:ascii="Courier New" w:cs="Courier New" w:eastAsia="Courier New" w:hAnsi="Courier New"/>
          <w:sz w:val="15"/>
          <w:szCs w:val="15"/>
          <w:color w:val="auto"/>
        </w:rPr>
        <w:t>syndication agent, and</w:t>
      </w:r>
    </w:p>
    <w:p>
      <w:pPr>
        <w:spacing w:after="0" w:line="237" w:lineRule="auto"/>
        <w:rPr>
          <w:sz w:val="20"/>
          <w:szCs w:val="20"/>
          <w:color w:val="auto"/>
        </w:rPr>
      </w:pPr>
      <w:r>
        <w:rPr>
          <w:rFonts w:ascii="Courier New" w:cs="Courier New" w:eastAsia="Courier New" w:hAnsi="Courier New"/>
          <w:sz w:val="15"/>
          <w:szCs w:val="15"/>
          <w:color w:val="auto"/>
        </w:rPr>
        <w:t>The Chase Manhattan Bank,</w:t>
      </w:r>
    </w:p>
    <w:p>
      <w:pPr>
        <w:spacing w:after="0" w:line="238" w:lineRule="auto"/>
        <w:rPr>
          <w:sz w:val="20"/>
          <w:szCs w:val="20"/>
          <w:color w:val="auto"/>
        </w:rPr>
      </w:pPr>
      <w:r>
        <w:rPr>
          <w:rFonts w:ascii="Courier New" w:cs="Courier New" w:eastAsia="Courier New" w:hAnsi="Courier New"/>
          <w:sz w:val="15"/>
          <w:szCs w:val="15"/>
          <w:color w:val="auto"/>
        </w:rPr>
        <w:t>as documentation agent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This opinion is furnished to you pursuant to Section 3.01(c)(iv) of the 364-Day Credit Agreement, dated as of September 20, 2000 (the "Credit Agreement"), among The Washington Post Company (the "Borrower"), the Lenders parties thereto, Citibank, N.A., as Agent for said Lenders, Salomon Smith Barney Inc., as lead arranger and book manager, SunTrust Bank, as syndication agent, and The Chase Manhattan Bank, as documentation agent. Terms defined in the Credit Agreement are used herein as therein defined.</w:t>
      </w:r>
    </w:p>
    <w:p>
      <w:pPr>
        <w:spacing w:after="0" w:line="176" w:lineRule="exact"/>
        <w:rPr>
          <w:sz w:val="20"/>
          <w:szCs w:val="20"/>
          <w:color w:val="auto"/>
        </w:rPr>
      </w:pPr>
    </w:p>
    <w:p>
      <w:pPr>
        <w:jc w:val="both"/>
        <w:ind w:right="3239" w:firstLine="1224"/>
        <w:spacing w:after="0" w:line="235" w:lineRule="auto"/>
        <w:rPr>
          <w:sz w:val="20"/>
          <w:szCs w:val="20"/>
          <w:color w:val="auto"/>
        </w:rPr>
      </w:pPr>
      <w:r>
        <w:rPr>
          <w:rFonts w:ascii="Courier New" w:cs="Courier New" w:eastAsia="Courier New" w:hAnsi="Courier New"/>
          <w:sz w:val="15"/>
          <w:szCs w:val="15"/>
          <w:color w:val="auto"/>
        </w:rPr>
        <w:t>I am the General Counsel of the Borrower and as such I am familiar with the Credit Agreement and the corporate proceedings taken by the Borrower to authorize the execution and delivery of the Credit Agreement.</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66" w:lineRule="exact"/>
        <w:rPr>
          <w:sz w:val="20"/>
          <w:szCs w:val="20"/>
          <w:color w:val="auto"/>
        </w:rPr>
      </w:pPr>
    </w:p>
    <w:p>
      <w:pPr>
        <w:ind w:left="1840" w:hanging="606"/>
        <w:spacing w:after="0"/>
        <w:tabs>
          <w:tab w:leader="none" w:pos="184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2" w:lineRule="exact"/>
        <w:rPr>
          <w:rFonts w:ascii="Courier New" w:cs="Courier New" w:eastAsia="Courier New" w:hAnsi="Courier New"/>
          <w:sz w:val="15"/>
          <w:szCs w:val="15"/>
          <w:color w:val="auto"/>
        </w:rPr>
      </w:pPr>
    </w:p>
    <w:p>
      <w:pPr>
        <w:ind w:left="620" w:right="3239" w:firstLine="614"/>
        <w:spacing w:after="0" w:line="234" w:lineRule="auto"/>
        <w:tabs>
          <w:tab w:leader="none" w:pos="1844"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Borrower pursuant to Article III of the Credit Agreement.</w:t>
      </w:r>
    </w:p>
    <w:p>
      <w:pPr>
        <w:spacing w:after="0" w:line="173" w:lineRule="exact"/>
        <w:rPr>
          <w:rFonts w:ascii="Courier New" w:cs="Courier New" w:eastAsia="Courier New" w:hAnsi="Courier New"/>
          <w:sz w:val="15"/>
          <w:szCs w:val="15"/>
          <w:color w:val="auto"/>
        </w:rPr>
      </w:pPr>
    </w:p>
    <w:p>
      <w:pPr>
        <w:ind w:left="620" w:right="3499" w:firstLine="614"/>
        <w:spacing w:after="0" w:line="234" w:lineRule="auto"/>
        <w:tabs>
          <w:tab w:leader="none" w:pos="1844"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Borrower and all amendments thereto (the "Charter").</w:t>
      </w:r>
    </w:p>
    <w:p>
      <w:pPr>
        <w:spacing w:after="0" w:line="173" w:lineRule="exact"/>
        <w:rPr>
          <w:rFonts w:ascii="Courier New" w:cs="Courier New" w:eastAsia="Courier New" w:hAnsi="Courier New"/>
          <w:sz w:val="15"/>
          <w:szCs w:val="15"/>
          <w:color w:val="auto"/>
        </w:rPr>
      </w:pPr>
    </w:p>
    <w:p>
      <w:pPr>
        <w:ind w:left="1840" w:hanging="606"/>
        <w:spacing w:after="0"/>
        <w:tabs>
          <w:tab w:leader="none" w:pos="184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the Borrower and all amendments thereto (the</w:t>
      </w:r>
    </w:p>
    <w:p>
      <w:pPr>
        <w:spacing w:after="0" w:line="4" w:lineRule="exact"/>
        <w:rPr>
          <w:rFonts w:ascii="Courier New" w:cs="Courier New" w:eastAsia="Courier New" w:hAnsi="Courier New"/>
          <w:sz w:val="14"/>
          <w:szCs w:val="14"/>
          <w:color w:val="auto"/>
        </w:rPr>
      </w:pP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"By-laws").</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76</w:t>
      </w:r>
    </w:p>
    <w:p>
      <w:pPr>
        <w:spacing w:after="0" w:line="341" w:lineRule="exact"/>
        <w:rPr>
          <w:sz w:val="20"/>
          <w:szCs w:val="20"/>
          <w:color w:val="auto"/>
        </w:rPr>
      </w:pPr>
    </w:p>
    <w:p>
      <w:pPr>
        <w:ind w:left="620" w:right="3319" w:firstLine="614"/>
        <w:spacing w:after="0" w:line="235" w:lineRule="auto"/>
        <w:tabs>
          <w:tab w:leader="none" w:pos="184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 September __, 2000, attesting to the continued corporate existence and good standing of the Borrower in that State.</w:t>
      </w:r>
    </w:p>
    <w:p>
      <w:pPr>
        <w:spacing w:after="0" w:line="174" w:lineRule="exact"/>
        <w:rPr>
          <w:sz w:val="20"/>
          <w:szCs w:val="20"/>
          <w:color w:val="auto"/>
        </w:rPr>
      </w:pPr>
    </w:p>
    <w:p>
      <w:pPr>
        <w:ind w:right="3239" w:firstLine="1224"/>
        <w:spacing w:after="0" w:line="236"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 the Borrower or its officers or of public officials. I have assumed the due execution and delivery, pursuant to due authorization, of the Credit Agreement by the Initial Lenders and the Agent.</w:t>
      </w:r>
    </w:p>
    <w:p>
      <w:pPr>
        <w:spacing w:after="0" w:line="178" w:lineRule="exact"/>
        <w:rPr>
          <w:sz w:val="20"/>
          <w:szCs w:val="20"/>
          <w:color w:val="auto"/>
        </w:rPr>
      </w:pPr>
    </w:p>
    <w:p>
      <w:pPr>
        <w:ind w:right="3239" w:firstLine="1224"/>
        <w:spacing w:after="0" w:line="235"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 of America.</w:t>
      </w:r>
    </w:p>
    <w:p>
      <w:pPr>
        <w:spacing w:after="0" w:line="174" w:lineRule="exact"/>
        <w:rPr>
          <w:sz w:val="20"/>
          <w:szCs w:val="20"/>
          <w:color w:val="auto"/>
        </w:rPr>
      </w:pPr>
    </w:p>
    <w:p>
      <w:pPr>
        <w:ind w:right="3579" w:firstLine="1224"/>
        <w:spacing w:after="0" w:line="234"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3" w:lineRule="exact"/>
        <w:rPr>
          <w:sz w:val="20"/>
          <w:szCs w:val="20"/>
          <w:color w:val="auto"/>
        </w:rPr>
      </w:pPr>
    </w:p>
    <w:p>
      <w:pPr>
        <w:ind w:left="620" w:right="3319" w:firstLine="614"/>
        <w:spacing w:after="0" w:line="234" w:lineRule="auto"/>
        <w:tabs>
          <w:tab w:leader="none" w:pos="1844"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a corporation validly existing and in good standing under the laws of the State of Delaware.</w:t>
      </w:r>
    </w:p>
    <w:p>
      <w:pPr>
        <w:spacing w:after="0" w:line="173" w:lineRule="exact"/>
        <w:rPr>
          <w:rFonts w:ascii="Courier New" w:cs="Courier New" w:eastAsia="Courier New" w:hAnsi="Courier New"/>
          <w:sz w:val="15"/>
          <w:szCs w:val="15"/>
          <w:color w:val="auto"/>
        </w:rPr>
      </w:pPr>
    </w:p>
    <w:p>
      <w:pPr>
        <w:ind w:left="620" w:right="3239" w:firstLine="614"/>
        <w:spacing w:after="0" w:line="254" w:lineRule="auto"/>
        <w:tabs>
          <w:tab w:leader="none" w:pos="1844"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 (i) the Charter or the By-laws or (ii) any law, rule or regulation applicable to the Borrower (including, without limitation, Regulation X of the Board of Governors of the Federal Reserve System) or (iii) to the best of my knowledge after appropriate inquiry,</w:t>
      </w:r>
    </w:p>
    <w:p>
      <w:pPr>
        <w:spacing w:after="0" w:line="2" w:lineRule="exact"/>
        <w:rPr>
          <w:rFonts w:ascii="Courier New" w:cs="Courier New" w:eastAsia="Courier New" w:hAnsi="Courier New"/>
          <w:sz w:val="14"/>
          <w:szCs w:val="14"/>
          <w:color w:val="auto"/>
        </w:rPr>
      </w:pPr>
    </w:p>
    <w:p>
      <w:pPr>
        <w:ind w:left="620" w:right="3239" w:firstLine="2"/>
        <w:spacing w:after="0" w:line="236" w:lineRule="auto"/>
        <w:tabs>
          <w:tab w:leader="none" w:pos="97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175" w:lineRule="exact"/>
        <w:rPr>
          <w:rFonts w:ascii="Courier New" w:cs="Courier New" w:eastAsia="Courier New" w:hAnsi="Courier New"/>
          <w:sz w:val="15"/>
          <w:szCs w:val="15"/>
          <w:color w:val="auto"/>
        </w:rPr>
      </w:pPr>
    </w:p>
    <w:p>
      <w:pPr>
        <w:ind w:left="620" w:right="3319" w:firstLine="614"/>
        <w:spacing w:after="0" w:line="236" w:lineRule="auto"/>
        <w:tabs>
          <w:tab w:leader="none" w:pos="184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174" w:lineRule="exact"/>
        <w:rPr>
          <w:rFonts w:ascii="Courier New" w:cs="Courier New" w:eastAsia="Courier New" w:hAnsi="Courier New"/>
          <w:sz w:val="15"/>
          <w:szCs w:val="15"/>
          <w:color w:val="auto"/>
        </w:rPr>
      </w:pPr>
    </w:p>
    <w:p>
      <w:pPr>
        <w:ind w:left="620" w:right="3239" w:firstLine="614"/>
        <w:spacing w:after="0" w:line="235" w:lineRule="auto"/>
        <w:tabs>
          <w:tab w:leader="none" w:pos="184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is, and when executed and delivered in connection with Borrowings, the Notes will be, legal, valid and binding obligations of the Borrower enforceable against the Borrower in accordance with their respective terms.</w:t>
      </w:r>
    </w:p>
    <w:p>
      <w:pPr>
        <w:spacing w:after="0" w:line="175" w:lineRule="exact"/>
        <w:rPr>
          <w:rFonts w:ascii="Courier New" w:cs="Courier New" w:eastAsia="Courier New" w:hAnsi="Courier New"/>
          <w:sz w:val="15"/>
          <w:szCs w:val="15"/>
          <w:color w:val="auto"/>
        </w:rPr>
      </w:pPr>
    </w:p>
    <w:p>
      <w:pPr>
        <w:ind w:left="620" w:right="3239" w:firstLine="614"/>
        <w:spacing w:after="0" w:line="235" w:lineRule="auto"/>
        <w:tabs>
          <w:tab w:leader="none" w:pos="1844"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Borrower or any of its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77</w:t>
      </w:r>
    </w:p>
    <w:p>
      <w:pPr>
        <w:spacing w:after="0" w:line="341" w:lineRule="exact"/>
        <w:rPr>
          <w:sz w:val="20"/>
          <w:szCs w:val="20"/>
          <w:color w:val="auto"/>
        </w:rPr>
      </w:pPr>
    </w:p>
    <w:p>
      <w:pPr>
        <w:ind w:left="620" w:right="3319"/>
        <w:spacing w:after="0" w:line="255" w:lineRule="auto"/>
        <w:rPr>
          <w:sz w:val="20"/>
          <w:szCs w:val="20"/>
          <w:color w:val="auto"/>
        </w:rPr>
      </w:pPr>
      <w:r>
        <w:rPr>
          <w:rFonts w:ascii="Courier New" w:cs="Courier New" w:eastAsia="Courier New" w:hAnsi="Courier New"/>
          <w:sz w:val="14"/>
          <w:szCs w:val="14"/>
          <w:color w:val="auto"/>
        </w:rPr>
        <w:t>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3" w:lineRule="exact"/>
        <w:rPr>
          <w:sz w:val="20"/>
          <w:szCs w:val="20"/>
          <w:color w:val="auto"/>
        </w:rPr>
      </w:pPr>
    </w:p>
    <w:p>
      <w:pPr>
        <w:ind w:left="620" w:right="3579" w:firstLine="614"/>
        <w:spacing w:after="0" w:line="236" w:lineRule="auto"/>
        <w:tabs>
          <w:tab w:leader="none" w:pos="184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3" w:lineRule="exact"/>
        <w:rPr>
          <w:rFonts w:ascii="Courier New" w:cs="Courier New" w:eastAsia="Courier New" w:hAnsi="Courier New"/>
          <w:sz w:val="15"/>
          <w:szCs w:val="15"/>
          <w:color w:val="auto"/>
        </w:rPr>
      </w:pPr>
    </w:p>
    <w:p>
      <w:pPr>
        <w:ind w:left="620" w:right="3239" w:firstLine="614"/>
        <w:spacing w:after="0" w:line="236" w:lineRule="auto"/>
        <w:tabs>
          <w:tab w:leader="none" w:pos="184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3" w:lineRule="exact"/>
        <w:rPr>
          <w:rFonts w:ascii="Courier New" w:cs="Courier New" w:eastAsia="Courier New" w:hAnsi="Courier New"/>
          <w:sz w:val="15"/>
          <w:szCs w:val="15"/>
          <w:color w:val="auto"/>
        </w:rPr>
      </w:pPr>
    </w:p>
    <w:p>
      <w:pPr>
        <w:ind w:left="620" w:right="3239" w:firstLine="614"/>
        <w:spacing w:after="0" w:line="235" w:lineRule="auto"/>
        <w:tabs>
          <w:tab w:leader="none" w:pos="184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3" w:lineRule="exact"/>
        <w:rPr>
          <w:rFonts w:ascii="Courier New" w:cs="Courier New" w:eastAsia="Courier New" w:hAnsi="Courier New"/>
          <w:sz w:val="15"/>
          <w:szCs w:val="15"/>
          <w:color w:val="auto"/>
        </w:rPr>
      </w:pPr>
    </w:p>
    <w:p>
      <w:pPr>
        <w:ind w:left="620" w:right="3319" w:firstLine="614"/>
        <w:spacing w:after="0" w:line="236" w:lineRule="auto"/>
        <w:tabs>
          <w:tab w:leader="none" w:pos="184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70"/>
        </w:trPr>
        <w:tc>
          <w:tcPr>
            <w:tcW w:w="3500" w:type="dxa"/>
            <w:vAlign w:val="bottom"/>
          </w:tcPr>
          <w:p>
            <w:pPr>
              <w:ind w:left="280"/>
              <w:spacing w:after="0"/>
              <w:rPr>
                <w:sz w:val="20"/>
                <w:szCs w:val="20"/>
                <w:color w:val="auto"/>
              </w:rPr>
            </w:pPr>
            <w:r>
              <w:rPr>
                <w:rFonts w:ascii="Courier New" w:cs="Courier New" w:eastAsia="Courier New" w:hAnsi="Courier New"/>
                <w:sz w:val="15"/>
                <w:szCs w:val="15"/>
                <w:color w:val="auto"/>
              </w:rPr>
              <w:t>1</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505"/>
        </w:trPr>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Exhibit 11</w:t>
            </w: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5"/>
        </w:trPr>
        <w:tc>
          <w:tcPr>
            <w:tcW w:w="5700" w:type="dxa"/>
            <w:vAlign w:val="bottom"/>
            <w:gridSpan w:val="2"/>
          </w:tcPr>
          <w:p>
            <w:pPr>
              <w:ind w:left="2540"/>
              <w:spacing w:after="0"/>
              <w:rPr>
                <w:sz w:val="20"/>
                <w:szCs w:val="20"/>
                <w:color w:val="auto"/>
              </w:rPr>
            </w:pPr>
            <w:r>
              <w:rPr>
                <w:rFonts w:ascii="Courier New" w:cs="Courier New" w:eastAsia="Courier New" w:hAnsi="Courier New"/>
                <w:sz w:val="15"/>
                <w:szCs w:val="15"/>
                <w:color w:val="auto"/>
              </w:rPr>
              <w:t>CALCULATION OF EARNINGS</w:t>
            </w: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5700" w:type="dxa"/>
            <w:vAlign w:val="bottom"/>
            <w:gridSpan w:val="2"/>
          </w:tcPr>
          <w:p>
            <w:pPr>
              <w:ind w:left="2460"/>
              <w:spacing w:after="0" w:line="168" w:lineRule="exact"/>
              <w:rPr>
                <w:sz w:val="20"/>
                <w:szCs w:val="20"/>
                <w:color w:val="auto"/>
              </w:rPr>
            </w:pPr>
            <w:r>
              <w:rPr>
                <w:rFonts w:ascii="Courier New" w:cs="Courier New" w:eastAsia="Courier New" w:hAnsi="Courier New"/>
                <w:sz w:val="15"/>
                <w:szCs w:val="15"/>
                <w:color w:val="auto"/>
              </w:rPr>
              <w:t>PER SHARE OF COMMON STOCK</w:t>
            </w: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5700" w:type="dxa"/>
            <w:vAlign w:val="bottom"/>
            <w:gridSpan w:val="2"/>
          </w:tcPr>
          <w:p>
            <w:pPr>
              <w:ind w:left="2460"/>
              <w:spacing w:after="0" w:line="168" w:lineRule="exact"/>
              <w:rPr>
                <w:sz w:val="20"/>
                <w:szCs w:val="20"/>
                <w:color w:val="auto"/>
              </w:rPr>
            </w:pPr>
            <w:r>
              <w:rPr>
                <w:rFonts w:ascii="Courier New" w:cs="Courier New" w:eastAsia="Courier New" w:hAnsi="Courier New"/>
                <w:sz w:val="15"/>
                <w:szCs w:val="15"/>
                <w:color w:val="auto"/>
              </w:rPr>
              <w:t>(In thousands of shares)</w:t>
            </w: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73"/>
        </w:trPr>
        <w:tc>
          <w:tcPr>
            <w:tcW w:w="3500" w:type="dxa"/>
            <w:vAlign w:val="bottom"/>
          </w:tcPr>
          <w:p>
            <w:pPr>
              <w:spacing w:after="0"/>
              <w:rPr>
                <w:sz w:val="24"/>
                <w:szCs w:val="24"/>
                <w:color w:val="auto"/>
              </w:rPr>
            </w:pPr>
          </w:p>
        </w:tc>
        <w:tc>
          <w:tcPr>
            <w:tcW w:w="416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Thirteen Weeks Ended</w:t>
            </w:r>
          </w:p>
        </w:tc>
        <w:tc>
          <w:tcPr>
            <w:tcW w:w="3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3500" w:type="dxa"/>
            <w:vAlign w:val="bottom"/>
          </w:tcPr>
          <w:p>
            <w:pPr>
              <w:spacing w:after="0"/>
              <w:rPr>
                <w:sz w:val="14"/>
                <w:szCs w:val="14"/>
                <w:color w:val="auto"/>
              </w:rPr>
            </w:pPr>
          </w:p>
        </w:tc>
        <w:tc>
          <w:tcPr>
            <w:tcW w:w="41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46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October 1,</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October 3,</w:t>
            </w:r>
          </w:p>
        </w:tc>
        <w:tc>
          <w:tcPr>
            <w:tcW w:w="19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October 1,</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October 3,</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1999</w:t>
            </w:r>
          </w:p>
        </w:tc>
        <w:tc>
          <w:tcPr>
            <w:tcW w:w="19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500" w:type="dxa"/>
            <w:vAlign w:val="bottom"/>
          </w:tcPr>
          <w:p>
            <w:pPr>
              <w:spacing w:after="0"/>
              <w:rPr>
                <w:sz w:val="14"/>
                <w:szCs w:val="14"/>
                <w:color w:val="auto"/>
              </w:rPr>
            </w:pPr>
          </w:p>
        </w:tc>
        <w:tc>
          <w:tcPr>
            <w:tcW w:w="41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46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and Class B</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outstanding</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at beginning of</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9,446</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10,091</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9,439</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10,093</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net of</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re-</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stricted stock awards</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Repurchase of Class B</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(weighted)</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of basic earnings per share</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9,448</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10,060</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9,443</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10,085</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Adjustment to reflect</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dilution from common stock</w:t>
            </w: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equivalents</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41</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of diluted earnings per share</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9,463</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10,101</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9,459</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10,127</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$33,253</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$51,452</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$97,736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$163,838</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$3.52</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$5.12</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$10.35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Diluted earnings</w:t>
            </w:r>
          </w:p>
        </w:tc>
        <w:tc>
          <w:tcPr>
            <w:tcW w:w="2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per common share</w:t>
            </w: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$5.10</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$10.33</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$16.18</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20"/>
          </w:cols>
          <w:pgMar w:left="220" w:top="135" w:right="559" w:bottom="1440" w:gutter="0" w:footer="0" w:header="0"/>
        </w:sectPr>
      </w:pPr>
    </w:p>
    <w:bookmarkStart w:id="103" w:name="page104"/>
    <w:bookmarkEnd w:id="103"/>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Condensed Consolidated Statement of Income for the thirty-nine weeks ended October 1, 2000 and the Condensed Consolidated Balance Sheet as of October, 1 2000 and is qualified in its entirety by reference to such financial statements.</w:t>
      </w:r>
    </w:p>
    <w:p>
      <w:pPr>
        <w:spacing w:after="0" w:line="15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ind w:left="2240"/>
        <w:spacing w:after="0" w:line="237" w:lineRule="auto"/>
        <w:rPr>
          <w:sz w:val="20"/>
          <w:szCs w:val="20"/>
          <w:color w:val="auto"/>
        </w:rPr>
      </w:pPr>
      <w:r>
        <w:rPr>
          <w:rFonts w:ascii="Courier New" w:cs="Courier New" w:eastAsia="Courier New" w:hAnsi="Courier New"/>
          <w:sz w:val="15"/>
          <w:szCs w:val="15"/>
          <w:color w:val="auto"/>
        </w:rPr>
        <w:t>DEC-31-2000</w:t>
      </w:r>
    </w:p>
    <w:p>
      <w:pPr>
        <w:ind w:left="2680"/>
        <w:spacing w:after="0" w:line="238" w:lineRule="auto"/>
        <w:rPr>
          <w:sz w:val="20"/>
          <w:szCs w:val="20"/>
          <w:color w:val="auto"/>
        </w:rPr>
      </w:pPr>
      <w:r>
        <w:rPr>
          <w:rFonts w:ascii="Courier New" w:cs="Courier New" w:eastAsia="Courier New" w:hAnsi="Courier New"/>
          <w:sz w:val="15"/>
          <w:szCs w:val="15"/>
          <w:color w:val="auto"/>
        </w:rPr>
        <w:t>OCT-01-2000</w:t>
      </w:r>
    </w:p>
    <w:p>
      <w:pPr>
        <w:ind w:left="3640"/>
        <w:spacing w:after="0" w:line="237" w:lineRule="auto"/>
        <w:rPr>
          <w:sz w:val="20"/>
          <w:szCs w:val="20"/>
          <w:color w:val="auto"/>
        </w:rPr>
      </w:pPr>
      <w:r>
        <w:rPr>
          <w:rFonts w:ascii="Courier New" w:cs="Courier New" w:eastAsia="Courier New" w:hAnsi="Courier New"/>
          <w:sz w:val="15"/>
          <w:szCs w:val="15"/>
          <w:color w:val="auto"/>
        </w:rPr>
        <w:t>29,759</w:t>
      </w:r>
    </w:p>
    <w:p>
      <w:pPr>
        <w:ind w:left="3040"/>
        <w:spacing w:after="0" w:line="238" w:lineRule="auto"/>
        <w:rPr>
          <w:sz w:val="20"/>
          <w:szCs w:val="20"/>
          <w:color w:val="auto"/>
        </w:rPr>
      </w:pPr>
      <w:r>
        <w:rPr>
          <w:rFonts w:ascii="Courier New" w:cs="Courier New" w:eastAsia="Courier New" w:hAnsi="Courier New"/>
          <w:sz w:val="15"/>
          <w:szCs w:val="15"/>
          <w:color w:val="auto"/>
        </w:rPr>
        <w:t>209,450</w:t>
      </w:r>
    </w:p>
    <w:p>
      <w:pPr>
        <w:ind w:left="2940"/>
        <w:spacing w:after="0" w:line="237" w:lineRule="auto"/>
        <w:rPr>
          <w:sz w:val="20"/>
          <w:szCs w:val="20"/>
          <w:color w:val="auto"/>
        </w:rPr>
      </w:pPr>
      <w:r>
        <w:rPr>
          <w:rFonts w:ascii="Courier New" w:cs="Courier New" w:eastAsia="Courier New" w:hAnsi="Courier New"/>
          <w:sz w:val="15"/>
          <w:szCs w:val="15"/>
          <w:color w:val="auto"/>
        </w:rPr>
        <w:t>390,556</w:t>
      </w:r>
    </w:p>
    <w:p>
      <w:pPr>
        <w:ind w:left="3120"/>
        <w:spacing w:after="0" w:line="238" w:lineRule="auto"/>
        <w:rPr>
          <w:sz w:val="20"/>
          <w:szCs w:val="20"/>
          <w:color w:val="auto"/>
        </w:rPr>
      </w:pPr>
      <w:r>
        <w:rPr>
          <w:rFonts w:ascii="Courier New" w:cs="Courier New" w:eastAsia="Courier New" w:hAnsi="Courier New"/>
          <w:sz w:val="15"/>
          <w:szCs w:val="15"/>
          <w:color w:val="auto"/>
        </w:rPr>
        <w:t>75,107</w:t>
      </w:r>
    </w:p>
    <w:p>
      <w:pPr>
        <w:ind w:left="3200"/>
        <w:spacing w:after="0" w:line="237" w:lineRule="auto"/>
        <w:rPr>
          <w:sz w:val="20"/>
          <w:szCs w:val="20"/>
          <w:color w:val="auto"/>
        </w:rPr>
      </w:pPr>
      <w:r>
        <w:rPr>
          <w:rFonts w:ascii="Courier New" w:cs="Courier New" w:eastAsia="Courier New" w:hAnsi="Courier New"/>
          <w:sz w:val="15"/>
          <w:szCs w:val="15"/>
          <w:color w:val="auto"/>
        </w:rPr>
        <w:t>33,074</w:t>
      </w:r>
    </w:p>
    <w:p>
      <w:pPr>
        <w:ind w:left="2680"/>
        <w:spacing w:after="0" w:line="238" w:lineRule="auto"/>
        <w:rPr>
          <w:sz w:val="20"/>
          <w:szCs w:val="20"/>
          <w:color w:val="auto"/>
        </w:rPr>
      </w:pPr>
      <w:r>
        <w:rPr>
          <w:rFonts w:ascii="Courier New" w:cs="Courier New" w:eastAsia="Courier New" w:hAnsi="Courier New"/>
          <w:sz w:val="15"/>
          <w:szCs w:val="15"/>
          <w:color w:val="auto"/>
        </w:rPr>
        <w:t>462,064</w:t>
      </w:r>
    </w:p>
    <w:p>
      <w:pPr>
        <w:ind w:left="3380"/>
        <w:spacing w:after="0" w:line="238" w:lineRule="auto"/>
        <w:rPr>
          <w:sz w:val="20"/>
          <w:szCs w:val="20"/>
          <w:color w:val="auto"/>
        </w:rPr>
      </w:pPr>
      <w:r>
        <w:rPr>
          <w:rFonts w:ascii="Courier New" w:cs="Courier New" w:eastAsia="Courier New" w:hAnsi="Courier New"/>
          <w:sz w:val="15"/>
          <w:szCs w:val="15"/>
          <w:color w:val="auto"/>
        </w:rPr>
        <w:t>1,611,981</w:t>
      </w:r>
    </w:p>
    <w:p>
      <w:pPr>
        <w:ind w:left="2860"/>
        <w:spacing w:after="0" w:line="237" w:lineRule="auto"/>
        <w:rPr>
          <w:sz w:val="20"/>
          <w:szCs w:val="20"/>
          <w:color w:val="auto"/>
        </w:rPr>
      </w:pPr>
      <w:r>
        <w:rPr>
          <w:rFonts w:ascii="Courier New" w:cs="Courier New" w:eastAsia="Courier New" w:hAnsi="Courier New"/>
          <w:sz w:val="15"/>
          <w:szCs w:val="15"/>
          <w:color w:val="auto"/>
        </w:rPr>
        <w:t>716,450</w:t>
      </w:r>
    </w:p>
    <w:p>
      <w:pPr>
        <w:ind w:left="2680"/>
        <w:spacing w:after="0" w:line="238" w:lineRule="auto"/>
        <w:rPr>
          <w:sz w:val="20"/>
          <w:szCs w:val="20"/>
          <w:color w:val="auto"/>
        </w:rPr>
      </w:pPr>
      <w:r>
        <w:rPr>
          <w:rFonts w:ascii="Courier New" w:cs="Courier New" w:eastAsia="Courier New" w:hAnsi="Courier New"/>
          <w:sz w:val="15"/>
          <w:szCs w:val="15"/>
          <w:color w:val="auto"/>
        </w:rPr>
        <w:t>3,225,614</w:t>
      </w:r>
    </w:p>
    <w:p>
      <w:pPr>
        <w:ind w:left="2240"/>
        <w:spacing w:after="0" w:line="237" w:lineRule="auto"/>
        <w:rPr>
          <w:sz w:val="20"/>
          <w:szCs w:val="20"/>
          <w:color w:val="auto"/>
        </w:rPr>
      </w:pPr>
      <w:r>
        <w:rPr>
          <w:rFonts w:ascii="Courier New" w:cs="Courier New" w:eastAsia="Courier New" w:hAnsi="Courier New"/>
          <w:sz w:val="15"/>
          <w:szCs w:val="15"/>
          <w:color w:val="auto"/>
        </w:rPr>
        <w:t>508,146</w:t>
      </w:r>
    </w:p>
    <w:p>
      <w:pPr>
        <w:ind w:left="3460"/>
        <w:spacing w:after="0" w:line="238" w:lineRule="auto"/>
        <w:rPr>
          <w:sz w:val="20"/>
          <w:szCs w:val="20"/>
          <w:color w:val="auto"/>
        </w:rPr>
      </w:pPr>
      <w:r>
        <w:rPr>
          <w:rFonts w:ascii="Courier New" w:cs="Courier New" w:eastAsia="Courier New" w:hAnsi="Courier New"/>
          <w:sz w:val="15"/>
          <w:szCs w:val="15"/>
          <w:color w:val="auto"/>
        </w:rPr>
        <w:t>397,816</w:t>
      </w:r>
    </w:p>
    <w:p>
      <w:pPr>
        <w:ind w:left="2340"/>
        <w:spacing w:after="0" w:line="237" w:lineRule="auto"/>
        <w:rPr>
          <w:sz w:val="20"/>
          <w:szCs w:val="20"/>
          <w:color w:val="auto"/>
        </w:rPr>
      </w:pPr>
      <w:r>
        <w:rPr>
          <w:rFonts w:ascii="Courier New" w:cs="Courier New" w:eastAsia="Courier New" w:hAnsi="Courier New"/>
          <w:sz w:val="15"/>
          <w:szCs w:val="15"/>
          <w:color w:val="auto"/>
        </w:rPr>
        <w:t>13,148</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460"/>
        <w:spacing w:after="0" w:line="238" w:lineRule="auto"/>
        <w:rPr>
          <w:sz w:val="20"/>
          <w:szCs w:val="20"/>
          <w:color w:val="auto"/>
        </w:rPr>
      </w:pPr>
      <w:r>
        <w:rPr>
          <w:rFonts w:ascii="Courier New" w:cs="Courier New" w:eastAsia="Courier New" w:hAnsi="Courier New"/>
          <w:sz w:val="15"/>
          <w:szCs w:val="15"/>
          <w:color w:val="auto"/>
        </w:rPr>
        <w:t>20,000</w:t>
      </w:r>
    </w:p>
    <w:p>
      <w:pPr>
        <w:ind w:left="3040"/>
        <w:spacing w:after="0" w:line="237" w:lineRule="auto"/>
        <w:rPr>
          <w:sz w:val="20"/>
          <w:szCs w:val="20"/>
          <w:color w:val="auto"/>
        </w:rPr>
      </w:pPr>
      <w:r>
        <w:rPr>
          <w:rFonts w:ascii="Courier New" w:cs="Courier New" w:eastAsia="Courier New" w:hAnsi="Courier New"/>
          <w:sz w:val="15"/>
          <w:szCs w:val="15"/>
          <w:color w:val="auto"/>
        </w:rPr>
        <w:t>1,409,423</w:t>
      </w:r>
    </w:p>
    <w:p>
      <w:pPr>
        <w:ind w:left="1460"/>
        <w:spacing w:after="0" w:line="238" w:lineRule="auto"/>
        <w:rPr>
          <w:sz w:val="20"/>
          <w:szCs w:val="20"/>
          <w:color w:val="auto"/>
        </w:rPr>
      </w:pPr>
      <w:r>
        <w:rPr>
          <w:rFonts w:ascii="Courier New" w:cs="Courier New" w:eastAsia="Courier New" w:hAnsi="Courier New"/>
          <w:sz w:val="15"/>
          <w:szCs w:val="15"/>
          <w:color w:val="auto"/>
        </w:rPr>
        <w:t>3,225,614</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500"/>
        <w:spacing w:after="0" w:line="238" w:lineRule="auto"/>
        <w:rPr>
          <w:sz w:val="20"/>
          <w:szCs w:val="20"/>
          <w:color w:val="auto"/>
        </w:rPr>
      </w:pPr>
      <w:r>
        <w:rPr>
          <w:rFonts w:ascii="Courier New" w:cs="Courier New" w:eastAsia="Courier New" w:hAnsi="Courier New"/>
          <w:sz w:val="15"/>
          <w:szCs w:val="15"/>
          <w:color w:val="auto"/>
        </w:rPr>
        <w:t>1,740,764</w:t>
      </w:r>
    </w:p>
    <w:p>
      <w:pPr>
        <w:ind w:left="416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953,031</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77,696</w:t>
      </w:r>
    </w:p>
    <w:p>
      <w:pPr>
        <w:ind w:left="2600"/>
        <w:spacing w:after="0" w:line="238" w:lineRule="auto"/>
        <w:rPr>
          <w:sz w:val="20"/>
          <w:szCs w:val="20"/>
          <w:color w:val="auto"/>
        </w:rPr>
      </w:pPr>
      <w:r>
        <w:rPr>
          <w:rFonts w:ascii="Courier New" w:cs="Courier New" w:eastAsia="Courier New" w:hAnsi="Courier New"/>
          <w:sz w:val="15"/>
          <w:szCs w:val="15"/>
          <w:color w:val="auto"/>
        </w:rPr>
        <w:t>39,757</w:t>
      </w:r>
    </w:p>
    <w:p>
      <w:pPr>
        <w:ind w:left="2760"/>
        <w:spacing w:after="0" w:line="237" w:lineRule="auto"/>
        <w:rPr>
          <w:sz w:val="20"/>
          <w:szCs w:val="20"/>
          <w:color w:val="auto"/>
        </w:rPr>
      </w:pPr>
      <w:r>
        <w:rPr>
          <w:rFonts w:ascii="Courier New" w:cs="Courier New" w:eastAsia="Courier New" w:hAnsi="Courier New"/>
          <w:sz w:val="15"/>
          <w:szCs w:val="15"/>
          <w:color w:val="auto"/>
        </w:rPr>
        <w:t>176,062</w:t>
      </w:r>
    </w:p>
    <w:p>
      <w:pPr>
        <w:ind w:left="3120"/>
        <w:spacing w:after="0" w:line="238" w:lineRule="auto"/>
        <w:rPr>
          <w:sz w:val="20"/>
          <w:szCs w:val="20"/>
          <w:color w:val="auto"/>
        </w:rPr>
      </w:pPr>
      <w:r>
        <w:rPr>
          <w:rFonts w:ascii="Courier New" w:cs="Courier New" w:eastAsia="Courier New" w:hAnsi="Courier New"/>
          <w:sz w:val="15"/>
          <w:szCs w:val="15"/>
          <w:color w:val="auto"/>
        </w:rPr>
        <w:t>77,300</w:t>
      </w:r>
    </w:p>
    <w:p>
      <w:pPr>
        <w:ind w:left="2500"/>
        <w:spacing w:after="0" w:line="237" w:lineRule="auto"/>
        <w:rPr>
          <w:sz w:val="20"/>
          <w:szCs w:val="20"/>
          <w:color w:val="auto"/>
        </w:rPr>
      </w:pPr>
      <w:r>
        <w:rPr>
          <w:rFonts w:ascii="Courier New" w:cs="Courier New" w:eastAsia="Courier New" w:hAnsi="Courier New"/>
          <w:sz w:val="15"/>
          <w:szCs w:val="15"/>
          <w:color w:val="auto"/>
        </w:rPr>
        <w:t>98,762</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98,762</w:t>
      </w:r>
    </w:p>
    <w:p>
      <w:pPr>
        <w:ind w:left="3300"/>
        <w:spacing w:after="0" w:line="237" w:lineRule="auto"/>
        <w:rPr>
          <w:sz w:val="20"/>
          <w:szCs w:val="20"/>
          <w:color w:val="auto"/>
        </w:rPr>
      </w:pPr>
      <w:r>
        <w:rPr>
          <w:rFonts w:ascii="Courier New" w:cs="Courier New" w:eastAsia="Courier New" w:hAnsi="Courier New"/>
          <w:sz w:val="15"/>
          <w:szCs w:val="15"/>
          <w:color w:val="auto"/>
        </w:rPr>
        <w:t>10.35</w:t>
      </w:r>
    </w:p>
    <w:p>
      <w:pPr>
        <w:ind w:left="3120"/>
        <w:spacing w:after="0" w:line="238" w:lineRule="auto"/>
        <w:rPr>
          <w:sz w:val="20"/>
          <w:szCs w:val="20"/>
          <w:color w:val="auto"/>
        </w:rPr>
      </w:pPr>
      <w:r>
        <w:rPr>
          <w:rFonts w:ascii="Courier New" w:cs="Courier New" w:eastAsia="Courier New" w:hAnsi="Courier New"/>
          <w:sz w:val="15"/>
          <w:szCs w:val="15"/>
          <w:color w:val="auto"/>
        </w:rPr>
        <w:t>10.33</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lvl w:ilvl="1">
      <w:lvlJc w:val="left"/>
      <w:lvlText w:val="(%2)"/>
      <w:numFmt w:val="decimal"/>
      <w:start w:val="202"/>
    </w:lvl>
  </w:abstractNum>
  <w:abstractNum w:abstractNumId="2">
    <w:nsid w:val="725A06FB"/>
    <w:multiLevelType w:val="hybridMultilevel"/>
    <w:lvl w:ilvl="0">
      <w:lvlJc w:val="left"/>
      <w:lvlText w:val="(%1)"/>
      <w:numFmt w:val="lowerLetter"/>
      <w:start w:val="1"/>
    </w:lvl>
  </w:abstractNum>
  <w:abstractNum w:abstractNumId="3">
    <w:nsid w:val="2CD89A32"/>
    <w:multiLevelType w:val="hybridMultilevel"/>
    <w:lvl w:ilvl="0">
      <w:lvlJc w:val="left"/>
      <w:lvlText w:val="%1"/>
      <w:numFmt w:val="decimal"/>
      <w:start w:val="11"/>
    </w:lvl>
  </w:abstractNum>
  <w:abstractNum w:abstractNumId="4">
    <w:nsid w:val="57E4CCAF"/>
    <w:multiLevelType w:val="hybridMultilevel"/>
    <w:lvl w:ilvl="0">
      <w:lvlJc w:val="left"/>
      <w:lvlText w:val="%1"/>
      <w:numFmt w:val="decimal"/>
      <w:start w:val="27"/>
    </w:lvl>
  </w:abstractNum>
  <w:abstractNum w:abstractNumId="5">
    <w:nsid w:val="7A6D8D3C"/>
    <w:multiLevelType w:val="hybridMultilevel"/>
    <w:lvl w:ilvl="0">
      <w:lvlJc w:val="left"/>
      <w:lvlText w:val="(%1)"/>
      <w:numFmt w:val="lowerLetter"/>
      <w:start w:val="2"/>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decimal"/>
      <w:start w:val="12"/>
    </w:lvl>
  </w:abstractNum>
  <w:abstractNum w:abstractNumId="9">
    <w:nsid w:val="38437FDB"/>
    <w:multiLevelType w:val="hybridMultilevel"/>
    <w:lvl w:ilvl="0">
      <w:lvlJc w:val="left"/>
      <w:lvlText w:val="(%1)"/>
      <w:numFmt w:val="lowerRoman"/>
      <w:start w:val="1"/>
    </w:lvl>
  </w:abstractNum>
  <w:abstractNum w:abstractNumId="10">
    <w:nsid w:val="7644A45C"/>
    <w:multiLevelType w:val="hybridMultilevel"/>
    <w:lvl w:ilvl="0">
      <w:lvlJc w:val="left"/>
      <w:lvlText w:val="(%1)"/>
      <w:numFmt w:val="lowerLetter"/>
      <w:start w:val="3"/>
    </w:lvl>
  </w:abstractNum>
  <w:abstractNum w:abstractNumId="11">
    <w:nsid w:val="32FFF902"/>
    <w:multiLevelType w:val="hybridMultilevel"/>
    <w:lvl w:ilvl="0">
      <w:lvlJc w:val="left"/>
      <w:lvlText w:val="%1"/>
      <w:numFmt w:val="lowerLetter"/>
      <w:start w:val="1"/>
    </w:lvl>
    <w:lvl w:ilvl="1">
      <w:lvlJc w:val="left"/>
      <w:lvlText w:val="(%2)"/>
      <w:numFmt w:val="lowerLetter"/>
      <w:start w:val="1"/>
    </w:lvl>
  </w:abstractNum>
  <w:abstractNum w:abstractNumId="12">
    <w:nsid w:val="684A481A"/>
    <w:multiLevelType w:val="hybridMultilevel"/>
    <w:lvl w:ilvl="0">
      <w:lvlJc w:val="left"/>
      <w:lvlText w:val="(%1)"/>
      <w:numFmt w:val="lowerLetter"/>
      <w:start w:val="35"/>
    </w:lvl>
    <w:lvl w:ilvl="1">
      <w:lvlJc w:val="left"/>
      <w:lvlText w:val="(%2)"/>
      <w:numFmt w:val="lowerLetter"/>
      <w:start w:val="3"/>
    </w:lvl>
  </w:abstractNum>
  <w:abstractNum w:abstractNumId="13">
    <w:nsid w:val="579478FE"/>
    <w:multiLevelType w:val="hybridMultilevel"/>
    <w:lvl w:ilvl="0">
      <w:lvlJc w:val="left"/>
      <w:lvlText w:val="(%1)"/>
      <w:numFmt w:val="lowerLetter"/>
      <w:start w:val="1"/>
    </w:lvl>
  </w:abstractNum>
  <w:abstractNum w:abstractNumId="14">
    <w:nsid w:val="749ABB43"/>
    <w:multiLevelType w:val="hybridMultilevel"/>
    <w:lvl w:ilvl="0">
      <w:lvlJc w:val="left"/>
      <w:lvlText w:val="(%1)"/>
      <w:numFmt w:val="lowerRoman"/>
      <w:start w:val="4"/>
    </w:lvl>
    <w:lvl w:ilvl="1">
      <w:lvlJc w:val="left"/>
      <w:lvlText w:val="(%2)"/>
      <w:numFmt w:val="lowerLetter"/>
      <w:start w:val="2"/>
    </w:lvl>
  </w:abstractNum>
  <w:abstractNum w:abstractNumId="15">
    <w:nsid w:val="3DC240FB"/>
    <w:multiLevelType w:val="hybridMultilevel"/>
    <w:lvl w:ilvl="0">
      <w:lvlJc w:val="left"/>
      <w:lvlText w:val="(%1)"/>
      <w:numFmt w:val="lowerLetter"/>
      <w:start w:val="4"/>
    </w:lvl>
  </w:abstractNum>
  <w:abstractNum w:abstractNumId="16">
    <w:nsid w:val="1BA026FA"/>
    <w:multiLevelType w:val="hybridMultilevel"/>
    <w:lvl w:ilvl="0">
      <w:lvlJc w:val="left"/>
      <w:lvlText w:val="(%1)"/>
      <w:numFmt w:val="lowerRoman"/>
      <w:start w:val="1"/>
    </w:lvl>
  </w:abstractNum>
  <w:abstractNum w:abstractNumId="17">
    <w:nsid w:val="79A1DEAA"/>
    <w:multiLevelType w:val="hybridMultilevel"/>
    <w:lvl w:ilvl="0">
      <w:lvlJc w:val="left"/>
      <w:lvlText w:val="(%1)"/>
      <w:numFmt w:val="lowerRoman"/>
      <w:start w:val="2"/>
    </w:lvl>
    <w:lvl w:ilvl="1">
      <w:lvlJc w:val="left"/>
      <w:lvlText w:val="(%2)"/>
      <w:numFmt w:val="lowerRoman"/>
      <w:start w:val="10"/>
    </w:lvl>
  </w:abstractNum>
  <w:abstractNum w:abstractNumId="18">
    <w:nsid w:val="75C6C33A"/>
    <w:multiLevelType w:val="hybridMultilevel"/>
    <w:lvl w:ilvl="0">
      <w:lvlJc w:val="left"/>
      <w:lvlText w:val="%1"/>
      <w:numFmt w:val="lowerRoman"/>
      <w:start w:val="1"/>
    </w:lvl>
    <w:lvl w:ilvl="1">
      <w:lvlJc w:val="left"/>
      <w:lvlText w:val="(%2)"/>
      <w:numFmt w:val="lowerLetter"/>
      <w:start w:val="25"/>
    </w:lvl>
  </w:abstractNum>
  <w:abstractNum w:abstractNumId="19">
    <w:nsid w:val="12E685FB"/>
    <w:multiLevelType w:val="hybridMultilevel"/>
    <w:lvl w:ilvl="0">
      <w:lvlJc w:val="left"/>
      <w:lvlText w:val="(%1)"/>
      <w:numFmt w:val="lowerRoman"/>
      <w:start w:val="4"/>
    </w:lvl>
    <w:lvl w:ilvl="1">
      <w:lvlJc w:val="left"/>
      <w:lvlText w:val="%2"/>
      <w:numFmt w:val="lowerLetter"/>
      <w:start w:val="1"/>
    </w:lvl>
  </w:abstractNum>
  <w:abstractNum w:abstractNumId="20">
    <w:nsid w:val="70C6A529"/>
    <w:multiLevelType w:val="hybridMultilevel"/>
    <w:lvl w:ilvl="0">
      <w:lvlJc w:val="left"/>
      <w:lvlText w:val="(%1)"/>
      <w:numFmt w:val="lowerLetter"/>
      <w:start w:val="2"/>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lowerRoman"/>
      <w:start w:val="2"/>
    </w:lvl>
  </w:abstractNum>
  <w:abstractNum w:abstractNumId="23">
    <w:nsid w:val="4F4EF005"/>
    <w:multiLevelType w:val="hybridMultilevel"/>
    <w:lvl w:ilvl="0">
      <w:lvlJc w:val="left"/>
      <w:lvlText w:val="(%1)"/>
      <w:numFmt w:val="lowerLetter"/>
      <w:start w:val="2"/>
    </w:lvl>
  </w:abstractNum>
  <w:abstractNum w:abstractNumId="24">
    <w:nsid w:val="23F9C13C"/>
    <w:multiLevelType w:val="hybridMultilevel"/>
    <w:lvl w:ilvl="0">
      <w:lvlJc w:val="left"/>
      <w:lvlText w:val="(%1)"/>
      <w:numFmt w:val="lowerLetter"/>
      <w:start w:val="24"/>
    </w:lvl>
  </w:abstractNum>
  <w:abstractNum w:abstractNumId="25">
    <w:nsid w:val="649BB77C"/>
    <w:multiLevelType w:val="hybridMultilevel"/>
    <w:lvl w:ilvl="0">
      <w:lvlJc w:val="left"/>
      <w:lvlText w:val="(%1)"/>
      <w:numFmt w:val="lowerRoman"/>
      <w:start w:val="2"/>
    </w:lvl>
  </w:abstractNum>
  <w:abstractNum w:abstractNumId="26">
    <w:nsid w:val="275AC794"/>
    <w:multiLevelType w:val="hybridMultilevel"/>
    <w:lvl w:ilvl="0">
      <w:lvlJc w:val="left"/>
      <w:lvlText w:val="(%1)"/>
      <w:numFmt w:val="lowerRoman"/>
      <w:start w:val="3"/>
    </w:lvl>
  </w:abstractNum>
  <w:abstractNum w:abstractNumId="27">
    <w:nsid w:val="39386575"/>
    <w:multiLevelType w:val="hybridMultilevel"/>
    <w:lvl w:ilvl="0">
      <w:lvlJc w:val="left"/>
      <w:lvlText w:val="(%1)"/>
      <w:numFmt w:val="lowerRoman"/>
      <w:start w:val="2"/>
    </w:lvl>
  </w:abstractNum>
  <w:abstractNum w:abstractNumId="28">
    <w:nsid w:val="1CF10FD8"/>
    <w:multiLevelType w:val="hybridMultilevel"/>
    <w:lvl w:ilvl="0">
      <w:lvlJc w:val="left"/>
      <w:lvlText w:val="(%1)"/>
      <w:numFmt w:val="lowerRoman"/>
      <w:start w:val="1"/>
    </w:lvl>
  </w:abstractNum>
  <w:abstractNum w:abstractNumId="29">
    <w:nsid w:val="180115BE"/>
    <w:multiLevelType w:val="hybridMultilevel"/>
    <w:lvl w:ilvl="0">
      <w:lvlJc w:val="left"/>
      <w:lvlText w:val="(%1)"/>
      <w:numFmt w:val="lowerLetter"/>
      <w:start w:val="2"/>
    </w:lvl>
  </w:abstractNum>
  <w:abstractNum w:abstractNumId="30">
    <w:nsid w:val="235BA861"/>
    <w:multiLevelType w:val="hybridMultilevel"/>
    <w:lvl w:ilvl="0">
      <w:lvlJc w:val="left"/>
      <w:lvlText w:val="(%1)"/>
      <w:numFmt w:val="lowerLetter"/>
      <w:start w:val="2"/>
    </w:lvl>
  </w:abstractNum>
  <w:abstractNum w:abstractNumId="31">
    <w:nsid w:val="47398C89"/>
    <w:multiLevelType w:val="hybridMultilevel"/>
    <w:lvl w:ilvl="0">
      <w:lvlJc w:val="left"/>
      <w:lvlText w:val="(%1)"/>
      <w:numFmt w:val="lowerRoman"/>
      <w:start w:val="1"/>
    </w:lvl>
  </w:abstractNum>
  <w:abstractNum w:abstractNumId="32">
    <w:nsid w:val="354FE9F9"/>
    <w:multiLevelType w:val="hybridMultilevel"/>
    <w:lvl w:ilvl="0">
      <w:lvlJc w:val="left"/>
      <w:lvlText w:val="(%1)"/>
      <w:numFmt w:val="lowerLetter"/>
      <w:start w:val="2"/>
    </w:lvl>
  </w:abstractNum>
  <w:abstractNum w:abstractNumId="33">
    <w:nsid w:val="15B5AF5C"/>
    <w:multiLevelType w:val="hybridMultilevel"/>
    <w:lvl w:ilvl="0">
      <w:lvlJc w:val="left"/>
      <w:lvlText w:val="%1"/>
      <w:numFmt w:val="lowerLetter"/>
      <w:start w:val="1"/>
    </w:lvl>
    <w:lvl w:ilvl="1">
      <w:lvlJc w:val="left"/>
      <w:lvlText w:val="(%2)"/>
      <w:numFmt w:val="lowerLetter"/>
      <w:start w:val="3"/>
    </w:lvl>
  </w:abstractNum>
  <w:abstractNum w:abstractNumId="34">
    <w:nsid w:val="741226BB"/>
    <w:multiLevelType w:val="hybridMultilevel"/>
    <w:lvl w:ilvl="0">
      <w:lvlJc w:val="left"/>
      <w:lvlText w:val="(%1)"/>
      <w:numFmt w:val="lowerLetter"/>
      <w:start w:val="35"/>
    </w:lvl>
    <w:lvl w:ilvl="1">
      <w:lvlJc w:val="left"/>
      <w:lvlText w:val="(%2)"/>
      <w:numFmt w:val="lowerLetter"/>
      <w:start w:val="4"/>
    </w:lvl>
  </w:abstractNum>
  <w:abstractNum w:abstractNumId="35">
    <w:nsid w:val="D34B6A8"/>
    <w:multiLevelType w:val="hybridMultilevel"/>
    <w:lvl w:ilvl="0">
      <w:lvlJc w:val="left"/>
      <w:lvlText w:val="(%1)"/>
      <w:numFmt w:val="lowerRoman"/>
      <w:start w:val="1"/>
    </w:lvl>
  </w:abstractNum>
  <w:abstractNum w:abstractNumId="36">
    <w:nsid w:val="10233C99"/>
    <w:multiLevelType w:val="hybridMultilevel"/>
    <w:lvl w:ilvl="0">
      <w:lvlJc w:val="left"/>
      <w:lvlText w:val="(%1)"/>
      <w:numFmt w:val="lowerLetter"/>
      <w:start w:val="2"/>
    </w:lvl>
  </w:abstractNum>
  <w:abstractNum w:abstractNumId="37">
    <w:nsid w:val="3F6AB60F"/>
    <w:multiLevelType w:val="hybridMultilevel"/>
    <w:lvl w:ilvl="0">
      <w:lvlJc w:val="left"/>
      <w:lvlText w:val="(%1)"/>
      <w:numFmt w:val="lowerLetter"/>
      <w:start w:val="2"/>
    </w:lvl>
  </w:abstractNum>
  <w:abstractNum w:abstractNumId="38">
    <w:nsid w:val="61574095"/>
    <w:multiLevelType w:val="hybridMultilevel"/>
    <w:lvl w:ilvl="0">
      <w:lvlJc w:val="left"/>
      <w:lvlText w:val="(%1)"/>
      <w:numFmt w:val="lowerLetter"/>
      <w:start w:val="3"/>
    </w:lvl>
  </w:abstractNum>
  <w:abstractNum w:abstractNumId="39">
    <w:nsid w:val="7E0C57B1"/>
    <w:multiLevelType w:val="hybridMultilevel"/>
    <w:lvl w:ilvl="0">
      <w:lvlJc w:val="left"/>
      <w:lvlText w:val="(%1)"/>
      <w:numFmt w:val="lowerLetter"/>
      <w:start w:val="2"/>
    </w:lvl>
  </w:abstractNum>
  <w:abstractNum w:abstractNumId="40">
    <w:nsid w:val="77AE35EB"/>
    <w:multiLevelType w:val="hybridMultilevel"/>
    <w:lvl w:ilvl="0">
      <w:lvlJc w:val="left"/>
      <w:lvlText w:val="%1"/>
      <w:numFmt w:val="lowerLetter"/>
      <w:start w:val="1"/>
    </w:lvl>
    <w:lvl w:ilvl="1">
      <w:lvlJc w:val="left"/>
      <w:lvlText w:val="(%2)"/>
      <w:numFmt w:val="lowerLetter"/>
      <w:start w:val="6"/>
    </w:lvl>
  </w:abstractNum>
  <w:abstractNum w:abstractNumId="41">
    <w:nsid w:val="579BE4F1"/>
    <w:multiLevelType w:val="hybridMultilevel"/>
    <w:lvl w:ilvl="0">
      <w:lvlJc w:val="left"/>
      <w:lvlText w:val="(%1)"/>
      <w:numFmt w:val="lowerLetter"/>
      <w:start w:val="3"/>
    </w:lvl>
    <w:lvl w:ilvl="1">
      <w:lvlJc w:val="left"/>
      <w:lvlText w:val="(%2)"/>
      <w:numFmt w:val="lowerLetter"/>
      <w:start w:val="7"/>
    </w:lvl>
  </w:abstractNum>
  <w:abstractNum w:abstractNumId="42">
    <w:nsid w:val="310C50B3"/>
    <w:multiLevelType w:val="hybridMultilevel"/>
    <w:lvl w:ilvl="0">
      <w:lvlJc w:val="left"/>
      <w:lvlText w:val="%1"/>
      <w:numFmt w:val="lowerLetter"/>
      <w:start w:val="1"/>
    </w:lvl>
    <w:lvl w:ilvl="1">
      <w:lvlJc w:val="left"/>
      <w:lvlText w:val="(%2)"/>
      <w:numFmt w:val="lowerLetter"/>
      <w:start w:val="2"/>
    </w:lvl>
  </w:abstractNum>
  <w:abstractNum w:abstractNumId="43">
    <w:nsid w:val="5FF87E05"/>
    <w:multiLevelType w:val="hybridMultilevel"/>
    <w:lvl w:ilvl="0">
      <w:lvlJc w:val="left"/>
      <w:lvlText w:val="(%1)"/>
      <w:numFmt w:val="lowerLetter"/>
      <w:start w:val="4"/>
    </w:lvl>
    <w:lvl w:ilvl="1">
      <w:lvlJc w:val="left"/>
      <w:lvlText w:val="(%2)"/>
      <w:numFmt w:val="lowerLetter"/>
      <w:start w:val="3"/>
    </w:lvl>
  </w:abstractNum>
  <w:abstractNum w:abstractNumId="44">
    <w:nsid w:val="2F305DEF"/>
    <w:multiLevelType w:val="hybridMultilevel"/>
    <w:lvl w:ilvl="0">
      <w:lvlJc w:val="left"/>
      <w:lvlText w:val="(%1)"/>
      <w:numFmt w:val="lowerRoman"/>
      <w:start w:val="1"/>
    </w:lvl>
  </w:abstractNum>
  <w:abstractNum w:abstractNumId="45">
    <w:nsid w:val="25A70BF7"/>
    <w:multiLevelType w:val="hybridMultilevel"/>
    <w:lvl w:ilvl="0">
      <w:lvlJc w:val="left"/>
      <w:lvlText w:val="(%1)"/>
      <w:numFmt w:val="lowerLetter"/>
      <w:start w:val="4"/>
    </w:lvl>
  </w:abstractNum>
  <w:abstractNum w:abstractNumId="46">
    <w:nsid w:val="1DBABF00"/>
    <w:multiLevelType w:val="hybridMultilevel"/>
    <w:lvl w:ilvl="0">
      <w:lvlJc w:val="left"/>
      <w:lvlText w:val="(%1)"/>
      <w:numFmt w:val="lowerLetter"/>
      <w:start w:val="1"/>
    </w:lvl>
    <w:lvl w:ilvl="1">
      <w:lvlJc w:val="left"/>
      <w:lvlText w:val="(%2)"/>
      <w:numFmt w:val="lowerRoman"/>
      <w:start w:val="1"/>
    </w:lvl>
  </w:abstractNum>
  <w:abstractNum w:abstractNumId="47">
    <w:nsid w:val="4AD084E9"/>
    <w:multiLevelType w:val="hybridMultilevel"/>
    <w:lvl w:ilvl="0">
      <w:lvlJc w:val="left"/>
      <w:lvlText w:val="(%1)"/>
      <w:numFmt w:val="lowerLetter"/>
      <w:start w:val="1"/>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1"/>
    </w:lvl>
  </w:abstractNum>
  <w:abstractNum w:abstractNumId="50">
    <w:nsid w:val="5DB70AE5"/>
    <w:multiLevelType w:val="hybridMultilevel"/>
    <w:lvl w:ilvl="0">
      <w:lvlJc w:val="left"/>
      <w:lvlText w:val="(%1)"/>
      <w:numFmt w:val="lowerLetter"/>
      <w:start w:val="6"/>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3"/>
    </w:lvl>
    <w:lvl w:ilvl="1">
      <w:lvlJc w:val="left"/>
      <w:lvlText w:val="(%2)"/>
      <w:numFmt w:val="lowerLetter"/>
      <w:start w:val="9"/>
    </w:lvl>
  </w:abstractNum>
  <w:abstractNum w:abstractNumId="53">
    <w:nsid w:val="15014ACB"/>
    <w:multiLevelType w:val="hybridMultilevel"/>
    <w:lvl w:ilvl="0">
      <w:lvlJc w:val="left"/>
      <w:lvlText w:val="(%1)"/>
      <w:numFmt w:val="lowerRoman"/>
      <w:start w:val="2"/>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Letter"/>
      <w:start w:val="1"/>
    </w:lvl>
    <w:lvl w:ilvl="1">
      <w:lvlJc w:val="left"/>
      <w:lvlText w:val="(%2)"/>
      <w:numFmt w:val="lowerRoman"/>
      <w:start w:val="1"/>
    </w:lvl>
  </w:abstractNum>
  <w:abstractNum w:abstractNumId="56">
    <w:nsid w:val="799D0247"/>
    <w:multiLevelType w:val="hybridMultilevel"/>
    <w:lvl w:ilvl="0">
      <w:lvlJc w:val="left"/>
      <w:lvlText w:val="(%1)"/>
      <w:numFmt w:val="lowerLetter"/>
      <w:start w:val="2"/>
    </w:lvl>
    <w:lvl w:ilvl="1">
      <w:lvlJc w:val="left"/>
      <w:lvlText w:val="%2"/>
      <w:numFmt w:val="lowerRoman"/>
      <w:start w:val="1"/>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lowerLetter"/>
      <w:start w:val="1"/>
    </w:lvl>
    <w:lvl w:ilvl="1">
      <w:lvlJc w:val="left"/>
      <w:lvlText w:val="(%2)"/>
      <w:numFmt w:val="lowerLetter"/>
      <w:start w:val="6"/>
    </w:lvl>
  </w:abstractNum>
  <w:abstractNum w:abstractNumId="59">
    <w:nsid w:val="168E121F"/>
    <w:multiLevelType w:val="hybridMultilevel"/>
    <w:lvl w:ilvl="0">
      <w:lvlJc w:val="left"/>
      <w:lvlText w:val="(%1)"/>
      <w:numFmt w:val="lowerLetter"/>
      <w:start w:val="9"/>
    </w:lvl>
    <w:lvl w:ilvl="1">
      <w:lvlJc w:val="left"/>
      <w:lvlText w:val="(%2)"/>
      <w:numFmt w:val="lowerLetter"/>
      <w:start w:val="7"/>
    </w:lvl>
  </w:abstractNum>
  <w:abstractNum w:abstractNumId="60">
    <w:nsid w:val="1EBA5D23"/>
    <w:multiLevelType w:val="hybridMultilevel"/>
    <w:lvl w:ilvl="0">
      <w:lvlJc w:val="left"/>
      <w:lvlText w:val="(%1)"/>
      <w:numFmt w:val="lowerLetter"/>
      <w:start w:val="61"/>
    </w:lvl>
    <w:lvl w:ilvl="1">
      <w:lvlJc w:val="left"/>
      <w:lvlText w:val="%2"/>
      <w:numFmt w:val="lowerLetter"/>
      <w:start w:val="1"/>
    </w:lvl>
  </w:abstractNum>
  <w:abstractNum w:abstractNumId="61">
    <w:nsid w:val="661E3F1E"/>
    <w:multiLevelType w:val="hybridMultilevel"/>
    <w:lvl w:ilvl="0">
      <w:lvlJc w:val="left"/>
      <w:lvlText w:val="(%1)"/>
      <w:numFmt w:val="lowerRoman"/>
      <w:start w:val="2"/>
    </w:lvl>
  </w:abstractNum>
  <w:abstractNum w:abstractNumId="62">
    <w:nsid w:val="5DC79EA8"/>
    <w:multiLevelType w:val="hybridMultilevel"/>
    <w:lvl w:ilvl="0">
      <w:lvlJc w:val="left"/>
      <w:lvlText w:val="(%1)"/>
      <w:numFmt w:val="lowerLetter"/>
      <w:start w:val="2"/>
    </w:lvl>
  </w:abstractNum>
  <w:abstractNum w:abstractNumId="63">
    <w:nsid w:val="540A471C"/>
    <w:multiLevelType w:val="hybridMultilevel"/>
    <w:lvl w:ilvl="0">
      <w:lvlJc w:val="left"/>
      <w:lvlText w:val="(%1)"/>
      <w:numFmt w:val="lowerLetter"/>
      <w:start w:val="4"/>
    </w:lvl>
  </w:abstractNum>
  <w:abstractNum w:abstractNumId="64">
    <w:nsid w:val="7BD3EE7B"/>
    <w:multiLevelType w:val="hybridMultilevel"/>
    <w:lvl w:ilvl="0">
      <w:lvlJc w:val="left"/>
      <w:lvlText w:val="(%1)"/>
      <w:numFmt w:val="lowerLetter"/>
      <w:start w:val="2"/>
    </w:lvl>
  </w:abstractNum>
  <w:abstractNum w:abstractNumId="65">
    <w:nsid w:val="51D9C564"/>
    <w:multiLevelType w:val="hybridMultilevel"/>
    <w:lvl w:ilvl="0">
      <w:lvlJc w:val="left"/>
      <w:lvlText w:val="(%1)"/>
      <w:numFmt w:val="lowerLetter"/>
      <w:start w:val="3"/>
    </w:lvl>
  </w:abstractNum>
  <w:abstractNum w:abstractNumId="66">
    <w:nsid w:val="613EFDC5"/>
    <w:multiLevelType w:val="hybridMultilevel"/>
    <w:lvl w:ilvl="0">
      <w:lvlJc w:val="left"/>
      <w:lvlText w:val="(%1)"/>
      <w:numFmt w:val="lowerLetter"/>
      <w:start w:val="35"/>
    </w:lvl>
    <w:lvl w:ilvl="1">
      <w:lvlJc w:val="left"/>
      <w:lvlText w:val="(%2)"/>
      <w:numFmt w:val="lowerLetter"/>
      <w:start w:val="6"/>
    </w:lvl>
  </w:abstractNum>
  <w:abstractNum w:abstractNumId="67">
    <w:nsid w:val="BF72B14"/>
    <w:multiLevelType w:val="hybridMultilevel"/>
    <w:lvl w:ilvl="0">
      <w:lvlJc w:val="left"/>
      <w:lvlText w:val="(%1)"/>
      <w:numFmt w:val="lowerLetter"/>
      <w:start w:val="2"/>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1)"/>
      <w:numFmt w:val="lowerRoman"/>
      <w:start w:val="1"/>
    </w:lvl>
  </w:abstractNum>
  <w:abstractNum w:abstractNumId="70">
    <w:nsid w:val="A0382C5"/>
    <w:multiLevelType w:val="hybridMultilevel"/>
    <w:lvl w:ilvl="0">
      <w:lvlJc w:val="left"/>
      <w:lvlText w:val="(%1)"/>
      <w:numFmt w:val="upperLetter"/>
      <w:start w:val="1"/>
    </w:lvl>
  </w:abstractNum>
  <w:abstractNum w:abstractNumId="71">
    <w:nsid w:val="8F2B15E"/>
    <w:multiLevelType w:val="hybridMultilevel"/>
    <w:lvl w:ilvl="0">
      <w:lvlJc w:val="left"/>
      <w:lvlText w:val="(%1)"/>
      <w:numFmt w:val="upperLetter"/>
      <w:start w:val="2"/>
    </w:lvl>
  </w:abstractNum>
  <w:abstractNum w:abstractNumId="72">
    <w:nsid w:val="1A32234B"/>
    <w:multiLevelType w:val="hybridMultilevel"/>
    <w:lvl w:ilvl="0">
      <w:lvlJc w:val="left"/>
      <w:lvlText w:val="(%1)"/>
      <w:numFmt w:val="upperLetter"/>
      <w:start w:val="3"/>
    </w:lvl>
  </w:abstractNum>
  <w:abstractNum w:abstractNumId="73">
    <w:nsid w:val="3B0FD379"/>
    <w:multiLevelType w:val="hybridMultilevel"/>
    <w:lvl w:ilvl="0">
      <w:lvlJc w:val="left"/>
      <w:lvlText w:val="(%1)"/>
      <w:numFmt w:val="upperLetter"/>
      <w:start w:val="5"/>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Letter"/>
      <w:start w:val="2"/>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lowerRoman"/>
      <w:start w:val="3"/>
    </w:lvl>
    <w:lvl w:ilvl="1">
      <w:lvlJc w:val="left"/>
      <w:lvlText w:val="%2."/>
      <w:numFmt w:val="decimal"/>
      <w:start w:val="4"/>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1)"/>
      <w:numFmt w:val="lowerRoman"/>
      <w:start w:val="3"/>
    </w:lvl>
  </w:abstractNum>
  <w:abstractNum w:abstractNumId="80">
    <w:nsid w:val="1A27709E"/>
    <w:multiLevelType w:val="hybridMultilevel"/>
    <w:lvl w:ilvl="0">
      <w:lvlJc w:val="left"/>
      <w:lvlText w:val="%1"/>
      <w:numFmt w:val="upperLetter"/>
      <w:start w:val="1"/>
    </w:lvl>
    <w:lvl w:ilvl="1">
      <w:lvlJc w:val="left"/>
      <w:lvlText w:val="(%2)"/>
      <w:numFmt w:val="decimal"/>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Roman"/>
      <w:start w:val="1"/>
    </w:lvl>
    <w:lvl w:ilvl="1">
      <w:lvlJc w:val="left"/>
      <w:lvlText w:val="%2."/>
      <w:numFmt w:val="decimal"/>
      <w:start w:val="1"/>
    </w:lvl>
  </w:abstractNum>
  <w:abstractNum w:abstractNumId="83">
    <w:nsid w:val="7FB7E0AA"/>
    <w:multiLevelType w:val="hybridMultilevel"/>
    <w:lvl w:ilvl="0">
      <w:lvlJc w:val="left"/>
      <w:lvlText w:val="(%1)"/>
      <w:numFmt w:val="lowerRoman"/>
      <w:start w:val="10"/>
    </w:lvl>
    <w:lvl w:ilvl="1">
      <w:lvlJc w:val="left"/>
      <w:lvlText w:val="%2."/>
      <w:numFmt w:val="decimal"/>
      <w:start w:val="3"/>
    </w:lvl>
  </w:abstractNum>
  <w:abstractNum w:abstractNumId="84">
    <w:nsid w:val="6EB5B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2019-12-13T08:17:24Z</dcterms:created>
  <dcterms:modified xsi:type="dcterms:W3CDTF">2019-12-13T08:17:24Z</dcterms:modified>
</cp:coreProperties>
</file>