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160655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 2015</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7"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1, 2015, Graham Holdings Company issued a press release announcing that its subsidiary, Cable ONE, Inc. ("Cable ONE"), launched an unregistered offering of $450 million in principal amount of Cable ONE's senior unsecured notes (the "Notes"). The notes will be sold in the United States only to persons reasonably believed to be qualified institutional buyers in reliance on the exemption from registration set forth in Rule 144A under the Securities Act of 1933, as amended (the "Securities Act"), and sold outside the United States to non-U.S. persons in reliance on the exemption from registration set forth in Regulation S under the Securities Act. A copy of the press release, which was issued pursuant to and in accordance with Rule 135c under the Securities Act, is attached hereto as Exhibit 99.1 and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9.01(d) Exhibits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7"/>
          <w:szCs w:val="17"/>
          <w:color w:val="auto"/>
        </w:rPr>
        <w:t>Description</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Rule 135c Notice relating to Cable ONE's offering of $450 million of senior unsecured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Exchange Act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1934, the Registrant has duly caused this report to be signed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behalf by the undersigned hereunto duly authorized.</w:t>
      </w:r>
    </w:p>
    <w:p>
      <w:pPr>
        <w:spacing w:after="0" w:line="383"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Graham Holdings Company</w:t>
      </w:r>
    </w:p>
    <w:p>
      <w:pPr>
        <w:jc w:val="center"/>
        <w:ind w:left="5140"/>
        <w:spacing w:after="0"/>
        <w:rPr>
          <w:sz w:val="20"/>
          <w:szCs w:val="20"/>
          <w:color w:val="auto"/>
        </w:rPr>
      </w:pPr>
      <w:r>
        <w:rPr>
          <w:rFonts w:ascii="Arial" w:cs="Arial" w:eastAsia="Arial" w:hAnsi="Arial"/>
          <w:sz w:val="18"/>
          <w:szCs w:val="18"/>
          <w:color w:val="auto"/>
        </w:rPr>
        <w:t>(Registrant)</w:t>
      </w:r>
    </w:p>
    <w:p>
      <w:pPr>
        <w:spacing w:after="0" w:line="63" w:lineRule="exact"/>
        <w:rPr>
          <w:sz w:val="20"/>
          <w:szCs w:val="20"/>
          <w:color w:val="auto"/>
        </w:rPr>
      </w:pPr>
    </w:p>
    <w:p>
      <w:pPr>
        <w:ind w:left="280"/>
        <w:spacing w:after="0"/>
        <w:tabs>
          <w:tab w:leader="none" w:pos="7520" w:val="left"/>
        </w:tabs>
        <w:rPr>
          <w:sz w:val="20"/>
          <w:szCs w:val="20"/>
          <w:color w:val="auto"/>
        </w:rPr>
      </w:pPr>
      <w:r>
        <w:rPr>
          <w:rFonts w:ascii="Arial" w:cs="Arial" w:eastAsia="Arial" w:hAnsi="Arial"/>
          <w:sz w:val="18"/>
          <w:szCs w:val="18"/>
          <w:color w:val="auto"/>
        </w:rPr>
        <w:t>Date: June 1, 2015</w:t>
      </w:r>
      <w:r>
        <w:rPr>
          <w:sz w:val="20"/>
          <w:szCs w:val="20"/>
          <w:color w:val="auto"/>
        </w:rPr>
        <w:tab/>
      </w:r>
      <w:r>
        <w:rPr>
          <w:rFonts w:ascii="Arial" w:cs="Arial" w:eastAsia="Arial" w:hAnsi="Arial"/>
          <w:sz w:val="17"/>
          <w:szCs w:val="17"/>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9"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(Signature)</w:t>
      </w:r>
    </w:p>
    <w:p>
      <w:pPr>
        <w:jc w:val="center"/>
        <w:ind w:left="5140"/>
        <w:spacing w:after="0" w:line="234" w:lineRule="auto"/>
        <w:rPr>
          <w:sz w:val="20"/>
          <w:szCs w:val="20"/>
          <w:color w:val="auto"/>
        </w:rPr>
      </w:pPr>
      <w:r>
        <w:rPr>
          <w:rFonts w:ascii="Arial" w:cs="Arial" w:eastAsia="Arial" w:hAnsi="Arial"/>
          <w:sz w:val="18"/>
          <w:szCs w:val="18"/>
          <w:color w:val="auto"/>
        </w:rPr>
        <w:t>Nicole Maddrey</w:t>
      </w:r>
    </w:p>
    <w:p>
      <w:pPr>
        <w:spacing w:after="0" w:line="1"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Senior Vice President, Secretary and General Counsel</w:t>
      </w:r>
    </w:p>
    <w:p>
      <w:pPr>
        <w:sectPr>
          <w:pgSz w:w="11900" w:h="16838" w:orient="portrait"/>
          <w:cols w:equalWidth="0" w:num="1">
            <w:col w:w="11360"/>
          </w:cols>
          <w:pgMar w:left="240" w:top="576" w:right="299" w:bottom="1440" w:gutter="0" w:footer="0" w:header="0"/>
        </w:sectPr>
      </w:pPr>
    </w:p>
    <w:bookmarkStart w:id="2" w:name="page3"/>
    <w:bookmarkEnd w:id="2"/>
    <w:p>
      <w:pPr>
        <w:ind w:left="506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7"/>
          <w:szCs w:val="17"/>
          <w:color w:val="auto"/>
        </w:rPr>
        <w:t>Description</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tab/>
        <w:t>Rule 135c Notice relating to Cable ONE's offering of $450 million of senior unsecured notes.</w:t>
      </w:r>
    </w:p>
    <w:p>
      <w:pPr>
        <w:sectPr>
          <w:pgSz w:w="11900" w:h="16838" w:orient="portrait"/>
          <w:cols w:equalWidth="0" w:num="1">
            <w:col w:w="10219"/>
          </w:cols>
          <w:pgMar w:left="240" w:top="598"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Graham Holdings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Announces Proposed Cable ONE Debt Offering</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ARLINGTON, VA-June 1, 2015- Graham Holdings Company (NYSE: GHC) announced today that in connection with the previously announced intention to separate Cable ONE, Inc. (“Cable ONE”) from Graham Holdings Company, Cable ONE plans to raise an aggregate of $550 million of debt through an offering of $450 million of senior unsecured notes and by entering into a senior secured term loan facility. Graham Holdings Company will not be a guarantor or otherwise provide credit support for the notes or the term loan facility.</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Cable ONE intends to use the expected net proceeds from the notes offering, together with cash on hand, to pay a special one-time cash dividend to Graham Holdings Company.</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21"/>
          <w:szCs w:val="21"/>
          <w:color w:val="auto"/>
        </w:rPr>
        <w:t>The notes have not been, and will not be, registered under the United States Securities Act of 1933, as amended (the “Securities Act”), or the securities laws of any state or other jurisdiction and may not be offered or sold in the United States absent registration or an applicable exemption from the registration requirements of the Securities Act and any other applicable securities laws. The notes will be sold in the United States only to persons reasonably believed to be qualified institutional buyers in reliance on the exemption from registration set forth in Rule 144A under the Securities Act and sold outside the United States to non-U.S. persons in reliance on the exemption from registration set forth in Regulation S under the Securities Act. This press release shall not constitute an offer to sell or the solicitation of an offer to buy, nor shall there be any sale of the notes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This press release contains certain forward-looking statements within the meaning of the Private Securities Litigation Reform Act of 1995. These statements are based on management’s current expectations or beliefs, and are subject to uncertainty and changes in circumstances. Actual results may vary materially from those expressed or implied by the statements in this press release due to changes in economic, business, competitive, technological, strategic and/or regulatory factors and other factors affecting the operation of Graham Holdings Company's businesses. More detailed information about these factors may be found in filings by Graham Holdings Company with the Securities and Exchange Commission, including its most recent Annual Report on Form 10-K and any subsequent Quarterly Reports on Form 10-Q. Graham Holdings Company is under no obligation, and expressly disclaims any such obligation, to update or alter its forward-looking statements, whether as a result of new information, future events, or otherwise.</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333333"/>
        </w:rPr>
        <w:t>___________________________________________</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About Graham Holdings Company</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9"/>
          <w:szCs w:val="19"/>
          <w:color w:val="333333"/>
        </w:rPr>
        <w:t>Graham Holdings Company (NYSE: GHC) is a diversified education and media company whose principal operations include educational services, television broadcasting, cable systems and online services, print and local TV news. The Company owns Kaplan, a leading global provider of educational services; Graham Media Group (WDIV-Detroit, KPRC-Houston, WKMG-Orlando, KSAT-San Antonio, WJXT-Jacksonville); Cable ONE, serving small-city subscribers in 19 midwestern, western and southern states; The Slate Group (Slate and Panoply); and Foreign Policy. The Company also owns Trove, a digital team focused on innovation and experimentation with emerging technologies; SocialCode, a leading social marketing solutions company; Celtic Healthcare; Forney Corporation; Joyce/Dayton Corp; and Residential Healthcare Group.</w:t>
      </w:r>
    </w:p>
    <w:p>
      <w:pPr>
        <w:spacing w:after="0" w:line="7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 # #</w:t>
      </w:r>
    </w:p>
    <w:p>
      <w:pPr>
        <w:spacing w:after="0" w:line="22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Contact:</w:t>
      </w:r>
      <w:r>
        <w:rPr>
          <w:sz w:val="20"/>
          <w:szCs w:val="20"/>
          <w:color w:val="auto"/>
        </w:rPr>
        <w:tab/>
      </w:r>
      <w:r>
        <w:rPr>
          <w:rFonts w:ascii="Arial" w:cs="Arial" w:eastAsia="Arial" w:hAnsi="Arial"/>
          <w:sz w:val="19"/>
          <w:szCs w:val="19"/>
          <w:color w:val="auto"/>
        </w:rPr>
        <w:t>Pinkie Mayfield</w:t>
      </w:r>
    </w:p>
    <w:p>
      <w:pPr>
        <w:spacing w:after="0" w:line="22" w:lineRule="exact"/>
        <w:rPr>
          <w:sz w:val="20"/>
          <w:szCs w:val="20"/>
          <w:color w:val="auto"/>
        </w:rPr>
      </w:pPr>
    </w:p>
    <w:p>
      <w:pPr>
        <w:ind w:left="1300" w:right="7540" w:firstLine="5"/>
        <w:spacing w:after="0" w:line="338" w:lineRule="auto"/>
        <w:tabs>
          <w:tab w:leader="none" w:pos="1822" w:val="left"/>
        </w:tabs>
        <w:numPr>
          <w:ilvl w:val="0"/>
          <w:numId w:val="2"/>
        </w:numPr>
        <w:rPr>
          <w:rFonts w:ascii="Arial" w:cs="Arial" w:eastAsia="Arial" w:hAnsi="Arial"/>
          <w:sz w:val="19"/>
          <w:szCs w:val="19"/>
          <w:color w:val="auto"/>
        </w:rPr>
      </w:pPr>
      <w:r>
        <w:rPr>
          <w:rFonts w:ascii="Arial" w:cs="Arial" w:eastAsia="Arial" w:hAnsi="Arial"/>
          <w:sz w:val="19"/>
          <w:szCs w:val="19"/>
          <w:color w:val="auto"/>
        </w:rPr>
        <w:t>345-6450 Pinkie.Mayfield@ghco.com</w:t>
      </w:r>
    </w:p>
    <w:sectPr>
      <w:pgSz w:w="11900" w:h="16838" w:orient="portrait"/>
      <w:cols w:equalWidth="0" w:num="1">
        <w:col w:w="11280"/>
      </w:cols>
      <w:pgMar w:left="240" w:top="80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2019-12-05T16:20:00Z</dcterms:created>
  <dcterms:modified xsi:type="dcterms:W3CDTF">2019-12-05T16:20:00Z</dcterms:modified>
</cp:coreProperties>
</file>