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This report (including all exhibits)</w:t>
      </w:r>
    </w:p>
    <w:p>
      <w:pPr>
        <w:spacing w:after="0" w:line="5" w:lineRule="exact"/>
        <w:rPr>
          <w:sz w:val="24"/>
          <w:szCs w:val="24"/>
          <w:color w:val="auto"/>
        </w:rPr>
      </w:pPr>
    </w:p>
    <w:p>
      <w:pPr>
        <w:ind w:left="1480" w:right="3359" w:firstLine="316"/>
        <w:spacing w:after="0" w:line="290" w:lineRule="auto"/>
        <w:rPr>
          <w:sz w:val="20"/>
          <w:szCs w:val="20"/>
          <w:color w:val="auto"/>
        </w:rPr>
      </w:pPr>
      <w:r>
        <w:rPr>
          <w:rFonts w:ascii="Courier New" w:cs="Courier New" w:eastAsia="Courier New" w:hAnsi="Courier New"/>
          <w:sz w:val="16"/>
          <w:szCs w:val="16"/>
          <w:color w:val="auto"/>
        </w:rPr>
        <w:t>consists of a total of 17 pages, of which this page is number 1. The exhibit index is on page 14.</w:t>
      </w:r>
    </w:p>
    <w:p>
      <w:pPr>
        <w:spacing w:after="0" w:line="36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Quarterly Report Pursuant to Section 13 or 15(d)</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w:t>
      </w:r>
    </w:p>
    <w:p>
      <w:pPr>
        <w:spacing w:after="0"/>
        <w:tabs>
          <w:tab w:leader="none" w:pos="1980" w:val="left"/>
          <w:tab w:leader="none" w:pos="3560" w:val="left"/>
        </w:tabs>
        <w:rPr>
          <w:sz w:val="20"/>
          <w:szCs w:val="20"/>
          <w:color w:val="auto"/>
        </w:rPr>
      </w:pPr>
      <w:r>
        <w:rPr>
          <w:rFonts w:ascii="Courier New" w:cs="Courier New" w:eastAsia="Courier New" w:hAnsi="Courier New"/>
          <w:sz w:val="18"/>
          <w:szCs w:val="18"/>
          <w:color w:val="auto"/>
        </w:rPr>
        <w:t>Period Ended</w:t>
      </w:r>
      <w:r>
        <w:rPr>
          <w:sz w:val="20"/>
          <w:szCs w:val="20"/>
          <w:color w:val="auto"/>
        </w:rPr>
        <w:tab/>
      </w:r>
      <w:r>
        <w:rPr>
          <w:rFonts w:ascii="Courier New" w:cs="Courier New" w:eastAsia="Courier New" w:hAnsi="Courier New"/>
          <w:sz w:val="18"/>
          <w:szCs w:val="18"/>
          <w:color w:val="auto"/>
        </w:rPr>
        <w:t>July 2, 1995</w:t>
      </w:r>
      <w:r>
        <w:rPr>
          <w:sz w:val="20"/>
          <w:szCs w:val="20"/>
          <w:color w:val="auto"/>
        </w:rPr>
        <w:tab/>
      </w:r>
      <w:r>
        <w:rPr>
          <w:rFonts w:ascii="Courier New" w:cs="Courier New" w:eastAsia="Courier New" w:hAnsi="Courier New"/>
          <w:sz w:val="16"/>
          <w:szCs w:val="16"/>
          <w:color w:val="auto"/>
        </w:rPr>
        <w:t>Commission File Number 1-6714</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THE WASHINGTON POST COMPANY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540"/>
        <w:spacing w:after="0"/>
        <w:tabs>
          <w:tab w:leader="none" w:pos="578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6"/>
          <w:szCs w:val="16"/>
          <w:color w:val="auto"/>
        </w:rPr>
        <w:t>53-0182885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480"/>
        <w:spacing w:after="0"/>
        <w:tabs>
          <w:tab w:leader="none" w:pos="5780" w:val="left"/>
        </w:tabs>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ab/>
      </w:r>
      <w:r>
        <w:rPr>
          <w:rFonts w:ascii="Courier New" w:cs="Courier New" w:eastAsia="Courier New" w:hAnsi="Courier New"/>
          <w:sz w:val="16"/>
          <w:szCs w:val="16"/>
          <w:color w:val="auto"/>
        </w:rPr>
        <w:t>(I.R.S. Employer</w:t>
      </w:r>
    </w:p>
    <w:p>
      <w:pPr>
        <w:ind w:left="1480"/>
        <w:spacing w:after="0"/>
        <w:tabs>
          <w:tab w:leader="none" w:pos="5780" w:val="left"/>
        </w:tabs>
        <w:rPr>
          <w:sz w:val="20"/>
          <w:szCs w:val="20"/>
          <w:color w:val="auto"/>
        </w:rPr>
      </w:pPr>
      <w:r>
        <w:rPr>
          <w:rFonts w:ascii="Courier New" w:cs="Courier New" w:eastAsia="Courier New" w:hAnsi="Courier New"/>
          <w:sz w:val="18"/>
          <w:szCs w:val="18"/>
          <w:color w:val="auto"/>
        </w:rPr>
        <w:t>incorporation or organization)</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ind w:left="1280"/>
        <w:spacing w:after="0"/>
        <w:tabs>
          <w:tab w:leader="none" w:pos="4420" w:val="left"/>
          <w:tab w:leader="none" w:pos="6840" w:val="left"/>
        </w:tabs>
        <w:rPr>
          <w:sz w:val="20"/>
          <w:szCs w:val="20"/>
          <w:color w:val="auto"/>
        </w:rPr>
      </w:pPr>
      <w:r>
        <w:rPr>
          <w:rFonts w:ascii="Courier New" w:cs="Courier New" w:eastAsia="Courier New" w:hAnsi="Courier New"/>
          <w:sz w:val="18"/>
          <w:szCs w:val="18"/>
          <w:color w:val="auto"/>
        </w:rPr>
        <w:t>1150 15th Street, N.W.</w:t>
      </w:r>
      <w:r>
        <w:rPr>
          <w:sz w:val="20"/>
          <w:szCs w:val="20"/>
          <w:color w:val="auto"/>
        </w:rPr>
        <w:tab/>
      </w: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20071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480"/>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ind w:left="4020" w:hanging="641"/>
        <w:spacing w:after="0"/>
        <w:tabs>
          <w:tab w:leader="none" w:pos="40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334-6000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Indicate by</w:t>
      </w:r>
      <w:r>
        <w:rPr>
          <w:sz w:val="20"/>
          <w:szCs w:val="20"/>
          <w:color w:val="auto"/>
        </w:rPr>
        <w:tab/>
      </w:r>
      <w:r>
        <w:rPr>
          <w:rFonts w:ascii="Courier New" w:cs="Courier New" w:eastAsia="Courier New" w:hAnsi="Courier New"/>
          <w:sz w:val="16"/>
          <w:szCs w:val="16"/>
          <w:color w:val="auto"/>
        </w:rPr>
        <w:t>check mark whether the registrant (1) has filed all</w:t>
      </w:r>
    </w:p>
    <w:p>
      <w:pPr>
        <w:spacing w:after="0"/>
        <w:tabs>
          <w:tab w:leader="none" w:pos="940" w:val="left"/>
          <w:tab w:leader="none" w:pos="3260" w:val="left"/>
          <w:tab w:leader="none" w:pos="5140" w:val="left"/>
        </w:tabs>
        <w:rPr>
          <w:sz w:val="20"/>
          <w:szCs w:val="20"/>
          <w:color w:val="auto"/>
        </w:rPr>
      </w:pPr>
      <w:r>
        <w:rPr>
          <w:rFonts w:ascii="Courier New" w:cs="Courier New" w:eastAsia="Courier New" w:hAnsi="Courier New"/>
          <w:sz w:val="18"/>
          <w:szCs w:val="18"/>
          <w:color w:val="auto"/>
        </w:rPr>
        <w:t>reports</w:t>
        <w:tab/>
        <w:t>required to be filed</w:t>
        <w:tab/>
        <w:t>by Section 13 or</w:t>
      </w:r>
      <w:r>
        <w:rPr>
          <w:sz w:val="20"/>
          <w:szCs w:val="20"/>
          <w:color w:val="auto"/>
        </w:rPr>
        <w:tab/>
      </w:r>
      <w:r>
        <w:rPr>
          <w:rFonts w:ascii="Courier New" w:cs="Courier New" w:eastAsia="Courier New" w:hAnsi="Courier New"/>
          <w:sz w:val="16"/>
          <w:szCs w:val="16"/>
          <w:color w:val="auto"/>
        </w:rPr>
        <w:t>15(d) of the Securities</w:t>
      </w:r>
    </w:p>
    <w:p>
      <w:pPr>
        <w:spacing w:after="0"/>
        <w:tabs>
          <w:tab w:leader="none" w:pos="1460" w:val="left"/>
          <w:tab w:leader="none" w:pos="3140" w:val="left"/>
          <w:tab w:leader="none" w:pos="5040" w:val="left"/>
        </w:tabs>
        <w:rPr>
          <w:sz w:val="20"/>
          <w:szCs w:val="20"/>
          <w:color w:val="auto"/>
        </w:rPr>
      </w:pPr>
      <w:r>
        <w:rPr>
          <w:rFonts w:ascii="Courier New" w:cs="Courier New" w:eastAsia="Courier New" w:hAnsi="Courier New"/>
          <w:sz w:val="18"/>
          <w:szCs w:val="18"/>
          <w:color w:val="auto"/>
        </w:rPr>
        <w:t>Exchange Act</w:t>
        <w:tab/>
        <w:t>of 1934 during</w:t>
        <w:tab/>
        <w:t>the preceding 12</w:t>
      </w:r>
      <w:r>
        <w:rPr>
          <w:sz w:val="20"/>
          <w:szCs w:val="20"/>
          <w:color w:val="auto"/>
        </w:rPr>
        <w:tab/>
      </w:r>
      <w:r>
        <w:rPr>
          <w:rFonts w:ascii="Courier New" w:cs="Courier New" w:eastAsia="Courier New" w:hAnsi="Courier New"/>
          <w:sz w:val="16"/>
          <w:szCs w:val="16"/>
          <w:color w:val="auto"/>
        </w:rPr>
        <w:t>months (or for such shorter</w:t>
      </w:r>
    </w:p>
    <w:p>
      <w:pPr>
        <w:spacing w:after="0"/>
        <w:tabs>
          <w:tab w:leader="none" w:pos="3360" w:val="left"/>
          <w:tab w:leader="none" w:pos="5260" w:val="left"/>
          <w:tab w:leader="none" w:pos="5880" w:val="left"/>
        </w:tabs>
        <w:rPr>
          <w:sz w:val="20"/>
          <w:szCs w:val="20"/>
          <w:color w:val="auto"/>
        </w:rPr>
      </w:pPr>
      <w:r>
        <w:rPr>
          <w:rFonts w:ascii="Courier New" w:cs="Courier New" w:eastAsia="Courier New" w:hAnsi="Courier New"/>
          <w:sz w:val="18"/>
          <w:szCs w:val="18"/>
          <w:color w:val="auto"/>
        </w:rPr>
        <w:t>period that the registrant was</w:t>
        <w:tab/>
        <w:t>required to file</w:t>
        <w:tab/>
        <w:t>such</w:t>
      </w:r>
      <w:r>
        <w:rPr>
          <w:sz w:val="20"/>
          <w:szCs w:val="20"/>
          <w:color w:val="auto"/>
        </w:rPr>
        <w:tab/>
      </w:r>
      <w:r>
        <w:rPr>
          <w:rFonts w:ascii="Courier New" w:cs="Courier New" w:eastAsia="Courier New" w:hAnsi="Courier New"/>
          <w:sz w:val="16"/>
          <w:szCs w:val="16"/>
          <w:color w:val="auto"/>
        </w:rPr>
        <w:t>reports), and</w:t>
      </w:r>
    </w:p>
    <w:p>
      <w:pPr>
        <w:spacing w:after="0"/>
        <w:tabs>
          <w:tab w:leader="none" w:pos="1460" w:val="left"/>
          <w:tab w:leader="none" w:pos="2720" w:val="left"/>
        </w:tabs>
        <w:rPr>
          <w:sz w:val="20"/>
          <w:szCs w:val="20"/>
          <w:color w:val="auto"/>
        </w:rPr>
      </w:pPr>
      <w:r>
        <w:rPr>
          <w:rFonts w:ascii="Courier New" w:cs="Courier New" w:eastAsia="Courier New" w:hAnsi="Courier New"/>
          <w:sz w:val="18"/>
          <w:szCs w:val="18"/>
          <w:color w:val="auto"/>
        </w:rPr>
        <w:t>(2) has been</w:t>
        <w:tab/>
        <w:t>subject to</w:t>
      </w:r>
      <w:r>
        <w:rPr>
          <w:sz w:val="20"/>
          <w:szCs w:val="20"/>
          <w:color w:val="auto"/>
        </w:rPr>
        <w:tab/>
      </w:r>
      <w:r>
        <w:rPr>
          <w:rFonts w:ascii="Courier New" w:cs="Courier New" w:eastAsia="Courier New" w:hAnsi="Courier New"/>
          <w:sz w:val="16"/>
          <w:szCs w:val="16"/>
          <w:color w:val="auto"/>
        </w:rPr>
        <w:t>such filing requirements for the past 90</w:t>
      </w:r>
    </w:p>
    <w:p>
      <w:pPr>
        <w:spacing w:after="0"/>
        <w:tabs>
          <w:tab w:leader="none" w:pos="720" w:val="left"/>
          <w:tab w:leader="none" w:pos="1360" w:val="left"/>
          <w:tab w:leader="none" w:pos="1880" w:val="left"/>
          <w:tab w:leader="none" w:pos="2200" w:val="left"/>
          <w:tab w:leader="none" w:pos="3140" w:val="left"/>
        </w:tabs>
        <w:rPr>
          <w:sz w:val="20"/>
          <w:szCs w:val="20"/>
          <w:color w:val="auto"/>
        </w:rPr>
      </w:pPr>
      <w:r>
        <w:rPr>
          <w:rFonts w:ascii="Courier New" w:cs="Courier New" w:eastAsia="Courier New" w:hAnsi="Courier New"/>
          <w:sz w:val="18"/>
          <w:szCs w:val="18"/>
          <w:color w:val="auto"/>
        </w:rPr>
        <w:t>days.</w:t>
        <w:tab/>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w:t>
        <w:tab/>
        <w:t>No</w:t>
      </w:r>
      <w:r>
        <w:rPr>
          <w:sz w:val="20"/>
          <w:szCs w:val="20"/>
          <w:color w:val="auto"/>
        </w:rPr>
        <w:tab/>
      </w:r>
      <w:r>
        <w:rPr>
          <w:rFonts w:ascii="Courier New" w:cs="Courier New" w:eastAsia="Courier New" w:hAnsi="Courier New"/>
          <w:sz w:val="18"/>
          <w:szCs w:val="18"/>
          <w:color w:val="auto"/>
        </w:rPr>
        <w:t>.</w:t>
      </w:r>
    </w:p>
    <w:p>
      <w:pPr>
        <w:ind w:left="1060"/>
        <w:spacing w:after="0" w:line="237" w:lineRule="auto"/>
        <w:tabs>
          <w:tab w:leader="none" w:pos="24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Shares outstanding at August 6, 1995:</w:t>
      </w:r>
    </w:p>
    <w:p>
      <w:pPr>
        <w:sectPr>
          <w:pgSz w:w="11900" w:h="16838" w:orient="portrait"/>
          <w:cols w:equalWidth="0" w:num="1">
            <w:col w:w="10219"/>
          </w:cols>
          <w:pgMar w:left="240" w:top="244" w:right="1440" w:bottom="1440" w:gutter="0" w:footer="0" w:header="0"/>
        </w:sectPr>
      </w:pPr>
    </w:p>
    <w:p>
      <w:pPr>
        <w:spacing w:after="0" w:line="207"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Class A Common Stock</w:t>
      </w:r>
    </w:p>
    <w:p>
      <w:pPr>
        <w:spacing w:after="0" w:line="21"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Class B Common Stock</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1,843,250 Shares</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9,160,023 Shares</w:t>
      </w:r>
    </w:p>
    <w:p>
      <w:pPr>
        <w:sectPr>
          <w:pgSz w:w="11900" w:h="16838" w:orient="portrait"/>
          <w:cols w:equalWidth="0" w:num="2">
            <w:col w:w="4880" w:space="720"/>
            <w:col w:w="4619"/>
          </w:cols>
          <w:pgMar w:left="240" w:top="244"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THE WASHINGTON POST COMPANY</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INDEX TO FORM 10-Q</w:t>
      </w:r>
    </w:p>
    <w:p>
      <w:pPr>
        <w:spacing w:after="0" w:line="201"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tabs>
          <w:tab w:leader="none" w:pos="166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ind w:left="640"/>
        <w:spacing w:after="0"/>
        <w:tabs>
          <w:tab w:leader="none" w:pos="16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Condensed Consolidated Statements of Income</w:t>
      </w:r>
    </w:p>
    <w:p>
      <w:pPr>
        <w:ind w:left="2220"/>
        <w:spacing w:after="0" w:line="238" w:lineRule="auto"/>
        <w:rPr>
          <w:sz w:val="20"/>
          <w:szCs w:val="20"/>
          <w:color w:val="auto"/>
        </w:rPr>
      </w:pPr>
      <w:r>
        <w:rPr>
          <w:rFonts w:ascii="Courier New" w:cs="Courier New" w:eastAsia="Courier New" w:hAnsi="Courier New"/>
          <w:sz w:val="18"/>
          <w:szCs w:val="18"/>
          <w:color w:val="auto"/>
        </w:rPr>
        <w:t>(Unaudited) for the Thirteen and</w:t>
      </w:r>
    </w:p>
    <w:p>
      <w:pPr>
        <w:ind w:left="2220"/>
        <w:spacing w:after="0"/>
        <w:rPr>
          <w:sz w:val="20"/>
          <w:szCs w:val="20"/>
          <w:color w:val="auto"/>
        </w:rPr>
      </w:pPr>
      <w:r>
        <w:rPr>
          <w:rFonts w:ascii="Courier New" w:cs="Courier New" w:eastAsia="Courier New" w:hAnsi="Courier New"/>
          <w:sz w:val="18"/>
          <w:szCs w:val="18"/>
          <w:color w:val="auto"/>
        </w:rPr>
        <w:t>Twenty-Six Weeks Ended July 2, 1995</w:t>
      </w:r>
    </w:p>
    <w:p>
      <w:pPr>
        <w:ind w:left="2220"/>
        <w:spacing w:after="0" w:line="237" w:lineRule="auto"/>
        <w:rPr>
          <w:sz w:val="20"/>
          <w:szCs w:val="20"/>
          <w:color w:val="auto"/>
        </w:rPr>
      </w:pPr>
      <w:r>
        <w:rPr>
          <w:rFonts w:ascii="Courier New" w:cs="Courier New" w:eastAsia="Courier New" w:hAnsi="Courier New"/>
          <w:sz w:val="18"/>
          <w:szCs w:val="18"/>
          <w:color w:val="auto"/>
        </w:rPr>
        <w:t>and July 3, 1994 . . . . . . . . . . . . . . . . 3</w:t>
      </w:r>
    </w:p>
    <w:p>
      <w:pPr>
        <w:spacing w:after="0" w:line="202"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Condensed Consolidated Balance Sheets (Unaudited)</w:t>
      </w:r>
    </w:p>
    <w:p>
      <w:pPr>
        <w:ind w:left="2220"/>
        <w:spacing w:after="0"/>
        <w:tabs>
          <w:tab w:leader="none" w:pos="6100" w:val="left"/>
        </w:tabs>
        <w:rPr>
          <w:sz w:val="20"/>
          <w:szCs w:val="20"/>
          <w:color w:val="auto"/>
        </w:rPr>
      </w:pPr>
      <w:r>
        <w:rPr>
          <w:rFonts w:ascii="Courier New" w:cs="Courier New" w:eastAsia="Courier New" w:hAnsi="Courier New"/>
          <w:sz w:val="18"/>
          <w:szCs w:val="18"/>
          <w:color w:val="auto"/>
        </w:rPr>
        <w:t>at July 2, 1995 and January 1, 1995</w:t>
      </w:r>
      <w:r>
        <w:rPr>
          <w:sz w:val="20"/>
          <w:szCs w:val="20"/>
          <w:color w:val="auto"/>
        </w:rPr>
        <w:tab/>
      </w:r>
      <w:r>
        <w:rPr>
          <w:rFonts w:ascii="Courier New" w:cs="Courier New" w:eastAsia="Courier New" w:hAnsi="Courier New"/>
          <w:sz w:val="16"/>
          <w:szCs w:val="16"/>
          <w:color w:val="auto"/>
        </w:rPr>
        <w:t>. . . . . . 4</w:t>
      </w:r>
    </w:p>
    <w:p>
      <w:pPr>
        <w:spacing w:after="0" w:line="207" w:lineRule="exact"/>
        <w:rPr>
          <w:sz w:val="20"/>
          <w:szCs w:val="20"/>
          <w:color w:val="auto"/>
        </w:rPr>
      </w:pPr>
    </w:p>
    <w:p>
      <w:pPr>
        <w:jc w:val="right"/>
        <w:ind w:left="1680" w:right="3259"/>
        <w:spacing w:after="0" w:line="268" w:lineRule="auto"/>
        <w:rPr>
          <w:sz w:val="20"/>
          <w:szCs w:val="20"/>
          <w:color w:val="auto"/>
        </w:rPr>
      </w:pPr>
      <w:r>
        <w:rPr>
          <w:rFonts w:ascii="Courier New" w:cs="Courier New" w:eastAsia="Courier New" w:hAnsi="Courier New"/>
          <w:sz w:val="16"/>
          <w:szCs w:val="16"/>
          <w:color w:val="auto"/>
        </w:rPr>
        <w:t>Condensed Consolidated Statements of Cash Flows (Unaudited) for the Twenty-Six Weeks Ended</w:t>
      </w:r>
    </w:p>
    <w:p>
      <w:pPr>
        <w:ind w:left="2220"/>
        <w:spacing w:after="0"/>
        <w:tabs>
          <w:tab w:leader="none" w:pos="5460" w:val="left"/>
        </w:tabs>
        <w:rPr>
          <w:sz w:val="20"/>
          <w:szCs w:val="20"/>
          <w:color w:val="auto"/>
        </w:rPr>
      </w:pPr>
      <w:r>
        <w:rPr>
          <w:rFonts w:ascii="Courier New" w:cs="Courier New" w:eastAsia="Courier New" w:hAnsi="Courier New"/>
          <w:sz w:val="18"/>
          <w:szCs w:val="18"/>
          <w:color w:val="auto"/>
        </w:rPr>
        <w:t>July 2, 1995 and July 3, 1994</w:t>
      </w:r>
      <w:r>
        <w:rPr>
          <w:sz w:val="20"/>
          <w:szCs w:val="20"/>
          <w:color w:val="auto"/>
        </w:rPr>
        <w:tab/>
      </w:r>
      <w:r>
        <w:rPr>
          <w:rFonts w:ascii="Courier New" w:cs="Courier New" w:eastAsia="Courier New" w:hAnsi="Courier New"/>
          <w:sz w:val="16"/>
          <w:szCs w:val="16"/>
          <w:color w:val="auto"/>
        </w:rPr>
        <w:t>. . . . . . . . . 5</w:t>
      </w:r>
    </w:p>
    <w:p>
      <w:pPr>
        <w:spacing w:after="0" w:line="208" w:lineRule="exact"/>
        <w:rPr>
          <w:sz w:val="20"/>
          <w:szCs w:val="20"/>
          <w:color w:val="auto"/>
        </w:rPr>
      </w:pPr>
    </w:p>
    <w:p>
      <w:pPr>
        <w:ind w:left="2220" w:right="2419" w:hanging="526"/>
        <w:spacing w:after="0" w:line="290" w:lineRule="auto"/>
        <w:rPr>
          <w:sz w:val="20"/>
          <w:szCs w:val="20"/>
          <w:color w:val="auto"/>
        </w:rPr>
      </w:pPr>
      <w:r>
        <w:rPr>
          <w:rFonts w:ascii="Courier New" w:cs="Courier New" w:eastAsia="Courier New" w:hAnsi="Courier New"/>
          <w:sz w:val="16"/>
          <w:szCs w:val="16"/>
          <w:color w:val="auto"/>
        </w:rPr>
        <w:t>Notes to Condensed Consolidated Financial Statements (Unaudited) . . . . . . . . . . . . . . . . . . 6</w:t>
      </w:r>
    </w:p>
    <w:p>
      <w:pPr>
        <w:spacing w:after="0" w:line="170" w:lineRule="exact"/>
        <w:rPr>
          <w:sz w:val="20"/>
          <w:szCs w:val="20"/>
          <w:color w:val="auto"/>
        </w:rPr>
      </w:pPr>
    </w:p>
    <w:p>
      <w:pPr>
        <w:ind w:left="1680" w:right="2419" w:hanging="1579"/>
        <w:spacing w:after="0" w:line="235" w:lineRule="auto"/>
        <w:tabs>
          <w:tab w:leader="none" w:pos="1660" w:val="left"/>
        </w:tabs>
        <w:rPr>
          <w:sz w:val="20"/>
          <w:szCs w:val="20"/>
          <w:color w:val="auto"/>
        </w:rPr>
      </w:pPr>
      <w:r>
        <w:rPr>
          <w:rFonts w:ascii="Courier New" w:cs="Courier New" w:eastAsia="Courier New" w:hAnsi="Courier New"/>
          <w:sz w:val="18"/>
          <w:szCs w:val="18"/>
          <w:color w:val="auto"/>
        </w:rPr>
        <w:t>Item 2.</w:t>
        <w:tab/>
        <w:t>Management's Discussion and Analysis of Results of Operations and Financial Condition . . . . . . . 8</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040" w:type="dxa"/>
            <w:vAlign w:val="bottom"/>
            <w:gridSpan w:val="2"/>
          </w:tcPr>
          <w:p>
            <w:pPr>
              <w:spacing w:after="0"/>
              <w:rPr>
                <w:sz w:val="20"/>
                <w:szCs w:val="20"/>
                <w:color w:val="auto"/>
              </w:rPr>
            </w:pPr>
            <w:r>
              <w:rPr>
                <w:rFonts w:ascii="Courier New" w:cs="Courier New" w:eastAsia="Courier New" w:hAnsi="Courier New"/>
                <w:sz w:val="18"/>
                <w:szCs w:val="18"/>
                <w:color w:val="auto"/>
              </w:rPr>
              <w:t>PART II.</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OTHER INFORMATION</w:t>
            </w:r>
          </w:p>
        </w:tc>
        <w:tc>
          <w:tcPr>
            <w:tcW w:w="32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562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Submission of Matters to a Vote at Security</w:t>
            </w:r>
          </w:p>
        </w:tc>
        <w:tc>
          <w:tcPr>
            <w:tcW w:w="32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Holders. . . . . . . . . . . . . . . . . . . . .13</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594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Exhibits and Reports on Form 8-K. . . . . . . . . . .14</w:t>
            </w:r>
          </w:p>
        </w:tc>
      </w:tr>
      <w:tr>
        <w:trPr>
          <w:trHeight w:val="405"/>
        </w:trPr>
        <w:tc>
          <w:tcPr>
            <w:tcW w:w="1040" w:type="dxa"/>
            <w:vAlign w:val="bottom"/>
            <w:gridSpan w:val="2"/>
          </w:tcPr>
          <w:p>
            <w:pPr>
              <w:spacing w:after="0"/>
              <w:rPr>
                <w:sz w:val="20"/>
                <w:szCs w:val="20"/>
                <w:color w:val="auto"/>
              </w:rPr>
            </w:pPr>
            <w:r>
              <w:rPr>
                <w:rFonts w:ascii="Courier New" w:cs="Courier New" w:eastAsia="Courier New" w:hAnsi="Courier New"/>
                <w:sz w:val="18"/>
                <w:szCs w:val="18"/>
                <w:color w:val="auto"/>
                <w:w w:val="94"/>
              </w:rPr>
              <w:t>Signatures</w:t>
            </w:r>
          </w:p>
        </w:tc>
        <w:tc>
          <w:tcPr>
            <w:tcW w:w="5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1040" w:type="dxa"/>
            <w:vAlign w:val="bottom"/>
            <w:gridSpan w:val="2"/>
          </w:tcPr>
          <w:p>
            <w:pPr>
              <w:spacing w:after="0"/>
              <w:rPr>
                <w:sz w:val="20"/>
                <w:szCs w:val="20"/>
                <w:color w:val="auto"/>
              </w:rPr>
            </w:pPr>
            <w:r>
              <w:rPr>
                <w:rFonts w:ascii="Courier New" w:cs="Courier New" w:eastAsia="Courier New" w:hAnsi="Courier New"/>
                <w:sz w:val="18"/>
                <w:szCs w:val="18"/>
                <w:color w:val="auto"/>
                <w:w w:val="94"/>
              </w:rPr>
              <w:t>Exhibit 11</w:t>
            </w:r>
          </w:p>
        </w:tc>
        <w:tc>
          <w:tcPr>
            <w:tcW w:w="5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1040" w:type="dxa"/>
            <w:vAlign w:val="bottom"/>
            <w:gridSpan w:val="2"/>
          </w:tcPr>
          <w:p>
            <w:pPr>
              <w:spacing w:after="0"/>
              <w:rPr>
                <w:sz w:val="20"/>
                <w:szCs w:val="20"/>
                <w:color w:val="auto"/>
              </w:rPr>
            </w:pPr>
            <w:r>
              <w:rPr>
                <w:rFonts w:ascii="Courier New" w:cs="Courier New" w:eastAsia="Courier New" w:hAnsi="Courier New"/>
                <w:sz w:val="18"/>
                <w:szCs w:val="18"/>
                <w:color w:val="auto"/>
                <w:w w:val="94"/>
              </w:rPr>
              <w:t>Exhibit 27</w:t>
            </w:r>
          </w:p>
        </w:tc>
        <w:tc>
          <w:tcPr>
            <w:tcW w:w="54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(Electronic Filing Only)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17</w:t>
            </w:r>
          </w:p>
        </w:tc>
      </w:tr>
    </w:tbl>
    <w:p>
      <w:pPr>
        <w:sectPr>
          <w:pgSz w:w="11900" w:h="16838" w:orient="portrait"/>
          <w:cols w:equalWidth="0" w:num="1">
            <w:col w:w="9899"/>
          </w:cols>
          <w:pgMar w:left="56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73"/>
              </w:rPr>
              <w:t>3</w:t>
            </w: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4260" w:type="dxa"/>
            <w:vAlign w:val="bottom"/>
          </w:tcPr>
          <w:p>
            <w:pPr>
              <w:spacing w:after="0"/>
              <w:rPr>
                <w:sz w:val="20"/>
                <w:szCs w:val="20"/>
                <w:color w:val="auto"/>
              </w:rPr>
            </w:pPr>
            <w:r>
              <w:rPr>
                <w:rFonts w:ascii="Courier New" w:cs="Courier New" w:eastAsia="Courier New" w:hAnsi="Courier New"/>
                <w:sz w:val="18"/>
                <w:szCs w:val="18"/>
                <w:color w:val="auto"/>
              </w:rPr>
              <w:t>FINANCIAL INFORMATION</w:t>
            </w:r>
          </w:p>
        </w:tc>
        <w:tc>
          <w:tcPr>
            <w:tcW w:w="1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10"/>
        </w:trPr>
        <w:tc>
          <w:tcPr>
            <w:tcW w:w="5220" w:type="dxa"/>
            <w:vAlign w:val="bottom"/>
            <w:gridSpan w:val="2"/>
          </w:tcPr>
          <w:p>
            <w:pPr>
              <w:spacing w:after="0"/>
              <w:rPr>
                <w:sz w:val="20"/>
                <w:szCs w:val="20"/>
                <w:color w:val="auto"/>
              </w:rPr>
            </w:pPr>
            <w:r>
              <w:rPr>
                <w:rFonts w:ascii="Courier New" w:cs="Courier New" w:eastAsia="Courier New" w:hAnsi="Courier New"/>
                <w:sz w:val="18"/>
                <w:szCs w:val="18"/>
                <w:color w:val="auto"/>
              </w:rPr>
              <w:t>The Washington Post Company</w:t>
            </w:r>
          </w:p>
        </w:tc>
        <w:tc>
          <w:tcPr>
            <w:tcW w:w="1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Consolidated Statements of Income (Unaudited)</w:t>
            </w: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1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Thirteen Weeks Ended</w:t>
            </w:r>
          </w:p>
        </w:tc>
        <w:tc>
          <w:tcPr>
            <w:tcW w:w="30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Twenty-six Weeks Ended</w:t>
            </w:r>
          </w:p>
        </w:tc>
      </w:tr>
      <w:tr>
        <w:trPr>
          <w:trHeight w:val="203"/>
        </w:trPr>
        <w:tc>
          <w:tcPr>
            <w:tcW w:w="9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12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30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July 2,</w:t>
            </w:r>
          </w:p>
        </w:tc>
        <w:tc>
          <w:tcPr>
            <w:tcW w:w="4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July 3,</w:t>
            </w:r>
          </w:p>
        </w:tc>
        <w:tc>
          <w:tcPr>
            <w:tcW w:w="8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July 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July 3,</w:t>
            </w:r>
          </w:p>
        </w:tc>
      </w:tr>
      <w:tr>
        <w:trPr>
          <w:trHeight w:val="203"/>
        </w:trPr>
        <w:tc>
          <w:tcPr>
            <w:tcW w:w="5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c>
          <w:tcPr>
            <w:tcW w:w="18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1995</w:t>
            </w:r>
          </w:p>
        </w:tc>
        <w:tc>
          <w:tcPr>
            <w:tcW w:w="4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c>
          <w:tcPr>
            <w:tcW w:w="84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9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gridSpan w:val="2"/>
          </w:tcPr>
          <w:p>
            <w:pPr>
              <w:spacing w:after="0"/>
              <w:rPr>
                <w:sz w:val="20"/>
                <w:szCs w:val="20"/>
                <w:color w:val="auto"/>
              </w:rPr>
            </w:pPr>
            <w:r>
              <w:rPr>
                <w:rFonts w:ascii="Courier New" w:cs="Courier New" w:eastAsia="Courier New" w:hAnsi="Courier New"/>
                <w:sz w:val="18"/>
                <w:szCs w:val="18"/>
                <w:color w:val="auto"/>
              </w:rPr>
              <w:t>Operating revenues</w:t>
            </w:r>
          </w:p>
        </w:tc>
        <w:tc>
          <w:tcPr>
            <w:tcW w:w="1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Advertising</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$284,954</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$261,682</w:t>
            </w: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$537,163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$473,877</w:t>
            </w:r>
          </w:p>
        </w:tc>
      </w:tr>
      <w:tr>
        <w:trPr>
          <w:trHeight w:val="203"/>
        </w:trPr>
        <w:tc>
          <w:tcPr>
            <w:tcW w:w="5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Circulation and subscriber</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114,079</w:t>
            </w:r>
          </w:p>
        </w:tc>
        <w:tc>
          <w:tcPr>
            <w:tcW w:w="4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110,098</w:t>
            </w:r>
          </w:p>
        </w:tc>
        <w:tc>
          <w:tcPr>
            <w:tcW w:w="8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222,546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219,263</w:t>
            </w: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26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37,961</w:t>
            </w:r>
          </w:p>
        </w:tc>
        <w:tc>
          <w:tcPr>
            <w:tcW w:w="4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33,033</w:t>
            </w:r>
          </w:p>
        </w:tc>
        <w:tc>
          <w:tcPr>
            <w:tcW w:w="8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78,836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70,127</w:t>
            </w:r>
          </w:p>
        </w:tc>
      </w:tr>
      <w:tr>
        <w:trPr>
          <w:trHeight w:val="203"/>
        </w:trPr>
        <w:tc>
          <w:tcPr>
            <w:tcW w:w="9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436,994</w:t>
            </w:r>
          </w:p>
        </w:tc>
        <w:tc>
          <w:tcPr>
            <w:tcW w:w="4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404,813</w:t>
            </w:r>
          </w:p>
        </w:tc>
        <w:tc>
          <w:tcPr>
            <w:tcW w:w="8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838,545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763,267</w:t>
            </w:r>
          </w:p>
        </w:tc>
      </w:tr>
      <w:tr>
        <w:trPr>
          <w:trHeight w:val="203"/>
        </w:trPr>
        <w:tc>
          <w:tcPr>
            <w:tcW w:w="9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costs and expenses</w:t>
            </w: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Operating</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226,879</w:t>
            </w:r>
          </w:p>
        </w:tc>
        <w:tc>
          <w:tcPr>
            <w:tcW w:w="4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216,229</w:t>
            </w:r>
          </w:p>
        </w:tc>
        <w:tc>
          <w:tcPr>
            <w:tcW w:w="8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448,037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415,782</w:t>
            </w:r>
          </w:p>
        </w:tc>
      </w:tr>
      <w:tr>
        <w:trPr>
          <w:trHeight w:val="203"/>
        </w:trPr>
        <w:tc>
          <w:tcPr>
            <w:tcW w:w="5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106,053</w:t>
            </w:r>
          </w:p>
        </w:tc>
        <w:tc>
          <w:tcPr>
            <w:tcW w:w="4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97,160</w:t>
            </w:r>
          </w:p>
        </w:tc>
        <w:tc>
          <w:tcPr>
            <w:tcW w:w="8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204,066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186,117</w:t>
            </w:r>
          </w:p>
        </w:tc>
      </w:tr>
      <w:tr>
        <w:trPr>
          <w:trHeight w:val="203"/>
        </w:trPr>
        <w:tc>
          <w:tcPr>
            <w:tcW w:w="5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 of</w:t>
            </w: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16,370</w:t>
            </w:r>
          </w:p>
        </w:tc>
        <w:tc>
          <w:tcPr>
            <w:tcW w:w="4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15,360</w:t>
            </w:r>
          </w:p>
        </w:tc>
        <w:tc>
          <w:tcPr>
            <w:tcW w:w="8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32,744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30,070</w:t>
            </w:r>
          </w:p>
        </w:tc>
      </w:tr>
      <w:tr>
        <w:trPr>
          <w:trHeight w:val="203"/>
        </w:trPr>
        <w:tc>
          <w:tcPr>
            <w:tcW w:w="5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Amortization of goodwill and other</w:t>
            </w: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intangibles</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8,956</w:t>
            </w:r>
          </w:p>
        </w:tc>
        <w:tc>
          <w:tcPr>
            <w:tcW w:w="4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6,502</w:t>
            </w:r>
          </w:p>
        </w:tc>
        <w:tc>
          <w:tcPr>
            <w:tcW w:w="8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16,629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10,533</w:t>
            </w:r>
          </w:p>
        </w:tc>
      </w:tr>
      <w:tr>
        <w:trPr>
          <w:trHeight w:val="203"/>
        </w:trPr>
        <w:tc>
          <w:tcPr>
            <w:tcW w:w="9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358,258</w:t>
            </w:r>
          </w:p>
        </w:tc>
        <w:tc>
          <w:tcPr>
            <w:tcW w:w="4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335,251</w:t>
            </w:r>
          </w:p>
        </w:tc>
        <w:tc>
          <w:tcPr>
            <w:tcW w:w="8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701,476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642,502</w:t>
            </w:r>
          </w:p>
        </w:tc>
      </w:tr>
      <w:tr>
        <w:trPr>
          <w:trHeight w:val="203"/>
        </w:trPr>
        <w:tc>
          <w:tcPr>
            <w:tcW w:w="9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78,736</w:t>
            </w:r>
          </w:p>
        </w:tc>
        <w:tc>
          <w:tcPr>
            <w:tcW w:w="4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69,562</w:t>
            </w:r>
          </w:p>
        </w:tc>
        <w:tc>
          <w:tcPr>
            <w:tcW w:w="8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137,069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120,765</w:t>
            </w:r>
          </w:p>
        </w:tc>
      </w:tr>
      <w:tr>
        <w:trPr>
          <w:trHeight w:val="405"/>
        </w:trPr>
        <w:tc>
          <w:tcPr>
            <w:tcW w:w="5220" w:type="dxa"/>
            <w:vAlign w:val="bottom"/>
            <w:gridSpan w:val="2"/>
          </w:tcPr>
          <w:p>
            <w:pPr>
              <w:spacing w:after="0"/>
              <w:rPr>
                <w:sz w:val="20"/>
                <w:szCs w:val="20"/>
                <w:color w:val="auto"/>
              </w:rPr>
            </w:pPr>
            <w:r>
              <w:rPr>
                <w:rFonts w:ascii="Courier New" w:cs="Courier New" w:eastAsia="Courier New" w:hAnsi="Courier New"/>
                <w:sz w:val="18"/>
                <w:szCs w:val="18"/>
                <w:color w:val="auto"/>
              </w:rPr>
              <w:t>Other income (expense)</w:t>
            </w:r>
          </w:p>
        </w:tc>
        <w:tc>
          <w:tcPr>
            <w:tcW w:w="1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Equity in earnings (losses) of affiliates</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8,858</w:t>
            </w:r>
          </w:p>
        </w:tc>
        <w:tc>
          <w:tcPr>
            <w:tcW w:w="4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2,211</w:t>
            </w:r>
          </w:p>
        </w:tc>
        <w:tc>
          <w:tcPr>
            <w:tcW w:w="8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9,630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(3,174)</w:t>
            </w:r>
          </w:p>
        </w:tc>
      </w:tr>
      <w:tr>
        <w:trPr>
          <w:trHeight w:val="203"/>
        </w:trPr>
        <w:tc>
          <w:tcPr>
            <w:tcW w:w="5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2,032</w:t>
            </w:r>
          </w:p>
        </w:tc>
        <w:tc>
          <w:tcPr>
            <w:tcW w:w="4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2,030</w:t>
            </w:r>
          </w:p>
        </w:tc>
        <w:tc>
          <w:tcPr>
            <w:tcW w:w="8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4,366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5,595</w:t>
            </w:r>
          </w:p>
        </w:tc>
      </w:tr>
      <w:tr>
        <w:trPr>
          <w:trHeight w:val="203"/>
        </w:trPr>
        <w:tc>
          <w:tcPr>
            <w:tcW w:w="5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(1,368)</w:t>
            </w:r>
          </w:p>
        </w:tc>
        <w:tc>
          <w:tcPr>
            <w:tcW w:w="4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(1,413)</w:t>
            </w:r>
          </w:p>
        </w:tc>
        <w:tc>
          <w:tcPr>
            <w:tcW w:w="8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(2,799)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(2,848)</w:t>
            </w: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260" w:type="dxa"/>
            <w:vAlign w:val="bottom"/>
          </w:tcPr>
          <w:p>
            <w:pPr>
              <w:spacing w:after="0"/>
              <w:rPr>
                <w:sz w:val="17"/>
                <w:szCs w:val="17"/>
                <w:color w:val="auto"/>
              </w:rPr>
            </w:pP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(869)</w:t>
            </w:r>
          </w:p>
        </w:tc>
        <w:tc>
          <w:tcPr>
            <w:tcW w:w="4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c>
          <w:tcPr>
            <w:tcW w:w="8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13,526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2,606</w:t>
            </w:r>
          </w:p>
        </w:tc>
      </w:tr>
      <w:tr>
        <w:trPr>
          <w:trHeight w:val="203"/>
        </w:trPr>
        <w:tc>
          <w:tcPr>
            <w:tcW w:w="9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gridSpan w:val="2"/>
          </w:tcPr>
          <w:p>
            <w:pPr>
              <w:spacing w:after="0"/>
              <w:rPr>
                <w:sz w:val="20"/>
                <w:szCs w:val="20"/>
                <w:color w:val="auto"/>
              </w:rPr>
            </w:pPr>
            <w:r>
              <w:rPr>
                <w:rFonts w:ascii="Courier New" w:cs="Courier New" w:eastAsia="Courier New" w:hAnsi="Courier New"/>
                <w:sz w:val="18"/>
                <w:szCs w:val="18"/>
                <w:color w:val="auto"/>
              </w:rPr>
              <w:t>Income before income taxes</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87,389</w:t>
            </w:r>
          </w:p>
        </w:tc>
        <w:tc>
          <w:tcPr>
            <w:tcW w:w="46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72,392</w:t>
            </w:r>
          </w:p>
        </w:tc>
        <w:tc>
          <w:tcPr>
            <w:tcW w:w="840" w:type="dxa"/>
            <w:vAlign w:val="bottom"/>
          </w:tcPr>
          <w:p>
            <w:pPr>
              <w:spacing w:after="0"/>
              <w:rPr>
                <w:sz w:val="24"/>
                <w:szCs w:val="24"/>
                <w:color w:val="auto"/>
              </w:rPr>
            </w:pP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5"/>
              </w:rPr>
              <w:t>161,792</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122,944</w:t>
            </w:r>
          </w:p>
        </w:tc>
      </w:tr>
      <w:tr>
        <w:trPr>
          <w:trHeight w:val="203"/>
        </w:trPr>
        <w:tc>
          <w:tcPr>
            <w:tcW w:w="9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gridSpan w:val="2"/>
          </w:tcPr>
          <w:p>
            <w:pPr>
              <w:spacing w:after="0"/>
              <w:rPr>
                <w:sz w:val="20"/>
                <w:szCs w:val="20"/>
                <w:color w:val="auto"/>
              </w:rPr>
            </w:pPr>
            <w:r>
              <w:rPr>
                <w:rFonts w:ascii="Courier New" w:cs="Courier New" w:eastAsia="Courier New" w:hAnsi="Courier New"/>
                <w:sz w:val="18"/>
                <w:szCs w:val="18"/>
                <w:color w:val="auto"/>
              </w:rPr>
              <w:t>Provision for income taxes</w:t>
            </w:r>
          </w:p>
        </w:tc>
        <w:tc>
          <w:tcPr>
            <w:tcW w:w="1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Current</w:t>
            </w:r>
          </w:p>
        </w:tc>
        <w:tc>
          <w:tcPr>
            <w:tcW w:w="426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35,844</w:t>
            </w:r>
          </w:p>
        </w:tc>
        <w:tc>
          <w:tcPr>
            <w:tcW w:w="4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31,763</w:t>
            </w:r>
          </w:p>
        </w:tc>
        <w:tc>
          <w:tcPr>
            <w:tcW w:w="8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64,343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54,725</w:t>
            </w:r>
          </w:p>
        </w:tc>
      </w:tr>
      <w:tr>
        <w:trPr>
          <w:trHeight w:val="203"/>
        </w:trPr>
        <w:tc>
          <w:tcPr>
            <w:tcW w:w="5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Deferred</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w:t>
            </w:r>
          </w:p>
        </w:tc>
        <w:tc>
          <w:tcPr>
            <w:tcW w:w="4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(628)</w:t>
            </w:r>
          </w:p>
        </w:tc>
        <w:tc>
          <w:tcPr>
            <w:tcW w:w="8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2,037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w:t>
            </w:r>
          </w:p>
        </w:tc>
      </w:tr>
      <w:tr>
        <w:trPr>
          <w:trHeight w:val="203"/>
        </w:trPr>
        <w:tc>
          <w:tcPr>
            <w:tcW w:w="9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35,875</w:t>
            </w:r>
          </w:p>
        </w:tc>
        <w:tc>
          <w:tcPr>
            <w:tcW w:w="4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31,135</w:t>
            </w:r>
          </w:p>
        </w:tc>
        <w:tc>
          <w:tcPr>
            <w:tcW w:w="8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66,380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52,875</w:t>
            </w:r>
          </w:p>
        </w:tc>
      </w:tr>
      <w:tr>
        <w:trPr>
          <w:trHeight w:val="203"/>
        </w:trPr>
        <w:tc>
          <w:tcPr>
            <w:tcW w:w="9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gridSpan w:val="2"/>
          </w:tcPr>
          <w:p>
            <w:pPr>
              <w:spacing w:after="0"/>
              <w:rPr>
                <w:sz w:val="20"/>
                <w:szCs w:val="20"/>
                <w:color w:val="auto"/>
              </w:rPr>
            </w:pPr>
            <w:r>
              <w:rPr>
                <w:rFonts w:ascii="Courier New" w:cs="Courier New" w:eastAsia="Courier New" w:hAnsi="Courier New"/>
                <w:sz w:val="18"/>
                <w:szCs w:val="18"/>
                <w:color w:val="auto"/>
              </w:rPr>
              <w:t>Net income</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$ 51,514</w:t>
            </w:r>
          </w:p>
        </w:tc>
        <w:tc>
          <w:tcPr>
            <w:tcW w:w="13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$ 41,257</w:t>
            </w:r>
          </w:p>
        </w:tc>
        <w:tc>
          <w:tcPr>
            <w:tcW w:w="188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$ 95,412</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$ 70,069</w:t>
            </w:r>
          </w:p>
        </w:tc>
      </w:tr>
      <w:tr>
        <w:trPr>
          <w:trHeight w:val="203"/>
        </w:trPr>
        <w:tc>
          <w:tcPr>
            <w:tcW w:w="9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gridSpan w:val="2"/>
          </w:tcPr>
          <w:p>
            <w:pPr>
              <w:spacing w:after="0"/>
              <w:rPr>
                <w:sz w:val="20"/>
                <w:szCs w:val="20"/>
                <w:color w:val="auto"/>
              </w:rPr>
            </w:pPr>
            <w:r>
              <w:rPr>
                <w:rFonts w:ascii="Courier New" w:cs="Courier New" w:eastAsia="Courier New" w:hAnsi="Courier New"/>
                <w:sz w:val="18"/>
                <w:szCs w:val="18"/>
                <w:color w:val="auto"/>
              </w:rPr>
              <w:t>Earnings per share</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4.65</w:t>
            </w:r>
          </w:p>
        </w:tc>
        <w:tc>
          <w:tcPr>
            <w:tcW w:w="46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3.54</w:t>
            </w:r>
          </w:p>
        </w:tc>
        <w:tc>
          <w:tcPr>
            <w:tcW w:w="840" w:type="dxa"/>
            <w:vAlign w:val="bottom"/>
          </w:tcPr>
          <w:p>
            <w:pPr>
              <w:spacing w:after="0"/>
              <w:rPr>
                <w:sz w:val="24"/>
                <w:szCs w:val="24"/>
                <w:color w:val="auto"/>
              </w:rPr>
            </w:pP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8.56</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5.99</w:t>
            </w:r>
          </w:p>
        </w:tc>
      </w:tr>
      <w:tr>
        <w:trPr>
          <w:trHeight w:val="203"/>
        </w:trPr>
        <w:tc>
          <w:tcPr>
            <w:tcW w:w="9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gridSpan w:val="2"/>
          </w:tcPr>
          <w:p>
            <w:pPr>
              <w:spacing w:after="0"/>
              <w:rPr>
                <w:sz w:val="20"/>
                <w:szCs w:val="20"/>
                <w:color w:val="auto"/>
              </w:rPr>
            </w:pPr>
            <w:r>
              <w:rPr>
                <w:rFonts w:ascii="Courier New" w:cs="Courier New" w:eastAsia="Courier New" w:hAnsi="Courier New"/>
                <w:sz w:val="18"/>
                <w:szCs w:val="18"/>
                <w:color w:val="auto"/>
              </w:rPr>
              <w:t>Dividends declared per share</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2.20</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2.10</w:t>
            </w:r>
          </w:p>
        </w:tc>
      </w:tr>
      <w:tr>
        <w:trPr>
          <w:trHeight w:val="203"/>
        </w:trPr>
        <w:tc>
          <w:tcPr>
            <w:tcW w:w="9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Average number of shares outstanding</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11,084</w:t>
            </w:r>
          </w:p>
        </w:tc>
        <w:tc>
          <w:tcPr>
            <w:tcW w:w="4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11,667</w:t>
            </w:r>
          </w:p>
        </w:tc>
        <w:tc>
          <w:tcPr>
            <w:tcW w:w="8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11,152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11,693</w:t>
            </w:r>
          </w:p>
        </w:tc>
      </w:tr>
    </w:tbl>
    <w:p>
      <w:pPr>
        <w:sectPr>
          <w:pgSz w:w="11900" w:h="16838" w:orient="portrait"/>
          <w:cols w:equalWidth="0" w:num="1">
            <w:col w:w="11380"/>
          </w:cols>
          <w:pgMar w:left="240" w:top="312" w:right="279"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w:t>
            </w:r>
          </w:p>
        </w:tc>
      </w:tr>
      <w:tr>
        <w:trPr>
          <w:trHeight w:val="608"/>
        </w:trPr>
        <w:tc>
          <w:tcPr>
            <w:tcW w:w="5480" w:type="dxa"/>
            <w:vAlign w:val="bottom"/>
          </w:tcPr>
          <w:p>
            <w:pPr>
              <w:spacing w:after="0"/>
              <w:rPr>
                <w:sz w:val="20"/>
                <w:szCs w:val="20"/>
                <w:color w:val="auto"/>
              </w:rPr>
            </w:pPr>
            <w:r>
              <w:rPr>
                <w:rFonts w:ascii="Courier New" w:cs="Courier New" w:eastAsia="Courier New" w:hAnsi="Courier New"/>
                <w:sz w:val="18"/>
                <w:szCs w:val="18"/>
                <w:color w:val="auto"/>
              </w:rPr>
              <w:t>The Washington Post Company</w:t>
            </w: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Consolidated Balance Sheets (Unaudited)</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810"/>
        </w:trPr>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(In thousands)</w:t>
            </w: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July 2,</w:t>
            </w: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January 1,</w:t>
            </w: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w:t>
            </w:r>
          </w:p>
        </w:tc>
        <w:tc>
          <w:tcPr>
            <w:tcW w:w="54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1995</w:t>
            </w:r>
          </w:p>
        </w:tc>
        <w:tc>
          <w:tcPr>
            <w:tcW w:w="3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480" w:type="dxa"/>
            <w:vAlign w:val="bottom"/>
          </w:tcPr>
          <w:p>
            <w:pPr>
              <w:spacing w:after="0"/>
              <w:rPr>
                <w:sz w:val="17"/>
                <w:szCs w:val="17"/>
                <w:color w:val="auto"/>
              </w:rPr>
            </w:pP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Current assets</w:t>
            </w: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90,310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117,269</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9,312</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24,570</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 less estimated returns,</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doubtful accounts and allowances</w:t>
            </w: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194,466</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175,441</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Inventories</w:t>
            </w: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25,344</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20,378</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Program rights</w:t>
            </w: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13,479</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18,972</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16,800</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19,249</w:t>
            </w:r>
          </w:p>
        </w:tc>
      </w:tr>
      <w:tr>
        <w:trPr>
          <w:trHeight w:val="203"/>
        </w:trPr>
        <w:tc>
          <w:tcPr>
            <w:tcW w:w="5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349,711</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375,879</w:t>
            </w:r>
          </w:p>
        </w:tc>
      </w:tr>
      <w:tr>
        <w:trPr>
          <w:trHeight w:val="405"/>
        </w:trPr>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Investments in affiliates</w:t>
            </w:r>
          </w:p>
        </w:tc>
        <w:tc>
          <w:tcPr>
            <w:tcW w:w="54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180,190</w:t>
            </w:r>
          </w:p>
        </w:tc>
        <w:tc>
          <w:tcPr>
            <w:tcW w:w="3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170,754</w:t>
            </w:r>
          </w:p>
        </w:tc>
      </w:tr>
      <w:tr>
        <w:trPr>
          <w:trHeight w:val="405"/>
        </w:trPr>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Property, plant and equipment</w:t>
            </w: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Buildings</w:t>
            </w: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184,822</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185,193</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equipment and fixtures</w:t>
            </w: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617,207</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629,043</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33,004</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33,287</w:t>
            </w:r>
          </w:p>
        </w:tc>
      </w:tr>
      <w:tr>
        <w:trPr>
          <w:trHeight w:val="203"/>
        </w:trPr>
        <w:tc>
          <w:tcPr>
            <w:tcW w:w="5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835,033</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847,523</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54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(510,402)</w:t>
            </w: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(499,172)</w:t>
            </w:r>
          </w:p>
        </w:tc>
      </w:tr>
      <w:tr>
        <w:trPr>
          <w:trHeight w:val="203"/>
        </w:trPr>
        <w:tc>
          <w:tcPr>
            <w:tcW w:w="5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324,631</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348,351</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w:t>
            </w: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32,459</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32,562</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101,944</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30,483</w:t>
            </w:r>
          </w:p>
        </w:tc>
      </w:tr>
      <w:tr>
        <w:trPr>
          <w:trHeight w:val="203"/>
        </w:trPr>
        <w:tc>
          <w:tcPr>
            <w:tcW w:w="5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459,034</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411,396</w:t>
            </w: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Goodwill and other intangibles,</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accumulated amortization</w:t>
            </w: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496,052</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512,405</w:t>
            </w:r>
          </w:p>
        </w:tc>
      </w:tr>
      <w:tr>
        <w:trPr>
          <w:trHeight w:val="405"/>
        </w:trPr>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Deferred charges and other assets</w:t>
            </w:r>
          </w:p>
        </w:tc>
        <w:tc>
          <w:tcPr>
            <w:tcW w:w="54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233,078</w:t>
            </w:r>
          </w:p>
        </w:tc>
        <w:tc>
          <w:tcPr>
            <w:tcW w:w="3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226,434</w:t>
            </w:r>
          </w:p>
        </w:tc>
      </w:tr>
      <w:tr>
        <w:trPr>
          <w:trHeight w:val="203"/>
        </w:trPr>
        <w:tc>
          <w:tcPr>
            <w:tcW w:w="5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4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1,718,065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1,696,868</w:t>
            </w:r>
          </w:p>
        </w:tc>
      </w:tr>
      <w:tr>
        <w:trPr>
          <w:trHeight w:val="203"/>
        </w:trPr>
        <w:tc>
          <w:tcPr>
            <w:tcW w:w="5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Liabilities and Shareholders' equity</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Current liabilities</w:t>
            </w: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payable and accrued liabilities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182,989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186,129</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Federal and state income taxes</w:t>
            </w: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17,012</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6,593</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subscription revenue</w:t>
            </w: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79,727</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80,351</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50,259</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329,987</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273,073</w:t>
            </w:r>
          </w:p>
        </w:tc>
      </w:tr>
      <w:tr>
        <w:trPr>
          <w:trHeight w:val="405"/>
        </w:trPr>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Other liabilities</w:t>
            </w:r>
          </w:p>
        </w:tc>
        <w:tc>
          <w:tcPr>
            <w:tcW w:w="54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232,298</w:t>
            </w:r>
          </w:p>
        </w:tc>
        <w:tc>
          <w:tcPr>
            <w:tcW w:w="3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217,461</w:t>
            </w:r>
          </w:p>
        </w:tc>
      </w:tr>
      <w:tr>
        <w:trPr>
          <w:trHeight w:val="405"/>
        </w:trPr>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Long-term debt</w:t>
            </w:r>
          </w:p>
        </w:tc>
        <w:tc>
          <w:tcPr>
            <w:tcW w:w="54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50,297</w:t>
            </w:r>
          </w:p>
        </w:tc>
      </w:tr>
      <w:tr>
        <w:trPr>
          <w:trHeight w:val="405"/>
        </w:trPr>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Deferred income taxes</w:t>
            </w:r>
          </w:p>
        </w:tc>
        <w:tc>
          <w:tcPr>
            <w:tcW w:w="54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31,739</w:t>
            </w:r>
          </w:p>
        </w:tc>
        <w:tc>
          <w:tcPr>
            <w:tcW w:w="3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29,104</w:t>
            </w:r>
          </w:p>
        </w:tc>
      </w:tr>
      <w:tr>
        <w:trPr>
          <w:trHeight w:val="203"/>
        </w:trPr>
        <w:tc>
          <w:tcPr>
            <w:tcW w:w="5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594,024</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569,935</w:t>
            </w: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stock</w:t>
            </w: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20,000</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24,262</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21,273</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1,762,228</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1,691,497</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 gain on available-for-sale</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securities</w:t>
            </w: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4,088</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2,933</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Cumulative foreign currency translation</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adjustment</w:t>
            </w: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5,858</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5,328</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Class B common stock held in Treasury</w:t>
            </w:r>
          </w:p>
        </w:tc>
        <w:tc>
          <w:tcPr>
            <w:tcW w:w="54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(692,395)</w:t>
            </w: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(614,098)</w:t>
            </w:r>
          </w:p>
        </w:tc>
      </w:tr>
      <w:tr>
        <w:trPr>
          <w:trHeight w:val="203"/>
        </w:trPr>
        <w:tc>
          <w:tcPr>
            <w:tcW w:w="5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1,124,041</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1,126,933</w:t>
            </w:r>
          </w:p>
        </w:tc>
      </w:tr>
    </w:tbl>
    <w:p>
      <w:pPr>
        <w:sectPr>
          <w:pgSz w:w="11900" w:h="16838" w:orient="portrait"/>
          <w:cols w:equalWidth="0" w:num="1">
            <w:col w:w="10219"/>
          </w:cols>
          <w:pgMar w:left="240" w:top="312" w:right="1440" w:bottom="0" w:gutter="0" w:footer="0" w:header="0"/>
        </w:sectPr>
      </w:pPr>
    </w:p>
    <w:bookmarkStart w:id="4" w:name="page5"/>
    <w:bookmarkEnd w:id="4"/>
    <w:p>
      <w:pPr>
        <w:ind w:left="4820"/>
        <w:spacing w:after="0"/>
        <w:tabs>
          <w:tab w:leader="none" w:pos="6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4700"/>
        <w:spacing w:after="0"/>
        <w:tabs>
          <w:tab w:leader="none" w:pos="6260" w:val="left"/>
        </w:tabs>
        <w:rPr>
          <w:sz w:val="20"/>
          <w:szCs w:val="20"/>
          <w:color w:val="auto"/>
        </w:rPr>
      </w:pPr>
      <w:r>
        <w:rPr>
          <w:rFonts w:ascii="Courier New" w:cs="Courier New" w:eastAsia="Courier New" w:hAnsi="Courier New"/>
          <w:sz w:val="18"/>
          <w:szCs w:val="18"/>
          <w:color w:val="auto"/>
        </w:rPr>
        <w:t>$1,718,065</w:t>
      </w:r>
      <w:r>
        <w:rPr>
          <w:sz w:val="20"/>
          <w:szCs w:val="20"/>
          <w:color w:val="auto"/>
        </w:rPr>
        <w:tab/>
      </w:r>
      <w:r>
        <w:rPr>
          <w:rFonts w:ascii="Courier New" w:cs="Courier New" w:eastAsia="Courier New" w:hAnsi="Courier New"/>
          <w:sz w:val="16"/>
          <w:szCs w:val="16"/>
          <w:color w:val="auto"/>
        </w:rPr>
        <w:t>$1,696,868</w:t>
      </w:r>
    </w:p>
    <w:p>
      <w:pPr>
        <w:spacing w:after="0" w:line="4" w:lineRule="exact"/>
        <w:rPr>
          <w:sz w:val="20"/>
          <w:szCs w:val="20"/>
          <w:color w:val="auto"/>
        </w:rPr>
      </w:pPr>
    </w:p>
    <w:p>
      <w:pPr>
        <w:ind w:left="4820"/>
        <w:spacing w:after="0"/>
        <w:tabs>
          <w:tab w:leader="none" w:pos="6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9019"/>
          </w:cols>
          <w:pgMar w:left="1440" w:top="14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608"/>
        </w:trPr>
        <w:tc>
          <w:tcPr>
            <w:tcW w:w="5600" w:type="dxa"/>
            <w:vAlign w:val="bottom"/>
          </w:tcPr>
          <w:p>
            <w:pPr>
              <w:spacing w:after="0"/>
              <w:rPr>
                <w:sz w:val="20"/>
                <w:szCs w:val="20"/>
                <w:color w:val="auto"/>
              </w:rPr>
            </w:pPr>
            <w:r>
              <w:rPr>
                <w:rFonts w:ascii="Courier New" w:cs="Courier New" w:eastAsia="Courier New" w:hAnsi="Courier New"/>
                <w:sz w:val="18"/>
                <w:szCs w:val="18"/>
                <w:color w:val="auto"/>
              </w:rPr>
              <w:t>The Washington Post Company</w:t>
            </w: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Consolidated Statements of Cash Flows (Unaudited)</w:t>
            </w: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08"/>
        </w:trPr>
        <w:tc>
          <w:tcPr>
            <w:tcW w:w="5600" w:type="dxa"/>
            <w:vAlign w:val="bottom"/>
          </w:tcPr>
          <w:p>
            <w:pPr>
              <w:spacing w:after="0"/>
              <w:rPr>
                <w:sz w:val="24"/>
                <w:szCs w:val="24"/>
                <w:color w:val="auto"/>
              </w:rPr>
            </w:pPr>
          </w:p>
        </w:tc>
        <w:tc>
          <w:tcPr>
            <w:tcW w:w="2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Twenty-six Weeks Ended</w:t>
            </w:r>
          </w:p>
        </w:tc>
      </w:tr>
      <w:tr>
        <w:trPr>
          <w:trHeight w:val="203"/>
        </w:trPr>
        <w:tc>
          <w:tcPr>
            <w:tcW w:w="5600" w:type="dxa"/>
            <w:vAlign w:val="bottom"/>
          </w:tcPr>
          <w:p>
            <w:pPr>
              <w:spacing w:after="0"/>
              <w:rPr>
                <w:sz w:val="17"/>
                <w:szCs w:val="17"/>
                <w:color w:val="auto"/>
              </w:rPr>
            </w:pP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July 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July 3,</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16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560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$ 95,412</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$ 70,069</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 to net cash</w:t>
            </w: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 of property, plant</w:t>
            </w: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equipment</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32,744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30,070</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goodwill and other intangibles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16,629</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10,533</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program rights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11,657</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10,195</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doubtful accounts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26,913</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29,428</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Gain from sale of business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(14,253)</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 interest and income</w:t>
            </w: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taxes payable</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7,891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(1,082)</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deferred income taxes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2,037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accounts receivable</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(45,938)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(60,837)</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(4,966)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(1,784)</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(Decrease) increase in accounts payable and</w:t>
            </w: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(610)</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12,556</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other assets and other</w:t>
            </w: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liabilities, net</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(5,151)</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(4,732)</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2,565</w:t>
            </w:r>
          </w:p>
        </w:tc>
      </w:tr>
      <w:tr>
        <w:trPr>
          <w:trHeight w:val="203"/>
        </w:trPr>
        <w:tc>
          <w:tcPr>
            <w:tcW w:w="560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ind w:left="540"/>
              <w:spacing w:after="0"/>
              <w:rPr>
                <w:sz w:val="20"/>
                <w:szCs w:val="20"/>
                <w:color w:val="auto"/>
              </w:rPr>
            </w:pPr>
            <w:r>
              <w:rPr>
                <w:rFonts w:ascii="Courier New" w:cs="Courier New" w:eastAsia="Courier New" w:hAnsi="Courier New"/>
                <w:sz w:val="18"/>
                <w:szCs w:val="18"/>
                <w:color w:val="auto"/>
              </w:rPr>
              <w:t>Net cash provided by operating activities</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117,633</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99,863</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proceeds from sale of business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32,743</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plant and equipment</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(81,971)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(44,108)</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marketable securities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(43,116)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(14,657)</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sales of marketable securities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58,498</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256,617</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certain businesses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(284,207)</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for program rights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(6,571)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(9,867)</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85</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405</w:t>
            </w:r>
          </w:p>
        </w:tc>
      </w:tr>
      <w:tr>
        <w:trPr>
          <w:trHeight w:val="203"/>
        </w:trPr>
        <w:tc>
          <w:tcPr>
            <w:tcW w:w="560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ind w:left="540"/>
              <w:spacing w:after="0"/>
              <w:rPr>
                <w:sz w:val="20"/>
                <w:szCs w:val="20"/>
                <w:color w:val="auto"/>
              </w:rPr>
            </w:pPr>
            <w:r>
              <w:rPr>
                <w:rFonts w:ascii="Courier New" w:cs="Courier New" w:eastAsia="Courier New" w:hAnsi="Courier New"/>
                <w:sz w:val="18"/>
                <w:szCs w:val="18"/>
                <w:color w:val="auto"/>
              </w:rPr>
              <w:t>Net cash (used) by investing activities</w:t>
            </w:r>
          </w:p>
        </w:tc>
        <w:tc>
          <w:tcPr>
            <w:tcW w:w="16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(40,332)</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(95,817)</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on debt</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(24,680)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(24,598)</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shares repurchased</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(79,580)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(52,303)</w:t>
            </w:r>
          </w:p>
        </w:tc>
      </w:tr>
      <w:tr>
        <w:trPr>
          <w:trHeight w:val="203"/>
        </w:trPr>
        <w:tc>
          <w:tcPr>
            <w:tcW w:w="560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ind w:left="320"/>
              <w:spacing w:after="0"/>
              <w:rPr>
                <w:sz w:val="20"/>
                <w:szCs w:val="20"/>
                <w:color w:val="auto"/>
              </w:rPr>
            </w:pPr>
            <w:r>
              <w:rPr>
                <w:rFonts w:ascii="Courier New" w:cs="Courier New" w:eastAsia="Courier New" w:hAnsi="Courier New"/>
                <w:sz w:val="18"/>
                <w:szCs w:val="18"/>
                <w:color w:val="auto"/>
              </w:rPr>
              <w:t>Net cash (used) by financing activities</w:t>
            </w:r>
          </w:p>
        </w:tc>
        <w:tc>
          <w:tcPr>
            <w:tcW w:w="16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(104,260)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(78,301)</w:t>
            </w:r>
          </w:p>
        </w:tc>
      </w:tr>
      <w:tr>
        <w:trPr>
          <w:trHeight w:val="203"/>
        </w:trPr>
        <w:tc>
          <w:tcPr>
            <w:tcW w:w="560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 cash and cash</w:t>
            </w: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(26,959)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(74,255)</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Beginning cash and cash equivalents</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117,269</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171,512</w:t>
            </w:r>
          </w:p>
        </w:tc>
      </w:tr>
      <w:tr>
        <w:trPr>
          <w:trHeight w:val="203"/>
        </w:trPr>
        <w:tc>
          <w:tcPr>
            <w:tcW w:w="560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Ending cash and cash equivalents</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$ 90,310</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$ 97,257</w:t>
            </w:r>
          </w:p>
        </w:tc>
      </w:tr>
      <w:tr>
        <w:trPr>
          <w:trHeight w:val="203"/>
        </w:trPr>
        <w:tc>
          <w:tcPr>
            <w:tcW w:w="560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Washington Post Company</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1: 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210"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Note 2: Summarized combined (unaudited) results of operations for the second quarter and year-to-date of 1995 and 1994 for the company's affiliates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24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Second Quarter</w:t>
            </w:r>
          </w:p>
        </w:tc>
        <w:tc>
          <w:tcPr>
            <w:tcW w:w="21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Year-to-Date</w:t>
            </w:r>
          </w:p>
        </w:tc>
      </w:tr>
      <w:tr>
        <w:trPr>
          <w:trHeight w:val="203"/>
        </w:trPr>
        <w:tc>
          <w:tcPr>
            <w:tcW w:w="2100" w:type="dxa"/>
            <w:vAlign w:val="bottom"/>
          </w:tcPr>
          <w:p>
            <w:pPr>
              <w:spacing w:after="0"/>
              <w:rPr>
                <w:sz w:val="17"/>
                <w:szCs w:val="17"/>
                <w:color w:val="auto"/>
              </w:rPr>
            </w:pPr>
          </w:p>
        </w:tc>
        <w:tc>
          <w:tcPr>
            <w:tcW w:w="2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0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2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Operating revenues</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$229,850</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$199,742</w:t>
            </w:r>
          </w:p>
        </w:tc>
        <w:tc>
          <w:tcPr>
            <w:tcW w:w="1120" w:type="dxa"/>
            <w:vAlign w:val="bottom"/>
          </w:tcPr>
          <w:p>
            <w:pPr>
              <w:ind w:left="120"/>
              <w:spacing w:after="0"/>
              <w:rPr>
                <w:sz w:val="20"/>
                <w:szCs w:val="20"/>
                <w:color w:val="auto"/>
              </w:rPr>
            </w:pPr>
            <w:r>
              <w:rPr>
                <w:rFonts w:ascii="Courier New" w:cs="Courier New" w:eastAsia="Courier New" w:hAnsi="Courier New"/>
                <w:sz w:val="18"/>
                <w:szCs w:val="18"/>
                <w:color w:val="auto"/>
              </w:rPr>
              <w:t>$430,660</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$360,661</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31,427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19,111</w:t>
            </w:r>
          </w:p>
        </w:tc>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46,841</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16,670</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19,909</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6,152</w:t>
            </w:r>
          </w:p>
        </w:tc>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27,679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w:t>
            </w:r>
          </w:p>
        </w:tc>
      </w:tr>
    </w:tbl>
    <w:p>
      <w:pPr>
        <w:spacing w:after="0" w:line="200" w:lineRule="exact"/>
        <w:rPr>
          <w:sz w:val="20"/>
          <w:szCs w:val="20"/>
          <w:color w:val="auto"/>
        </w:rPr>
      </w:pP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Note 3: In April 1994 the company acquired substantially all of the assets comprising the businesses of television stations KPRC-TV, an NBC affiliate in Houston, Texas, and KSAT-TV, an ABC affiliate in San Antonio, Texas, for</w:t>
      </w:r>
    </w:p>
    <w:p>
      <w:pPr>
        <w:spacing w:after="0" w:line="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$253 million in cash. The transaction was accounted for as a purchase and the results of operations of the television stations were included with those of the company for the period subsequent to the date of acquisition.</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following statement presents the company's unaudited pro forma condensed consolidated income statement for the six months ended July 3, 1994, as if the acquisition of the television stations had occurred at the beginning of the six month period. Amounts reflect an allocation of the purchase price to the acquired net tangible assets, with the excess being amortized over a period of 20 years. The revenues and results of operations presented in the pro forma income statement do not necessarily reflect the results of operations that would actually have been obtained if the acquisition had occurred at the beginning of the six month period.</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30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Pro Forma Income Statement</w:t>
            </w:r>
          </w:p>
        </w:tc>
      </w:tr>
      <w:tr>
        <w:trPr>
          <w:trHeight w:val="203"/>
        </w:trPr>
        <w:tc>
          <w:tcPr>
            <w:tcW w:w="4480" w:type="dxa"/>
            <w:vAlign w:val="bottom"/>
          </w:tcPr>
          <w:p>
            <w:pPr>
              <w:spacing w:after="0"/>
              <w:rPr>
                <w:sz w:val="17"/>
                <w:szCs w:val="17"/>
                <w:color w:val="auto"/>
              </w:rPr>
            </w:pPr>
          </w:p>
        </w:tc>
        <w:tc>
          <w:tcPr>
            <w:tcW w:w="30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For the Six-months Ended</w:t>
            </w:r>
          </w:p>
        </w:tc>
      </w:tr>
      <w:tr>
        <w:trPr>
          <w:trHeight w:val="203"/>
        </w:trPr>
        <w:tc>
          <w:tcPr>
            <w:tcW w:w="4480" w:type="dxa"/>
            <w:vAlign w:val="bottom"/>
          </w:tcPr>
          <w:p>
            <w:pPr>
              <w:spacing w:after="0"/>
              <w:rPr>
                <w:sz w:val="17"/>
                <w:szCs w:val="17"/>
                <w:color w:val="auto"/>
              </w:rPr>
            </w:pPr>
          </w:p>
        </w:tc>
        <w:tc>
          <w:tcPr>
            <w:tcW w:w="300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July 3,</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c>
          <w:tcPr>
            <w:tcW w:w="3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1994</w:t>
            </w:r>
          </w:p>
        </w:tc>
      </w:tr>
      <w:tr>
        <w:trPr>
          <w:trHeight w:val="203"/>
        </w:trPr>
        <w:tc>
          <w:tcPr>
            <w:tcW w:w="4480" w:type="dxa"/>
            <w:vAlign w:val="bottom"/>
          </w:tcPr>
          <w:p>
            <w:pPr>
              <w:spacing w:after="0"/>
              <w:rPr>
                <w:sz w:val="17"/>
                <w:szCs w:val="17"/>
                <w:color w:val="auto"/>
              </w:rPr>
            </w:pPr>
          </w:p>
        </w:tc>
        <w:tc>
          <w:tcPr>
            <w:tcW w:w="300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revenues</w:t>
            </w:r>
          </w:p>
        </w:tc>
        <w:tc>
          <w:tcPr>
            <w:tcW w:w="30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$782,634</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0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$69,605</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30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$5.95</w:t>
            </w:r>
          </w:p>
        </w:tc>
      </w:tr>
    </w:tbl>
    <w:p>
      <w:pPr>
        <w:spacing w:after="0" w:line="200" w:lineRule="exact"/>
        <w:rPr>
          <w:sz w:val="20"/>
          <w:szCs w:val="20"/>
          <w:color w:val="auto"/>
        </w:rPr>
      </w:pPr>
    </w:p>
    <w:p>
      <w:pPr>
        <w:spacing w:after="0" w:line="209" w:lineRule="exact"/>
        <w:rPr>
          <w:sz w:val="20"/>
          <w:szCs w:val="20"/>
          <w:color w:val="auto"/>
        </w:rPr>
      </w:pPr>
    </w:p>
    <w:p>
      <w:pPr>
        <w:ind w:right="1999" w:firstLine="843"/>
        <w:spacing w:after="0" w:line="272" w:lineRule="auto"/>
        <w:rPr>
          <w:sz w:val="20"/>
          <w:szCs w:val="20"/>
          <w:color w:val="auto"/>
        </w:rPr>
      </w:pPr>
      <w:r>
        <w:rPr>
          <w:rFonts w:ascii="Courier New" w:cs="Courier New" w:eastAsia="Courier New" w:hAnsi="Courier New"/>
          <w:sz w:val="16"/>
          <w:szCs w:val="16"/>
          <w:color w:val="auto"/>
        </w:rPr>
        <w:t>In January 1995 the company sold substantially all of its 70 percent limited partnership interest in American Personal Communications (APC) to its partner APC, Inc., and others, for approximately $33 million. The proceeds approximate the amounts The Washington Post Company had cumulatively invested in the partnership since it was formed in August 1990. The company's 1995 net income includes $8.4 million ($0.75 per share) from the sale.</w:t>
      </w:r>
    </w:p>
    <w:p>
      <w:pPr>
        <w:spacing w:after="0" w:line="18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Note 4: During the first six months of 1995 the company repurchased 322,606 shares of its Class B common stock at a cost of $79.6 million.</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ITEM 2. MANAGEMENT'S DISCUSSION AND ANALYSIS OF RESULTS OF OPERATIONS AND FINANCIAL CONDITION</w:t>
      </w:r>
    </w:p>
    <w:p>
      <w:pPr>
        <w:spacing w:after="0" w:line="208" w:lineRule="exact"/>
        <w:rPr>
          <w:sz w:val="20"/>
          <w:szCs w:val="20"/>
          <w:color w:val="auto"/>
        </w:rPr>
      </w:pPr>
    </w:p>
    <w:p>
      <w:pPr>
        <w:ind w:right="2519" w:firstLine="843"/>
        <w:spacing w:after="0" w:line="235" w:lineRule="auto"/>
        <w:rPr>
          <w:sz w:val="20"/>
          <w:szCs w:val="20"/>
          <w:color w:val="auto"/>
        </w:rPr>
      </w:pPr>
      <w:r>
        <w:rPr>
          <w:rFonts w:ascii="Courier New" w:cs="Courier New" w:eastAsia="Courier New" w:hAnsi="Courier New"/>
          <w:sz w:val="18"/>
          <w:szCs w:val="18"/>
          <w:color w:val="auto"/>
        </w:rPr>
        <w:t>This analysis should be read in conjunction with the consolidated financial statements and the notes thereto.</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Revenues and expenses in the first and third quarters are customarily lower than those in the second and fourth quarters because of significant seasonal fluctuations in advertising volume. For that reason, the results of operations for each quarter are compared with those of the corresponding quarter in the preceding year.</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SECOND QUARTER COMPARISONS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Net income for the second quarter of 1995 was $51.5 million, an increase of 24.9 percent from net income of $41.3 million in the second quarter last year. Earnings per share increased 31.4 percent to $4.65 per share, from $3.54 per share in the second quarter of 1994, with a smaller number of shares outstanding.</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Revenues for the second quarter of 1995 rose 7.9 percent to $437.0 million, from $404.8 million in the same period last year. Advertising revenues rose 8.9 percent and circulation and subscriber revenues increased 3.6 percent. Other revenues increased 14.9 percent over the second quarter of 1994. All divisions posted higher revenue in the second quarter this year. The broadcast division had exceptionally strong revenue gains, reflecting the results of the two television stations acquired on April 22, 1994, as well as improved network compensation.</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Costs and expenses for the second quarter of 1995 increased 6.9 percent to $358.3 million, from $335.3 million in the second quarter of 1994. Operating expenses increased 4.9 percent, while selling, general and administrative expenses increased 9.2 percent. Depreciation expense increased</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6.6 percent compared to the second quarter of 1994, while amortization expense increased 37.7 percent. Approximately 35 percent of the total increase in costs and expenses (and all of the amortization increase) relates to additional expenses associated with newly acquired businesses, principally the two Texas stations acquired in April 1994. In addition, a 28.6 percent increase in newsprint expense accounted for approximately 30 percent of the increase in total expense. The remainder reflects normal increases in the costs of operations.</w:t>
      </w:r>
    </w:p>
    <w:p>
      <w:pPr>
        <w:spacing w:after="0" w:line="212"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In the second quarter of 1995 operating income rose to $78.7 million, a 13.2 percent increase over $69.6 million in 1994.</w:t>
      </w:r>
    </w:p>
    <w:p>
      <w:pPr>
        <w:spacing w:after="0" w:line="208"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NEWSPAPER DIVISION. At the newspaper division revenues increased 2.4 percent in the second quarter of 1995. Although advertising volume at The Washington Post fell 5.0 percent, advertising revenues for the</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division rose 1.6 percent for the quarter due mainly to rate increases for retail and classified advertising. Classified volume declined 4.3 percent in the quarter, though recruitment advertising volume remained strong. Retail linage was down 6.4 percent, while general remained essentially unchanged compared with the same period last year. Preprint volume increased 5.7 percent over the second quarter of 1994. Circulation revenues for the division increased 1.9 percent compared with the second quarter of 1994.</w:t>
      </w:r>
    </w:p>
    <w:p>
      <w:pPr>
        <w:spacing w:after="0" w:line="211" w:lineRule="exact"/>
        <w:rPr>
          <w:sz w:val="20"/>
          <w:szCs w:val="20"/>
          <w:color w:val="auto"/>
        </w:rPr>
      </w:pPr>
    </w:p>
    <w:p>
      <w:pPr>
        <w:ind w:right="2419"/>
        <w:spacing w:after="0" w:line="272" w:lineRule="auto"/>
        <w:rPr>
          <w:sz w:val="20"/>
          <w:szCs w:val="20"/>
          <w:color w:val="auto"/>
        </w:rPr>
      </w:pPr>
      <w:r>
        <w:rPr>
          <w:rFonts w:ascii="Courier New" w:cs="Courier New" w:eastAsia="Courier New" w:hAnsi="Courier New"/>
          <w:sz w:val="16"/>
          <w:szCs w:val="16"/>
          <w:color w:val="auto"/>
        </w:rPr>
        <w:t>BROADCAST DIVISION. Revenues at the broadcast division, which include the results of the two Texas television stations purchased on April 22, 1994, increased 26.3 percent in the second quarter of 1995. Local advertising revenues increased 19.4 percent and national advertising revenues rose 6.6 percent over the second quarter of 1994. Approximately 53 percent of the increase in total revenues is attributable to the newly acquired stations.</w:t>
      </w:r>
    </w:p>
    <w:p>
      <w:pPr>
        <w:spacing w:after="0" w:line="18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MAGAZINE DIVISION. Newsweek revenues in the second quarter of 1995 increased 5.9 percent. Advertising revenues rose 7.8 percent, primarily due to higher rates at the domestic edition and increased volume at the international editions. Circulation revenues were up 2.8 percent, with higher subscription rates being the major contributor to the improvement. In the second quarter Newsweek published the same number of weekly issues (13) and newsstand-only issues (1) as in 1994.</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CABLE DIVISION. At the cable division, second quarter 1995 revenues were 5.6 percent higher than 1994, due primarily to an increase in basic subscribers. At the end of second quarter, the number of basic subscribers totaled almost 507,000, 3.8 percent higher than at the same time last year.</w:t>
      </w:r>
    </w:p>
    <w:p>
      <w:pPr>
        <w:spacing w:after="0" w:line="202"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OTHER BUSINESSES.</w:t>
      </w:r>
      <w:r>
        <w:rPr>
          <w:sz w:val="20"/>
          <w:szCs w:val="20"/>
          <w:color w:val="auto"/>
        </w:rPr>
        <w:tab/>
      </w:r>
      <w:r>
        <w:rPr>
          <w:rFonts w:ascii="Courier New" w:cs="Courier New" w:eastAsia="Courier New" w:hAnsi="Courier New"/>
          <w:sz w:val="16"/>
          <w:szCs w:val="16"/>
          <w:color w:val="auto"/>
        </w:rPr>
        <w:t>In the second quarter of 1995, revenues from other businesses</w:t>
      </w:r>
    </w:p>
    <w:p>
      <w:pPr>
        <w:spacing w:after="0" w:line="4" w:lineRule="exact"/>
        <w:rPr>
          <w:sz w:val="20"/>
          <w:szCs w:val="20"/>
          <w:color w:val="auto"/>
        </w:rPr>
      </w:pPr>
    </w:p>
    <w:p>
      <w:pPr>
        <w:ind w:right="177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principally Kaplan Educational Centers, PASS Sports, Legi-Slate, Digital Ink, Mammoth Micro Productions, and Moffet, Larson, &amp; Johnson (MLJ) -- increased 10.6 percent. At Kaplan, revenues were up 4.3 percent in the quarter reflecting improved results in the company's core courses, while at MLJ, increased demand for engineering services to the expanding PCS industry generated a three-fold jump in revenues.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EQUITY IN EARNINGS AND LOSSES OF AFFILIATES. The company's equity in earnings of affiliates in the second quarter of 1995 was $8.9 million, compared with $2.2 million in the second quarter of 1994. The improvement was due to better results at the company's affiliated newsprint mills, which are benefiting from higher newsprint prices.</w:t>
      </w:r>
    </w:p>
    <w:p>
      <w:pPr>
        <w:spacing w:after="0" w:line="209"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NON-OPERATING ITEMS. Interest income, net of interest expense, was $0.6 million, unchanged over the comparable period in 1994.</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INCOME TAXES. The effective tax rate in 1995 decreased to 41 percent, from 43 percent in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SIX MONTH COMPARISONS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Net income for the first six months of 1995 was $95.4 million ($8.56 per share), compared with net income of $70.1 million ($5.99 per share) in the first half of 1994. The company's net income for the first half of 1995 includes $8.4 million ($0.75 per share) from the sale, at its original cost, of substantially all of the company's investment in American PCS, L.P. Excluding the effect of the sale, net income increased $16.9 million, or 24.2 percent, in the first six months of 1995.</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Revenues for the first half of 1995 increased 9.9 percent to $838.5 million, from $763.3 million in the comparable period last year. Advertising revenues increased 13.4 percent, circulation and subscriber revenues increased 1.5 percent and other revenues increased 12.4 percent.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Costs and expenses increased 9.2 percent during the first half of 1995 to $701.5 million, from $642.5 million in the corresponding period of 1994. Operating expenses and selling, general and administrative expenses increased 7.8 and 9.6 percent, respectively. Depreciation expense increased 8.9 percent while amortization expense increased 57.9 percent. Approximately 43 percent of the total increase in costs and expenses (and all of the amortization increase) relates to additional expenses associated with new businesses. In addition, a 25.7 percent increase in newsprint expense accounted for approximately 20 percent of the increase in total expense. The remainder of the increases reflect normal growth in operating expenses.</w:t>
      </w:r>
    </w:p>
    <w:p>
      <w:pPr>
        <w:spacing w:after="0" w:line="21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In the first half of 1995 operating income rose to $137.1 million, an increase of 13.5 percent over $120.8 million in the same period last year.</w:t>
      </w:r>
    </w:p>
    <w:p>
      <w:pPr>
        <w:spacing w:after="0" w:line="17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NEWSPAPER DIVISION. Newspaper division revenues were up 4.6 percent in the first half of 1995 over the comparable period of 1994. Although advertising volume at The Washington Post fell 3.0 percent, advertising revenues for the division rose 4.3 percent in the period due mainly to rate increases for retail and classified advertising, as well as improvement in recruitment and preprint volume at The Post. Circulation revenues for the division increased 2.0 percent compared with the first half of 1994. Daily circulation at The Post declined 2.0 percent from the prior year, and Sunday circulation dropped 1.1 percent.</w:t>
      </w:r>
    </w:p>
    <w:p>
      <w:pPr>
        <w:spacing w:after="0" w:line="186"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BROADCAST DIVISION. Revenues at the broadcast division, which include the results of the two Texas television stations purchased on April</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22, 1994, increased 39.8 percent over the first six months of 1994. In the first half of 1995 local advertising revenues rose 34.3 percent and national advertising revenues increased 22.2 percent. Approximately 64 percent of the increase in total revenues is attributable to the newly acquired stations.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MAGAZINE DIVISION. At Newsweek revenues increased 4.3 percent in the first half of 1995. A major contributor to the improvement was a 9.2 percent increase in advertising revenues, which resulted primarily from higher advertising page volume, despite one less regular and one less newsstand-only issue published in 1995. In the first six months of 1995, circulation revenues decreased 1.6 percent, primarily due to the publication of one less issue in 1995. Stronger subscription and foreign currency rates at the international editions partially offset this decline.</w:t>
      </w:r>
    </w:p>
    <w:p>
      <w:pPr>
        <w:spacing w:after="0" w:line="212"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CABLE DIVISION. Cable division revenues increased 4.1 percent in the first half of 1995. Subscriber revenues grew 3.9 percent in the first six months of 1995, due to a 3.8 percent increase in the number of basic subscribers.</w:t>
      </w:r>
    </w:p>
    <w:p>
      <w:pPr>
        <w:spacing w:after="0" w:line="209"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OTHER BUSINESSES. At the company's other businesses, revenues rose 10.7 percent in the first half of 1995. Improved results at Kaplan Educational Centers and Moffet, Larson, &amp; Johnson were the major contributors to the increase over 1994.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w w:val="99"/>
              </w:rPr>
              <w:t>EQUITY IN EARNINGS AND LOSSES OF AFFILIATES.</w:t>
            </w:r>
          </w:p>
        </w:tc>
        <w:tc>
          <w:tcPr>
            <w:tcW w:w="154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9"/>
              </w:rPr>
              <w:t>The company's</w:t>
            </w:r>
          </w:p>
        </w:tc>
        <w:tc>
          <w:tcPr>
            <w:tcW w:w="2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8"/>
              </w:rPr>
              <w:t>equity in earnings</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of affiliates during the first</w:t>
            </w:r>
          </w:p>
        </w:tc>
        <w:tc>
          <w:tcPr>
            <w:tcW w:w="2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half of 1995 was income</w:t>
            </w:r>
          </w:p>
        </w:tc>
        <w:tc>
          <w:tcPr>
            <w:tcW w:w="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of $9.6</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million, compared</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with a loss of $3.2 million in</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first six</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months of</w:t>
            </w:r>
          </w:p>
        </w:tc>
        <w:tc>
          <w:tcPr>
            <w:tcW w:w="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Improved results</w:t>
            </w: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from the company's newsprint mill affiliates</w:t>
            </w:r>
          </w:p>
        </w:tc>
        <w:tc>
          <w:tcPr>
            <w:tcW w:w="3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were the major contributors to the</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w:t>
            </w: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w w:val="98"/>
              </w:rPr>
              <w:t>NON-OPERATING ITEMS.  Interest</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w w:val="95"/>
              </w:rPr>
              <w:t>income, net of</w:t>
            </w:r>
          </w:p>
        </w:tc>
        <w:tc>
          <w:tcPr>
            <w:tcW w:w="1000" w:type="dxa"/>
            <w:vAlign w:val="bottom"/>
          </w:tcPr>
          <w:p>
            <w:pPr>
              <w:ind w:left="120"/>
              <w:spacing w:after="0"/>
              <w:rPr>
                <w:sz w:val="20"/>
                <w:szCs w:val="20"/>
                <w:color w:val="auto"/>
              </w:rPr>
            </w:pPr>
            <w:r>
              <w:rPr>
                <w:rFonts w:ascii="Courier New" w:cs="Courier New" w:eastAsia="Courier New" w:hAnsi="Courier New"/>
                <w:sz w:val="18"/>
                <w:szCs w:val="18"/>
                <w:color w:val="auto"/>
                <w:w w:val="99"/>
              </w:rPr>
              <w:t>interest</w:t>
            </w:r>
          </w:p>
        </w:tc>
        <w:tc>
          <w:tcPr>
            <w:tcW w:w="27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expense, was</w:t>
            </w: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$1.6 million in the first six months of 1995,</w:t>
            </w:r>
          </w:p>
        </w:tc>
        <w:tc>
          <w:tcPr>
            <w:tcW w:w="1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compared</w:t>
            </w:r>
          </w:p>
        </w:tc>
        <w:tc>
          <w:tcPr>
            <w:tcW w:w="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to $2.8</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million in 1994.</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company had lower invested</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cash balances</w:t>
            </w:r>
          </w:p>
        </w:tc>
        <w:tc>
          <w:tcPr>
            <w:tcW w:w="3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due mainly to the acquisition of</w:t>
            </w: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two television stations in April 1994 and the</w:t>
            </w:r>
          </w:p>
        </w:tc>
        <w:tc>
          <w:tcPr>
            <w:tcW w:w="37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repurchase of company stock.</w:t>
            </w:r>
          </w:p>
        </w:tc>
      </w:tr>
    </w:tbl>
    <w:p>
      <w:pPr>
        <w:spacing w:after="0" w:line="207" w:lineRule="exact"/>
        <w:rPr>
          <w:sz w:val="20"/>
          <w:szCs w:val="20"/>
          <w:color w:val="auto"/>
        </w:rPr>
      </w:pPr>
    </w:p>
    <w:p>
      <w:pPr>
        <w:ind w:right="1879" w:firstLine="843"/>
        <w:spacing w:after="0" w:line="273" w:lineRule="auto"/>
        <w:rPr>
          <w:sz w:val="20"/>
          <w:szCs w:val="20"/>
          <w:color w:val="auto"/>
        </w:rPr>
      </w:pPr>
      <w:r>
        <w:rPr>
          <w:rFonts w:ascii="Courier New" w:cs="Courier New" w:eastAsia="Courier New" w:hAnsi="Courier New"/>
          <w:sz w:val="16"/>
          <w:szCs w:val="16"/>
          <w:color w:val="auto"/>
        </w:rPr>
        <w:t>Other income in the first half of 1995 was $13.5 million, compared with $2.6 million in the comparable period of 1994. The increase is due to the sale of substantially all of the company's interest in American PCS, L.P. in January 1995. In 1994 other income included a gain of $2.5 million resulting from a change in the company's ownership interest in one of its affiliates.</w:t>
      </w:r>
    </w:p>
    <w:p>
      <w:pPr>
        <w:spacing w:after="0" w:line="18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INCOME TAXES. The effective tax rate in 1995 decreased to 41 percent, from 43 percent in 1994.</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7"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The company has completed its assessment of the need for a new production facility at The Washington Post newspaper. On May 17, 1995, the company announced a contract to purchase new press equipment as part of an estimated three year $250 million capital project which it anticipates completing by 1998.</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On August 8, the company announced it had reached agreements in principle to acquire three cable systems serving approximately 65,000 subscribers in four states from Time Warner and from Cox Communications. The combined purchase price is approximately $120 million in cash.</w:t>
      </w:r>
    </w:p>
    <w:p>
      <w:pPr>
        <w:spacing w:after="0" w:line="207" w:lineRule="exact"/>
        <w:rPr>
          <w:sz w:val="20"/>
          <w:szCs w:val="20"/>
          <w:color w:val="auto"/>
        </w:rPr>
      </w:pPr>
    </w:p>
    <w:p>
      <w:pPr>
        <w:jc w:val="both"/>
        <w:ind w:right="2319" w:firstLine="843"/>
        <w:spacing w:after="0" w:line="236" w:lineRule="auto"/>
        <w:rPr>
          <w:sz w:val="20"/>
          <w:szCs w:val="20"/>
          <w:color w:val="auto"/>
        </w:rPr>
      </w:pPr>
      <w:r>
        <w:rPr>
          <w:rFonts w:ascii="Courier New" w:cs="Courier New" w:eastAsia="Courier New" w:hAnsi="Courier New"/>
          <w:sz w:val="18"/>
          <w:szCs w:val="18"/>
          <w:color w:val="auto"/>
        </w:rPr>
        <w:t>The company expects to fund both the new plant construction and the cable system acquisitions through internally generated funds and short-term borrowings.</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As indicated previously, the newspaper division has experienced significant increases in newsprint prices in the first half of 1995 and anticipates further increases during the year. These increases have had and will continue to have a negative impact on the company's operating results. As a result of the company's investment in newsprint paper mills, which are included in equity in income of affiliates, the company expects that a significant portion of the increased costs will be offset by its share of increased profits at the newsprint affiliates.</w:t>
      </w:r>
    </w:p>
    <w:p>
      <w:pPr>
        <w:spacing w:after="0" w:line="212"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As of the end of 1994, the company had repurchased approximately 885,000 shares of the one million Class B shares authorized for repurchase by the Board of Directors in May 1990. In January 1995 the Board of Directors authorized the company to repurchase an additional one million Class B shares, primarily through block purchases. In the first six months of 1995, the company repurchased 322,606 shares of its Class B common stock for $79.6 million. This completed the repurchase under the May 1990 authorization; approximately 790,000 Class B shares remain to be repurchased under the January 1995 authorization.</w:t>
      </w:r>
    </w:p>
    <w:p>
      <w:pPr>
        <w:spacing w:after="0" w:line="186" w:lineRule="exact"/>
        <w:rPr>
          <w:sz w:val="20"/>
          <w:szCs w:val="20"/>
          <w:color w:val="auto"/>
        </w:rPr>
      </w:pPr>
    </w:p>
    <w:p>
      <w:pPr>
        <w:ind w:right="2739" w:firstLine="843"/>
        <w:spacing w:after="0" w:line="235" w:lineRule="auto"/>
        <w:rPr>
          <w:sz w:val="20"/>
          <w:szCs w:val="20"/>
          <w:color w:val="auto"/>
        </w:rPr>
      </w:pPr>
      <w:r>
        <w:rPr>
          <w:rFonts w:ascii="Courier New" w:cs="Courier New" w:eastAsia="Courier New" w:hAnsi="Courier New"/>
          <w:sz w:val="18"/>
          <w:szCs w:val="18"/>
          <w:color w:val="auto"/>
        </w:rPr>
        <w:t>The company has experienced no other significant changes in its financial condition since the end of 1994.</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2419" w:firstLine="843"/>
        <w:spacing w:after="0" w:line="237" w:lineRule="auto"/>
        <w:rPr>
          <w:sz w:val="20"/>
          <w:szCs w:val="20"/>
          <w:color w:val="auto"/>
        </w:rPr>
      </w:pPr>
      <w:r>
        <w:rPr>
          <w:rFonts w:ascii="Courier New" w:cs="Courier New" w:eastAsia="Courier New" w:hAnsi="Courier New"/>
          <w:sz w:val="18"/>
          <w:szCs w:val="18"/>
          <w:color w:val="auto"/>
        </w:rPr>
        <w:t>At the Company's May 11, 1995, Annual Meeting of Stockholders, the stockholders elected each of the nominees to its Board of Directors named in the Company's proxy statement dated March 31, 1995. The voting results are set forth below:</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Election of the nominees to the Board of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CLASS A DIRECTORS</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BROKER</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NOMINEE</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WITHHELD</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NON-VOTES</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Cohen</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1,843,250</w:t>
            </w:r>
          </w:p>
        </w:tc>
        <w:tc>
          <w:tcPr>
            <w:tcW w:w="154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- 0 -</w:t>
            </w:r>
          </w:p>
        </w:tc>
        <w:tc>
          <w:tcPr>
            <w:tcW w:w="13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- 0 -</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Gillespie</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1,843,250</w:t>
            </w:r>
          </w:p>
        </w:tc>
        <w:tc>
          <w:tcPr>
            <w:tcW w:w="15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- 0 -</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D. Graham</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1,843,250</w:t>
            </w:r>
          </w:p>
        </w:tc>
        <w:tc>
          <w:tcPr>
            <w:tcW w:w="15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- 0 -</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K. Graham</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1,843,250</w:t>
            </w:r>
          </w:p>
        </w:tc>
        <w:tc>
          <w:tcPr>
            <w:tcW w:w="15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- 0 -</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Ruane</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1,843,250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8"/>
              </w:rPr>
              <w:t>- 0</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Simmons</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1,843,250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8"/>
              </w:rPr>
              <w:t>- 0</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Spoon</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1,843,250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8"/>
              </w:rPr>
              <w:t>- 0</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Wilson</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1,843,250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8"/>
              </w:rPr>
              <w:t>- 0</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CLASS B DIRECTORS</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BROKER</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NOMINEE</w:t>
            </w:r>
          </w:p>
        </w:tc>
        <w:tc>
          <w:tcPr>
            <w:tcW w:w="1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FOR</w:t>
            </w:r>
          </w:p>
        </w:tc>
        <w:tc>
          <w:tcPr>
            <w:tcW w:w="1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WITHHELD</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NON-VOTES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320" w:type="dxa"/>
            <w:vAlign w:val="bottom"/>
            <w:gridSpan w:val="2"/>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Burke</w:t>
            </w:r>
          </w:p>
        </w:tc>
        <w:tc>
          <w:tcPr>
            <w:tcW w:w="1620" w:type="dxa"/>
            <w:vAlign w:val="bottom"/>
          </w:tcPr>
          <w:p>
            <w:pPr>
              <w:ind w:left="360"/>
              <w:spacing w:after="0"/>
              <w:rPr>
                <w:sz w:val="20"/>
                <w:szCs w:val="20"/>
                <w:color w:val="auto"/>
              </w:rPr>
            </w:pPr>
            <w:r>
              <w:rPr>
                <w:rFonts w:ascii="Courier New" w:cs="Courier New" w:eastAsia="Courier New" w:hAnsi="Courier New"/>
                <w:sz w:val="18"/>
                <w:szCs w:val="18"/>
                <w:color w:val="auto"/>
              </w:rPr>
              <w:t>7,934,697</w:t>
            </w:r>
          </w:p>
        </w:tc>
        <w:tc>
          <w:tcPr>
            <w:tcW w:w="1540" w:type="dxa"/>
            <w:vAlign w:val="bottom"/>
          </w:tcPr>
          <w:p>
            <w:pPr>
              <w:jc w:val="center"/>
              <w:spacing w:after="0"/>
              <w:rPr>
                <w:sz w:val="20"/>
                <w:szCs w:val="20"/>
                <w:color w:val="auto"/>
              </w:rPr>
            </w:pPr>
            <w:r>
              <w:rPr>
                <w:rFonts w:ascii="Courier New" w:cs="Courier New" w:eastAsia="Courier New" w:hAnsi="Courier New"/>
                <w:sz w:val="18"/>
                <w:szCs w:val="18"/>
                <w:color w:val="auto"/>
                <w:w w:val="98"/>
              </w:rPr>
              <w:t>35,060</w:t>
            </w:r>
          </w:p>
        </w:tc>
        <w:tc>
          <w:tcPr>
            <w:tcW w:w="104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8"/>
              </w:rPr>
              <w:t>- 0</w:t>
            </w:r>
          </w:p>
        </w:tc>
        <w:tc>
          <w:tcPr>
            <w:tcW w:w="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Gomory</w:t>
            </w:r>
          </w:p>
        </w:tc>
        <w:tc>
          <w:tcPr>
            <w:tcW w:w="1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7,934,747</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35,010</w:t>
            </w:r>
          </w:p>
        </w:tc>
        <w:tc>
          <w:tcPr>
            <w:tcW w:w="104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8"/>
              </w:rPr>
              <w:t>- 0</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Keough</w:t>
            </w:r>
          </w:p>
        </w:tc>
        <w:tc>
          <w:tcPr>
            <w:tcW w:w="1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7,934,707</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35,050</w:t>
            </w:r>
          </w:p>
        </w:tc>
        <w:tc>
          <w:tcPr>
            <w:tcW w:w="104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8"/>
              </w:rPr>
              <w:t>- 0</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Preiskel</w:t>
            </w:r>
          </w:p>
        </w:tc>
        <w:tc>
          <w:tcPr>
            <w:tcW w:w="1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7,931,962</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37,795</w:t>
            </w:r>
          </w:p>
        </w:tc>
        <w:tc>
          <w:tcPr>
            <w:tcW w:w="104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8"/>
              </w:rPr>
              <w:t>- 0</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spacing w:after="0" w:line="204" w:lineRule="exact"/>
        <w:rPr>
          <w:sz w:val="20"/>
          <w:szCs w:val="20"/>
          <w:color w:val="auto"/>
        </w:rPr>
      </w:pPr>
    </w:p>
    <w:p>
      <w:pPr>
        <w:ind w:left="1380" w:hanging="529"/>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documents are filed as exhibits to this report: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FILING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NUMBER</w:t>
      </w:r>
    </w:p>
    <w:p>
      <w:pPr>
        <w:spacing w:after="0" w:line="216" w:lineRule="exact"/>
        <w:rPr>
          <w:sz w:val="20"/>
          <w:szCs w:val="20"/>
          <w:color w:val="auto"/>
        </w:rPr>
      </w:pPr>
    </w:p>
    <w:p>
      <w:pPr>
        <w:sectPr>
          <w:pgSz w:w="11900" w:h="16838" w:orient="portrait"/>
          <w:cols w:equalWidth="0" w:num="3">
            <w:col w:w="1820" w:space="720"/>
            <w:col w:w="3060" w:space="720"/>
            <w:col w:w="3899"/>
          </w:cols>
          <w:pgMar w:left="240" w:top="312" w:right="1440" w:bottom="1440" w:gutter="0" w:footer="0" w:header="0"/>
          <w:type w:val="continuous"/>
        </w:sectPr>
      </w:pPr>
    </w:p>
    <w:p>
      <w:pPr>
        <w:spacing w:after="0" w:line="1" w:lineRule="exact"/>
        <w:rPr>
          <w:sz w:val="20"/>
          <w:szCs w:val="20"/>
          <w:color w:val="auto"/>
        </w:rPr>
      </w:pPr>
    </w:p>
    <w:p>
      <w:pPr>
        <w:ind w:left="1480" w:hanging="1051"/>
        <w:spacing w:after="0"/>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Calculation of average number of</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 outstanding............................... 16</w:t>
      </w:r>
    </w:p>
    <w:p>
      <w:pPr>
        <w:spacing w:after="0" w:line="202" w:lineRule="exact"/>
        <w:rPr>
          <w:sz w:val="20"/>
          <w:szCs w:val="20"/>
          <w:color w:val="auto"/>
        </w:rPr>
      </w:pPr>
    </w:p>
    <w:p>
      <w:pPr>
        <w:ind w:left="1480" w:hanging="1051"/>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 (Electronic Filing Only). 17</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1380" w:right="2199" w:hanging="529"/>
        <w:spacing w:after="0" w:line="235" w:lineRule="auto"/>
        <w:tabs>
          <w:tab w:leader="none" w:pos="13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were filed during the period covered by this report.</w:t>
      </w:r>
    </w:p>
    <w:p>
      <w:pPr>
        <w:sectPr>
          <w:pgSz w:w="11900" w:h="16838" w:orient="portrait"/>
          <w:cols w:equalWidth="0" w:num="1">
            <w:col w:w="10219"/>
          </w:cols>
          <w:pgMar w:left="240" w:top="312"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THE WASHINGTON POST COMPANY</w:t>
      </w:r>
    </w:p>
    <w:p>
      <w:pPr>
        <w:ind w:left="496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both"/>
        <w:ind w:right="660"/>
        <w:spacing w:after="0" w:line="290" w:lineRule="auto"/>
        <w:rPr>
          <w:sz w:val="20"/>
          <w:szCs w:val="20"/>
          <w:color w:val="auto"/>
        </w:rPr>
      </w:pPr>
      <w:r>
        <w:rPr>
          <w:rFonts w:ascii="Courier New" w:cs="Courier New" w:eastAsia="Courier New" w:hAnsi="Courier New"/>
          <w:sz w:val="16"/>
          <w:szCs w:val="16"/>
          <w:color w:val="auto"/>
        </w:rPr>
        <w:t>August 16, 1995 ---------------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/s/ Donald E. Graham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Donald E. Graham, Chairman &amp;</w:t>
      </w:r>
    </w:p>
    <w:p>
      <w:pPr>
        <w:ind w:left="740"/>
        <w:spacing w:after="0" w:line="238" w:lineRule="auto"/>
        <w:rPr>
          <w:sz w:val="20"/>
          <w:szCs w:val="20"/>
          <w:color w:val="auto"/>
        </w:rPr>
      </w:pPr>
      <w:r>
        <w:rPr>
          <w:rFonts w:ascii="Courier New" w:cs="Courier New" w:eastAsia="Courier New" w:hAnsi="Courier New"/>
          <w:sz w:val="18"/>
          <w:szCs w:val="18"/>
          <w:color w:val="auto"/>
        </w:rPr>
        <w:t>Chief Executive Officer</w:t>
      </w:r>
    </w:p>
    <w:p>
      <w:pPr>
        <w:ind w:left="420"/>
        <w:spacing w:after="0"/>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3">
            <w:col w:w="540" w:space="200"/>
            <w:col w:w="2240" w:space="720"/>
            <w:col w:w="65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jc w:val="both"/>
        <w:ind w:right="340"/>
        <w:spacing w:after="0" w:line="290" w:lineRule="auto"/>
        <w:rPr>
          <w:sz w:val="20"/>
          <w:szCs w:val="20"/>
          <w:color w:val="auto"/>
        </w:rPr>
      </w:pPr>
      <w:r>
        <w:rPr>
          <w:rFonts w:ascii="Courier New" w:cs="Courier New" w:eastAsia="Courier New" w:hAnsi="Courier New"/>
          <w:sz w:val="16"/>
          <w:szCs w:val="16"/>
          <w:color w:val="auto"/>
        </w:rPr>
        <w:t>August 16, 1995 ---------------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right="2419" w:firstLine="1053"/>
        <w:spacing w:after="0" w:line="237" w:lineRule="auto"/>
        <w:rPr>
          <w:sz w:val="20"/>
          <w:szCs w:val="20"/>
          <w:color w:val="auto"/>
        </w:rPr>
      </w:pPr>
      <w:r>
        <w:rPr>
          <w:rFonts w:ascii="Courier New" w:cs="Courier New" w:eastAsia="Courier New" w:hAnsi="Courier New"/>
          <w:sz w:val="18"/>
          <w:szCs w:val="18"/>
          <w:color w:val="auto"/>
        </w:rPr>
        <w:t>/s/ John B. Morse, Jr. ------------------------------------------ John B. Morse, Jr., Vice President-Finance (Principal Financial Officer)</w:t>
      </w:r>
    </w:p>
    <w:p>
      <w:pPr>
        <w:sectPr>
          <w:pgSz w:w="11900" w:h="16838" w:orient="portrait"/>
          <w:cols w:equalWidth="0" w:num="3">
            <w:col w:w="540" w:space="200"/>
            <w:col w:w="1920" w:space="720"/>
            <w:col w:w="6839"/>
          </w:cols>
          <w:pgMar w:left="240" w:top="312"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11</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CALCULATION OF AVERAGE</w:t>
      </w:r>
    </w:p>
    <w:p>
      <w:pPr>
        <w:jc w:val="center"/>
        <w:ind w:right="1779"/>
        <w:spacing w:after="0" w:line="238" w:lineRule="auto"/>
        <w:rPr>
          <w:sz w:val="20"/>
          <w:szCs w:val="20"/>
          <w:color w:val="auto"/>
        </w:rPr>
      </w:pPr>
      <w:r>
        <w:rPr>
          <w:rFonts w:ascii="Courier New" w:cs="Courier New" w:eastAsia="Courier New" w:hAnsi="Courier New"/>
          <w:sz w:val="18"/>
          <w:szCs w:val="18"/>
          <w:color w:val="auto"/>
        </w:rPr>
        <w:t>NUMBER OF SHARES OUTSTANDING</w:t>
      </w:r>
    </w:p>
    <w:p>
      <w:pPr>
        <w:jc w:val="center"/>
        <w:ind w:right="1779"/>
        <w:spacing w:after="0"/>
        <w:rPr>
          <w:sz w:val="20"/>
          <w:szCs w:val="20"/>
          <w:color w:val="auto"/>
        </w:rPr>
      </w:pPr>
      <w:r>
        <w:rPr>
          <w:rFonts w:ascii="Courier New" w:cs="Courier New" w:eastAsia="Courier New" w:hAnsi="Courier New"/>
          <w:sz w:val="18"/>
          <w:szCs w:val="18"/>
          <w:color w:val="auto"/>
        </w:rPr>
        <w:t>(In thousands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22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6"/>
              </w:rPr>
              <w:t>Thirteen Weeks Ended</w:t>
            </w: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Twenty-Six Weeks Ended</w:t>
            </w:r>
          </w:p>
        </w:tc>
      </w:tr>
      <w:tr>
        <w:trPr>
          <w:trHeight w:val="203"/>
        </w:trPr>
        <w:tc>
          <w:tcPr>
            <w:tcW w:w="2640" w:type="dxa"/>
            <w:vAlign w:val="bottom"/>
          </w:tcPr>
          <w:p>
            <w:pPr>
              <w:spacing w:after="0"/>
              <w:rPr>
                <w:sz w:val="17"/>
                <w:szCs w:val="17"/>
                <w:color w:val="auto"/>
              </w:rPr>
            </w:pPr>
          </w:p>
        </w:tc>
        <w:tc>
          <w:tcPr>
            <w:tcW w:w="4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July 2,</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July 3,</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July 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July 3,</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2640" w:type="dxa"/>
            <w:vAlign w:val="bottom"/>
          </w:tcPr>
          <w:p>
            <w:pPr>
              <w:spacing w:after="0"/>
              <w:rPr>
                <w:sz w:val="17"/>
                <w:szCs w:val="17"/>
                <w:color w:val="auto"/>
              </w:rPr>
            </w:pP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Number of shares of</w:t>
            </w: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A and Class B</w:t>
            </w: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outstanding</w:t>
            </w: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at beginning of</w:t>
            </w: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period</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11,109</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11,713</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11,346</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11,713</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Issuance of shares of</w:t>
            </w: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B common stock</w:t>
            </w: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net of</w:t>
            </w: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forfeiture of re-</w:t>
            </w: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stricted stock awards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Repurchase of Class B</w:t>
            </w: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(weighted)</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Unexercised stock option</w:t>
            </w: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equivalent shares com-</w:t>
            </w: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puted under the "treasury</w:t>
            </w: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method"</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Average number of</w:t>
            </w: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during the period</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11,084</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11,667</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11,152</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11,693</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1440" w:gutter="0" w:footer="0" w:header="0"/>
        </w:sectPr>
      </w:pPr>
    </w:p>
    <w:bookmarkStart w:id="17" w:name="page18"/>
    <w:bookmarkEnd w:id="17"/>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95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Statement of Income for the six months ended July 2, 1995 and the Consolidated Balance Sheet as of July 2, 1995 and is qualified in its entirety by reference to such financial statements.</w:t>
      </w:r>
    </w:p>
    <w:p>
      <w:pPr>
        <w:spacing w:after="0" w:line="20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6-MOS</w:t>
      </w:r>
    </w:p>
    <w:p>
      <w:pPr>
        <w:ind w:left="2700"/>
        <w:spacing w:after="0" w:line="238" w:lineRule="auto"/>
        <w:rPr>
          <w:sz w:val="20"/>
          <w:szCs w:val="20"/>
          <w:color w:val="auto"/>
        </w:rPr>
      </w:pPr>
      <w:r>
        <w:rPr>
          <w:rFonts w:ascii="Courier New" w:cs="Courier New" w:eastAsia="Courier New" w:hAnsi="Courier New"/>
          <w:sz w:val="18"/>
          <w:szCs w:val="18"/>
          <w:color w:val="auto"/>
        </w:rPr>
        <w:t>DEC-31-1995</w:t>
      </w:r>
    </w:p>
    <w:p>
      <w:pPr>
        <w:ind w:left="3340"/>
        <w:spacing w:after="0"/>
        <w:rPr>
          <w:sz w:val="20"/>
          <w:szCs w:val="20"/>
          <w:color w:val="auto"/>
        </w:rPr>
      </w:pPr>
      <w:r>
        <w:rPr>
          <w:rFonts w:ascii="Courier New" w:cs="Courier New" w:eastAsia="Courier New" w:hAnsi="Courier New"/>
          <w:sz w:val="18"/>
          <w:szCs w:val="18"/>
          <w:color w:val="auto"/>
        </w:rPr>
        <w:t>JUL-2-1995</w:t>
      </w:r>
    </w:p>
    <w:p>
      <w:pPr>
        <w:ind w:left="4400"/>
        <w:spacing w:after="0" w:line="237" w:lineRule="auto"/>
        <w:rPr>
          <w:sz w:val="20"/>
          <w:szCs w:val="20"/>
          <w:color w:val="auto"/>
        </w:rPr>
      </w:pPr>
      <w:r>
        <w:rPr>
          <w:rFonts w:ascii="Courier New" w:cs="Courier New" w:eastAsia="Courier New" w:hAnsi="Courier New"/>
          <w:sz w:val="18"/>
          <w:szCs w:val="18"/>
          <w:color w:val="auto"/>
        </w:rPr>
        <w:t>90,310</w:t>
      </w:r>
    </w:p>
    <w:p>
      <w:pPr>
        <w:ind w:left="3860"/>
        <w:spacing w:after="0" w:line="238" w:lineRule="auto"/>
        <w:rPr>
          <w:sz w:val="20"/>
          <w:szCs w:val="20"/>
          <w:color w:val="auto"/>
        </w:rPr>
      </w:pPr>
      <w:r>
        <w:rPr>
          <w:rFonts w:ascii="Courier New" w:cs="Courier New" w:eastAsia="Courier New" w:hAnsi="Courier New"/>
          <w:sz w:val="18"/>
          <w:szCs w:val="18"/>
          <w:color w:val="auto"/>
        </w:rPr>
        <w:t>9,312</w:t>
      </w:r>
    </w:p>
    <w:p>
      <w:pPr>
        <w:ind w:left="3540"/>
        <w:spacing w:after="0"/>
        <w:rPr>
          <w:sz w:val="20"/>
          <w:szCs w:val="20"/>
          <w:color w:val="auto"/>
        </w:rPr>
      </w:pPr>
      <w:r>
        <w:rPr>
          <w:rFonts w:ascii="Courier New" w:cs="Courier New" w:eastAsia="Courier New" w:hAnsi="Courier New"/>
          <w:sz w:val="18"/>
          <w:szCs w:val="18"/>
          <w:color w:val="auto"/>
        </w:rPr>
        <w:t>234,494</w:t>
      </w:r>
    </w:p>
    <w:p>
      <w:pPr>
        <w:ind w:left="3760"/>
        <w:spacing w:after="0" w:line="237" w:lineRule="auto"/>
        <w:rPr>
          <w:sz w:val="20"/>
          <w:szCs w:val="20"/>
          <w:color w:val="auto"/>
        </w:rPr>
      </w:pPr>
      <w:r>
        <w:rPr>
          <w:rFonts w:ascii="Courier New" w:cs="Courier New" w:eastAsia="Courier New" w:hAnsi="Courier New"/>
          <w:sz w:val="18"/>
          <w:szCs w:val="18"/>
          <w:color w:val="auto"/>
        </w:rPr>
        <w:t>40,028</w:t>
      </w:r>
    </w:p>
    <w:p>
      <w:pPr>
        <w:ind w:left="3860"/>
        <w:spacing w:after="0"/>
        <w:rPr>
          <w:sz w:val="20"/>
          <w:szCs w:val="20"/>
          <w:color w:val="auto"/>
        </w:rPr>
      </w:pPr>
      <w:r>
        <w:rPr>
          <w:rFonts w:ascii="Courier New" w:cs="Courier New" w:eastAsia="Courier New" w:hAnsi="Courier New"/>
          <w:sz w:val="18"/>
          <w:szCs w:val="18"/>
          <w:color w:val="auto"/>
        </w:rPr>
        <w:t>25,344</w:t>
      </w:r>
    </w:p>
    <w:p>
      <w:pPr>
        <w:ind w:left="3240"/>
        <w:spacing w:after="0" w:line="237" w:lineRule="auto"/>
        <w:rPr>
          <w:sz w:val="20"/>
          <w:szCs w:val="20"/>
          <w:color w:val="auto"/>
        </w:rPr>
      </w:pPr>
      <w:r>
        <w:rPr>
          <w:rFonts w:ascii="Courier New" w:cs="Courier New" w:eastAsia="Courier New" w:hAnsi="Courier New"/>
          <w:sz w:val="18"/>
          <w:szCs w:val="18"/>
          <w:color w:val="auto"/>
        </w:rPr>
        <w:t>349,711</w:t>
      </w:r>
    </w:p>
    <w:p>
      <w:pPr>
        <w:ind w:left="4280"/>
        <w:spacing w:after="0"/>
        <w:rPr>
          <w:sz w:val="20"/>
          <w:szCs w:val="20"/>
          <w:color w:val="auto"/>
        </w:rPr>
      </w:pPr>
      <w:r>
        <w:rPr>
          <w:rFonts w:ascii="Courier New" w:cs="Courier New" w:eastAsia="Courier New" w:hAnsi="Courier New"/>
          <w:sz w:val="18"/>
          <w:szCs w:val="18"/>
          <w:color w:val="auto"/>
        </w:rPr>
        <w:t>969,436</w:t>
      </w:r>
    </w:p>
    <w:p>
      <w:pPr>
        <w:ind w:left="3440"/>
        <w:spacing w:after="0" w:line="237" w:lineRule="auto"/>
        <w:rPr>
          <w:sz w:val="20"/>
          <w:szCs w:val="20"/>
          <w:color w:val="auto"/>
        </w:rPr>
      </w:pPr>
      <w:r>
        <w:rPr>
          <w:rFonts w:ascii="Courier New" w:cs="Courier New" w:eastAsia="Courier New" w:hAnsi="Courier New"/>
          <w:sz w:val="18"/>
          <w:szCs w:val="18"/>
          <w:color w:val="auto"/>
        </w:rPr>
        <w:t>510,402</w:t>
      </w:r>
    </w:p>
    <w:p>
      <w:pPr>
        <w:ind w:left="3240"/>
        <w:spacing w:after="0" w:line="238" w:lineRule="auto"/>
        <w:rPr>
          <w:sz w:val="20"/>
          <w:szCs w:val="20"/>
          <w:color w:val="auto"/>
        </w:rPr>
      </w:pPr>
      <w:r>
        <w:rPr>
          <w:rFonts w:ascii="Courier New" w:cs="Courier New" w:eastAsia="Courier New" w:hAnsi="Courier New"/>
          <w:sz w:val="18"/>
          <w:szCs w:val="18"/>
          <w:color w:val="auto"/>
        </w:rPr>
        <w:t>1,718,065</w:t>
      </w:r>
    </w:p>
    <w:p>
      <w:pPr>
        <w:ind w:left="2700"/>
        <w:spacing w:after="0"/>
        <w:rPr>
          <w:sz w:val="20"/>
          <w:szCs w:val="20"/>
          <w:color w:val="auto"/>
        </w:rPr>
      </w:pPr>
      <w:r>
        <w:rPr>
          <w:rFonts w:ascii="Courier New" w:cs="Courier New" w:eastAsia="Courier New" w:hAnsi="Courier New"/>
          <w:sz w:val="18"/>
          <w:szCs w:val="18"/>
          <w:color w:val="auto"/>
        </w:rPr>
        <w:t>329,987</w:t>
      </w:r>
    </w:p>
    <w:p>
      <w:pPr>
        <w:ind w:left="4280"/>
        <w:spacing w:after="0" w:line="237" w:lineRule="auto"/>
        <w:rPr>
          <w:sz w:val="20"/>
          <w:szCs w:val="20"/>
          <w:color w:val="auto"/>
        </w:rPr>
      </w:pPr>
      <w:r>
        <w:rPr>
          <w:rFonts w:ascii="Courier New" w:cs="Courier New" w:eastAsia="Courier New" w:hAnsi="Courier New"/>
          <w:sz w:val="18"/>
          <w:szCs w:val="18"/>
          <w:color w:val="auto"/>
        </w:rPr>
        <w:t>50,259</w:t>
      </w:r>
    </w:p>
    <w:p>
      <w:pPr>
        <w:ind w:left="4180"/>
        <w:spacing w:after="0"/>
        <w:rPr>
          <w:sz w:val="20"/>
          <w:szCs w:val="20"/>
          <w:color w:val="auto"/>
        </w:rPr>
      </w:pPr>
      <w:r>
        <w:rPr>
          <w:rFonts w:ascii="Courier New" w:cs="Courier New" w:eastAsia="Courier New" w:hAnsi="Courier New"/>
          <w:sz w:val="18"/>
          <w:szCs w:val="18"/>
          <w:color w:val="auto"/>
        </w:rPr>
        <w:t>20,000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1,104,041</w:t>
      </w:r>
    </w:p>
    <w:p>
      <w:pPr>
        <w:ind w:left="1760"/>
        <w:spacing w:after="0" w:line="238" w:lineRule="auto"/>
        <w:rPr>
          <w:sz w:val="20"/>
          <w:szCs w:val="20"/>
          <w:color w:val="auto"/>
        </w:rPr>
      </w:pPr>
      <w:r>
        <w:rPr>
          <w:rFonts w:ascii="Courier New" w:cs="Courier New" w:eastAsia="Courier New" w:hAnsi="Courier New"/>
          <w:sz w:val="18"/>
          <w:szCs w:val="18"/>
          <w:color w:val="auto"/>
        </w:rPr>
        <w:t>1,718,065</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240"/>
        <w:spacing w:after="0" w:line="237" w:lineRule="auto"/>
        <w:rPr>
          <w:sz w:val="20"/>
          <w:szCs w:val="20"/>
          <w:color w:val="auto"/>
        </w:rPr>
      </w:pPr>
      <w:r>
        <w:rPr>
          <w:rFonts w:ascii="Courier New" w:cs="Courier New" w:eastAsia="Courier New" w:hAnsi="Courier New"/>
          <w:sz w:val="18"/>
          <w:szCs w:val="18"/>
          <w:color w:val="auto"/>
        </w:rPr>
        <w:t>838,545</w:t>
      </w:r>
    </w:p>
    <w:p>
      <w:pPr>
        <w:jc w:val="center"/>
        <w:ind w:right="19"/>
        <w:spacing w:after="0"/>
        <w:rPr>
          <w:sz w:val="20"/>
          <w:szCs w:val="20"/>
          <w:color w:val="auto"/>
        </w:rPr>
      </w:pPr>
      <w:r>
        <w:rPr>
          <w:rFonts w:ascii="Courier New" w:cs="Courier New" w:eastAsia="Courier New" w:hAnsi="Courier New"/>
          <w:sz w:val="18"/>
          <w:szCs w:val="18"/>
          <w:color w:val="auto"/>
        </w:rPr>
        <w:t>0</w:t>
      </w:r>
    </w:p>
    <w:p>
      <w:pPr>
        <w:ind w:left="3540"/>
        <w:spacing w:after="0" w:line="237" w:lineRule="auto"/>
        <w:rPr>
          <w:sz w:val="20"/>
          <w:szCs w:val="20"/>
          <w:color w:val="auto"/>
        </w:rPr>
      </w:pPr>
      <w:r>
        <w:rPr>
          <w:rFonts w:ascii="Courier New" w:cs="Courier New" w:eastAsia="Courier New" w:hAnsi="Courier New"/>
          <w:sz w:val="18"/>
          <w:szCs w:val="18"/>
          <w:color w:val="auto"/>
        </w:rPr>
        <w:t>448,037</w:t>
      </w:r>
    </w:p>
    <w:p>
      <w:pPr>
        <w:ind w:left="3860"/>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26,913</w:t>
      </w:r>
    </w:p>
    <w:p>
      <w:pPr>
        <w:ind w:left="3240"/>
        <w:spacing w:after="0"/>
        <w:rPr>
          <w:sz w:val="20"/>
          <w:szCs w:val="20"/>
          <w:color w:val="auto"/>
        </w:rPr>
      </w:pPr>
      <w:r>
        <w:rPr>
          <w:rFonts w:ascii="Courier New" w:cs="Courier New" w:eastAsia="Courier New" w:hAnsi="Courier New"/>
          <w:sz w:val="18"/>
          <w:szCs w:val="18"/>
          <w:color w:val="auto"/>
        </w:rPr>
        <w:t>2,799</w:t>
      </w:r>
    </w:p>
    <w:p>
      <w:pPr>
        <w:ind w:left="3340"/>
        <w:spacing w:after="0" w:line="237" w:lineRule="auto"/>
        <w:rPr>
          <w:sz w:val="20"/>
          <w:szCs w:val="20"/>
          <w:color w:val="auto"/>
        </w:rPr>
      </w:pPr>
      <w:r>
        <w:rPr>
          <w:rFonts w:ascii="Courier New" w:cs="Courier New" w:eastAsia="Courier New" w:hAnsi="Courier New"/>
          <w:sz w:val="18"/>
          <w:szCs w:val="18"/>
          <w:color w:val="auto"/>
        </w:rPr>
        <w:t>161,792</w:t>
      </w:r>
    </w:p>
    <w:p>
      <w:pPr>
        <w:ind w:left="3760"/>
        <w:spacing w:after="0" w:line="238" w:lineRule="auto"/>
        <w:rPr>
          <w:sz w:val="20"/>
          <w:szCs w:val="20"/>
          <w:color w:val="auto"/>
        </w:rPr>
      </w:pPr>
      <w:r>
        <w:rPr>
          <w:rFonts w:ascii="Courier New" w:cs="Courier New" w:eastAsia="Courier New" w:hAnsi="Courier New"/>
          <w:sz w:val="18"/>
          <w:szCs w:val="18"/>
          <w:color w:val="auto"/>
        </w:rPr>
        <w:t>66,380</w:t>
      </w:r>
    </w:p>
    <w:p>
      <w:pPr>
        <w:ind w:left="3020"/>
        <w:spacing w:after="0"/>
        <w:rPr>
          <w:sz w:val="20"/>
          <w:szCs w:val="20"/>
          <w:color w:val="auto"/>
        </w:rPr>
      </w:pPr>
      <w:r>
        <w:rPr>
          <w:rFonts w:ascii="Courier New" w:cs="Courier New" w:eastAsia="Courier New" w:hAnsi="Courier New"/>
          <w:sz w:val="18"/>
          <w:szCs w:val="18"/>
          <w:color w:val="auto"/>
        </w:rPr>
        <w:t>95,412</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760"/>
        <w:spacing w:after="0"/>
        <w:rPr>
          <w:sz w:val="20"/>
          <w:szCs w:val="20"/>
          <w:color w:val="auto"/>
        </w:rPr>
      </w:pPr>
      <w:r>
        <w:rPr>
          <w:rFonts w:ascii="Courier New" w:cs="Courier New" w:eastAsia="Courier New" w:hAnsi="Courier New"/>
          <w:sz w:val="18"/>
          <w:szCs w:val="18"/>
          <w:color w:val="auto"/>
        </w:rPr>
        <w:t>95,412</w:t>
      </w:r>
    </w:p>
    <w:p>
      <w:pPr>
        <w:ind w:left="3760"/>
        <w:spacing w:after="0" w:line="237" w:lineRule="auto"/>
        <w:rPr>
          <w:sz w:val="20"/>
          <w:szCs w:val="20"/>
          <w:color w:val="auto"/>
        </w:rPr>
      </w:pPr>
      <w:r>
        <w:rPr>
          <w:rFonts w:ascii="Courier New" w:cs="Courier New" w:eastAsia="Courier New" w:hAnsi="Courier New"/>
          <w:sz w:val="18"/>
          <w:szCs w:val="18"/>
          <w:color w:val="auto"/>
        </w:rPr>
        <w:t>$8.56</w:t>
      </w:r>
    </w:p>
    <w:p>
      <w:pPr>
        <w:ind w:left="3760"/>
        <w:spacing w:after="0" w:line="238" w:lineRule="auto"/>
        <w:rPr>
          <w:sz w:val="20"/>
          <w:szCs w:val="20"/>
          <w:color w:val="auto"/>
        </w:rPr>
      </w:pPr>
      <w:r>
        <w:rPr>
          <w:rFonts w:ascii="Courier New" w:cs="Courier New" w:eastAsia="Courier New" w:hAnsi="Courier New"/>
          <w:sz w:val="18"/>
          <w:szCs w:val="18"/>
          <w:color w:val="auto"/>
        </w:rPr>
        <w:t>$8.56</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02"/>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decimal"/>
      <w:start w:val="27"/>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2019-12-13T08:17:10Z</dcterms:created>
  <dcterms:modified xsi:type="dcterms:W3CDTF">2019-12-13T08:17:10Z</dcterms:modified>
</cp:coreProperties>
</file>