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254635</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329565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4, 2017</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49" w:lineRule="exact"/>
        <w:rPr>
          <w:sz w:val="24"/>
          <w:szCs w:val="24"/>
          <w:color w:val="auto"/>
        </w:rPr>
      </w:pPr>
    </w:p>
    <w:tbl>
      <w:tblPr>
        <w:tblLayout w:type="fixed"/>
        <w:tblInd w:w="1100" w:type="dxa"/>
        <w:tblCellMar>
          <w:top w:w="0" w:type="dxa"/>
          <w:left w:w="0" w:type="dxa"/>
          <w:bottom w:w="0" w:type="dxa"/>
          <w:right w:w="0" w:type="dxa"/>
        </w:tblCellMar>
      </w:tblPr>
      <w:tr>
        <w:trPr>
          <w:trHeight w:val="239"/>
        </w:trPr>
        <w:tc>
          <w:tcPr>
            <w:tcW w:w="4180" w:type="dxa"/>
            <w:vAlign w:val="bottom"/>
          </w:tcPr>
          <w:p>
            <w:pPr>
              <w:jc w:val="center"/>
              <w:ind w:right="2141"/>
              <w:spacing w:after="0"/>
              <w:rPr>
                <w:sz w:val="20"/>
                <w:szCs w:val="20"/>
                <w:color w:val="auto"/>
              </w:rPr>
            </w:pPr>
            <w:r>
              <w:rPr>
                <w:rFonts w:ascii="Arial" w:cs="Arial" w:eastAsia="Arial" w:hAnsi="Arial"/>
                <w:sz w:val="18"/>
                <w:szCs w:val="18"/>
                <w:b w:val="1"/>
                <w:bCs w:val="1"/>
                <w:color w:val="auto"/>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9"/>
              </w:rPr>
              <w:t>1-6714</w:t>
            </w:r>
          </w:p>
        </w:tc>
        <w:tc>
          <w:tcPr>
            <w:tcW w:w="2540" w:type="dxa"/>
            <w:vAlign w:val="bottom"/>
          </w:tcPr>
          <w:p>
            <w:pPr>
              <w:jc w:val="right"/>
              <w:ind w:right="61"/>
              <w:spacing w:after="0"/>
              <w:rPr>
                <w:sz w:val="20"/>
                <w:szCs w:val="20"/>
                <w:color w:val="auto"/>
              </w:rPr>
            </w:pPr>
            <w:r>
              <w:rPr>
                <w:rFonts w:ascii="Arial" w:cs="Arial" w:eastAsia="Arial" w:hAnsi="Arial"/>
                <w:sz w:val="18"/>
                <w:szCs w:val="18"/>
                <w:b w:val="1"/>
                <w:bCs w:val="1"/>
                <w:color w:val="auto"/>
              </w:rPr>
              <w:t>53-0182885</w:t>
            </w:r>
          </w:p>
        </w:tc>
      </w:tr>
      <w:tr>
        <w:trPr>
          <w:trHeight w:val="243"/>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20" w:type="dxa"/>
            <w:vAlign w:val="bottom"/>
          </w:tcPr>
          <w:p>
            <w:pPr>
              <w:jc w:val="center"/>
              <w:ind w:right="1122"/>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620"/>
        </w:trPr>
        <w:tc>
          <w:tcPr>
            <w:tcW w:w="650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45"/>
        </w:trPr>
        <w:tc>
          <w:tcPr>
            <w:tcW w:w="4180" w:type="dxa"/>
            <w:vAlign w:val="bottom"/>
          </w:tcPr>
          <w:p>
            <w:pPr>
              <w:jc w:val="center"/>
              <w:ind w:left="122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21"/>
                <w:szCs w:val="21"/>
                <w:color w:val="auto"/>
              </w:rPr>
            </w:pPr>
          </w:p>
        </w:tc>
        <w:tc>
          <w:tcPr>
            <w:tcW w:w="2540" w:type="dxa"/>
            <w:vAlign w:val="bottom"/>
          </w:tcPr>
          <w:p>
            <w:pPr>
              <w:jc w:val="center"/>
              <w:ind w:left="1221"/>
              <w:spacing w:after="0"/>
              <w:rPr>
                <w:sz w:val="20"/>
                <w:szCs w:val="20"/>
                <w:color w:val="auto"/>
              </w:rPr>
            </w:pPr>
            <w:r>
              <w:rPr>
                <w:rFonts w:ascii="Arial" w:cs="Arial" w:eastAsia="Arial" w:hAnsi="Arial"/>
                <w:sz w:val="14"/>
                <w:szCs w:val="14"/>
                <w:b w:val="1"/>
                <w:bCs w:val="1"/>
                <w:color w:val="auto"/>
              </w:rPr>
              <w:t>(Zip Code)</w:t>
            </w:r>
          </w:p>
        </w:tc>
      </w:tr>
    </w:tbl>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172085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line="30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9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3900"/>
        <w:spacing w:after="0"/>
        <w:rPr>
          <w:sz w:val="20"/>
          <w:szCs w:val="20"/>
          <w:color w:val="auto"/>
        </w:rPr>
      </w:pPr>
      <w:r>
        <w:rPr>
          <w:rFonts w:ascii="Arial" w:cs="Arial" w:eastAsia="Arial" w:hAnsi="Arial"/>
          <w:sz w:val="18"/>
          <w:szCs w:val="18"/>
          <w:color w:val="211D1E"/>
        </w:rPr>
        <w:t>Emerging growth company o</w:t>
      </w:r>
    </w:p>
    <w:p>
      <w:pPr>
        <w:spacing w:after="0" w:line="198" w:lineRule="exact"/>
        <w:rPr>
          <w:sz w:val="24"/>
          <w:szCs w:val="24"/>
          <w:color w:val="auto"/>
        </w:rPr>
      </w:pPr>
    </w:p>
    <w:p>
      <w:pPr>
        <w:spacing w:after="0" w:line="262" w:lineRule="auto"/>
        <w:rPr>
          <w:sz w:val="20"/>
          <w:szCs w:val="20"/>
          <w:color w:val="auto"/>
        </w:rPr>
      </w:pPr>
      <w:r>
        <w:rPr>
          <w:rFonts w:ascii="Arial" w:cs="Arial" w:eastAsia="Arial" w:hAnsi="Arial"/>
          <w:sz w:val="18"/>
          <w:szCs w:val="18"/>
          <w:color w:val="211D1E"/>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130" w:right="239" w:bottom="1440" w:gutter="0" w:footer="0" w:header="0"/>
        </w:sectPr>
      </w:pPr>
    </w:p>
    <w:bookmarkStart w:id="1" w:name="page2"/>
    <w:bookmarkEnd w:id="1"/>
    <w:p>
      <w:pPr>
        <w:ind w:right="78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ind w:firstLine="8"/>
        <w:spacing w:after="0" w:line="251"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4, 2017, Jack Markell was elected to the Board of Directors of Graham Holdings Company (the “Company”). The Board has not yet determined whether Mr. Markell will be a member of any committee of the Board. The Board determined that Mr. Markell qualifies as an "independent director" under New York Stock Exchange listing standards. There are no family relationships between Mr. Markell and any director or executive officer of the Company or any related party transactions involving Mr. Markell and the Company. There is no arrangement or understanding between Mr. Markell and any other person pursuant to which he was selected as a director. Mr. Markell’s compensation for service as a non-employee director will be consistent with that of the Company’s other non-employee directors, which consists of an annual cash retainer and reimbursement of out-of-pocket expenses for the meetings that he attends. The Company's non-employee director compensation practices are described in the Proxy Statement for the Company's 2017 Annual Meeting of Stockholders filed with the Securities and Exchange Commission on March 23, 2017 under the heading "Director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election of Mr. Markell is furnished as Exhibit 99.1 to the Form 8-K.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7"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On May 4, 2017,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nine persons nominated as Directors of the Company as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2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30"/>
              <w:spacing w:after="0"/>
              <w:rPr>
                <w:sz w:val="20"/>
                <w:szCs w:val="20"/>
                <w:color w:val="auto"/>
              </w:rPr>
            </w:pPr>
            <w:r>
              <w:rPr>
                <w:rFonts w:ascii="Arial" w:cs="Arial" w:eastAsia="Arial" w:hAnsi="Arial"/>
                <w:sz w:val="18"/>
                <w:szCs w:val="18"/>
                <w:color w:val="auto"/>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Lee C. Bollinger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Thomas S. Gayner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Donald E. Graham</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Timothy J. O'Shaughnessy</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G. Richard Wagoner, Jr.</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Katharine Weymouth</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rPr>
              <w:t>964,001</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820" w:type="dxa"/>
            <w:vAlign w:val="bottom"/>
          </w:tcPr>
          <w:p>
            <w:pPr>
              <w:jc w:val="center"/>
              <w:ind w:left="11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0</w:t>
            </w:r>
          </w:p>
        </w:tc>
      </w:tr>
      <w:tr>
        <w:trPr>
          <w:trHeight w:val="446"/>
        </w:trPr>
        <w:tc>
          <w:tcPr>
            <w:tcW w:w="330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92"/>
        </w:trPr>
        <w:tc>
          <w:tcPr>
            <w:tcW w:w="3300" w:type="dxa"/>
            <w:vAlign w:val="bottom"/>
          </w:tcPr>
          <w:p>
            <w:pPr>
              <w:spacing w:after="0"/>
              <w:rPr>
                <w:sz w:val="24"/>
                <w:szCs w:val="24"/>
                <w:color w:val="auto"/>
              </w:rPr>
            </w:pP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6"/>
              </w:rPr>
              <w:t>For</w:t>
            </w:r>
          </w:p>
        </w:tc>
        <w:tc>
          <w:tcPr>
            <w:tcW w:w="2040" w:type="dxa"/>
            <w:vAlign w:val="bottom"/>
          </w:tcPr>
          <w:p>
            <w:pPr>
              <w:ind w:left="640"/>
              <w:spacing w:after="0"/>
              <w:rPr>
                <w:sz w:val="20"/>
                <w:szCs w:val="20"/>
                <w:color w:val="auto"/>
              </w:rPr>
            </w:pPr>
            <w:r>
              <w:rPr>
                <w:rFonts w:ascii="Arial" w:cs="Arial" w:eastAsia="Arial" w:hAnsi="Arial"/>
                <w:sz w:val="18"/>
                <w:szCs w:val="18"/>
                <w:color w:val="auto"/>
              </w:rPr>
              <w:t>Withheld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3,515,140</w:t>
            </w:r>
          </w:p>
        </w:tc>
        <w:tc>
          <w:tcPr>
            <w:tcW w:w="2040" w:type="dxa"/>
            <w:vAlign w:val="bottom"/>
          </w:tcPr>
          <w:p>
            <w:pPr>
              <w:jc w:val="center"/>
              <w:spacing w:after="0"/>
              <w:rPr>
                <w:sz w:val="20"/>
                <w:szCs w:val="20"/>
                <w:color w:val="auto"/>
              </w:rPr>
            </w:pPr>
            <w:r>
              <w:rPr>
                <w:rFonts w:ascii="Arial" w:cs="Arial" w:eastAsia="Arial" w:hAnsi="Arial"/>
                <w:sz w:val="18"/>
                <w:szCs w:val="18"/>
                <w:color w:val="auto"/>
              </w:rPr>
              <w:t>146,899</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Anne M. Mulcahy</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3,620,615</w:t>
            </w:r>
          </w:p>
        </w:tc>
        <w:tc>
          <w:tcPr>
            <w:tcW w:w="2040" w:type="dxa"/>
            <w:vAlign w:val="bottom"/>
          </w:tcPr>
          <w:p>
            <w:pPr>
              <w:jc w:val="center"/>
              <w:spacing w:after="0"/>
              <w:rPr>
                <w:sz w:val="20"/>
                <w:szCs w:val="20"/>
                <w:color w:val="auto"/>
              </w:rPr>
            </w:pPr>
            <w:r>
              <w:rPr>
                <w:rFonts w:ascii="Arial" w:cs="Arial" w:eastAsia="Arial" w:hAnsi="Arial"/>
                <w:sz w:val="18"/>
                <w:szCs w:val="18"/>
                <w:color w:val="auto"/>
              </w:rPr>
              <w:t>41,424</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r>
        <w:trPr>
          <w:trHeight w:val="257"/>
        </w:trPr>
        <w:tc>
          <w:tcPr>
            <w:tcW w:w="3300" w:type="dxa"/>
            <w:vAlign w:val="bottom"/>
          </w:tcPr>
          <w:p>
            <w:pPr>
              <w:ind w:left="60"/>
              <w:spacing w:after="0"/>
              <w:rPr>
                <w:sz w:val="20"/>
                <w:szCs w:val="20"/>
                <w:color w:val="auto"/>
              </w:rPr>
            </w:pPr>
            <w:r>
              <w:rPr>
                <w:rFonts w:ascii="Arial" w:cs="Arial" w:eastAsia="Arial" w:hAnsi="Arial"/>
                <w:sz w:val="18"/>
                <w:szCs w:val="18"/>
                <w:color w:val="auto"/>
              </w:rPr>
              <w:t>Larry D. Thompson</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99"/>
              </w:rPr>
              <w:t>3,632,997</w:t>
            </w:r>
          </w:p>
        </w:tc>
        <w:tc>
          <w:tcPr>
            <w:tcW w:w="2040" w:type="dxa"/>
            <w:vAlign w:val="bottom"/>
          </w:tcPr>
          <w:p>
            <w:pPr>
              <w:jc w:val="center"/>
              <w:spacing w:after="0"/>
              <w:rPr>
                <w:sz w:val="20"/>
                <w:szCs w:val="20"/>
                <w:color w:val="auto"/>
              </w:rPr>
            </w:pPr>
            <w:r>
              <w:rPr>
                <w:rFonts w:ascii="Arial" w:cs="Arial" w:eastAsia="Arial" w:hAnsi="Arial"/>
                <w:sz w:val="18"/>
                <w:szCs w:val="18"/>
                <w:color w:val="auto"/>
              </w:rPr>
              <w:t>29,042</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9"/>
              </w:rPr>
              <w:t>0</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to Approve 2016 Compensation Awarded to Named Executive Officers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2016, as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340"/>
          </w:cols>
          <w:pgMar w:left="240" w:top="1049" w:right="319" w:bottom="1440" w:gutter="0" w:footer="0" w:header="0"/>
        </w:sectPr>
      </w:pP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Withheld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sectPr>
          <w:pgSz w:w="11900" w:h="16838" w:orient="portrait"/>
          <w:cols w:equalWidth="0" w:num="4">
            <w:col w:w="2020" w:space="720"/>
            <w:col w:w="1360" w:space="720"/>
            <w:col w:w="900" w:space="720"/>
            <w:col w:w="4900"/>
          </w:cols>
          <w:pgMar w:left="240" w:top="1049" w:right="31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ectPr>
          <w:pgSz w:w="11900" w:h="16838" w:orient="portrait"/>
          <w:cols w:equalWidth="0" w:num="4">
            <w:col w:w="2320" w:space="720"/>
            <w:col w:w="1300" w:space="720"/>
            <w:col w:w="1320" w:space="720"/>
            <w:col w:w="4240"/>
          </w:cols>
          <w:pgMar w:left="240" w:top="1049" w:right="319" w:bottom="1440" w:gutter="0" w:footer="0" w:header="0"/>
          <w:type w:val="continuous"/>
        </w:sectPr>
      </w:pPr>
    </w:p>
    <w:bookmarkStart w:id="2" w:name="page3"/>
    <w:bookmarkEnd w:id="2"/>
    <w:p>
      <w:pPr>
        <w:ind w:right="200"/>
        <w:spacing w:after="0" w:line="262" w:lineRule="auto"/>
        <w:rPr>
          <w:sz w:val="20"/>
          <w:szCs w:val="20"/>
          <w:color w:val="auto"/>
        </w:rPr>
      </w:pPr>
      <w:r>
        <w:rPr>
          <w:rFonts w:ascii="Arial" w:cs="Arial" w:eastAsia="Arial" w:hAnsi="Arial"/>
          <w:sz w:val="18"/>
          <w:szCs w:val="18"/>
          <w:color w:val="auto"/>
        </w:rPr>
        <w:t>Proposal 3: Advisory vote to determine the frequency of future advisory votes on compensation awarded to the Company’s named executive officers</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Company’s Class A stockholders approved, on an advisory basis, that an annual vote be held on compensation paid to the Company’s named executive officers, as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380"/>
          </w:cols>
          <w:pgMar w:left="240" w:top="598" w:right="279" w:bottom="1440" w:gutter="0" w:footer="0" w:header="0"/>
        </w:sectPr>
      </w:pPr>
    </w:p>
    <w:p>
      <w:pPr>
        <w:spacing w:after="0" w:line="17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1 Year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2 Years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20"/>
        <w:spacing w:after="0"/>
        <w:rPr>
          <w:sz w:val="20"/>
          <w:szCs w:val="20"/>
          <w:color w:val="auto"/>
        </w:rPr>
      </w:pPr>
      <w:r>
        <w:rPr>
          <w:rFonts w:ascii="Arial" w:cs="Arial" w:eastAsia="Arial" w:hAnsi="Arial"/>
          <w:sz w:val="17"/>
          <w:szCs w:val="17"/>
          <w:color w:val="auto"/>
        </w:rPr>
        <w:t>3 Years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sectPr>
          <w:pgSz w:w="11900" w:h="16838" w:orient="portrait"/>
          <w:cols w:equalWidth="0" w:num="5">
            <w:col w:w="2040" w:space="720"/>
            <w:col w:w="1320" w:space="720"/>
            <w:col w:w="1320" w:space="720"/>
            <w:col w:w="920" w:space="720"/>
            <w:col w:w="2900"/>
          </w:cols>
          <w:pgMar w:left="240" w:top="598" w:right="27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color w:val="auto"/>
        </w:rPr>
        <w:t>0</w:t>
      </w:r>
    </w:p>
    <w:p>
      <w:pPr>
        <w:spacing w:after="0" w:line="211" w:lineRule="exact"/>
        <w:rPr>
          <w:sz w:val="20"/>
          <w:szCs w:val="20"/>
          <w:color w:val="auto"/>
        </w:rPr>
      </w:pPr>
    </w:p>
    <w:p>
      <w:pPr>
        <w:sectPr>
          <w:pgSz w:w="11900" w:h="16838" w:orient="portrait"/>
          <w:cols w:equalWidth="0" w:num="5">
            <w:col w:w="2300" w:space="720"/>
            <w:col w:w="1320" w:space="720"/>
            <w:col w:w="1320" w:space="720"/>
            <w:col w:w="1320" w:space="720"/>
            <w:col w:w="2240"/>
          </w:cols>
          <w:pgMar w:left="240" w:top="598" w:right="27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Proposal 4: Re-approval of the Graham Holdings Company 2012 Incentive Compensation Plan performance goals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Class A stockholders re-approved the performance goals under the Graham Holdings Company 2012 Incentive Compensation Plan, as set forth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380"/>
          </w:cols>
          <w:pgMar w:left="240" w:top="598" w:right="279" w:bottom="1440" w:gutter="0" w:footer="0" w:header="0"/>
          <w:type w:val="continuous"/>
        </w:sectPr>
      </w:pPr>
    </w:p>
    <w:p>
      <w:pPr>
        <w:spacing w:after="0" w:line="17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Withheld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Broker Non-Votes</w:t>
      </w:r>
    </w:p>
    <w:p>
      <w:pPr>
        <w:spacing w:after="0" w:line="61" w:lineRule="exact"/>
        <w:rPr>
          <w:sz w:val="20"/>
          <w:szCs w:val="20"/>
          <w:color w:val="auto"/>
        </w:rPr>
      </w:pPr>
    </w:p>
    <w:p>
      <w:pPr>
        <w:sectPr>
          <w:pgSz w:w="11900" w:h="16838" w:orient="portrait"/>
          <w:cols w:equalWidth="0" w:num="4">
            <w:col w:w="2020" w:space="720"/>
            <w:col w:w="1360" w:space="720"/>
            <w:col w:w="900" w:space="720"/>
            <w:col w:w="4940"/>
          </w:cols>
          <w:pgMar w:left="240" w:top="598" w:right="27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0</w:t>
      </w:r>
    </w:p>
    <w:p>
      <w:pPr>
        <w:spacing w:after="0" w:line="211" w:lineRule="exact"/>
        <w:rPr>
          <w:sz w:val="20"/>
          <w:szCs w:val="20"/>
          <w:color w:val="auto"/>
        </w:rPr>
      </w:pPr>
    </w:p>
    <w:p>
      <w:pPr>
        <w:sectPr>
          <w:pgSz w:w="11900" w:h="16838" w:orient="portrait"/>
          <w:cols w:equalWidth="0" w:num="4">
            <w:col w:w="2320" w:space="720"/>
            <w:col w:w="1300" w:space="720"/>
            <w:col w:w="1320" w:space="720"/>
            <w:col w:w="4280"/>
          </w:cols>
          <w:pgMar w:left="240" w:top="598"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tabs>
          <w:tab w:leader="none" w:pos="18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Item 9.01(d) Exhibits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May 4, 2017</w:t>
      </w:r>
    </w:p>
    <w:p>
      <w:pPr>
        <w:sectPr>
          <w:pgSz w:w="11900" w:h="16838" w:orient="portrait"/>
          <w:cols w:equalWidth="0" w:num="1">
            <w:col w:w="11380"/>
          </w:cols>
          <w:pgMar w:left="240" w:top="598" w:right="279" w:bottom="1440" w:gutter="0" w:footer="0" w:header="0"/>
          <w:type w:val="continuous"/>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9"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280"/>
        <w:spacing w:after="0"/>
        <w:tabs>
          <w:tab w:leader="none" w:pos="752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7"/>
          <w:szCs w:val="17"/>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14605</wp:posOffset>
            </wp:positionV>
            <wp:extent cx="3670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39"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(Signature)</w:t>
      </w:r>
    </w:p>
    <w:p>
      <w:pPr>
        <w:jc w:val="center"/>
        <w:ind w:left="5140"/>
        <w:spacing w:after="0" w:line="234" w:lineRule="auto"/>
        <w:rPr>
          <w:sz w:val="20"/>
          <w:szCs w:val="20"/>
          <w:color w:val="auto"/>
        </w:rPr>
      </w:pPr>
      <w:r>
        <w:rPr>
          <w:rFonts w:ascii="Arial" w:cs="Arial" w:eastAsia="Arial" w:hAnsi="Arial"/>
          <w:sz w:val="18"/>
          <w:szCs w:val="18"/>
          <w:color w:val="auto"/>
        </w:rPr>
        <w:t>Nicole Maddrey</w:t>
      </w:r>
    </w:p>
    <w:p>
      <w:pPr>
        <w:jc w:val="center"/>
        <w:ind w:left="5140"/>
        <w:spacing w:after="0" w:line="235" w:lineRule="auto"/>
        <w:rPr>
          <w:sz w:val="20"/>
          <w:szCs w:val="20"/>
          <w:color w:val="auto"/>
        </w:rPr>
      </w:pPr>
      <w:r>
        <w:rPr>
          <w:rFonts w:ascii="Arial" w:cs="Arial" w:eastAsia="Arial" w:hAnsi="Arial"/>
          <w:sz w:val="18"/>
          <w:szCs w:val="18"/>
          <w:color w:val="auto"/>
        </w:rPr>
        <w:t>Senior Vice President, Secretary</w:t>
      </w:r>
    </w:p>
    <w:p>
      <w:pPr>
        <w:spacing w:after="0" w:line="1" w:lineRule="exact"/>
        <w:rPr>
          <w:sz w:val="20"/>
          <w:szCs w:val="20"/>
          <w:color w:val="auto"/>
        </w:rPr>
      </w:pPr>
    </w:p>
    <w:p>
      <w:pPr>
        <w:jc w:val="center"/>
        <w:ind w:left="51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200"/>
          </w:cols>
          <w:pgMar w:left="240" w:top="576"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Jack Markell Elected a Director of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Graham Holdings Company</w:t>
      </w:r>
    </w:p>
    <w:p>
      <w:pPr>
        <w:spacing w:after="0" w:line="200" w:lineRule="exact"/>
        <w:rPr>
          <w:sz w:val="20"/>
          <w:szCs w:val="20"/>
          <w:color w:val="auto"/>
        </w:rPr>
      </w:pPr>
    </w:p>
    <w:p>
      <w:pPr>
        <w:spacing w:after="0" w:line="236"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color w:val="auto"/>
        </w:rPr>
        <w:t>ARLINGTON, VA - May 4, 2017 - Graham Holdings Company (NYSE: GHC) announced today that Jack A. Markell has been elected to the Board of Directors.</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21"/>
          <w:szCs w:val="21"/>
          <w:color w:val="auto"/>
        </w:rPr>
        <w:t>Markell served from 2009-2017 as the Governor of Delaware, leading a $4 billion enterprise with 30,000 employees. During his tenure, Delaware emerged from the great recession with the strongest job growth in the region and among the best private sector wage growth in the country. Markell was particularly focused on improving Delaware’s schools and positioning its citizens for future prosperity by launching and scaling important workforce development efforts. Before he was elected Governor, Markell served ten years as Delaware’s State Treasurer.</w:t>
      </w:r>
    </w:p>
    <w:p>
      <w:pPr>
        <w:spacing w:after="0" w:line="196" w:lineRule="exact"/>
        <w:rPr>
          <w:sz w:val="20"/>
          <w:szCs w:val="20"/>
          <w:color w:val="auto"/>
        </w:rPr>
      </w:pPr>
    </w:p>
    <w:p>
      <w:pPr>
        <w:jc w:val="both"/>
        <w:ind w:right="720" w:firstLine="648"/>
        <w:spacing w:after="0" w:line="246" w:lineRule="auto"/>
        <w:rPr>
          <w:sz w:val="20"/>
          <w:szCs w:val="20"/>
          <w:color w:val="auto"/>
        </w:rPr>
      </w:pPr>
      <w:r>
        <w:rPr>
          <w:rFonts w:ascii="Arial" w:cs="Arial" w:eastAsia="Arial" w:hAnsi="Arial"/>
          <w:sz w:val="22"/>
          <w:szCs w:val="22"/>
          <w:color w:val="auto"/>
        </w:rPr>
        <w:t>Prior to public service, Markell held several executive leadership roles in corporate development, investor relations, strategic mangement, and consulting with First Chicago Corporation, McKinsey &amp; Company, Comcast Corporation and Nextel.</w:t>
      </w:r>
    </w:p>
    <w:p>
      <w:pPr>
        <w:spacing w:after="0" w:line="208" w:lineRule="exact"/>
        <w:rPr>
          <w:sz w:val="20"/>
          <w:szCs w:val="20"/>
          <w:color w:val="auto"/>
        </w:rPr>
      </w:pPr>
    </w:p>
    <w:p>
      <w:pPr>
        <w:jc w:val="both"/>
        <w:ind w:right="380" w:firstLine="648"/>
        <w:spacing w:after="0" w:line="272" w:lineRule="auto"/>
        <w:rPr>
          <w:sz w:val="20"/>
          <w:szCs w:val="20"/>
          <w:color w:val="auto"/>
        </w:rPr>
      </w:pPr>
      <w:r>
        <w:rPr>
          <w:rFonts w:ascii="Arial" w:cs="Arial" w:eastAsia="Arial" w:hAnsi="Arial"/>
          <w:sz w:val="21"/>
          <w:szCs w:val="21"/>
          <w:color w:val="auto"/>
        </w:rPr>
        <w:t>Donald E. Graham, chairman of Graham Holdings Company, said: “Governor Markell, a businessman turned Governor, will make an outstanding director of our company. We are fortunate that he has agreed to join our board.”</w:t>
      </w:r>
    </w:p>
    <w:p>
      <w:pPr>
        <w:spacing w:after="0" w:line="182" w:lineRule="exact"/>
        <w:rPr>
          <w:sz w:val="20"/>
          <w:szCs w:val="20"/>
          <w:color w:val="auto"/>
        </w:rPr>
      </w:pPr>
    </w:p>
    <w:p>
      <w:pPr>
        <w:ind w:right="100" w:firstLine="648"/>
        <w:spacing w:after="0" w:line="246" w:lineRule="auto"/>
        <w:rPr>
          <w:sz w:val="20"/>
          <w:szCs w:val="20"/>
          <w:color w:val="auto"/>
        </w:rPr>
      </w:pPr>
      <w:r>
        <w:rPr>
          <w:rFonts w:ascii="Arial" w:cs="Arial" w:eastAsia="Arial" w:hAnsi="Arial"/>
          <w:sz w:val="22"/>
          <w:szCs w:val="22"/>
          <w:color w:val="auto"/>
        </w:rPr>
        <w:t>Markell serves on the National Board of Directors of Jobs for America’s Graduates and as a trustee of the Annie E. Casey Foundation. He earned his undergraduate degree in economics and development studies from Brown University and an MBA from the University of Chicago.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333333"/>
        </w:rPr>
        <w:t>Contact:</w:t>
      </w:r>
      <w:r>
        <w:rPr>
          <w:sz w:val="20"/>
          <w:szCs w:val="20"/>
          <w:color w:val="auto"/>
        </w:rPr>
        <w:tab/>
      </w:r>
      <w:r>
        <w:rPr>
          <w:rFonts w:ascii="Arial" w:cs="Arial" w:eastAsia="Arial" w:hAnsi="Arial"/>
          <w:sz w:val="21"/>
          <w:szCs w:val="21"/>
          <w:color w:val="333333"/>
        </w:rPr>
        <w:t>Pinkie Mayfield</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Pinkie.Mayfield@ghco.com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333333"/>
        </w:rPr>
        <w:t>(703) 345-6450</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2019-12-05T07:48:41Z</dcterms:created>
  <dcterms:modified xsi:type="dcterms:W3CDTF">2019-12-05T07:48:41Z</dcterms:modified>
</cp:coreProperties>
</file>