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216535</wp:posOffset>
            </wp:positionH>
            <wp:positionV relativeFrom="page">
              <wp:posOffset>732155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697230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34"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spacing w:after="0" w:line="2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83820</wp:posOffset>
            </wp:positionV>
            <wp:extent cx="59664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6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33" w:lineRule="exact"/>
        <w:rPr>
          <w:sz w:val="24"/>
          <w:szCs w:val="24"/>
          <w:color w:val="auto"/>
        </w:rPr>
      </w:pPr>
    </w:p>
    <w:p>
      <w:pPr>
        <w:ind w:left="360" w:hanging="208"/>
        <w:spacing w:after="0"/>
        <w:tabs>
          <w:tab w:leader="none" w:pos="36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36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September 30, 2026</w:t>
      </w:r>
    </w:p>
    <w:p>
      <w:pPr>
        <w:spacing w:after="0" w:line="10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315" w:lineRule="exact"/>
        <w:rPr>
          <w:sz w:val="24"/>
          <w:szCs w:val="24"/>
          <w:color w:val="auto"/>
        </w:rPr>
      </w:pPr>
    </w:p>
    <w:p>
      <w:pPr>
        <w:ind w:left="360" w:hanging="208"/>
        <w:spacing w:after="0"/>
        <w:tabs>
          <w:tab w:leader="none" w:pos="36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36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Commission File Number 001-06714</w:t>
      </w:r>
    </w:p>
    <w:p>
      <w:pPr>
        <w:spacing w:after="0" w:line="116" w:lineRule="exact"/>
        <w:rPr>
          <w:sz w:val="24"/>
          <w:szCs w:val="24"/>
          <w:color w:val="auto"/>
        </w:rPr>
      </w:pPr>
    </w:p>
    <w:p>
      <w:pPr>
        <w:jc w:val="center"/>
        <w:ind w:right="-39"/>
        <w:spacing w:after="0"/>
        <w:rPr>
          <w:sz w:val="20"/>
          <w:szCs w:val="20"/>
          <w:color w:val="auto"/>
        </w:rPr>
      </w:pPr>
      <w:r>
        <w:rPr>
          <w:rFonts w:ascii="Arial" w:cs="Arial" w:eastAsia="Arial" w:hAnsi="Arial"/>
          <w:sz w:val="40"/>
          <w:szCs w:val="40"/>
          <w:b w:val="1"/>
          <w:bCs w:val="1"/>
          <w:color w:val="auto"/>
        </w:rPr>
        <w:t>GRAHAM HOLDINGS COMPANY</w:t>
      </w:r>
    </w:p>
    <w:p>
      <w:pPr>
        <w:spacing w:after="0" w:line="122"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pacing w:after="0" w:line="347" w:lineRule="exact"/>
        <w:rPr>
          <w:sz w:val="24"/>
          <w:szCs w:val="24"/>
          <w:color w:val="auto"/>
        </w:rPr>
      </w:pPr>
    </w:p>
    <w:tbl>
      <w:tblPr>
        <w:tblLayout w:type="fixed"/>
        <w:tblInd w:w="0" w:type="dxa"/>
        <w:tblCellMar>
          <w:top w:w="0" w:type="dxa"/>
          <w:left w:w="0" w:type="dxa"/>
          <w:bottom w:w="0" w:type="dxa"/>
          <w:right w:w="0" w:type="dxa"/>
        </w:tblCellMar>
      </w:tblPr>
      <w:tr>
        <w:trPr>
          <w:trHeight w:val="247"/>
        </w:trPr>
        <w:tc>
          <w:tcPr>
            <w:tcW w:w="4920" w:type="dxa"/>
            <w:vAlign w:val="bottom"/>
            <w:gridSpan w:val="2"/>
          </w:tcPr>
          <w:p>
            <w:pPr>
              <w:jc w:val="center"/>
              <w:ind w:left="100"/>
              <w:spacing w:after="0"/>
              <w:rPr>
                <w:sz w:val="20"/>
                <w:szCs w:val="20"/>
                <w:color w:val="auto"/>
              </w:rPr>
            </w:pPr>
            <w:r>
              <w:rPr>
                <w:rFonts w:ascii="Arial" w:cs="Arial" w:eastAsia="Arial" w:hAnsi="Arial"/>
                <w:sz w:val="18"/>
                <w:szCs w:val="18"/>
                <w:b w:val="1"/>
                <w:bCs w:val="1"/>
                <w:color w:val="auto"/>
                <w:w w:val="98"/>
              </w:rPr>
              <w:t>Delaware</w:t>
            </w:r>
          </w:p>
        </w:tc>
        <w:tc>
          <w:tcPr>
            <w:tcW w:w="1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760" w:type="dxa"/>
            <w:vAlign w:val="bottom"/>
          </w:tcPr>
          <w:p>
            <w:pPr>
              <w:jc w:val="right"/>
              <w:ind w:right="1660"/>
              <w:spacing w:after="0"/>
              <w:rPr>
                <w:sz w:val="20"/>
                <w:szCs w:val="20"/>
                <w:color w:val="auto"/>
              </w:rPr>
            </w:pPr>
            <w:r>
              <w:rPr>
                <w:rFonts w:ascii="Arial" w:cs="Arial" w:eastAsia="Arial" w:hAnsi="Arial"/>
                <w:sz w:val="18"/>
                <w:szCs w:val="18"/>
                <w:b w:val="1"/>
                <w:bCs w:val="1"/>
                <w:color w:val="auto"/>
              </w:rPr>
              <w:t>53-0182885</w:t>
            </w:r>
          </w:p>
        </w:tc>
      </w:tr>
      <w:tr>
        <w:trPr>
          <w:trHeight w:val="195"/>
        </w:trPr>
        <w:tc>
          <w:tcPr>
            <w:tcW w:w="4920" w:type="dxa"/>
            <w:vAlign w:val="bottom"/>
            <w:gridSpan w:val="2"/>
          </w:tcPr>
          <w:p>
            <w:pPr>
              <w:jc w:val="center"/>
              <w:ind w:left="120"/>
              <w:spacing w:after="0"/>
              <w:rPr>
                <w:sz w:val="20"/>
                <w:szCs w:val="20"/>
                <w:color w:val="auto"/>
              </w:rPr>
            </w:pPr>
            <w:r>
              <w:rPr>
                <w:rFonts w:ascii="Arial" w:cs="Arial" w:eastAsia="Arial" w:hAnsi="Arial"/>
                <w:sz w:val="14"/>
                <w:szCs w:val="14"/>
                <w:color w:val="auto"/>
              </w:rPr>
              <w:t>(State or other jurisdiction of</w:t>
            </w:r>
          </w:p>
        </w:tc>
        <w:tc>
          <w:tcPr>
            <w:tcW w:w="1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760" w:type="dxa"/>
            <w:vAlign w:val="bottom"/>
          </w:tcPr>
          <w:p>
            <w:pPr>
              <w:jc w:val="center"/>
              <w:ind w:right="580"/>
              <w:spacing w:after="0"/>
              <w:rPr>
                <w:sz w:val="20"/>
                <w:szCs w:val="20"/>
                <w:color w:val="auto"/>
              </w:rPr>
            </w:pPr>
            <w:r>
              <w:rPr>
                <w:rFonts w:ascii="Arial" w:cs="Arial" w:eastAsia="Arial" w:hAnsi="Arial"/>
                <w:sz w:val="14"/>
                <w:szCs w:val="14"/>
                <w:color w:val="auto"/>
              </w:rPr>
              <w:t>(I.R.S. Employer</w:t>
            </w:r>
          </w:p>
        </w:tc>
      </w:tr>
      <w:tr>
        <w:trPr>
          <w:trHeight w:val="190"/>
        </w:trPr>
        <w:tc>
          <w:tcPr>
            <w:tcW w:w="4920" w:type="dxa"/>
            <w:vAlign w:val="bottom"/>
            <w:gridSpan w:val="2"/>
          </w:tcPr>
          <w:p>
            <w:pPr>
              <w:jc w:val="center"/>
              <w:ind w:left="100"/>
              <w:spacing w:after="0"/>
              <w:rPr>
                <w:sz w:val="20"/>
                <w:szCs w:val="20"/>
                <w:color w:val="auto"/>
              </w:rPr>
            </w:pPr>
            <w:r>
              <w:rPr>
                <w:rFonts w:ascii="Arial" w:cs="Arial" w:eastAsia="Arial" w:hAnsi="Arial"/>
                <w:sz w:val="14"/>
                <w:szCs w:val="14"/>
                <w:color w:val="auto"/>
              </w:rPr>
              <w:t>incorporation or organization)</w:t>
            </w:r>
          </w:p>
        </w:tc>
        <w:tc>
          <w:tcPr>
            <w:tcW w:w="1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760" w:type="dxa"/>
            <w:vAlign w:val="bottom"/>
          </w:tcPr>
          <w:p>
            <w:pPr>
              <w:jc w:val="center"/>
              <w:ind w:right="600"/>
              <w:spacing w:after="0"/>
              <w:rPr>
                <w:sz w:val="20"/>
                <w:szCs w:val="20"/>
                <w:color w:val="auto"/>
              </w:rPr>
            </w:pPr>
            <w:r>
              <w:rPr>
                <w:rFonts w:ascii="Arial" w:cs="Arial" w:eastAsia="Arial" w:hAnsi="Arial"/>
                <w:sz w:val="14"/>
                <w:szCs w:val="14"/>
                <w:color w:val="auto"/>
              </w:rPr>
              <w:t>Identification No.)</w:t>
            </w:r>
          </w:p>
        </w:tc>
      </w:tr>
      <w:tr>
        <w:trPr>
          <w:trHeight w:val="317"/>
        </w:trPr>
        <w:tc>
          <w:tcPr>
            <w:tcW w:w="4920" w:type="dxa"/>
            <w:vAlign w:val="bottom"/>
            <w:gridSpan w:val="2"/>
          </w:tcPr>
          <w:p>
            <w:pPr>
              <w:jc w:val="center"/>
              <w:ind w:left="100"/>
              <w:spacing w:after="0"/>
              <w:rPr>
                <w:sz w:val="20"/>
                <w:szCs w:val="20"/>
                <w:color w:val="auto"/>
              </w:rPr>
            </w:pPr>
            <w:r>
              <w:rPr>
                <w:rFonts w:ascii="Arial" w:cs="Arial" w:eastAsia="Arial" w:hAnsi="Arial"/>
                <w:sz w:val="18"/>
                <w:szCs w:val="18"/>
                <w:b w:val="1"/>
                <w:bCs w:val="1"/>
                <w:color w:val="auto"/>
                <w:w w:val="99"/>
              </w:rPr>
              <w:t>1812 North Moore Street, Arlington, Virginia</w:t>
            </w:r>
          </w:p>
        </w:tc>
        <w:tc>
          <w:tcPr>
            <w:tcW w:w="1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760" w:type="dxa"/>
            <w:vAlign w:val="bottom"/>
          </w:tcPr>
          <w:p>
            <w:pPr>
              <w:jc w:val="right"/>
              <w:ind w:right="1880"/>
              <w:spacing w:after="0"/>
              <w:rPr>
                <w:sz w:val="20"/>
                <w:szCs w:val="20"/>
                <w:color w:val="auto"/>
              </w:rPr>
            </w:pPr>
            <w:r>
              <w:rPr>
                <w:rFonts w:ascii="Arial" w:cs="Arial" w:eastAsia="Arial" w:hAnsi="Arial"/>
                <w:sz w:val="18"/>
                <w:szCs w:val="18"/>
                <w:b w:val="1"/>
                <w:bCs w:val="1"/>
                <w:color w:val="auto"/>
              </w:rPr>
              <w:t>22209</w:t>
            </w:r>
          </w:p>
        </w:tc>
      </w:tr>
      <w:tr>
        <w:trPr>
          <w:trHeight w:val="223"/>
        </w:trPr>
        <w:tc>
          <w:tcPr>
            <w:tcW w:w="4920" w:type="dxa"/>
            <w:vAlign w:val="bottom"/>
            <w:gridSpan w:val="2"/>
          </w:tcPr>
          <w:p>
            <w:pPr>
              <w:jc w:val="center"/>
              <w:ind w:left="100"/>
              <w:spacing w:after="0"/>
              <w:rPr>
                <w:sz w:val="20"/>
                <w:szCs w:val="20"/>
                <w:color w:val="auto"/>
              </w:rPr>
            </w:pPr>
            <w:r>
              <w:rPr>
                <w:rFonts w:ascii="Arial" w:cs="Arial" w:eastAsia="Arial" w:hAnsi="Arial"/>
                <w:sz w:val="14"/>
                <w:szCs w:val="14"/>
                <w:color w:val="auto"/>
              </w:rPr>
              <w:t>(Address of principal executive offices)</w:t>
            </w:r>
          </w:p>
        </w:tc>
        <w:tc>
          <w:tcPr>
            <w:tcW w:w="1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760" w:type="dxa"/>
            <w:vAlign w:val="bottom"/>
          </w:tcPr>
          <w:p>
            <w:pPr>
              <w:jc w:val="center"/>
              <w:ind w:right="600"/>
              <w:spacing w:after="0"/>
              <w:rPr>
                <w:sz w:val="20"/>
                <w:szCs w:val="20"/>
                <w:color w:val="auto"/>
              </w:rPr>
            </w:pPr>
            <w:r>
              <w:rPr>
                <w:rFonts w:ascii="Arial" w:cs="Arial" w:eastAsia="Arial" w:hAnsi="Arial"/>
                <w:sz w:val="14"/>
                <w:szCs w:val="14"/>
                <w:color w:val="auto"/>
              </w:rPr>
              <w:t>(Zip Code)</w:t>
            </w:r>
          </w:p>
        </w:tc>
      </w:tr>
      <w:tr>
        <w:trPr>
          <w:trHeight w:val="465"/>
        </w:trPr>
        <w:tc>
          <w:tcPr>
            <w:tcW w:w="4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60" w:type="dxa"/>
            <w:vAlign w:val="bottom"/>
          </w:tcPr>
          <w:p>
            <w:pPr>
              <w:jc w:val="right"/>
              <w:ind w:right="556"/>
              <w:spacing w:after="0"/>
              <w:rPr>
                <w:sz w:val="20"/>
                <w:szCs w:val="20"/>
                <w:color w:val="auto"/>
              </w:rPr>
            </w:pPr>
            <w:r>
              <w:rPr>
                <w:rFonts w:ascii="Arial" w:cs="Arial" w:eastAsia="Arial" w:hAnsi="Arial"/>
                <w:sz w:val="18"/>
                <w:szCs w:val="18"/>
                <w:b w:val="1"/>
                <w:bCs w:val="1"/>
                <w:color w:val="auto"/>
              </w:rPr>
              <w:t>(703) 345-6300</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223"/>
        </w:trPr>
        <w:tc>
          <w:tcPr>
            <w:tcW w:w="7440" w:type="dxa"/>
            <w:vAlign w:val="bottom"/>
            <w:gridSpan w:val="5"/>
          </w:tcPr>
          <w:p>
            <w:pPr>
              <w:jc w:val="center"/>
              <w:ind w:left="3740"/>
              <w:spacing w:after="0"/>
              <w:rPr>
                <w:sz w:val="20"/>
                <w:szCs w:val="20"/>
                <w:color w:val="auto"/>
              </w:rPr>
            </w:pPr>
            <w:r>
              <w:rPr>
                <w:rFonts w:ascii="Arial" w:cs="Arial" w:eastAsia="Arial" w:hAnsi="Arial"/>
                <w:sz w:val="14"/>
                <w:szCs w:val="14"/>
                <w:color w:val="auto"/>
              </w:rPr>
              <w:t>(Registrant’s telephone number, including area code)</w:t>
            </w:r>
          </w:p>
        </w:tc>
        <w:tc>
          <w:tcPr>
            <w:tcW w:w="3760" w:type="dxa"/>
            <w:vAlign w:val="bottom"/>
          </w:tcPr>
          <w:p>
            <w:pPr>
              <w:spacing w:after="0"/>
              <w:rPr>
                <w:sz w:val="19"/>
                <w:szCs w:val="19"/>
                <w:color w:val="auto"/>
              </w:rPr>
            </w:pPr>
          </w:p>
        </w:tc>
      </w:tr>
      <w:tr>
        <w:trPr>
          <w:trHeight w:val="363"/>
        </w:trPr>
        <w:tc>
          <w:tcPr>
            <w:tcW w:w="492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1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340"/>
        </w:trPr>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Title of each class</w:t>
            </w:r>
          </w:p>
        </w:tc>
        <w:tc>
          <w:tcPr>
            <w:tcW w:w="240" w:type="dxa"/>
            <w:vAlign w:val="bottom"/>
          </w:tcPr>
          <w:p>
            <w:pPr>
              <w:spacing w:after="0"/>
              <w:rPr>
                <w:sz w:val="24"/>
                <w:szCs w:val="24"/>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Trading Symbol(s)</w:t>
            </w:r>
          </w:p>
        </w:tc>
        <w:tc>
          <w:tcPr>
            <w:tcW w:w="2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jc w:val="center"/>
              <w:ind w:right="240"/>
              <w:spacing w:after="0"/>
              <w:rPr>
                <w:sz w:val="20"/>
                <w:szCs w:val="20"/>
                <w:color w:val="auto"/>
              </w:rPr>
            </w:pPr>
            <w:r>
              <w:rPr>
                <w:rFonts w:ascii="Arial" w:cs="Arial" w:eastAsia="Arial" w:hAnsi="Arial"/>
                <w:sz w:val="16"/>
                <w:szCs w:val="16"/>
                <w:color w:val="auto"/>
              </w:rPr>
              <w:t>Name of each exchange on which registered</w:t>
            </w:r>
          </w:p>
        </w:tc>
      </w:tr>
      <w:tr>
        <w:trPr>
          <w:trHeight w:val="228"/>
        </w:trPr>
        <w:tc>
          <w:tcPr>
            <w:tcW w:w="4920" w:type="dxa"/>
            <w:vAlign w:val="bottom"/>
            <w:gridSpan w:val="2"/>
          </w:tcPr>
          <w:p>
            <w:pPr>
              <w:jc w:val="center"/>
              <w:ind w:right="240"/>
              <w:spacing w:after="0"/>
              <w:rPr>
                <w:sz w:val="20"/>
                <w:szCs w:val="20"/>
                <w:color w:val="auto"/>
              </w:rPr>
            </w:pPr>
            <w:r>
              <w:rPr>
                <w:rFonts w:ascii="Arial" w:cs="Arial" w:eastAsia="Arial" w:hAnsi="Arial"/>
                <w:sz w:val="16"/>
                <w:szCs w:val="16"/>
                <w:color w:val="auto"/>
              </w:rPr>
              <w:t>Class B Common Stock, par value $1.00 per share</w:t>
            </w:r>
          </w:p>
        </w:tc>
        <w:tc>
          <w:tcPr>
            <w:tcW w:w="2520" w:type="dxa"/>
            <w:vAlign w:val="bottom"/>
            <w:gridSpan w:val="3"/>
          </w:tcPr>
          <w:p>
            <w:pPr>
              <w:jc w:val="center"/>
              <w:ind w:right="520"/>
              <w:spacing w:after="0"/>
              <w:rPr>
                <w:sz w:val="20"/>
                <w:szCs w:val="20"/>
                <w:color w:val="auto"/>
              </w:rPr>
            </w:pPr>
            <w:r>
              <w:rPr>
                <w:rFonts w:ascii="Arial" w:cs="Arial" w:eastAsia="Arial" w:hAnsi="Arial"/>
                <w:sz w:val="16"/>
                <w:szCs w:val="16"/>
                <w:color w:val="auto"/>
              </w:rPr>
              <w:t>GHC</w:t>
            </w:r>
          </w:p>
        </w:tc>
        <w:tc>
          <w:tcPr>
            <w:tcW w:w="3760" w:type="dxa"/>
            <w:vAlign w:val="bottom"/>
          </w:tcPr>
          <w:p>
            <w:pPr>
              <w:jc w:val="center"/>
              <w:ind w:right="240"/>
              <w:spacing w:after="0"/>
              <w:rPr>
                <w:sz w:val="20"/>
                <w:szCs w:val="20"/>
                <w:color w:val="auto"/>
              </w:rPr>
            </w:pPr>
            <w:r>
              <w:rPr>
                <w:rFonts w:ascii="Arial" w:cs="Arial" w:eastAsia="Arial" w:hAnsi="Arial"/>
                <w:sz w:val="16"/>
                <w:szCs w:val="16"/>
                <w:color w:val="auto"/>
              </w:rPr>
              <w:t>New York Stock Exchange</w:t>
            </w:r>
          </w:p>
        </w:tc>
      </w:tr>
    </w:tbl>
    <w:p>
      <w:pPr>
        <w:spacing w:after="0" w:line="19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w:t>
      </w:r>
    </w:p>
    <w:p>
      <w:pPr>
        <w:spacing w:after="0" w:line="14" w:lineRule="exact"/>
        <w:rPr>
          <w:sz w:val="24"/>
          <w:szCs w:val="24"/>
          <w:color w:val="auto"/>
        </w:rPr>
      </w:pPr>
    </w:p>
    <w:p>
      <w:pPr>
        <w:jc w:val="both"/>
        <w:ind w:right="20"/>
        <w:spacing w:after="0" w:line="217" w:lineRule="exact"/>
        <w:rPr>
          <w:sz w:val="20"/>
          <w:szCs w:val="20"/>
          <w:color w:val="auto"/>
        </w:rPr>
      </w:pPr>
      <w:r>
        <w:rPr>
          <w:rFonts w:ascii="Arial" w:cs="Arial" w:eastAsia="Arial" w:hAnsi="Arial"/>
          <w:sz w:val="18"/>
          <w:szCs w:val="18"/>
          <w:color w:val="auto"/>
        </w:rPr>
        <w:t xml:space="preserve">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w:t>
      </w:r>
    </w:p>
    <w:p>
      <w:pPr>
        <w:spacing w:after="0" w:line="7" w:lineRule="exact"/>
        <w:rPr>
          <w:sz w:val="24"/>
          <w:szCs w:val="24"/>
          <w:color w:val="auto"/>
        </w:rPr>
      </w:pPr>
    </w:p>
    <w:p>
      <w:pPr>
        <w:ind w:right="400"/>
        <w:spacing w:after="0" w:line="217" w:lineRule="exact"/>
        <w:rPr>
          <w:sz w:val="20"/>
          <w:szCs w:val="20"/>
          <w:color w:val="auto"/>
        </w:rPr>
      </w:pPr>
      <w:r>
        <w:rPr>
          <w:rFonts w:ascii="Arial" w:cs="Arial" w:eastAsia="Arial" w:hAnsi="Arial"/>
          <w:sz w:val="18"/>
          <w:szCs w:val="18"/>
          <w:color w:val="auto"/>
        </w:rPr>
        <w:t xml:space="preserve">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 w:lineRule="exact"/>
        <w:rPr>
          <w:sz w:val="24"/>
          <w:szCs w:val="24"/>
          <w:color w:val="auto"/>
        </w:rPr>
      </w:pPr>
    </w:p>
    <w:p>
      <w:pPr>
        <w:ind w:right="300"/>
        <w:spacing w:after="0" w:line="247"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and “emerging growth company” in Rule 12b-2 of the Exchange Act.</w:t>
      </w:r>
    </w:p>
    <w:p>
      <w:pPr>
        <w:spacing w:after="0" w:line="185" w:lineRule="exact"/>
        <w:rPr>
          <w:sz w:val="24"/>
          <w:szCs w:val="24"/>
          <w:color w:val="auto"/>
        </w:rPr>
      </w:pPr>
    </w:p>
    <w:tbl>
      <w:tblPr>
        <w:tblLayout w:type="fixed"/>
        <w:tblInd w:w="80" w:type="dxa"/>
        <w:tblCellMar>
          <w:top w:w="0" w:type="dxa"/>
          <w:left w:w="0" w:type="dxa"/>
          <w:bottom w:w="0" w:type="dxa"/>
          <w:right w:w="0" w:type="dxa"/>
        </w:tblCellMar>
      </w:tblPr>
      <w:tr>
        <w:trPr>
          <w:trHeight w:val="189"/>
        </w:trPr>
        <w:tc>
          <w:tcPr>
            <w:tcW w:w="2320" w:type="dxa"/>
            <w:vAlign w:val="bottom"/>
            <w:vMerge w:val="restart"/>
          </w:tcPr>
          <w:p>
            <w:pPr>
              <w:spacing w:after="0" w:line="403"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35"/>
                <w:szCs w:val="35"/>
                <w:color w:val="auto"/>
                <w:vertAlign w:val="superscript"/>
              </w:rPr>
              <w:t>☒</w:t>
            </w:r>
          </w:p>
        </w:tc>
        <w:tc>
          <w:tcPr>
            <w:tcW w:w="1460" w:type="dxa"/>
            <w:vAlign w:val="bottom"/>
          </w:tcPr>
          <w:p>
            <w:pPr>
              <w:jc w:val="center"/>
              <w:spacing w:after="0"/>
              <w:rPr>
                <w:sz w:val="20"/>
                <w:szCs w:val="20"/>
                <w:color w:val="auto"/>
              </w:rPr>
            </w:pPr>
            <w:r>
              <w:rPr>
                <w:rFonts w:ascii="Arial" w:cs="Arial" w:eastAsia="Arial" w:hAnsi="Arial"/>
                <w:sz w:val="16"/>
                <w:szCs w:val="16"/>
                <w:color w:val="auto"/>
              </w:rPr>
              <w:t>Accelerated</w:t>
            </w:r>
          </w:p>
        </w:tc>
        <w:tc>
          <w:tcPr>
            <w:tcW w:w="700" w:type="dxa"/>
            <w:vAlign w:val="bottom"/>
            <w:vMerge w:val="restart"/>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1620" w:type="dxa"/>
            <w:vAlign w:val="bottom"/>
          </w:tcPr>
          <w:p>
            <w:pPr>
              <w:jc w:val="center"/>
              <w:spacing w:after="0"/>
              <w:rPr>
                <w:sz w:val="20"/>
                <w:szCs w:val="20"/>
                <w:color w:val="auto"/>
              </w:rPr>
            </w:pPr>
            <w:r>
              <w:rPr>
                <w:rFonts w:ascii="Arial" w:cs="Arial" w:eastAsia="Arial" w:hAnsi="Arial"/>
                <w:sz w:val="16"/>
                <w:szCs w:val="16"/>
                <w:color w:val="auto"/>
              </w:rPr>
              <w:t>Non-accelerated</w:t>
            </w:r>
          </w:p>
        </w:tc>
        <w:tc>
          <w:tcPr>
            <w:tcW w:w="600" w:type="dxa"/>
            <w:vAlign w:val="bottom"/>
            <w:vMerge w:val="restart"/>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1660" w:type="dxa"/>
            <w:vAlign w:val="bottom"/>
          </w:tcPr>
          <w:p>
            <w:pPr>
              <w:jc w:val="center"/>
              <w:spacing w:after="0"/>
              <w:rPr>
                <w:sz w:val="20"/>
                <w:szCs w:val="20"/>
                <w:color w:val="auto"/>
              </w:rPr>
            </w:pPr>
            <w:r>
              <w:rPr>
                <w:rFonts w:ascii="Arial" w:cs="Arial" w:eastAsia="Arial" w:hAnsi="Arial"/>
                <w:sz w:val="16"/>
                <w:szCs w:val="16"/>
                <w:color w:val="auto"/>
              </w:rPr>
              <w:t>Smaller reporting</w:t>
            </w:r>
          </w:p>
        </w:tc>
        <w:tc>
          <w:tcPr>
            <w:tcW w:w="580" w:type="dxa"/>
            <w:vAlign w:val="bottom"/>
            <w:vMerge w:val="restart"/>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1660" w:type="dxa"/>
            <w:vAlign w:val="bottom"/>
          </w:tcPr>
          <w:p>
            <w:pPr>
              <w:jc w:val="center"/>
              <w:spacing w:after="0"/>
              <w:rPr>
                <w:sz w:val="20"/>
                <w:szCs w:val="20"/>
                <w:color w:val="auto"/>
              </w:rPr>
            </w:pPr>
            <w:r>
              <w:rPr>
                <w:rFonts w:ascii="Arial" w:cs="Arial" w:eastAsia="Arial" w:hAnsi="Arial"/>
                <w:sz w:val="16"/>
                <w:szCs w:val="16"/>
                <w:color w:val="auto"/>
              </w:rPr>
              <w:t>Emerging growth</w:t>
            </w:r>
          </w:p>
        </w:tc>
        <w:tc>
          <w:tcPr>
            <w:tcW w:w="400" w:type="dxa"/>
            <w:vAlign w:val="bottom"/>
            <w:vMerge w:val="restart"/>
          </w:tcPr>
          <w:p>
            <w:pPr>
              <w:ind w:left="22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414"/>
        </w:trPr>
        <w:tc>
          <w:tcPr>
            <w:tcW w:w="2320" w:type="dxa"/>
            <w:vAlign w:val="bottom"/>
            <w:vMerge w:val="continue"/>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rPr>
              <w:t>filer</w:t>
            </w:r>
          </w:p>
        </w:tc>
        <w:tc>
          <w:tcPr>
            <w:tcW w:w="700" w:type="dxa"/>
            <w:vAlign w:val="bottom"/>
            <w:vMerge w:val="continue"/>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16"/>
                <w:szCs w:val="16"/>
                <w:color w:val="auto"/>
              </w:rPr>
              <w:t>filer</w:t>
            </w:r>
          </w:p>
        </w:tc>
        <w:tc>
          <w:tcPr>
            <w:tcW w:w="600" w:type="dxa"/>
            <w:vAlign w:val="bottom"/>
            <w:vMerge w:val="continue"/>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rPr>
              <w:t>company</w:t>
            </w:r>
          </w:p>
        </w:tc>
        <w:tc>
          <w:tcPr>
            <w:tcW w:w="580" w:type="dxa"/>
            <w:vAlign w:val="bottom"/>
            <w:vMerge w:val="continue"/>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rPr>
              <w:t>company</w:t>
            </w:r>
          </w:p>
        </w:tc>
        <w:tc>
          <w:tcPr>
            <w:tcW w:w="4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ind w:right="160"/>
        <w:spacing w:after="0" w:line="23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spacing w:after="0" w:line="207" w:lineRule="exact"/>
        <w:tabs>
          <w:tab w:leader="none" w:pos="9840" w:val="left"/>
        </w:tabs>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w:t>
        <w:tab/>
        <w:t xml:space="preserve">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color w:val="auto"/>
        </w:rPr>
        <w:t>Shares outstanding at October 23, 2026:</w:t>
      </w:r>
    </w:p>
    <w:p>
      <w:pPr>
        <w:spacing w:after="0" w:line="117" w:lineRule="exact"/>
        <w:rPr>
          <w:sz w:val="24"/>
          <w:szCs w:val="24"/>
          <w:color w:val="auto"/>
        </w:rPr>
      </w:pPr>
    </w:p>
    <w:p>
      <w:pPr>
        <w:ind w:left="2680"/>
        <w:spacing w:after="0"/>
        <w:rPr>
          <w:sz w:val="20"/>
          <w:szCs w:val="20"/>
          <w:color w:val="auto"/>
        </w:rPr>
      </w:pPr>
      <w:r>
        <w:rPr>
          <w:rFonts w:ascii="Arial" w:cs="Arial" w:eastAsia="Arial" w:hAnsi="Arial"/>
          <w:sz w:val="18"/>
          <w:szCs w:val="18"/>
          <w:color w:val="auto"/>
        </w:rPr>
        <w:t>Class A Common Stock – 964,001 Shares</w:t>
      </w:r>
    </w:p>
    <w:p>
      <w:pPr>
        <w:spacing w:after="0" w:line="27" w:lineRule="exact"/>
        <w:rPr>
          <w:sz w:val="24"/>
          <w:szCs w:val="24"/>
          <w:color w:val="auto"/>
        </w:rPr>
      </w:pPr>
    </w:p>
    <w:p>
      <w:pPr>
        <w:ind w:left="2680"/>
        <w:spacing w:after="0"/>
        <w:rPr>
          <w:sz w:val="20"/>
          <w:szCs w:val="20"/>
          <w:color w:val="auto"/>
        </w:rPr>
      </w:pPr>
      <w:r>
        <w:rPr>
          <w:rFonts w:ascii="Arial" w:cs="Arial" w:eastAsia="Arial" w:hAnsi="Arial"/>
          <w:sz w:val="18"/>
          <w:szCs w:val="18"/>
          <w:color w:val="auto"/>
        </w:rPr>
        <w:t>Class B Common Stock – 3,204,785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721995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109220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00"/>
          </w:cols>
          <w:pgMar w:left="320" w:top="1199" w:right="379" w:bottom="1440" w:gutter="0" w:footer="0" w:header="0"/>
        </w:sectPr>
      </w:pPr>
    </w:p>
    <w:bookmarkStart w:id="1" w:name="page2"/>
    <w:bookmarkEnd w:id="1"/>
    <w:p>
      <w:pPr>
        <w:jc w:val="center"/>
        <w:ind w:left="920"/>
        <w:spacing w:after="0"/>
        <w:rPr>
          <w:sz w:val="20"/>
          <w:szCs w:val="20"/>
          <w:color w:val="auto"/>
        </w:rPr>
      </w:pPr>
      <w:r>
        <w:rPr>
          <w:rFonts w:ascii="Arial" w:cs="Arial" w:eastAsia="Arial" w:hAnsi="Arial"/>
          <w:sz w:val="18"/>
          <w:szCs w:val="18"/>
          <w:b w:val="1"/>
          <w:bCs w:val="1"/>
          <w:color w:val="auto"/>
        </w:rPr>
        <w:t>GRAHAM HOLDINGS COMPANY</w:t>
      </w:r>
    </w:p>
    <w:p>
      <w:pPr>
        <w:spacing w:after="0" w:line="104" w:lineRule="exact"/>
        <w:rPr>
          <w:sz w:val="20"/>
          <w:szCs w:val="20"/>
          <w:color w:val="auto"/>
        </w:rPr>
      </w:pPr>
    </w:p>
    <w:p>
      <w:pPr>
        <w:jc w:val="center"/>
        <w:ind w:left="920"/>
        <w:spacing w:after="0"/>
        <w:rPr>
          <w:sz w:val="20"/>
          <w:szCs w:val="20"/>
          <w:color w:val="auto"/>
        </w:rPr>
      </w:pPr>
      <w:r>
        <w:rPr>
          <w:rFonts w:ascii="Arial" w:cs="Arial" w:eastAsia="Arial" w:hAnsi="Arial"/>
          <w:sz w:val="18"/>
          <w:szCs w:val="18"/>
          <w:b w:val="1"/>
          <w:bCs w:val="1"/>
          <w:color w:val="auto"/>
        </w:rPr>
        <w:t>Index to Form 10-Q</w:t>
      </w:r>
    </w:p>
    <w:p>
      <w:pPr>
        <w:spacing w:after="0" w:line="351"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PART I. FINANCIAL INFORMATION</w:t>
      </w:r>
    </w:p>
    <w:p>
      <w:pPr>
        <w:spacing w:after="0" w:line="167"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Item 1.</w:t>
      </w:r>
      <w:r>
        <w:rPr>
          <w:sz w:val="20"/>
          <w:szCs w:val="20"/>
          <w:color w:val="auto"/>
        </w:rPr>
        <w:tab/>
      </w:r>
      <w:r>
        <w:rPr>
          <w:rFonts w:ascii="Arial" w:cs="Arial" w:eastAsia="Arial" w:hAnsi="Arial"/>
          <w:sz w:val="16"/>
          <w:szCs w:val="16"/>
          <w:u w:val="single" w:color="auto"/>
          <w:color w:val="0000FF"/>
        </w:rPr>
        <w:t>Financial Statements</w:t>
      </w:r>
    </w:p>
    <w:p>
      <w:pPr>
        <w:spacing w:after="0" w:line="208" w:lineRule="exact"/>
        <w:rPr>
          <w:sz w:val="20"/>
          <w:szCs w:val="20"/>
          <w:color w:val="auto"/>
        </w:rPr>
      </w:pPr>
    </w:p>
    <w:p>
      <w:pPr>
        <w:ind w:left="1040"/>
        <w:spacing w:after="0"/>
        <w:rPr>
          <w:sz w:val="20"/>
          <w:szCs w:val="20"/>
          <w:color w:val="auto"/>
        </w:rPr>
      </w:pPr>
      <w:r>
        <w:rPr>
          <w:rFonts w:ascii="Arial" w:cs="Arial" w:eastAsia="Arial" w:hAnsi="Arial"/>
          <w:sz w:val="16"/>
          <w:szCs w:val="16"/>
          <w:u w:val="single" w:color="auto"/>
          <w:color w:val="0000FF"/>
        </w:rPr>
        <w:t>Condensed Consolidated Statements of Operations</w:t>
      </w:r>
    </w:p>
    <w:p>
      <w:pPr>
        <w:spacing w:after="0" w:line="302" w:lineRule="exact"/>
        <w:rPr>
          <w:sz w:val="20"/>
          <w:szCs w:val="20"/>
          <w:color w:val="auto"/>
        </w:rPr>
      </w:pPr>
    </w:p>
    <w:p>
      <w:pPr>
        <w:ind w:left="1040"/>
        <w:spacing w:after="0"/>
        <w:rPr>
          <w:sz w:val="20"/>
          <w:szCs w:val="20"/>
          <w:color w:val="auto"/>
        </w:rPr>
      </w:pPr>
      <w:r>
        <w:rPr>
          <w:rFonts w:ascii="Arial" w:cs="Arial" w:eastAsia="Arial" w:hAnsi="Arial"/>
          <w:sz w:val="16"/>
          <w:szCs w:val="16"/>
          <w:u w:val="single" w:color="auto"/>
          <w:color w:val="0000FF"/>
        </w:rPr>
        <w:t>Condensed Consolidated Statements of Comprehensive Income</w:t>
      </w:r>
    </w:p>
    <w:p>
      <w:pPr>
        <w:spacing w:after="0" w:line="302" w:lineRule="exact"/>
        <w:rPr>
          <w:sz w:val="20"/>
          <w:szCs w:val="20"/>
          <w:color w:val="auto"/>
        </w:rPr>
      </w:pPr>
    </w:p>
    <w:p>
      <w:pPr>
        <w:ind w:left="1040"/>
        <w:spacing w:after="0"/>
        <w:rPr>
          <w:sz w:val="20"/>
          <w:szCs w:val="20"/>
          <w:color w:val="auto"/>
        </w:rPr>
      </w:pPr>
      <w:r>
        <w:rPr>
          <w:rFonts w:ascii="Arial" w:cs="Arial" w:eastAsia="Arial" w:hAnsi="Arial"/>
          <w:sz w:val="16"/>
          <w:szCs w:val="16"/>
          <w:u w:val="single" w:color="auto"/>
          <w:color w:val="0000FF"/>
        </w:rPr>
        <w:t>Condensed Consolidated Balance Sheets</w:t>
      </w:r>
    </w:p>
    <w:p>
      <w:pPr>
        <w:spacing w:after="0" w:line="302" w:lineRule="exact"/>
        <w:rPr>
          <w:sz w:val="20"/>
          <w:szCs w:val="20"/>
          <w:color w:val="auto"/>
        </w:rPr>
      </w:pPr>
    </w:p>
    <w:p>
      <w:pPr>
        <w:ind w:left="1040"/>
        <w:spacing w:after="0"/>
        <w:rPr>
          <w:sz w:val="20"/>
          <w:szCs w:val="20"/>
          <w:color w:val="auto"/>
        </w:rPr>
      </w:pPr>
      <w:r>
        <w:rPr>
          <w:rFonts w:ascii="Arial" w:cs="Arial" w:eastAsia="Arial" w:hAnsi="Arial"/>
          <w:sz w:val="16"/>
          <w:szCs w:val="16"/>
          <w:u w:val="single" w:color="auto"/>
          <w:color w:val="0000FF"/>
        </w:rPr>
        <w:t>Condensed Consolidated Statements of Cash Flows</w:t>
      </w:r>
    </w:p>
    <w:p>
      <w:pPr>
        <w:spacing w:after="0" w:line="275" w:lineRule="exact"/>
        <w:rPr>
          <w:sz w:val="20"/>
          <w:szCs w:val="20"/>
          <w:color w:val="auto"/>
        </w:rPr>
      </w:pPr>
    </w:p>
    <w:p>
      <w:pPr>
        <w:ind w:left="1040"/>
        <w:spacing w:after="0"/>
        <w:rPr>
          <w:sz w:val="20"/>
          <w:szCs w:val="20"/>
          <w:color w:val="auto"/>
        </w:rPr>
      </w:pPr>
      <w:r>
        <w:rPr>
          <w:rFonts w:ascii="Arial" w:cs="Arial" w:eastAsia="Arial" w:hAnsi="Arial"/>
          <w:sz w:val="16"/>
          <w:szCs w:val="16"/>
          <w:u w:val="single" w:color="auto"/>
          <w:color w:val="0000FF"/>
        </w:rPr>
        <w:t>Condensed Consolidated Statements of Changes in Common Stockholders' Equity</w:t>
      </w:r>
    </w:p>
    <w:p>
      <w:pPr>
        <w:spacing w:after="0" w:line="302" w:lineRule="exact"/>
        <w:rPr>
          <w:sz w:val="20"/>
          <w:szCs w:val="20"/>
          <w:color w:val="auto"/>
        </w:rPr>
      </w:pPr>
    </w:p>
    <w:p>
      <w:pPr>
        <w:ind w:left="1040"/>
        <w:spacing w:after="0"/>
        <w:rPr>
          <w:sz w:val="20"/>
          <w:szCs w:val="20"/>
          <w:color w:val="auto"/>
        </w:rPr>
      </w:pPr>
      <w:r>
        <w:rPr>
          <w:rFonts w:ascii="Arial" w:cs="Arial" w:eastAsia="Arial" w:hAnsi="Arial"/>
          <w:sz w:val="16"/>
          <w:szCs w:val="16"/>
          <w:u w:val="single" w:color="auto"/>
          <w:color w:val="0000FF"/>
        </w:rPr>
        <w:t>Notes to Condensed Consolidated Financial Statements</w:t>
      </w:r>
    </w:p>
    <w:p>
      <w:pPr>
        <w:spacing w:after="0" w:line="208" w:lineRule="exact"/>
        <w:rPr>
          <w:sz w:val="20"/>
          <w:szCs w:val="20"/>
          <w:color w:val="auto"/>
        </w:rPr>
      </w:pPr>
    </w:p>
    <w:p>
      <w:pPr>
        <w:ind w:left="1120"/>
        <w:spacing w:after="0"/>
        <w:rPr>
          <w:sz w:val="20"/>
          <w:szCs w:val="20"/>
          <w:color w:val="auto"/>
        </w:rPr>
      </w:pPr>
      <w:r>
        <w:rPr>
          <w:rFonts w:ascii="Arial" w:cs="Arial" w:eastAsia="Arial" w:hAnsi="Arial"/>
          <w:sz w:val="16"/>
          <w:szCs w:val="16"/>
          <w:u w:val="single" w:color="auto"/>
          <w:color w:val="0000FF"/>
        </w:rPr>
        <w:t>Organization, Basis of Presentation and Recent Accounting Pronouncements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u w:val="single" w:color="auto"/>
          <w:color w:val="0000FF"/>
        </w:rPr>
        <w:t>Acquisitions and Dispositions of Businesses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u w:val="single" w:color="auto"/>
          <w:color w:val="0000FF"/>
        </w:rPr>
        <w:t>Investments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u w:val="single" w:color="auto"/>
          <w:color w:val="0000FF"/>
        </w:rPr>
        <w:t>Accounts Receivable, Accounts Payable, Vehicle Floor Plan Payable and Accrued Liabilities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u w:val="single" w:color="auto"/>
          <w:color w:val="0000FF"/>
        </w:rPr>
        <w:t>Inventories and Contracts in Progress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u w:val="single" w:color="auto"/>
          <w:color w:val="0000FF"/>
        </w:rPr>
        <w:t>Goodwill and Other Intangible Assets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u w:val="single" w:color="auto"/>
          <w:color w:val="0000FF"/>
        </w:rPr>
        <w:t>Debt</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u w:val="single" w:color="auto"/>
          <w:color w:val="0000FF"/>
        </w:rPr>
        <w:t>Fair Value Measurements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u w:val="single" w:color="auto"/>
          <w:color w:val="0000FF"/>
        </w:rPr>
        <w:t>Income Taxes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u w:val="single" w:color="auto"/>
          <w:color w:val="0000FF"/>
        </w:rPr>
        <w:t>Revenue From Contracts With Customers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u w:val="single" w:color="auto"/>
          <w:color w:val="0000FF"/>
        </w:rPr>
        <w:t>Earnings Per Share</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u w:val="single" w:color="auto"/>
          <w:color w:val="0000FF"/>
        </w:rPr>
        <w:t>Pension Plans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u w:val="single" w:color="auto"/>
          <w:color w:val="0000FF"/>
        </w:rPr>
        <w:t>Other Non-Operating (Expense) Income</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u w:val="single" w:color="auto"/>
          <w:color w:val="0000FF"/>
        </w:rPr>
        <w:t>Accumulated Other Comprehensive Income (Loss)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u w:val="single" w:color="auto"/>
          <w:color w:val="0000FF"/>
        </w:rPr>
        <w:t>Contingencies</w:t>
      </w:r>
    </w:p>
    <w:p>
      <w:pPr>
        <w:spacing w:after="0" w:line="100" w:lineRule="exact"/>
        <w:rPr>
          <w:sz w:val="20"/>
          <w:szCs w:val="20"/>
          <w:color w:val="auto"/>
        </w:rPr>
      </w:pPr>
    </w:p>
    <w:p>
      <w:pPr>
        <w:ind w:left="1120"/>
        <w:spacing w:after="0"/>
        <w:rPr>
          <w:sz w:val="20"/>
          <w:szCs w:val="20"/>
          <w:color w:val="auto"/>
        </w:rPr>
      </w:pPr>
      <w:r>
        <w:rPr>
          <w:rFonts w:ascii="Arial" w:cs="Arial" w:eastAsia="Arial" w:hAnsi="Arial"/>
          <w:sz w:val="16"/>
          <w:szCs w:val="16"/>
          <w:u w:val="single" w:color="auto"/>
          <w:color w:val="0000FF"/>
        </w:rPr>
        <w:t>Business Segments</w:t>
      </w:r>
    </w:p>
    <w:p>
      <w:pPr>
        <w:spacing w:after="0" w:line="275"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Item 2.</w:t>
      </w:r>
      <w:r>
        <w:rPr>
          <w:sz w:val="20"/>
          <w:szCs w:val="20"/>
          <w:color w:val="auto"/>
        </w:rPr>
        <w:tab/>
      </w:r>
      <w:r>
        <w:rPr>
          <w:rFonts w:ascii="Arial" w:cs="Arial" w:eastAsia="Arial" w:hAnsi="Arial"/>
          <w:sz w:val="16"/>
          <w:szCs w:val="16"/>
          <w:u w:val="single" w:color="auto"/>
          <w:color w:val="0000FF"/>
        </w:rPr>
        <w:t>Management’s Discussion and Analysis of Results of Operations and Financial Condition</w:t>
      </w:r>
    </w:p>
    <w:p>
      <w:pPr>
        <w:spacing w:after="0" w:line="302"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Item 3.</w:t>
      </w:r>
      <w:r>
        <w:rPr>
          <w:sz w:val="20"/>
          <w:szCs w:val="20"/>
          <w:color w:val="auto"/>
        </w:rPr>
        <w:tab/>
      </w:r>
      <w:r>
        <w:rPr>
          <w:rFonts w:ascii="Arial" w:cs="Arial" w:eastAsia="Arial" w:hAnsi="Arial"/>
          <w:sz w:val="16"/>
          <w:szCs w:val="16"/>
          <w:u w:val="single" w:color="auto"/>
          <w:color w:val="0000FF"/>
        </w:rPr>
        <w:t>Quantitative and Qualitative Disclosures about Market Risk</w:t>
      </w:r>
    </w:p>
    <w:p>
      <w:pPr>
        <w:spacing w:after="0" w:line="302"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Item 4.</w:t>
      </w:r>
      <w:r>
        <w:rPr>
          <w:sz w:val="20"/>
          <w:szCs w:val="20"/>
          <w:color w:val="auto"/>
        </w:rPr>
        <w:tab/>
      </w:r>
      <w:r>
        <w:rPr>
          <w:rFonts w:ascii="Arial" w:cs="Arial" w:eastAsia="Arial" w:hAnsi="Arial"/>
          <w:sz w:val="16"/>
          <w:szCs w:val="16"/>
          <w:u w:val="single" w:color="auto"/>
          <w:color w:val="0000FF"/>
        </w:rPr>
        <w:t>Controls and Procedures</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PART II. OTHER INFORMATION</w:t>
      </w:r>
    </w:p>
    <w:p>
      <w:pPr>
        <w:spacing w:after="0" w:line="208"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Item 2.</w:t>
      </w:r>
      <w:r>
        <w:rPr>
          <w:sz w:val="20"/>
          <w:szCs w:val="20"/>
          <w:color w:val="auto"/>
        </w:rPr>
        <w:tab/>
      </w:r>
      <w:r>
        <w:rPr>
          <w:rFonts w:ascii="Arial" w:cs="Arial" w:eastAsia="Arial" w:hAnsi="Arial"/>
          <w:sz w:val="16"/>
          <w:szCs w:val="16"/>
          <w:u w:val="single" w:color="auto"/>
          <w:color w:val="0000FF"/>
        </w:rPr>
        <w:t>Unregistered Sales of Equity Securities and Use of Proceeds</w:t>
      </w:r>
    </w:p>
    <w:p>
      <w:pPr>
        <w:spacing w:after="0" w:line="275"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Item 5.</w:t>
      </w:r>
      <w:r>
        <w:rPr>
          <w:sz w:val="20"/>
          <w:szCs w:val="20"/>
          <w:color w:val="auto"/>
        </w:rPr>
        <w:tab/>
      </w:r>
      <w:r>
        <w:rPr>
          <w:rFonts w:ascii="Arial" w:cs="Arial" w:eastAsia="Arial" w:hAnsi="Arial"/>
          <w:sz w:val="16"/>
          <w:szCs w:val="16"/>
          <w:u w:val="single" w:color="auto"/>
          <w:color w:val="0000FF"/>
        </w:rPr>
        <w:t>Other Information</w:t>
      </w:r>
    </w:p>
    <w:p>
      <w:pPr>
        <w:spacing w:after="0" w:line="275"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Item 6.</w:t>
      </w:r>
      <w:r>
        <w:rPr>
          <w:sz w:val="20"/>
          <w:szCs w:val="20"/>
          <w:color w:val="auto"/>
        </w:rPr>
        <w:tab/>
      </w:r>
      <w:r>
        <w:rPr>
          <w:rFonts w:ascii="Arial" w:cs="Arial" w:eastAsia="Arial" w:hAnsi="Arial"/>
          <w:sz w:val="15"/>
          <w:szCs w:val="15"/>
          <w:u w:val="single" w:color="auto"/>
          <w:color w:val="0000FF"/>
        </w:rPr>
        <w:t>Exhibits</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625475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0000FF"/>
        </w:rPr>
        <w:t>1</w:t>
      </w:r>
    </w:p>
    <w:p>
      <w:pPr>
        <w:spacing w:after="0" w:line="302"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0000FF"/>
        </w:rPr>
        <w:t>2</w:t>
      </w:r>
    </w:p>
    <w:p>
      <w:pPr>
        <w:spacing w:after="0" w:line="302"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0000FF"/>
        </w:rPr>
        <w:t>3</w:t>
      </w:r>
    </w:p>
    <w:p>
      <w:pPr>
        <w:spacing w:after="0" w:line="302"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0000FF"/>
        </w:rPr>
        <w:t>4</w:t>
      </w:r>
    </w:p>
    <w:p>
      <w:pPr>
        <w:spacing w:after="0" w:line="275"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0000FF"/>
        </w:rPr>
        <w:t>5</w:t>
      </w:r>
    </w:p>
    <w:p>
      <w:pPr>
        <w:spacing w:after="0" w:line="302"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0000FF"/>
        </w:rPr>
        <w:t>7</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0000FF"/>
        </w:rPr>
        <w:t>7</w:t>
      </w:r>
    </w:p>
    <w:p>
      <w:pPr>
        <w:spacing w:after="0" w:line="59"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0000FF"/>
        </w:rPr>
        <w:t>8</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11</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12</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13</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13</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15</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17</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19</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19</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20</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22</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23</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24</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25</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25</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35</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48</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48</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49</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49</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50</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51</w:t>
      </w:r>
    </w:p>
    <w:p>
      <w:pPr>
        <w:sectPr>
          <w:pgSz w:w="11900" w:h="16838" w:orient="portrait"/>
          <w:cols w:equalWidth="0" w:num="2">
            <w:col w:w="10280" w:space="720"/>
            <w:col w:w="180"/>
          </w:cols>
          <w:pgMar w:left="340" w:top="944" w:right="37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PART I. FINANCIAL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20" w:type="dxa"/>
            <w:vAlign w:val="bottom"/>
            <w:gridSpan w:val="3"/>
          </w:tcPr>
          <w:p>
            <w:pPr>
              <w:jc w:val="right"/>
              <w:ind w:right="539"/>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2280" w:type="dxa"/>
            <w:vAlign w:val="bottom"/>
            <w:gridSpan w:val="3"/>
          </w:tcPr>
          <w:p>
            <w:pPr>
              <w:jc w:val="right"/>
              <w:ind w:right="539"/>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7"/>
        </w:trPr>
        <w:tc>
          <w:tcPr>
            <w:tcW w:w="60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3"/>
          </w:tcPr>
          <w:p>
            <w:pPr>
              <w:jc w:val="right"/>
              <w:ind w:right="739"/>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3"/>
          </w:tcPr>
          <w:p>
            <w:pPr>
              <w:jc w:val="right"/>
              <w:ind w:right="699"/>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18"/>
        </w:trPr>
        <w:tc>
          <w:tcPr>
            <w:tcW w:w="60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thousands, except per share amounts)</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2026</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color w:val="auto"/>
              </w:rPr>
              <w:t>2025</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2026</w:t>
            </w: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color w:val="auto"/>
              </w:rPr>
              <w:t>2025</w:t>
            </w:r>
          </w:p>
        </w:tc>
        <w:tc>
          <w:tcPr>
            <w:tcW w:w="0" w:type="dxa"/>
            <w:vAlign w:val="bottom"/>
          </w:tcPr>
          <w:p>
            <w:pPr>
              <w:spacing w:after="0"/>
              <w:rPr>
                <w:sz w:val="1"/>
                <w:szCs w:val="1"/>
                <w:color w:val="auto"/>
              </w:rPr>
            </w:pPr>
          </w:p>
        </w:tc>
      </w:tr>
      <w:tr>
        <w:trPr>
          <w:trHeight w:val="235"/>
        </w:trPr>
        <w:tc>
          <w:tcPr>
            <w:tcW w:w="6000" w:type="dxa"/>
            <w:vAlign w:val="bottom"/>
          </w:tcPr>
          <w:p>
            <w:pPr>
              <w:spacing w:after="0"/>
              <w:rPr>
                <w:sz w:val="20"/>
                <w:szCs w:val="20"/>
                <w:color w:val="auto"/>
              </w:rPr>
            </w:pPr>
            <w:r>
              <w:rPr>
                <w:rFonts w:ascii="Arial" w:cs="Arial" w:eastAsia="Arial" w:hAnsi="Arial"/>
                <w:sz w:val="16"/>
                <w:szCs w:val="16"/>
                <w:b w:val="1"/>
                <w:bCs w:val="1"/>
                <w:color w:val="auto"/>
              </w:rPr>
              <w:t>Operating Revenues</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00" w:type="dxa"/>
            <w:vAlign w:val="bottom"/>
          </w:tcPr>
          <w:p>
            <w:pPr>
              <w:ind w:left="200"/>
              <w:spacing w:after="0"/>
              <w:rPr>
                <w:sz w:val="20"/>
                <w:szCs w:val="20"/>
                <w:color w:val="auto"/>
              </w:rPr>
            </w:pPr>
            <w:r>
              <w:rPr>
                <w:rFonts w:ascii="Arial" w:cs="Arial" w:eastAsia="Arial" w:hAnsi="Arial"/>
                <w:sz w:val="16"/>
                <w:szCs w:val="16"/>
                <w:color w:val="auto"/>
              </w:rPr>
              <w:t>Sales of services</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659,733</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700,356</w:t>
            </w:r>
          </w:p>
        </w:tc>
        <w:tc>
          <w:tcPr>
            <w:tcW w:w="32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1,998,097</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2,016,490</w:t>
            </w:r>
          </w:p>
        </w:tc>
        <w:tc>
          <w:tcPr>
            <w:tcW w:w="0" w:type="dxa"/>
            <w:vAlign w:val="bottom"/>
          </w:tcPr>
          <w:p>
            <w:pPr>
              <w:spacing w:after="0"/>
              <w:rPr>
                <w:sz w:val="1"/>
                <w:szCs w:val="1"/>
                <w:color w:val="auto"/>
              </w:rPr>
            </w:pPr>
          </w:p>
        </w:tc>
      </w:tr>
      <w:tr>
        <w:trPr>
          <w:trHeight w:val="247"/>
        </w:trPr>
        <w:tc>
          <w:tcPr>
            <w:tcW w:w="6000" w:type="dxa"/>
            <w:vAlign w:val="bottom"/>
          </w:tcPr>
          <w:p>
            <w:pPr>
              <w:ind w:left="200"/>
              <w:spacing w:after="0"/>
              <w:rPr>
                <w:sz w:val="20"/>
                <w:szCs w:val="20"/>
                <w:color w:val="auto"/>
              </w:rPr>
            </w:pPr>
            <w:r>
              <w:rPr>
                <w:rFonts w:ascii="Arial" w:cs="Arial" w:eastAsia="Arial" w:hAnsi="Arial"/>
                <w:sz w:val="16"/>
                <w:szCs w:val="16"/>
                <w:color w:val="auto"/>
              </w:rPr>
              <w:t>Sales of goods</w:t>
            </w: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666,304</w:t>
            </w: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578,503</w:t>
            </w: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1,866,438</w:t>
            </w:r>
          </w:p>
        </w:tc>
        <w:tc>
          <w:tcPr>
            <w:tcW w:w="3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1,644,056</w:t>
            </w:r>
          </w:p>
        </w:tc>
        <w:tc>
          <w:tcPr>
            <w:tcW w:w="0" w:type="dxa"/>
            <w:vAlign w:val="bottom"/>
          </w:tcPr>
          <w:p>
            <w:pPr>
              <w:spacing w:after="0"/>
              <w:rPr>
                <w:sz w:val="1"/>
                <w:szCs w:val="1"/>
                <w:color w:val="auto"/>
              </w:rPr>
            </w:pPr>
          </w:p>
        </w:tc>
      </w:tr>
      <w:tr>
        <w:trPr>
          <w:trHeight w:val="234"/>
        </w:trPr>
        <w:tc>
          <w:tcPr>
            <w:tcW w:w="60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1,326,037</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1,278,859</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3,864,535</w:t>
            </w: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3,660,546</w:t>
            </w:r>
          </w:p>
        </w:tc>
        <w:tc>
          <w:tcPr>
            <w:tcW w:w="0" w:type="dxa"/>
            <w:vAlign w:val="bottom"/>
          </w:tcPr>
          <w:p>
            <w:pPr>
              <w:spacing w:after="0"/>
              <w:rPr>
                <w:sz w:val="1"/>
                <w:szCs w:val="1"/>
                <w:color w:val="auto"/>
              </w:rPr>
            </w:pPr>
          </w:p>
        </w:tc>
      </w:tr>
      <w:tr>
        <w:trPr>
          <w:trHeight w:val="236"/>
        </w:trPr>
        <w:tc>
          <w:tcPr>
            <w:tcW w:w="6000" w:type="dxa"/>
            <w:vAlign w:val="bottom"/>
          </w:tcPr>
          <w:p>
            <w:pPr>
              <w:spacing w:after="0"/>
              <w:rPr>
                <w:sz w:val="20"/>
                <w:szCs w:val="20"/>
                <w:color w:val="auto"/>
              </w:rPr>
            </w:pPr>
            <w:r>
              <w:rPr>
                <w:rFonts w:ascii="Arial" w:cs="Arial" w:eastAsia="Arial" w:hAnsi="Arial"/>
                <w:sz w:val="16"/>
                <w:szCs w:val="16"/>
                <w:b w:val="1"/>
                <w:bCs w:val="1"/>
                <w:color w:val="auto"/>
              </w:rPr>
              <w:t>Operating Costs and Expenses</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00" w:type="dxa"/>
            <w:vAlign w:val="bottom"/>
          </w:tcPr>
          <w:p>
            <w:pPr>
              <w:ind w:left="200"/>
              <w:spacing w:after="0"/>
              <w:rPr>
                <w:sz w:val="20"/>
                <w:szCs w:val="20"/>
                <w:color w:val="auto"/>
              </w:rPr>
            </w:pPr>
            <w:r>
              <w:rPr>
                <w:rFonts w:ascii="Arial" w:cs="Arial" w:eastAsia="Arial" w:hAnsi="Arial"/>
                <w:sz w:val="16"/>
                <w:szCs w:val="16"/>
                <w:color w:val="auto"/>
              </w:rPr>
              <w:t>Cost of services sold (exclusive of items shown below)</w:t>
            </w:r>
          </w:p>
        </w:tc>
        <w:tc>
          <w:tcPr>
            <w:tcW w:w="260" w:type="dxa"/>
            <w:vAlign w:val="bottom"/>
          </w:tcPr>
          <w:p>
            <w:pPr>
              <w:spacing w:after="0"/>
              <w:rPr>
                <w:sz w:val="21"/>
                <w:szCs w:val="21"/>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385,736</w:t>
            </w:r>
          </w:p>
        </w:tc>
        <w:tc>
          <w:tcPr>
            <w:tcW w:w="320" w:type="dxa"/>
            <w:vAlign w:val="bottom"/>
          </w:tcPr>
          <w:p>
            <w:pPr>
              <w:spacing w:after="0"/>
              <w:rPr>
                <w:sz w:val="21"/>
                <w:szCs w:val="21"/>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425,051</w:t>
            </w:r>
          </w:p>
        </w:tc>
        <w:tc>
          <w:tcPr>
            <w:tcW w:w="320" w:type="dxa"/>
            <w:vAlign w:val="bottom"/>
          </w:tcPr>
          <w:p>
            <w:pPr>
              <w:spacing w:after="0"/>
              <w:rPr>
                <w:sz w:val="21"/>
                <w:szCs w:val="21"/>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1,165,725</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1,200,503</w:t>
            </w:r>
          </w:p>
        </w:tc>
        <w:tc>
          <w:tcPr>
            <w:tcW w:w="0" w:type="dxa"/>
            <w:vAlign w:val="bottom"/>
          </w:tcPr>
          <w:p>
            <w:pPr>
              <w:spacing w:after="0"/>
              <w:rPr>
                <w:sz w:val="1"/>
                <w:szCs w:val="1"/>
                <w:color w:val="auto"/>
              </w:rPr>
            </w:pPr>
          </w:p>
        </w:tc>
      </w:tr>
      <w:tr>
        <w:trPr>
          <w:trHeight w:val="243"/>
        </w:trPr>
        <w:tc>
          <w:tcPr>
            <w:tcW w:w="6000" w:type="dxa"/>
            <w:vAlign w:val="bottom"/>
          </w:tcPr>
          <w:p>
            <w:pPr>
              <w:ind w:left="200"/>
              <w:spacing w:after="0"/>
              <w:rPr>
                <w:sz w:val="20"/>
                <w:szCs w:val="20"/>
                <w:color w:val="auto"/>
              </w:rPr>
            </w:pPr>
            <w:r>
              <w:rPr>
                <w:rFonts w:ascii="Arial" w:cs="Arial" w:eastAsia="Arial" w:hAnsi="Arial"/>
                <w:sz w:val="16"/>
                <w:szCs w:val="16"/>
                <w:color w:val="auto"/>
              </w:rPr>
              <w:t>Cost of goods sold (exclusive of items shown below)</w:t>
            </w:r>
          </w:p>
        </w:tc>
        <w:tc>
          <w:tcPr>
            <w:tcW w:w="260" w:type="dxa"/>
            <w:vAlign w:val="bottom"/>
          </w:tcPr>
          <w:p>
            <w:pPr>
              <w:spacing w:after="0"/>
              <w:rPr>
                <w:sz w:val="21"/>
                <w:szCs w:val="21"/>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548,050</w:t>
            </w:r>
          </w:p>
        </w:tc>
        <w:tc>
          <w:tcPr>
            <w:tcW w:w="320" w:type="dxa"/>
            <w:vAlign w:val="bottom"/>
          </w:tcPr>
          <w:p>
            <w:pPr>
              <w:spacing w:after="0"/>
              <w:rPr>
                <w:sz w:val="21"/>
                <w:szCs w:val="21"/>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479,344</w:t>
            </w:r>
          </w:p>
        </w:tc>
        <w:tc>
          <w:tcPr>
            <w:tcW w:w="320" w:type="dxa"/>
            <w:vAlign w:val="bottom"/>
          </w:tcPr>
          <w:p>
            <w:pPr>
              <w:spacing w:after="0"/>
              <w:rPr>
                <w:sz w:val="21"/>
                <w:szCs w:val="21"/>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1,535,736</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1,362,688</w:t>
            </w:r>
          </w:p>
        </w:tc>
        <w:tc>
          <w:tcPr>
            <w:tcW w:w="0" w:type="dxa"/>
            <w:vAlign w:val="bottom"/>
          </w:tcPr>
          <w:p>
            <w:pPr>
              <w:spacing w:after="0"/>
              <w:rPr>
                <w:sz w:val="1"/>
                <w:szCs w:val="1"/>
                <w:color w:val="auto"/>
              </w:rPr>
            </w:pPr>
          </w:p>
        </w:tc>
      </w:tr>
      <w:tr>
        <w:trPr>
          <w:trHeight w:val="243"/>
        </w:trPr>
        <w:tc>
          <w:tcPr>
            <w:tcW w:w="6000" w:type="dxa"/>
            <w:vAlign w:val="bottom"/>
          </w:tcPr>
          <w:p>
            <w:pPr>
              <w:ind w:left="200"/>
              <w:spacing w:after="0"/>
              <w:rPr>
                <w:sz w:val="20"/>
                <w:szCs w:val="20"/>
                <w:color w:val="auto"/>
              </w:rPr>
            </w:pPr>
            <w:r>
              <w:rPr>
                <w:rFonts w:ascii="Arial" w:cs="Arial" w:eastAsia="Arial" w:hAnsi="Arial"/>
                <w:sz w:val="16"/>
                <w:szCs w:val="16"/>
                <w:color w:val="auto"/>
              </w:rPr>
              <w:t>Selling, general and administrative</w:t>
            </w:r>
          </w:p>
        </w:tc>
        <w:tc>
          <w:tcPr>
            <w:tcW w:w="260" w:type="dxa"/>
            <w:vAlign w:val="bottom"/>
          </w:tcPr>
          <w:p>
            <w:pPr>
              <w:spacing w:after="0"/>
              <w:rPr>
                <w:sz w:val="21"/>
                <w:szCs w:val="21"/>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282,836</w:t>
            </w:r>
          </w:p>
        </w:tc>
        <w:tc>
          <w:tcPr>
            <w:tcW w:w="320" w:type="dxa"/>
            <w:vAlign w:val="bottom"/>
          </w:tcPr>
          <w:p>
            <w:pPr>
              <w:spacing w:after="0"/>
              <w:rPr>
                <w:sz w:val="21"/>
                <w:szCs w:val="21"/>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276,103</w:t>
            </w:r>
          </w:p>
        </w:tc>
        <w:tc>
          <w:tcPr>
            <w:tcW w:w="320" w:type="dxa"/>
            <w:vAlign w:val="bottom"/>
          </w:tcPr>
          <w:p>
            <w:pPr>
              <w:spacing w:after="0"/>
              <w:rPr>
                <w:sz w:val="21"/>
                <w:szCs w:val="21"/>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844,455</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823,499</w:t>
            </w:r>
          </w:p>
        </w:tc>
        <w:tc>
          <w:tcPr>
            <w:tcW w:w="0" w:type="dxa"/>
            <w:vAlign w:val="bottom"/>
          </w:tcPr>
          <w:p>
            <w:pPr>
              <w:spacing w:after="0"/>
              <w:rPr>
                <w:sz w:val="1"/>
                <w:szCs w:val="1"/>
                <w:color w:val="auto"/>
              </w:rPr>
            </w:pPr>
          </w:p>
        </w:tc>
      </w:tr>
      <w:tr>
        <w:trPr>
          <w:trHeight w:val="243"/>
        </w:trPr>
        <w:tc>
          <w:tcPr>
            <w:tcW w:w="6000" w:type="dxa"/>
            <w:vAlign w:val="bottom"/>
          </w:tcPr>
          <w:p>
            <w:pPr>
              <w:ind w:left="200"/>
              <w:spacing w:after="0"/>
              <w:rPr>
                <w:sz w:val="20"/>
                <w:szCs w:val="20"/>
                <w:color w:val="auto"/>
              </w:rPr>
            </w:pPr>
            <w:r>
              <w:rPr>
                <w:rFonts w:ascii="Arial" w:cs="Arial" w:eastAsia="Arial" w:hAnsi="Arial"/>
                <w:sz w:val="16"/>
                <w:szCs w:val="16"/>
                <w:color w:val="auto"/>
              </w:rPr>
              <w:t>Depreciation of property, plant and equipment</w:t>
            </w:r>
          </w:p>
        </w:tc>
        <w:tc>
          <w:tcPr>
            <w:tcW w:w="260" w:type="dxa"/>
            <w:vAlign w:val="bottom"/>
          </w:tcPr>
          <w:p>
            <w:pPr>
              <w:spacing w:after="0"/>
              <w:rPr>
                <w:sz w:val="21"/>
                <w:szCs w:val="21"/>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18,119</w:t>
            </w:r>
          </w:p>
        </w:tc>
        <w:tc>
          <w:tcPr>
            <w:tcW w:w="320" w:type="dxa"/>
            <w:vAlign w:val="bottom"/>
          </w:tcPr>
          <w:p>
            <w:pPr>
              <w:spacing w:after="0"/>
              <w:rPr>
                <w:sz w:val="21"/>
                <w:szCs w:val="21"/>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19,298</w:t>
            </w:r>
          </w:p>
        </w:tc>
        <w:tc>
          <w:tcPr>
            <w:tcW w:w="320" w:type="dxa"/>
            <w:vAlign w:val="bottom"/>
          </w:tcPr>
          <w:p>
            <w:pPr>
              <w:spacing w:after="0"/>
              <w:rPr>
                <w:sz w:val="21"/>
                <w:szCs w:val="21"/>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54,794</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59,504</w:t>
            </w:r>
          </w:p>
        </w:tc>
        <w:tc>
          <w:tcPr>
            <w:tcW w:w="0" w:type="dxa"/>
            <w:vAlign w:val="bottom"/>
          </w:tcPr>
          <w:p>
            <w:pPr>
              <w:spacing w:after="0"/>
              <w:rPr>
                <w:sz w:val="1"/>
                <w:szCs w:val="1"/>
                <w:color w:val="auto"/>
              </w:rPr>
            </w:pPr>
          </w:p>
        </w:tc>
      </w:tr>
      <w:tr>
        <w:trPr>
          <w:trHeight w:val="243"/>
        </w:trPr>
        <w:tc>
          <w:tcPr>
            <w:tcW w:w="6000" w:type="dxa"/>
            <w:vAlign w:val="bottom"/>
          </w:tcPr>
          <w:p>
            <w:pPr>
              <w:ind w:left="200"/>
              <w:spacing w:after="0"/>
              <w:rPr>
                <w:sz w:val="20"/>
                <w:szCs w:val="20"/>
                <w:color w:val="auto"/>
              </w:rPr>
            </w:pPr>
            <w:r>
              <w:rPr>
                <w:rFonts w:ascii="Arial" w:cs="Arial" w:eastAsia="Arial" w:hAnsi="Arial"/>
                <w:sz w:val="16"/>
                <w:szCs w:val="16"/>
                <w:color w:val="auto"/>
              </w:rPr>
              <w:t>Amortization of intangible assets</w:t>
            </w:r>
          </w:p>
        </w:tc>
        <w:tc>
          <w:tcPr>
            <w:tcW w:w="260" w:type="dxa"/>
            <w:vAlign w:val="bottom"/>
          </w:tcPr>
          <w:p>
            <w:pPr>
              <w:spacing w:after="0"/>
              <w:rPr>
                <w:sz w:val="21"/>
                <w:szCs w:val="21"/>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5,775</w:t>
            </w:r>
          </w:p>
        </w:tc>
        <w:tc>
          <w:tcPr>
            <w:tcW w:w="320" w:type="dxa"/>
            <w:vAlign w:val="bottom"/>
          </w:tcPr>
          <w:p>
            <w:pPr>
              <w:spacing w:after="0"/>
              <w:rPr>
                <w:sz w:val="21"/>
                <w:szCs w:val="21"/>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9,692</w:t>
            </w:r>
          </w:p>
        </w:tc>
        <w:tc>
          <w:tcPr>
            <w:tcW w:w="320" w:type="dxa"/>
            <w:vAlign w:val="bottom"/>
          </w:tcPr>
          <w:p>
            <w:pPr>
              <w:spacing w:after="0"/>
              <w:rPr>
                <w:sz w:val="21"/>
                <w:szCs w:val="21"/>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17,808</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24,757</w:t>
            </w:r>
          </w:p>
        </w:tc>
        <w:tc>
          <w:tcPr>
            <w:tcW w:w="0" w:type="dxa"/>
            <w:vAlign w:val="bottom"/>
          </w:tcPr>
          <w:p>
            <w:pPr>
              <w:spacing w:after="0"/>
              <w:rPr>
                <w:sz w:val="1"/>
                <w:szCs w:val="1"/>
                <w:color w:val="auto"/>
              </w:rPr>
            </w:pPr>
          </w:p>
        </w:tc>
      </w:tr>
      <w:tr>
        <w:trPr>
          <w:trHeight w:val="247"/>
        </w:trPr>
        <w:tc>
          <w:tcPr>
            <w:tcW w:w="6000" w:type="dxa"/>
            <w:vAlign w:val="bottom"/>
          </w:tcPr>
          <w:p>
            <w:pPr>
              <w:ind w:left="200"/>
              <w:spacing w:after="0"/>
              <w:rPr>
                <w:sz w:val="20"/>
                <w:szCs w:val="20"/>
                <w:color w:val="auto"/>
              </w:rPr>
            </w:pPr>
            <w:r>
              <w:rPr>
                <w:rFonts w:ascii="Arial" w:cs="Arial" w:eastAsia="Arial" w:hAnsi="Arial"/>
                <w:sz w:val="16"/>
                <w:szCs w:val="16"/>
                <w:color w:val="auto"/>
              </w:rPr>
              <w:t>Impairment of goodwill, other long-lived assets and asset group held for sale</w:t>
            </w: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2,235</w:t>
            </w: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19,029</w:t>
            </w:r>
          </w:p>
        </w:tc>
        <w:tc>
          <w:tcPr>
            <w:tcW w:w="3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2,235</w:t>
            </w:r>
          </w:p>
        </w:tc>
        <w:tc>
          <w:tcPr>
            <w:tcW w:w="0" w:type="dxa"/>
            <w:vAlign w:val="bottom"/>
          </w:tcPr>
          <w:p>
            <w:pPr>
              <w:spacing w:after="0"/>
              <w:rPr>
                <w:sz w:val="1"/>
                <w:szCs w:val="1"/>
                <w:color w:val="auto"/>
              </w:rPr>
            </w:pPr>
          </w:p>
        </w:tc>
      </w:tr>
      <w:tr>
        <w:trPr>
          <w:trHeight w:val="234"/>
        </w:trPr>
        <w:tc>
          <w:tcPr>
            <w:tcW w:w="60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1,240,516</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1,211,723</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3,637,547</w:t>
            </w: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3,473,186</w:t>
            </w:r>
          </w:p>
        </w:tc>
        <w:tc>
          <w:tcPr>
            <w:tcW w:w="0" w:type="dxa"/>
            <w:vAlign w:val="bottom"/>
          </w:tcPr>
          <w:p>
            <w:pPr>
              <w:spacing w:after="0"/>
              <w:rPr>
                <w:sz w:val="1"/>
                <w:szCs w:val="1"/>
                <w:color w:val="auto"/>
              </w:rPr>
            </w:pPr>
          </w:p>
        </w:tc>
      </w:tr>
      <w:tr>
        <w:trPr>
          <w:trHeight w:val="236"/>
        </w:trPr>
        <w:tc>
          <w:tcPr>
            <w:tcW w:w="6000" w:type="dxa"/>
            <w:vAlign w:val="bottom"/>
          </w:tcPr>
          <w:p>
            <w:pPr>
              <w:spacing w:after="0"/>
              <w:rPr>
                <w:sz w:val="20"/>
                <w:szCs w:val="20"/>
                <w:color w:val="auto"/>
              </w:rPr>
            </w:pPr>
            <w:r>
              <w:rPr>
                <w:rFonts w:ascii="Arial" w:cs="Arial" w:eastAsia="Arial" w:hAnsi="Arial"/>
                <w:sz w:val="16"/>
                <w:szCs w:val="16"/>
                <w:b w:val="1"/>
                <w:bCs w:val="1"/>
                <w:color w:val="auto"/>
              </w:rPr>
              <w:t>Income from Operations</w:t>
            </w:r>
          </w:p>
        </w:tc>
        <w:tc>
          <w:tcPr>
            <w:tcW w:w="26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85,521</w:t>
            </w:r>
          </w:p>
        </w:tc>
        <w:tc>
          <w:tcPr>
            <w:tcW w:w="32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67,136</w:t>
            </w:r>
          </w:p>
        </w:tc>
        <w:tc>
          <w:tcPr>
            <w:tcW w:w="32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226,988</w:t>
            </w:r>
          </w:p>
        </w:tc>
        <w:tc>
          <w:tcPr>
            <w:tcW w:w="3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187,360</w:t>
            </w:r>
          </w:p>
        </w:tc>
        <w:tc>
          <w:tcPr>
            <w:tcW w:w="0" w:type="dxa"/>
            <w:vAlign w:val="bottom"/>
          </w:tcPr>
          <w:p>
            <w:pPr>
              <w:spacing w:after="0"/>
              <w:rPr>
                <w:sz w:val="1"/>
                <w:szCs w:val="1"/>
                <w:color w:val="auto"/>
              </w:rPr>
            </w:pPr>
          </w:p>
        </w:tc>
      </w:tr>
      <w:tr>
        <w:trPr>
          <w:trHeight w:val="243"/>
        </w:trPr>
        <w:tc>
          <w:tcPr>
            <w:tcW w:w="6000" w:type="dxa"/>
            <w:vAlign w:val="bottom"/>
          </w:tcPr>
          <w:p>
            <w:pPr>
              <w:ind w:left="200"/>
              <w:spacing w:after="0"/>
              <w:rPr>
                <w:sz w:val="20"/>
                <w:szCs w:val="20"/>
                <w:color w:val="auto"/>
              </w:rPr>
            </w:pPr>
            <w:r>
              <w:rPr>
                <w:rFonts w:ascii="Arial" w:cs="Arial" w:eastAsia="Arial" w:hAnsi="Arial"/>
                <w:sz w:val="16"/>
                <w:szCs w:val="16"/>
                <w:color w:val="auto"/>
              </w:rPr>
              <w:t>Equity in (losses) earnings of affiliates, net</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(3,590)</w:t>
            </w:r>
          </w:p>
        </w:tc>
        <w:tc>
          <w:tcPr>
            <w:tcW w:w="320" w:type="dxa"/>
            <w:vAlign w:val="bottom"/>
          </w:tcPr>
          <w:p>
            <w:pPr>
              <w:spacing w:after="0"/>
              <w:rPr>
                <w:sz w:val="21"/>
                <w:szCs w:val="21"/>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15,780</w:t>
            </w:r>
          </w:p>
        </w:tc>
        <w:tc>
          <w:tcPr>
            <w:tcW w:w="320" w:type="dxa"/>
            <w:vAlign w:val="bottom"/>
          </w:tcPr>
          <w:p>
            <w:pPr>
              <w:spacing w:after="0"/>
              <w:rPr>
                <w:sz w:val="21"/>
                <w:szCs w:val="21"/>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11,397</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10,466</w:t>
            </w:r>
          </w:p>
        </w:tc>
        <w:tc>
          <w:tcPr>
            <w:tcW w:w="0" w:type="dxa"/>
            <w:vAlign w:val="bottom"/>
          </w:tcPr>
          <w:p>
            <w:pPr>
              <w:spacing w:after="0"/>
              <w:rPr>
                <w:sz w:val="1"/>
                <w:szCs w:val="1"/>
                <w:color w:val="auto"/>
              </w:rPr>
            </w:pPr>
          </w:p>
        </w:tc>
      </w:tr>
      <w:tr>
        <w:trPr>
          <w:trHeight w:val="243"/>
        </w:trPr>
        <w:tc>
          <w:tcPr>
            <w:tcW w:w="6000" w:type="dxa"/>
            <w:vAlign w:val="bottom"/>
          </w:tcPr>
          <w:p>
            <w:pPr>
              <w:ind w:left="200"/>
              <w:spacing w:after="0"/>
              <w:rPr>
                <w:sz w:val="20"/>
                <w:szCs w:val="20"/>
                <w:color w:val="auto"/>
              </w:rPr>
            </w:pPr>
            <w:r>
              <w:rPr>
                <w:rFonts w:ascii="Arial" w:cs="Arial" w:eastAsia="Arial" w:hAnsi="Arial"/>
                <w:sz w:val="16"/>
                <w:szCs w:val="16"/>
                <w:color w:val="auto"/>
              </w:rPr>
              <w:t>Interest income</w:t>
            </w:r>
          </w:p>
        </w:tc>
        <w:tc>
          <w:tcPr>
            <w:tcW w:w="260" w:type="dxa"/>
            <w:vAlign w:val="bottom"/>
          </w:tcPr>
          <w:p>
            <w:pPr>
              <w:spacing w:after="0"/>
              <w:rPr>
                <w:sz w:val="21"/>
                <w:szCs w:val="21"/>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1,594</w:t>
            </w:r>
          </w:p>
        </w:tc>
        <w:tc>
          <w:tcPr>
            <w:tcW w:w="320" w:type="dxa"/>
            <w:vAlign w:val="bottom"/>
          </w:tcPr>
          <w:p>
            <w:pPr>
              <w:spacing w:after="0"/>
              <w:rPr>
                <w:sz w:val="21"/>
                <w:szCs w:val="21"/>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1,464</w:t>
            </w:r>
          </w:p>
        </w:tc>
        <w:tc>
          <w:tcPr>
            <w:tcW w:w="320" w:type="dxa"/>
            <w:vAlign w:val="bottom"/>
          </w:tcPr>
          <w:p>
            <w:pPr>
              <w:spacing w:after="0"/>
              <w:rPr>
                <w:sz w:val="21"/>
                <w:szCs w:val="21"/>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5,950</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6,225</w:t>
            </w:r>
          </w:p>
        </w:tc>
        <w:tc>
          <w:tcPr>
            <w:tcW w:w="0" w:type="dxa"/>
            <w:vAlign w:val="bottom"/>
          </w:tcPr>
          <w:p>
            <w:pPr>
              <w:spacing w:after="0"/>
              <w:rPr>
                <w:sz w:val="1"/>
                <w:szCs w:val="1"/>
                <w:color w:val="auto"/>
              </w:rPr>
            </w:pPr>
          </w:p>
        </w:tc>
      </w:tr>
      <w:tr>
        <w:trPr>
          <w:trHeight w:val="243"/>
        </w:trPr>
        <w:tc>
          <w:tcPr>
            <w:tcW w:w="6000" w:type="dxa"/>
            <w:vAlign w:val="bottom"/>
          </w:tcPr>
          <w:p>
            <w:pPr>
              <w:ind w:left="20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(15,769)</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(17,164)</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(49,171)</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(117,547)</w:t>
            </w:r>
          </w:p>
        </w:tc>
        <w:tc>
          <w:tcPr>
            <w:tcW w:w="0" w:type="dxa"/>
            <w:vAlign w:val="bottom"/>
          </w:tcPr>
          <w:p>
            <w:pPr>
              <w:spacing w:after="0"/>
              <w:rPr>
                <w:sz w:val="1"/>
                <w:szCs w:val="1"/>
                <w:color w:val="auto"/>
              </w:rPr>
            </w:pPr>
          </w:p>
        </w:tc>
      </w:tr>
      <w:tr>
        <w:trPr>
          <w:trHeight w:val="243"/>
        </w:trPr>
        <w:tc>
          <w:tcPr>
            <w:tcW w:w="6000" w:type="dxa"/>
            <w:vAlign w:val="bottom"/>
          </w:tcPr>
          <w:p>
            <w:pPr>
              <w:ind w:left="200"/>
              <w:spacing w:after="0"/>
              <w:rPr>
                <w:sz w:val="20"/>
                <w:szCs w:val="20"/>
                <w:color w:val="auto"/>
              </w:rPr>
            </w:pPr>
            <w:r>
              <w:rPr>
                <w:rFonts w:ascii="Arial" w:cs="Arial" w:eastAsia="Arial" w:hAnsi="Arial"/>
                <w:sz w:val="16"/>
                <w:szCs w:val="16"/>
                <w:color w:val="auto"/>
              </w:rPr>
              <w:t>Non-operating pension and postretirement benefit income, net</w:t>
            </w:r>
          </w:p>
        </w:tc>
        <w:tc>
          <w:tcPr>
            <w:tcW w:w="260" w:type="dxa"/>
            <w:vAlign w:val="bottom"/>
          </w:tcPr>
          <w:p>
            <w:pPr>
              <w:spacing w:after="0"/>
              <w:rPr>
                <w:sz w:val="21"/>
                <w:szCs w:val="21"/>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47,601</w:t>
            </w:r>
          </w:p>
        </w:tc>
        <w:tc>
          <w:tcPr>
            <w:tcW w:w="320" w:type="dxa"/>
            <w:vAlign w:val="bottom"/>
          </w:tcPr>
          <w:p>
            <w:pPr>
              <w:spacing w:after="0"/>
              <w:rPr>
                <w:sz w:val="21"/>
                <w:szCs w:val="21"/>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31,047</w:t>
            </w:r>
          </w:p>
        </w:tc>
        <w:tc>
          <w:tcPr>
            <w:tcW w:w="320" w:type="dxa"/>
            <w:vAlign w:val="bottom"/>
          </w:tcPr>
          <w:p>
            <w:pPr>
              <w:spacing w:after="0"/>
              <w:rPr>
                <w:sz w:val="21"/>
                <w:szCs w:val="21"/>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248,323</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94,266</w:t>
            </w:r>
          </w:p>
        </w:tc>
        <w:tc>
          <w:tcPr>
            <w:tcW w:w="0" w:type="dxa"/>
            <w:vAlign w:val="bottom"/>
          </w:tcPr>
          <w:p>
            <w:pPr>
              <w:spacing w:after="0"/>
              <w:rPr>
                <w:sz w:val="1"/>
                <w:szCs w:val="1"/>
                <w:color w:val="auto"/>
              </w:rPr>
            </w:pPr>
          </w:p>
        </w:tc>
      </w:tr>
      <w:tr>
        <w:trPr>
          <w:trHeight w:val="243"/>
        </w:trPr>
        <w:tc>
          <w:tcPr>
            <w:tcW w:w="6000" w:type="dxa"/>
            <w:vAlign w:val="bottom"/>
          </w:tcPr>
          <w:p>
            <w:pPr>
              <w:ind w:left="200"/>
              <w:spacing w:after="0"/>
              <w:rPr>
                <w:sz w:val="20"/>
                <w:szCs w:val="20"/>
                <w:color w:val="auto"/>
              </w:rPr>
            </w:pPr>
            <w:r>
              <w:rPr>
                <w:rFonts w:ascii="Arial" w:cs="Arial" w:eastAsia="Arial" w:hAnsi="Arial"/>
                <w:sz w:val="16"/>
                <w:szCs w:val="16"/>
                <w:color w:val="auto"/>
              </w:rPr>
              <w:t>(Loss) gain on marketable equity securities, net</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(15,027)</w:t>
            </w:r>
          </w:p>
        </w:tc>
        <w:tc>
          <w:tcPr>
            <w:tcW w:w="320" w:type="dxa"/>
            <w:vAlign w:val="bottom"/>
          </w:tcPr>
          <w:p>
            <w:pPr>
              <w:spacing w:after="0"/>
              <w:rPr>
                <w:sz w:val="21"/>
                <w:szCs w:val="21"/>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84,768</w:t>
            </w:r>
          </w:p>
        </w:tc>
        <w:tc>
          <w:tcPr>
            <w:tcW w:w="320" w:type="dxa"/>
            <w:vAlign w:val="bottom"/>
          </w:tcPr>
          <w:p>
            <w:pPr>
              <w:spacing w:after="0"/>
              <w:rPr>
                <w:sz w:val="21"/>
                <w:szCs w:val="21"/>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17,929</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117,026</w:t>
            </w:r>
          </w:p>
        </w:tc>
        <w:tc>
          <w:tcPr>
            <w:tcW w:w="0" w:type="dxa"/>
            <w:vAlign w:val="bottom"/>
          </w:tcPr>
          <w:p>
            <w:pPr>
              <w:spacing w:after="0"/>
              <w:rPr>
                <w:sz w:val="1"/>
                <w:szCs w:val="1"/>
                <w:color w:val="auto"/>
              </w:rPr>
            </w:pPr>
          </w:p>
        </w:tc>
      </w:tr>
      <w:tr>
        <w:trPr>
          <w:trHeight w:val="244"/>
        </w:trPr>
        <w:tc>
          <w:tcPr>
            <w:tcW w:w="6000" w:type="dxa"/>
            <w:vAlign w:val="bottom"/>
          </w:tcPr>
          <w:p>
            <w:pPr>
              <w:ind w:left="200"/>
              <w:spacing w:after="0"/>
              <w:rPr>
                <w:sz w:val="20"/>
                <w:szCs w:val="20"/>
                <w:color w:val="auto"/>
              </w:rPr>
            </w:pPr>
            <w:r>
              <w:rPr>
                <w:rFonts w:ascii="Arial" w:cs="Arial" w:eastAsia="Arial" w:hAnsi="Arial"/>
                <w:sz w:val="16"/>
                <w:szCs w:val="16"/>
                <w:color w:val="auto"/>
              </w:rPr>
              <w:t>Other (expense) income, net</w:t>
            </w: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(1,187)</w:t>
            </w: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w:t>
            </w: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(4,146)</w:t>
            </w:r>
          </w:p>
        </w:tc>
        <w:tc>
          <w:tcPr>
            <w:tcW w:w="3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(20,514)</w:t>
            </w:r>
          </w:p>
        </w:tc>
        <w:tc>
          <w:tcPr>
            <w:tcW w:w="0" w:type="dxa"/>
            <w:vAlign w:val="bottom"/>
          </w:tcPr>
          <w:p>
            <w:pPr>
              <w:spacing w:after="0"/>
              <w:rPr>
                <w:sz w:val="1"/>
                <w:szCs w:val="1"/>
                <w:color w:val="auto"/>
              </w:rPr>
            </w:pPr>
          </w:p>
        </w:tc>
      </w:tr>
      <w:tr>
        <w:trPr>
          <w:trHeight w:val="235"/>
        </w:trPr>
        <w:tc>
          <w:tcPr>
            <w:tcW w:w="6000" w:type="dxa"/>
            <w:vAlign w:val="bottom"/>
          </w:tcPr>
          <w:p>
            <w:pPr>
              <w:spacing w:after="0"/>
              <w:rPr>
                <w:sz w:val="20"/>
                <w:szCs w:val="20"/>
                <w:color w:val="auto"/>
              </w:rPr>
            </w:pPr>
            <w:r>
              <w:rPr>
                <w:rFonts w:ascii="Arial" w:cs="Arial" w:eastAsia="Arial" w:hAnsi="Arial"/>
                <w:sz w:val="16"/>
                <w:szCs w:val="16"/>
                <w:b w:val="1"/>
                <w:bCs w:val="1"/>
                <w:color w:val="auto"/>
              </w:rPr>
              <w:t>Income Before Income Taxes</w:t>
            </w:r>
          </w:p>
        </w:tc>
        <w:tc>
          <w:tcPr>
            <w:tcW w:w="26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99,143</w:t>
            </w:r>
          </w:p>
        </w:tc>
        <w:tc>
          <w:tcPr>
            <w:tcW w:w="32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183,038</w:t>
            </w:r>
          </w:p>
        </w:tc>
        <w:tc>
          <w:tcPr>
            <w:tcW w:w="32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457,270</w:t>
            </w:r>
          </w:p>
        </w:tc>
        <w:tc>
          <w:tcPr>
            <w:tcW w:w="3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277,282</w:t>
            </w:r>
          </w:p>
        </w:tc>
        <w:tc>
          <w:tcPr>
            <w:tcW w:w="0" w:type="dxa"/>
            <w:vAlign w:val="bottom"/>
          </w:tcPr>
          <w:p>
            <w:pPr>
              <w:spacing w:after="0"/>
              <w:rPr>
                <w:sz w:val="1"/>
                <w:szCs w:val="1"/>
                <w:color w:val="auto"/>
              </w:rPr>
            </w:pPr>
          </w:p>
        </w:tc>
      </w:tr>
      <w:tr>
        <w:trPr>
          <w:trHeight w:val="244"/>
        </w:trPr>
        <w:tc>
          <w:tcPr>
            <w:tcW w:w="6000" w:type="dxa"/>
            <w:vAlign w:val="bottom"/>
          </w:tcPr>
          <w:p>
            <w:pPr>
              <w:spacing w:after="0"/>
              <w:rPr>
                <w:sz w:val="20"/>
                <w:szCs w:val="20"/>
                <w:color w:val="auto"/>
              </w:rPr>
            </w:pPr>
            <w:r>
              <w:rPr>
                <w:rFonts w:ascii="Arial" w:cs="Arial" w:eastAsia="Arial" w:hAnsi="Arial"/>
                <w:sz w:val="16"/>
                <w:szCs w:val="16"/>
                <w:b w:val="1"/>
                <w:bCs w:val="1"/>
                <w:color w:val="auto"/>
              </w:rPr>
              <w:t>Provision for Income Taxes</w:t>
            </w: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21,900</w:t>
            </w: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56,800</w:t>
            </w: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66,900</w:t>
            </w:r>
          </w:p>
        </w:tc>
        <w:tc>
          <w:tcPr>
            <w:tcW w:w="3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84,900</w:t>
            </w:r>
          </w:p>
        </w:tc>
        <w:tc>
          <w:tcPr>
            <w:tcW w:w="0" w:type="dxa"/>
            <w:vAlign w:val="bottom"/>
          </w:tcPr>
          <w:p>
            <w:pPr>
              <w:spacing w:after="0"/>
              <w:rPr>
                <w:sz w:val="1"/>
                <w:szCs w:val="1"/>
                <w:color w:val="auto"/>
              </w:rPr>
            </w:pPr>
          </w:p>
        </w:tc>
      </w:tr>
      <w:tr>
        <w:trPr>
          <w:trHeight w:val="235"/>
        </w:trPr>
        <w:tc>
          <w:tcPr>
            <w:tcW w:w="6000" w:type="dxa"/>
            <w:vAlign w:val="bottom"/>
          </w:tcPr>
          <w:p>
            <w:pPr>
              <w:spacing w:after="0"/>
              <w:rPr>
                <w:sz w:val="20"/>
                <w:szCs w:val="20"/>
                <w:color w:val="auto"/>
              </w:rPr>
            </w:pPr>
            <w:r>
              <w:rPr>
                <w:rFonts w:ascii="Arial" w:cs="Arial" w:eastAsia="Arial" w:hAnsi="Arial"/>
                <w:sz w:val="16"/>
                <w:szCs w:val="16"/>
                <w:b w:val="1"/>
                <w:bCs w:val="1"/>
                <w:color w:val="auto"/>
              </w:rPr>
              <w:t>Net Income</w:t>
            </w:r>
          </w:p>
        </w:tc>
        <w:tc>
          <w:tcPr>
            <w:tcW w:w="26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77,243</w:t>
            </w:r>
          </w:p>
        </w:tc>
        <w:tc>
          <w:tcPr>
            <w:tcW w:w="32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126,238</w:t>
            </w:r>
          </w:p>
        </w:tc>
        <w:tc>
          <w:tcPr>
            <w:tcW w:w="32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390,370</w:t>
            </w:r>
          </w:p>
        </w:tc>
        <w:tc>
          <w:tcPr>
            <w:tcW w:w="3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192,382</w:t>
            </w:r>
          </w:p>
        </w:tc>
        <w:tc>
          <w:tcPr>
            <w:tcW w:w="0" w:type="dxa"/>
            <w:vAlign w:val="bottom"/>
          </w:tcPr>
          <w:p>
            <w:pPr>
              <w:spacing w:after="0"/>
              <w:rPr>
                <w:sz w:val="1"/>
                <w:szCs w:val="1"/>
                <w:color w:val="auto"/>
              </w:rPr>
            </w:pPr>
          </w:p>
        </w:tc>
      </w:tr>
      <w:tr>
        <w:trPr>
          <w:trHeight w:val="244"/>
        </w:trPr>
        <w:tc>
          <w:tcPr>
            <w:tcW w:w="6000" w:type="dxa"/>
            <w:vAlign w:val="bottom"/>
          </w:tcPr>
          <w:p>
            <w:pPr>
              <w:spacing w:after="0"/>
              <w:rPr>
                <w:sz w:val="20"/>
                <w:szCs w:val="20"/>
                <w:color w:val="auto"/>
              </w:rPr>
            </w:pPr>
            <w:r>
              <w:rPr>
                <w:rFonts w:ascii="Arial" w:cs="Arial" w:eastAsia="Arial" w:hAnsi="Arial"/>
                <w:sz w:val="16"/>
                <w:szCs w:val="16"/>
                <w:b w:val="1"/>
                <w:bCs w:val="1"/>
                <w:color w:val="auto"/>
              </w:rPr>
              <w:t>Net Income Attributable to Noncontrolling Interests</w:t>
            </w: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(2,133)</w:t>
            </w: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(3,313)</w:t>
            </w: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(5,051)</w:t>
            </w:r>
          </w:p>
        </w:tc>
        <w:tc>
          <w:tcPr>
            <w:tcW w:w="3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(8,814)</w:t>
            </w:r>
          </w:p>
        </w:tc>
        <w:tc>
          <w:tcPr>
            <w:tcW w:w="0" w:type="dxa"/>
            <w:vAlign w:val="bottom"/>
          </w:tcPr>
          <w:p>
            <w:pPr>
              <w:spacing w:after="0"/>
              <w:rPr>
                <w:sz w:val="1"/>
                <w:szCs w:val="1"/>
                <w:color w:val="auto"/>
              </w:rPr>
            </w:pPr>
          </w:p>
        </w:tc>
      </w:tr>
      <w:tr>
        <w:trPr>
          <w:trHeight w:val="175"/>
        </w:trPr>
        <w:tc>
          <w:tcPr>
            <w:tcW w:w="6000" w:type="dxa"/>
            <w:vAlign w:val="bottom"/>
          </w:tcPr>
          <w:p>
            <w:pPr>
              <w:spacing w:after="0" w:line="175" w:lineRule="exact"/>
              <w:rPr>
                <w:sz w:val="20"/>
                <w:szCs w:val="20"/>
                <w:color w:val="auto"/>
              </w:rPr>
            </w:pPr>
            <w:r>
              <w:rPr>
                <w:rFonts w:ascii="Arial" w:cs="Arial" w:eastAsia="Arial" w:hAnsi="Arial"/>
                <w:sz w:val="16"/>
                <w:szCs w:val="16"/>
                <w:b w:val="1"/>
                <w:bCs w:val="1"/>
                <w:color w:val="auto"/>
              </w:rPr>
              <w:t>Net Income Attributable to Graham Holdings Company Common</w:t>
            </w:r>
          </w:p>
        </w:tc>
        <w:tc>
          <w:tcPr>
            <w:tcW w:w="26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00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75,110</w:t>
            </w:r>
          </w:p>
        </w:tc>
        <w:tc>
          <w:tcPr>
            <w:tcW w:w="320" w:type="dxa"/>
            <w:vAlign w:val="bottom"/>
            <w:vMerge w:val="restart"/>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vMerge w:val="restart"/>
          </w:tcPr>
          <w:p>
            <w:pPr>
              <w:jc w:val="right"/>
              <w:ind w:right="39"/>
              <w:spacing w:after="0"/>
              <w:rPr>
                <w:sz w:val="20"/>
                <w:szCs w:val="20"/>
                <w:color w:val="auto"/>
              </w:rPr>
            </w:pPr>
            <w:r>
              <w:rPr>
                <w:rFonts w:ascii="Arial" w:cs="Arial" w:eastAsia="Arial" w:hAnsi="Arial"/>
                <w:sz w:val="16"/>
                <w:szCs w:val="16"/>
                <w:color w:val="auto"/>
              </w:rPr>
              <w:t>122,925</w:t>
            </w:r>
          </w:p>
        </w:tc>
        <w:tc>
          <w:tcPr>
            <w:tcW w:w="32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w:t>
            </w:r>
          </w:p>
        </w:tc>
        <w:tc>
          <w:tcPr>
            <w:tcW w:w="100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385,319</w:t>
            </w:r>
          </w:p>
        </w:tc>
        <w:tc>
          <w:tcPr>
            <w:tcW w:w="320" w:type="dxa"/>
            <w:vAlign w:val="bottom"/>
            <w:vMerge w:val="restart"/>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183,568</w:t>
            </w:r>
          </w:p>
        </w:tc>
        <w:tc>
          <w:tcPr>
            <w:tcW w:w="0" w:type="dxa"/>
            <w:vAlign w:val="bottom"/>
          </w:tcPr>
          <w:p>
            <w:pPr>
              <w:spacing w:after="0"/>
              <w:rPr>
                <w:sz w:val="1"/>
                <w:szCs w:val="1"/>
                <w:color w:val="auto"/>
              </w:rPr>
            </w:pPr>
          </w:p>
        </w:tc>
      </w:tr>
      <w:tr>
        <w:trPr>
          <w:trHeight w:val="208"/>
        </w:trPr>
        <w:tc>
          <w:tcPr>
            <w:tcW w:w="6000" w:type="dxa"/>
            <w:vAlign w:val="bottom"/>
          </w:tcPr>
          <w:p>
            <w:pPr>
              <w:ind w:left="160"/>
              <w:spacing w:after="0"/>
              <w:rPr>
                <w:sz w:val="20"/>
                <w:szCs w:val="20"/>
                <w:color w:val="auto"/>
              </w:rPr>
            </w:pPr>
            <w:r>
              <w:rPr>
                <w:rFonts w:ascii="Arial" w:cs="Arial" w:eastAsia="Arial" w:hAnsi="Arial"/>
                <w:sz w:val="16"/>
                <w:szCs w:val="16"/>
                <w:b w:val="1"/>
                <w:bCs w:val="1"/>
                <w:color w:val="auto"/>
              </w:rPr>
              <w:t>Stockholders</w:t>
            </w:r>
          </w:p>
        </w:tc>
        <w:tc>
          <w:tcPr>
            <w:tcW w:w="260" w:type="dxa"/>
            <w:vAlign w:val="bottom"/>
            <w:tcBorders>
              <w:bottom w:val="single" w:sz="8" w:color="auto"/>
            </w:tcBorders>
            <w:vMerge w:val="continue"/>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320" w:type="dxa"/>
            <w:vAlign w:val="bottom"/>
            <w:tcBorders>
              <w:bottom w:val="single" w:sz="8" w:color="auto"/>
            </w:tcBorders>
            <w:vMerge w:val="continue"/>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320" w:type="dxa"/>
            <w:vAlign w:val="bottom"/>
            <w:tcBorders>
              <w:bottom w:val="single" w:sz="8" w:color="auto"/>
            </w:tcBorders>
            <w:vMerge w:val="continue"/>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320" w:type="dxa"/>
            <w:vAlign w:val="bottom"/>
            <w:tcBorders>
              <w:bottom w:val="single" w:sz="8" w:color="auto"/>
            </w:tcBorders>
            <w:vMerge w:val="continue"/>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0" w:type="dxa"/>
            <w:vAlign w:val="bottom"/>
            <w:vMerge w:val="restart"/>
          </w:tcPr>
          <w:p>
            <w:pPr>
              <w:spacing w:after="0"/>
              <w:rPr>
                <w:sz w:val="20"/>
                <w:szCs w:val="20"/>
                <w:color w:val="auto"/>
              </w:rPr>
            </w:pPr>
            <w:r>
              <w:rPr>
                <w:rFonts w:ascii="Arial" w:cs="Arial" w:eastAsia="Arial" w:hAnsi="Arial"/>
                <w:sz w:val="16"/>
                <w:szCs w:val="16"/>
                <w:b w:val="1"/>
                <w:bCs w:val="1"/>
                <w:color w:val="auto"/>
              </w:rPr>
              <w:t>Per Share Information Attributable to Graham Holdings Company Common</w:t>
            </w: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60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00" w:type="dxa"/>
            <w:vAlign w:val="bottom"/>
          </w:tcPr>
          <w:p>
            <w:pPr>
              <w:ind w:left="160"/>
              <w:spacing w:after="0"/>
              <w:rPr>
                <w:sz w:val="20"/>
                <w:szCs w:val="20"/>
                <w:color w:val="auto"/>
              </w:rPr>
            </w:pPr>
            <w:r>
              <w:rPr>
                <w:rFonts w:ascii="Arial" w:cs="Arial" w:eastAsia="Arial" w:hAnsi="Arial"/>
                <w:sz w:val="16"/>
                <w:szCs w:val="16"/>
                <w:b w:val="1"/>
                <w:bCs w:val="1"/>
                <w:color w:val="auto"/>
              </w:rPr>
              <w:t>Stockholders</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000" w:type="dxa"/>
            <w:vAlign w:val="bottom"/>
          </w:tcPr>
          <w:p>
            <w:pPr>
              <w:ind w:left="200"/>
              <w:spacing w:after="0"/>
              <w:rPr>
                <w:sz w:val="20"/>
                <w:szCs w:val="20"/>
                <w:color w:val="auto"/>
              </w:rPr>
            </w:pPr>
            <w:r>
              <w:rPr>
                <w:rFonts w:ascii="Arial" w:cs="Arial" w:eastAsia="Arial" w:hAnsi="Arial"/>
                <w:sz w:val="16"/>
                <w:szCs w:val="16"/>
                <w:color w:val="auto"/>
              </w:rPr>
              <w:t>Basic net income per common share</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17.79</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28.19</w:t>
            </w:r>
          </w:p>
        </w:tc>
        <w:tc>
          <w:tcPr>
            <w:tcW w:w="32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89.84</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42.15</w:t>
            </w:r>
          </w:p>
        </w:tc>
        <w:tc>
          <w:tcPr>
            <w:tcW w:w="0" w:type="dxa"/>
            <w:vAlign w:val="bottom"/>
          </w:tcPr>
          <w:p>
            <w:pPr>
              <w:spacing w:after="0"/>
              <w:rPr>
                <w:sz w:val="1"/>
                <w:szCs w:val="1"/>
                <w:color w:val="auto"/>
              </w:rPr>
            </w:pPr>
          </w:p>
        </w:tc>
      </w:tr>
      <w:tr>
        <w:trPr>
          <w:trHeight w:val="243"/>
        </w:trPr>
        <w:tc>
          <w:tcPr>
            <w:tcW w:w="6000" w:type="dxa"/>
            <w:vAlign w:val="bottom"/>
          </w:tcPr>
          <w:p>
            <w:pPr>
              <w:ind w:left="200"/>
              <w:spacing w:after="0"/>
              <w:rPr>
                <w:sz w:val="20"/>
                <w:szCs w:val="20"/>
                <w:color w:val="auto"/>
              </w:rPr>
            </w:pPr>
            <w:r>
              <w:rPr>
                <w:rFonts w:ascii="Arial" w:cs="Arial" w:eastAsia="Arial" w:hAnsi="Arial"/>
                <w:sz w:val="16"/>
                <w:szCs w:val="16"/>
                <w:color w:val="auto"/>
              </w:rPr>
              <w:t>Basic average number of common shares outstanding</w:t>
            </w:r>
          </w:p>
        </w:tc>
        <w:tc>
          <w:tcPr>
            <w:tcW w:w="260" w:type="dxa"/>
            <w:vAlign w:val="bottom"/>
          </w:tcPr>
          <w:p>
            <w:pPr>
              <w:spacing w:after="0"/>
              <w:rPr>
                <w:sz w:val="21"/>
                <w:szCs w:val="21"/>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4,198</w:t>
            </w:r>
          </w:p>
        </w:tc>
        <w:tc>
          <w:tcPr>
            <w:tcW w:w="320" w:type="dxa"/>
            <w:vAlign w:val="bottom"/>
          </w:tcPr>
          <w:p>
            <w:pPr>
              <w:spacing w:after="0"/>
              <w:rPr>
                <w:sz w:val="21"/>
                <w:szCs w:val="21"/>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4,334</w:t>
            </w:r>
          </w:p>
        </w:tc>
        <w:tc>
          <w:tcPr>
            <w:tcW w:w="320" w:type="dxa"/>
            <w:vAlign w:val="bottom"/>
          </w:tcPr>
          <w:p>
            <w:pPr>
              <w:spacing w:after="0"/>
              <w:rPr>
                <w:sz w:val="21"/>
                <w:szCs w:val="21"/>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4,264</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4,329</w:t>
            </w:r>
          </w:p>
        </w:tc>
        <w:tc>
          <w:tcPr>
            <w:tcW w:w="0" w:type="dxa"/>
            <w:vAlign w:val="bottom"/>
          </w:tcPr>
          <w:p>
            <w:pPr>
              <w:spacing w:after="0"/>
              <w:rPr>
                <w:sz w:val="1"/>
                <w:szCs w:val="1"/>
                <w:color w:val="auto"/>
              </w:rPr>
            </w:pPr>
          </w:p>
        </w:tc>
      </w:tr>
      <w:tr>
        <w:trPr>
          <w:trHeight w:val="243"/>
        </w:trPr>
        <w:tc>
          <w:tcPr>
            <w:tcW w:w="6000" w:type="dxa"/>
            <w:vAlign w:val="bottom"/>
          </w:tcPr>
          <w:p>
            <w:pPr>
              <w:ind w:left="200"/>
              <w:spacing w:after="0"/>
              <w:rPr>
                <w:sz w:val="20"/>
                <w:szCs w:val="20"/>
                <w:color w:val="auto"/>
              </w:rPr>
            </w:pPr>
            <w:r>
              <w:rPr>
                <w:rFonts w:ascii="Arial" w:cs="Arial" w:eastAsia="Arial" w:hAnsi="Arial"/>
                <w:sz w:val="16"/>
                <w:szCs w:val="16"/>
                <w:color w:val="auto"/>
              </w:rPr>
              <w:t>Diluted net income per common share</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17.60</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27.91</w:t>
            </w:r>
          </w:p>
        </w:tc>
        <w:tc>
          <w:tcPr>
            <w:tcW w:w="32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88.92</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41.75</w:t>
            </w:r>
          </w:p>
        </w:tc>
        <w:tc>
          <w:tcPr>
            <w:tcW w:w="0" w:type="dxa"/>
            <w:vAlign w:val="bottom"/>
          </w:tcPr>
          <w:p>
            <w:pPr>
              <w:spacing w:after="0"/>
              <w:rPr>
                <w:sz w:val="1"/>
                <w:szCs w:val="1"/>
                <w:color w:val="auto"/>
              </w:rPr>
            </w:pPr>
          </w:p>
        </w:tc>
      </w:tr>
      <w:tr>
        <w:trPr>
          <w:trHeight w:val="243"/>
        </w:trPr>
        <w:tc>
          <w:tcPr>
            <w:tcW w:w="6000" w:type="dxa"/>
            <w:vAlign w:val="bottom"/>
          </w:tcPr>
          <w:p>
            <w:pPr>
              <w:ind w:left="200"/>
              <w:spacing w:after="0"/>
              <w:rPr>
                <w:sz w:val="20"/>
                <w:szCs w:val="20"/>
                <w:color w:val="auto"/>
              </w:rPr>
            </w:pPr>
            <w:r>
              <w:rPr>
                <w:rFonts w:ascii="Arial" w:cs="Arial" w:eastAsia="Arial" w:hAnsi="Arial"/>
                <w:sz w:val="16"/>
                <w:szCs w:val="16"/>
                <w:color w:val="auto"/>
              </w:rPr>
              <w:t>Diluted average number of common shares outstanding</w:t>
            </w:r>
          </w:p>
        </w:tc>
        <w:tc>
          <w:tcPr>
            <w:tcW w:w="260" w:type="dxa"/>
            <w:vAlign w:val="bottom"/>
          </w:tcPr>
          <w:p>
            <w:pPr>
              <w:spacing w:after="0"/>
              <w:rPr>
                <w:sz w:val="21"/>
                <w:szCs w:val="21"/>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4,243</w:t>
            </w:r>
          </w:p>
        </w:tc>
        <w:tc>
          <w:tcPr>
            <w:tcW w:w="320" w:type="dxa"/>
            <w:vAlign w:val="bottom"/>
          </w:tcPr>
          <w:p>
            <w:pPr>
              <w:spacing w:after="0"/>
              <w:rPr>
                <w:sz w:val="21"/>
                <w:szCs w:val="21"/>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4,378</w:t>
            </w:r>
          </w:p>
        </w:tc>
        <w:tc>
          <w:tcPr>
            <w:tcW w:w="320" w:type="dxa"/>
            <w:vAlign w:val="bottom"/>
          </w:tcPr>
          <w:p>
            <w:pPr>
              <w:spacing w:after="0"/>
              <w:rPr>
                <w:sz w:val="21"/>
                <w:szCs w:val="21"/>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4,309</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4,370</w:t>
            </w: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GRAHAM HOLDINGS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13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2280" w:type="dxa"/>
            <w:vAlign w:val="bottom"/>
            <w:gridSpan w:val="2"/>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2260" w:type="dxa"/>
            <w:vAlign w:val="bottom"/>
            <w:gridSpan w:val="2"/>
          </w:tcPr>
          <w:p>
            <w:pPr>
              <w:jc w:val="right"/>
              <w:ind w:right="388"/>
              <w:spacing w:after="0"/>
              <w:rPr>
                <w:sz w:val="20"/>
                <w:szCs w:val="20"/>
                <w:color w:val="auto"/>
              </w:rPr>
            </w:pPr>
            <w:r>
              <w:rPr>
                <w:rFonts w:ascii="Arial" w:cs="Arial" w:eastAsia="Arial" w:hAnsi="Arial"/>
                <w:sz w:val="14"/>
                <w:szCs w:val="14"/>
                <w:b w:val="1"/>
                <w:bCs w:val="1"/>
                <w:color w:val="auto"/>
              </w:rPr>
              <w:t>Nine Months Ended</w:t>
            </w:r>
          </w:p>
        </w:tc>
      </w:tr>
      <w:tr>
        <w:trPr>
          <w:trHeight w:val="205"/>
        </w:trPr>
        <w:tc>
          <w:tcPr>
            <w:tcW w:w="6680" w:type="dxa"/>
            <w:vAlign w:val="bottom"/>
          </w:tcPr>
          <w:p>
            <w:pPr>
              <w:spacing w:after="0"/>
              <w:rPr>
                <w:sz w:val="17"/>
                <w:szCs w:val="17"/>
                <w:color w:val="auto"/>
              </w:rPr>
            </w:pPr>
          </w:p>
        </w:tc>
        <w:tc>
          <w:tcPr>
            <w:tcW w:w="2280" w:type="dxa"/>
            <w:vAlign w:val="bottom"/>
            <w:tcBorders>
              <w:bottom w:val="single" w:sz="8" w:color="auto"/>
            </w:tcBorders>
            <w:gridSpan w:val="2"/>
          </w:tcPr>
          <w:p>
            <w:pPr>
              <w:ind w:left="660"/>
              <w:spacing w:after="0"/>
              <w:rPr>
                <w:sz w:val="20"/>
                <w:szCs w:val="20"/>
                <w:color w:val="auto"/>
              </w:rPr>
            </w:pPr>
            <w:r>
              <w:rPr>
                <w:rFonts w:ascii="Arial" w:cs="Arial" w:eastAsia="Arial" w:hAnsi="Arial"/>
                <w:sz w:val="14"/>
                <w:szCs w:val="14"/>
                <w:b w:val="1"/>
                <w:bCs w:val="1"/>
                <w:color w:val="auto"/>
              </w:rPr>
              <w:t>September 30</w:t>
            </w:r>
          </w:p>
        </w:tc>
        <w:tc>
          <w:tcPr>
            <w:tcW w:w="2260" w:type="dxa"/>
            <w:vAlign w:val="bottom"/>
            <w:tcBorders>
              <w:bottom w:val="single" w:sz="8" w:color="auto"/>
            </w:tcBorders>
            <w:gridSpan w:val="2"/>
          </w:tcPr>
          <w:p>
            <w:pPr>
              <w:jc w:val="right"/>
              <w:ind w:right="548"/>
              <w:spacing w:after="0"/>
              <w:rPr>
                <w:sz w:val="20"/>
                <w:szCs w:val="20"/>
                <w:color w:val="auto"/>
              </w:rPr>
            </w:pPr>
            <w:r>
              <w:rPr>
                <w:rFonts w:ascii="Arial" w:cs="Arial" w:eastAsia="Arial" w:hAnsi="Arial"/>
                <w:sz w:val="14"/>
                <w:szCs w:val="14"/>
                <w:b w:val="1"/>
                <w:bCs w:val="1"/>
                <w:color w:val="auto"/>
              </w:rPr>
              <w:t>September 30</w:t>
            </w:r>
          </w:p>
        </w:tc>
      </w:tr>
      <w:tr>
        <w:trPr>
          <w:trHeight w:val="214"/>
        </w:trPr>
        <w:tc>
          <w:tcPr>
            <w:tcW w:w="6680" w:type="dxa"/>
            <w:vAlign w:val="bottom"/>
          </w:tcPr>
          <w:p>
            <w:pPr>
              <w:spacing w:after="0"/>
              <w:rPr>
                <w:sz w:val="20"/>
                <w:szCs w:val="20"/>
                <w:color w:val="auto"/>
              </w:rPr>
            </w:pPr>
            <w:r>
              <w:rPr>
                <w:rFonts w:ascii="Arial" w:cs="Arial" w:eastAsia="Arial" w:hAnsi="Arial"/>
                <w:sz w:val="14"/>
                <w:szCs w:val="14"/>
                <w:color w:val="auto"/>
              </w:rPr>
              <w:t>(in thousands)</w:t>
            </w:r>
          </w:p>
        </w:tc>
        <w:tc>
          <w:tcPr>
            <w:tcW w:w="1120" w:type="dxa"/>
            <w:vAlign w:val="bottom"/>
          </w:tcPr>
          <w:p>
            <w:pPr>
              <w:ind w:left="380"/>
              <w:spacing w:after="0"/>
              <w:rPr>
                <w:sz w:val="20"/>
                <w:szCs w:val="20"/>
                <w:color w:val="auto"/>
              </w:rPr>
            </w:pPr>
            <w:r>
              <w:rPr>
                <w:rFonts w:ascii="Arial" w:cs="Arial" w:eastAsia="Arial" w:hAnsi="Arial"/>
                <w:sz w:val="14"/>
                <w:szCs w:val="14"/>
                <w:b w:val="1"/>
                <w:bCs w:val="1"/>
                <w:color w:val="auto"/>
              </w:rPr>
              <w:t>2026</w:t>
            </w:r>
          </w:p>
        </w:tc>
        <w:tc>
          <w:tcPr>
            <w:tcW w:w="1160" w:type="dxa"/>
            <w:vAlign w:val="bottom"/>
          </w:tcPr>
          <w:p>
            <w:pPr>
              <w:jc w:val="right"/>
              <w:ind w:right="348"/>
              <w:spacing w:after="0"/>
              <w:rPr>
                <w:sz w:val="20"/>
                <w:szCs w:val="20"/>
                <w:color w:val="auto"/>
              </w:rPr>
            </w:pPr>
            <w:r>
              <w:rPr>
                <w:rFonts w:ascii="Arial" w:cs="Arial" w:eastAsia="Arial" w:hAnsi="Arial"/>
                <w:sz w:val="14"/>
                <w:szCs w:val="14"/>
                <w:color w:val="auto"/>
              </w:rPr>
              <w:t>2025</w:t>
            </w:r>
          </w:p>
        </w:tc>
        <w:tc>
          <w:tcPr>
            <w:tcW w:w="1160" w:type="dxa"/>
            <w:vAlign w:val="bottom"/>
          </w:tcPr>
          <w:p>
            <w:pPr>
              <w:jc w:val="right"/>
              <w:ind w:right="348"/>
              <w:spacing w:after="0"/>
              <w:rPr>
                <w:sz w:val="20"/>
                <w:szCs w:val="20"/>
                <w:color w:val="auto"/>
              </w:rPr>
            </w:pPr>
            <w:r>
              <w:rPr>
                <w:rFonts w:ascii="Arial" w:cs="Arial" w:eastAsia="Arial" w:hAnsi="Arial"/>
                <w:sz w:val="14"/>
                <w:szCs w:val="14"/>
                <w:b w:val="1"/>
                <w:bCs w:val="1"/>
                <w:color w:val="auto"/>
              </w:rPr>
              <w:t>2026</w:t>
            </w:r>
          </w:p>
        </w:tc>
        <w:tc>
          <w:tcPr>
            <w:tcW w:w="1100" w:type="dxa"/>
            <w:vAlign w:val="bottom"/>
          </w:tcPr>
          <w:p>
            <w:pPr>
              <w:jc w:val="right"/>
              <w:ind w:right="288"/>
              <w:spacing w:after="0"/>
              <w:rPr>
                <w:sz w:val="20"/>
                <w:szCs w:val="20"/>
                <w:color w:val="auto"/>
              </w:rPr>
            </w:pPr>
            <w:r>
              <w:rPr>
                <w:rFonts w:ascii="Arial" w:cs="Arial" w:eastAsia="Arial" w:hAnsi="Arial"/>
                <w:sz w:val="14"/>
                <w:szCs w:val="14"/>
                <w:color w:val="auto"/>
              </w:rPr>
              <w:t>2025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44" w:right="339" w:bottom="1440" w:gutter="0" w:footer="0" w:header="0"/>
        </w:sectPr>
      </w:pPr>
    </w:p>
    <w:p>
      <w:pPr>
        <w:spacing w:after="0" w:line="4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Net Income</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Other Comprehensive Income (Loss), Before Tax</w:t>
      </w:r>
    </w:p>
    <w:p>
      <w:pPr>
        <w:spacing w:after="0" w:line="5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Foreign currency translation adjustments:</w:t>
      </w:r>
    </w:p>
    <w:p>
      <w:pPr>
        <w:spacing w:after="0" w:line="59" w:lineRule="exact"/>
        <w:rPr>
          <w:sz w:val="20"/>
          <w:szCs w:val="20"/>
          <w:color w:val="auto"/>
        </w:rPr>
      </w:pPr>
    </w:p>
    <w:p>
      <w:pPr>
        <w:ind w:left="220" w:right="1820"/>
        <w:spacing w:after="0" w:line="356" w:lineRule="auto"/>
        <w:rPr>
          <w:sz w:val="20"/>
          <w:szCs w:val="20"/>
          <w:color w:val="auto"/>
        </w:rPr>
      </w:pPr>
      <w:r>
        <w:rPr>
          <w:rFonts w:ascii="Arial" w:cs="Arial" w:eastAsia="Arial" w:hAnsi="Arial"/>
          <w:sz w:val="16"/>
          <w:szCs w:val="16"/>
          <w:color w:val="auto"/>
        </w:rPr>
        <w:t>Translation adjustments arising during the period Adjustment for sales of businesses with foreign operations</w:t>
      </w:r>
    </w:p>
    <w:p>
      <w:pPr>
        <w:spacing w:after="0" w:line="197" w:lineRule="exact"/>
        <w:rPr>
          <w:sz w:val="20"/>
          <w:szCs w:val="20"/>
          <w:color w:val="auto"/>
        </w:rPr>
      </w:pPr>
    </w:p>
    <w:p>
      <w:pPr>
        <w:ind w:left="140"/>
        <w:spacing w:after="0"/>
        <w:rPr>
          <w:sz w:val="20"/>
          <w:szCs w:val="20"/>
          <w:color w:val="auto"/>
        </w:rPr>
      </w:pPr>
      <w:r>
        <w:rPr>
          <w:rFonts w:ascii="Arial" w:cs="Arial" w:eastAsia="Arial" w:hAnsi="Arial"/>
          <w:sz w:val="16"/>
          <w:szCs w:val="16"/>
          <w:color w:val="auto"/>
        </w:rPr>
        <w:t>Pension and other postretirement plans:</w:t>
      </w:r>
    </w:p>
    <w:p>
      <w:pPr>
        <w:spacing w:after="0" w:line="5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Actuarial gain (loss)</w:t>
      </w:r>
    </w:p>
    <w:p>
      <w:pPr>
        <w:spacing w:after="0" w:line="5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Amortization of net prior service credit included in net income</w:t>
      </w:r>
    </w:p>
    <w:p>
      <w:pPr>
        <w:spacing w:after="0" w:line="5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Amortization of net actuarial gain included in net income</w:t>
      </w:r>
    </w:p>
    <w:p>
      <w:pPr>
        <w:spacing w:after="0" w:line="5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Settlement gain included in net income</w:t>
      </w:r>
    </w:p>
    <w:p>
      <w:pPr>
        <w:spacing w:after="0" w:line="31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Cash flow hedges gain (loss)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Other Comprehensive Income (Loss), Before Tax</w:t>
      </w:r>
    </w:p>
    <w:p>
      <w:pPr>
        <w:spacing w:after="0" w:line="5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Income tax (expense) benefit related to items of other comprehensive income (loss)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Other Comprehensive Income (Loss), Net of Tax</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Comprehensive Income</w:t>
      </w:r>
    </w:p>
    <w:p>
      <w:pPr>
        <w:spacing w:after="0" w:line="5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Comprehensive income attributable to noncontrolling interests</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Total Comprehensive Income Attributable to Graham Holdings Company</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b w:val="1"/>
                <w:bCs w:val="1"/>
                <w:color w:val="auto"/>
              </w:rPr>
              <w:t>77,243</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126,238</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390,370</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192,382</w:t>
            </w:r>
          </w:p>
        </w:tc>
      </w:tr>
      <w:tr>
        <w:trPr>
          <w:trHeight w:val="729"/>
        </w:trPr>
        <w:tc>
          <w:tcPr>
            <w:tcW w:w="260" w:type="dxa"/>
            <w:vAlign w:val="bottom"/>
          </w:tcPr>
          <w:p>
            <w:pPr>
              <w:spacing w:after="0"/>
              <w:rPr>
                <w:sz w:val="24"/>
                <w:szCs w:val="24"/>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b w:val="1"/>
                <w:bCs w:val="1"/>
                <w:color w:val="auto"/>
              </w:rPr>
              <w:t>3,309</w:t>
            </w: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(8,227)</w:t>
            </w: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(2,814)</w:t>
            </w: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38,323</w:t>
            </w:r>
          </w:p>
        </w:tc>
      </w:tr>
      <w:tr>
        <w:trPr>
          <w:trHeight w:val="247"/>
        </w:trPr>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6,175</w:t>
            </w:r>
          </w:p>
        </w:tc>
        <w:tc>
          <w:tcPr>
            <w:tcW w:w="3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646</w:t>
            </w:r>
          </w:p>
        </w:tc>
      </w:tr>
      <w:tr>
        <w:trPr>
          <w:trHeight w:val="233"/>
        </w:trPr>
        <w:tc>
          <w:tcPr>
            <w:tcW w:w="26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b w:val="1"/>
                <w:bCs w:val="1"/>
                <w:color w:val="auto"/>
              </w:rPr>
              <w:t>3,309</w:t>
            </w: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(8,227)</w:t>
            </w:r>
          </w:p>
        </w:tc>
        <w:tc>
          <w:tcPr>
            <w:tcW w:w="2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3,361</w:t>
            </w: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38,969</w:t>
            </w:r>
          </w:p>
        </w:tc>
      </w:tr>
      <w:tr>
        <w:trPr>
          <w:trHeight w:val="486"/>
        </w:trPr>
        <w:tc>
          <w:tcPr>
            <w:tcW w:w="260" w:type="dxa"/>
            <w:vAlign w:val="bottom"/>
          </w:tcPr>
          <w:p>
            <w:pPr>
              <w:spacing w:after="0"/>
              <w:rPr>
                <w:sz w:val="24"/>
                <w:szCs w:val="24"/>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b w:val="1"/>
                <w:bCs w:val="1"/>
                <w:color w:val="auto"/>
              </w:rPr>
              <w:t>45,115</w:t>
            </w:r>
          </w:p>
        </w:tc>
        <w:tc>
          <w:tcPr>
            <w:tcW w:w="320" w:type="dxa"/>
            <w:vAlign w:val="bottom"/>
          </w:tcPr>
          <w:p>
            <w:pPr>
              <w:spacing w:after="0"/>
              <w:rPr>
                <w:sz w:val="24"/>
                <w:szCs w:val="24"/>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(44,813)</w:t>
            </w: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(496)</w:t>
            </w: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(520)</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(1,489)</w:t>
            </w: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(1,560)</w:t>
            </w:r>
          </w:p>
        </w:tc>
      </w:tr>
      <w:tr>
        <w:trPr>
          <w:trHeight w:val="243"/>
        </w:trPr>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(258)</w:t>
            </w: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(378)</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(774)</w:t>
            </w: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(1,137)</w:t>
            </w:r>
          </w:p>
        </w:tc>
      </w:tr>
      <w:tr>
        <w:trPr>
          <w:trHeight w:val="247"/>
        </w:trPr>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(14,950)</w:t>
            </w:r>
          </w:p>
        </w:tc>
        <w:tc>
          <w:tcPr>
            <w:tcW w:w="3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(151,905)</w:t>
            </w:r>
          </w:p>
        </w:tc>
        <w:tc>
          <w:tcPr>
            <w:tcW w:w="3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26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b w:val="1"/>
                <w:bCs w:val="1"/>
                <w:color w:val="auto"/>
              </w:rPr>
              <w:t>29,411</w:t>
            </w: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(898)</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(198,981)</w:t>
            </w: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(2,697)</w:t>
            </w:r>
          </w:p>
        </w:tc>
      </w:tr>
      <w:tr>
        <w:trPr>
          <w:trHeight w:val="247"/>
        </w:trPr>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970</w:t>
            </w:r>
          </w:p>
        </w:tc>
        <w:tc>
          <w:tcPr>
            <w:tcW w:w="3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64</w:t>
            </w: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2,236</w:t>
            </w:r>
          </w:p>
        </w:tc>
        <w:tc>
          <w:tcPr>
            <w:tcW w:w="3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(979)</w:t>
            </w:r>
          </w:p>
        </w:tc>
      </w:tr>
      <w:tr>
        <w:trPr>
          <w:trHeight w:val="233"/>
        </w:trPr>
        <w:tc>
          <w:tcPr>
            <w:tcW w:w="26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b w:val="1"/>
                <w:bCs w:val="1"/>
                <w:color w:val="auto"/>
              </w:rPr>
              <w:t>33,690</w:t>
            </w: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(9,061)</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(193,384)</w:t>
            </w: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35,293</w:t>
            </w:r>
          </w:p>
        </w:tc>
      </w:tr>
      <w:tr>
        <w:trPr>
          <w:trHeight w:val="247"/>
        </w:trPr>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(7,902)</w:t>
            </w:r>
          </w:p>
        </w:tc>
        <w:tc>
          <w:tcPr>
            <w:tcW w:w="3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212</w:t>
            </w: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51,181</w:t>
            </w:r>
          </w:p>
        </w:tc>
        <w:tc>
          <w:tcPr>
            <w:tcW w:w="3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944</w:t>
            </w:r>
          </w:p>
        </w:tc>
      </w:tr>
      <w:tr>
        <w:trPr>
          <w:trHeight w:val="237"/>
        </w:trPr>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25,788</w:t>
            </w: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(8,849)</w:t>
            </w: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(142,203)</w:t>
            </w: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36,237</w:t>
            </w:r>
          </w:p>
        </w:tc>
      </w:tr>
      <w:tr>
        <w:trPr>
          <w:trHeight w:val="233"/>
        </w:trPr>
        <w:tc>
          <w:tcPr>
            <w:tcW w:w="26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b w:val="1"/>
                <w:bCs w:val="1"/>
                <w:color w:val="auto"/>
              </w:rPr>
              <w:t>103,031</w:t>
            </w:r>
          </w:p>
        </w:tc>
        <w:tc>
          <w:tcPr>
            <w:tcW w:w="32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117,389</w:t>
            </w:r>
          </w:p>
        </w:tc>
        <w:tc>
          <w:tcPr>
            <w:tcW w:w="2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248,167</w:t>
            </w: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228,619</w:t>
            </w:r>
          </w:p>
        </w:tc>
      </w:tr>
      <w:tr>
        <w:trPr>
          <w:trHeight w:val="247"/>
        </w:trPr>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(2,133)</w:t>
            </w:r>
          </w:p>
        </w:tc>
        <w:tc>
          <w:tcPr>
            <w:tcW w:w="3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(3,313)</w:t>
            </w: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(5,051)</w:t>
            </w:r>
          </w:p>
        </w:tc>
        <w:tc>
          <w:tcPr>
            <w:tcW w:w="3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(8,814)</w:t>
            </w:r>
          </w:p>
        </w:tc>
      </w:tr>
      <w:tr>
        <w:trPr>
          <w:trHeight w:val="237"/>
        </w:trPr>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100,898</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114,076</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243,116</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219,805</w:t>
            </w:r>
          </w:p>
        </w:tc>
      </w:tr>
      <w:tr>
        <w:trPr>
          <w:trHeight w:val="24"/>
        </w:trPr>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6220" w:space="480"/>
            <w:col w:w="4540"/>
          </w:cols>
          <w:pgMar w:left="320" w:top="944" w:right="339" w:bottom="1440" w:gutter="0" w:footer="0" w:header="0"/>
          <w:type w:val="continuous"/>
        </w:sectPr>
      </w:pP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4" w:right="339" w:bottom="1440" w:gutter="0" w:footer="0" w:header="0"/>
          <w:type w:val="continuous"/>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8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As of</w:t>
            </w:r>
          </w:p>
        </w:tc>
        <w:tc>
          <w:tcPr>
            <w:tcW w:w="12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824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15"/>
                <w:szCs w:val="15"/>
                <w:color w:val="auto"/>
              </w:rPr>
            </w:pPr>
          </w:p>
        </w:tc>
        <w:tc>
          <w:tcPr>
            <w:tcW w:w="1320" w:type="dxa"/>
            <w:vAlign w:val="bottom"/>
          </w:tcPr>
          <w:p>
            <w:pPr>
              <w:jc w:val="center"/>
              <w:ind w:right="148"/>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5"/>
                <w:szCs w:val="15"/>
                <w:color w:val="auto"/>
              </w:rPr>
            </w:pPr>
          </w:p>
        </w:tc>
        <w:tc>
          <w:tcPr>
            <w:tcW w:w="1220" w:type="dxa"/>
            <w:vAlign w:val="bottom"/>
          </w:tcPr>
          <w:p>
            <w:pPr>
              <w:jc w:val="right"/>
              <w:ind w:right="188"/>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97"/>
        </w:trPr>
        <w:tc>
          <w:tcPr>
            <w:tcW w:w="824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2026</w:t>
            </w: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2025</w:t>
            </w:r>
          </w:p>
        </w:tc>
        <w:tc>
          <w:tcPr>
            <w:tcW w:w="0" w:type="dxa"/>
            <w:vAlign w:val="bottom"/>
          </w:tcPr>
          <w:p>
            <w:pPr>
              <w:spacing w:after="0"/>
              <w:rPr>
                <w:sz w:val="1"/>
                <w:szCs w:val="1"/>
                <w:color w:val="auto"/>
              </w:rPr>
            </w:pPr>
          </w:p>
        </w:tc>
      </w:tr>
      <w:tr>
        <w:trPr>
          <w:trHeight w:val="208"/>
        </w:trPr>
        <w:tc>
          <w:tcPr>
            <w:tcW w:w="8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128"/>
              <w:spacing w:after="0"/>
              <w:rPr>
                <w:sz w:val="20"/>
                <w:szCs w:val="20"/>
                <w:color w:val="auto"/>
              </w:rPr>
            </w:pPr>
            <w:r>
              <w:rPr>
                <w:rFonts w:ascii="Arial" w:cs="Arial" w:eastAsia="Arial" w:hAnsi="Arial"/>
                <w:sz w:val="14"/>
                <w:szCs w:val="14"/>
                <w:b w:val="1"/>
                <w:bCs w:val="1"/>
                <w:color w:val="auto"/>
              </w:rPr>
              <w:t>(Unaudited)</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4"/>
                <w:szCs w:val="14"/>
                <w:b w:val="1"/>
                <w:bCs w:val="1"/>
                <w:color w:val="auto"/>
              </w:rPr>
              <w:t>Assets</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4"/>
                <w:szCs w:val="14"/>
                <w:b w:val="1"/>
                <w:bCs w:val="1"/>
                <w:color w:val="auto"/>
              </w:rPr>
              <w:t>Current Assets</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220"/>
              <w:spacing w:after="0"/>
              <w:rPr>
                <w:sz w:val="20"/>
                <w:szCs w:val="20"/>
                <w:color w:val="auto"/>
              </w:rPr>
            </w:pPr>
            <w:r>
              <w:rPr>
                <w:rFonts w:ascii="Arial" w:cs="Arial" w:eastAsia="Arial" w:hAnsi="Arial"/>
                <w:sz w:val="14"/>
                <w:szCs w:val="14"/>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154,326</w:t>
            </w: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266,988</w:t>
            </w:r>
          </w:p>
        </w:tc>
        <w:tc>
          <w:tcPr>
            <w:tcW w:w="0" w:type="dxa"/>
            <w:vAlign w:val="bottom"/>
          </w:tcPr>
          <w:p>
            <w:pPr>
              <w:spacing w:after="0"/>
              <w:rPr>
                <w:sz w:val="1"/>
                <w:szCs w:val="1"/>
                <w:color w:val="auto"/>
              </w:rPr>
            </w:pPr>
          </w:p>
        </w:tc>
      </w:tr>
      <w:tr>
        <w:trPr>
          <w:trHeight w:val="229"/>
        </w:trPr>
        <w:tc>
          <w:tcPr>
            <w:tcW w:w="8240" w:type="dxa"/>
            <w:vAlign w:val="bottom"/>
          </w:tcPr>
          <w:p>
            <w:pPr>
              <w:ind w:left="220"/>
              <w:spacing w:after="0"/>
              <w:rPr>
                <w:sz w:val="20"/>
                <w:szCs w:val="20"/>
                <w:color w:val="auto"/>
              </w:rPr>
            </w:pPr>
            <w:r>
              <w:rPr>
                <w:rFonts w:ascii="Arial" w:cs="Arial" w:eastAsia="Arial" w:hAnsi="Arial"/>
                <w:sz w:val="14"/>
                <w:szCs w:val="14"/>
                <w:color w:val="auto"/>
              </w:rPr>
              <w:t>Restricted cash</w:t>
            </w:r>
          </w:p>
        </w:tc>
        <w:tc>
          <w:tcPr>
            <w:tcW w:w="160" w:type="dxa"/>
            <w:vAlign w:val="bottom"/>
          </w:tcPr>
          <w:p>
            <w:pPr>
              <w:spacing w:after="0"/>
              <w:rPr>
                <w:sz w:val="19"/>
                <w:szCs w:val="19"/>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17,756</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44,417</w:t>
            </w:r>
          </w:p>
        </w:tc>
        <w:tc>
          <w:tcPr>
            <w:tcW w:w="0" w:type="dxa"/>
            <w:vAlign w:val="bottom"/>
          </w:tcPr>
          <w:p>
            <w:pPr>
              <w:spacing w:after="0"/>
              <w:rPr>
                <w:sz w:val="1"/>
                <w:szCs w:val="1"/>
                <w:color w:val="auto"/>
              </w:rPr>
            </w:pPr>
          </w:p>
        </w:tc>
      </w:tr>
      <w:tr>
        <w:trPr>
          <w:trHeight w:val="230"/>
        </w:trPr>
        <w:tc>
          <w:tcPr>
            <w:tcW w:w="8240" w:type="dxa"/>
            <w:vAlign w:val="bottom"/>
          </w:tcPr>
          <w:p>
            <w:pPr>
              <w:ind w:left="220"/>
              <w:spacing w:after="0"/>
              <w:rPr>
                <w:sz w:val="20"/>
                <w:szCs w:val="20"/>
                <w:color w:val="auto"/>
              </w:rPr>
            </w:pPr>
            <w:r>
              <w:rPr>
                <w:rFonts w:ascii="Arial" w:cs="Arial" w:eastAsia="Arial" w:hAnsi="Arial"/>
                <w:sz w:val="14"/>
                <w:szCs w:val="14"/>
                <w:color w:val="auto"/>
              </w:rPr>
              <w:t>Investments in marketable equity securities and other investments</w:t>
            </w:r>
          </w:p>
        </w:tc>
        <w:tc>
          <w:tcPr>
            <w:tcW w:w="160" w:type="dxa"/>
            <w:vAlign w:val="bottom"/>
          </w:tcPr>
          <w:p>
            <w:pPr>
              <w:spacing w:after="0"/>
              <w:rPr>
                <w:sz w:val="19"/>
                <w:szCs w:val="19"/>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1,074,071</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1,088,970</w:t>
            </w:r>
          </w:p>
        </w:tc>
        <w:tc>
          <w:tcPr>
            <w:tcW w:w="0" w:type="dxa"/>
            <w:vAlign w:val="bottom"/>
          </w:tcPr>
          <w:p>
            <w:pPr>
              <w:spacing w:after="0"/>
              <w:rPr>
                <w:sz w:val="1"/>
                <w:szCs w:val="1"/>
                <w:color w:val="auto"/>
              </w:rPr>
            </w:pPr>
          </w:p>
        </w:tc>
      </w:tr>
      <w:tr>
        <w:trPr>
          <w:trHeight w:val="229"/>
        </w:trPr>
        <w:tc>
          <w:tcPr>
            <w:tcW w:w="8240" w:type="dxa"/>
            <w:vAlign w:val="bottom"/>
          </w:tcPr>
          <w:p>
            <w:pPr>
              <w:ind w:left="220"/>
              <w:spacing w:after="0"/>
              <w:rPr>
                <w:sz w:val="20"/>
                <w:szCs w:val="20"/>
                <w:color w:val="auto"/>
              </w:rPr>
            </w:pPr>
            <w:r>
              <w:rPr>
                <w:rFonts w:ascii="Arial" w:cs="Arial" w:eastAsia="Arial" w:hAnsi="Arial"/>
                <w:sz w:val="14"/>
                <w:szCs w:val="14"/>
                <w:color w:val="auto"/>
              </w:rPr>
              <w:t>Accounts receivable, net</w:t>
            </w:r>
          </w:p>
        </w:tc>
        <w:tc>
          <w:tcPr>
            <w:tcW w:w="160" w:type="dxa"/>
            <w:vAlign w:val="bottom"/>
          </w:tcPr>
          <w:p>
            <w:pPr>
              <w:spacing w:after="0"/>
              <w:rPr>
                <w:sz w:val="19"/>
                <w:szCs w:val="19"/>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537,651</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576,754</w:t>
            </w:r>
          </w:p>
        </w:tc>
        <w:tc>
          <w:tcPr>
            <w:tcW w:w="0" w:type="dxa"/>
            <w:vAlign w:val="bottom"/>
          </w:tcPr>
          <w:p>
            <w:pPr>
              <w:spacing w:after="0"/>
              <w:rPr>
                <w:sz w:val="1"/>
                <w:szCs w:val="1"/>
                <w:color w:val="auto"/>
              </w:rPr>
            </w:pPr>
          </w:p>
        </w:tc>
      </w:tr>
      <w:tr>
        <w:trPr>
          <w:trHeight w:val="229"/>
        </w:trPr>
        <w:tc>
          <w:tcPr>
            <w:tcW w:w="8240" w:type="dxa"/>
            <w:vAlign w:val="bottom"/>
          </w:tcPr>
          <w:p>
            <w:pPr>
              <w:ind w:left="220"/>
              <w:spacing w:after="0"/>
              <w:rPr>
                <w:sz w:val="20"/>
                <w:szCs w:val="20"/>
                <w:color w:val="auto"/>
              </w:rPr>
            </w:pPr>
            <w:r>
              <w:rPr>
                <w:rFonts w:ascii="Arial" w:cs="Arial" w:eastAsia="Arial" w:hAnsi="Arial"/>
                <w:sz w:val="14"/>
                <w:szCs w:val="14"/>
                <w:color w:val="auto"/>
              </w:rPr>
              <w:t>Inventories and contracts in progress</w:t>
            </w:r>
          </w:p>
        </w:tc>
        <w:tc>
          <w:tcPr>
            <w:tcW w:w="160" w:type="dxa"/>
            <w:vAlign w:val="bottom"/>
          </w:tcPr>
          <w:p>
            <w:pPr>
              <w:spacing w:after="0"/>
              <w:rPr>
                <w:sz w:val="19"/>
                <w:szCs w:val="19"/>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354,457</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303,370</w:t>
            </w:r>
          </w:p>
        </w:tc>
        <w:tc>
          <w:tcPr>
            <w:tcW w:w="0" w:type="dxa"/>
            <w:vAlign w:val="bottom"/>
          </w:tcPr>
          <w:p>
            <w:pPr>
              <w:spacing w:after="0"/>
              <w:rPr>
                <w:sz w:val="1"/>
                <w:szCs w:val="1"/>
                <w:color w:val="auto"/>
              </w:rPr>
            </w:pPr>
          </w:p>
        </w:tc>
      </w:tr>
      <w:tr>
        <w:trPr>
          <w:trHeight w:val="230"/>
        </w:trPr>
        <w:tc>
          <w:tcPr>
            <w:tcW w:w="8240" w:type="dxa"/>
            <w:vAlign w:val="bottom"/>
          </w:tcPr>
          <w:p>
            <w:pPr>
              <w:ind w:left="220"/>
              <w:spacing w:after="0"/>
              <w:rPr>
                <w:sz w:val="20"/>
                <w:szCs w:val="20"/>
                <w:color w:val="auto"/>
              </w:rPr>
            </w:pPr>
            <w:r>
              <w:rPr>
                <w:rFonts w:ascii="Arial" w:cs="Arial" w:eastAsia="Arial" w:hAnsi="Arial"/>
                <w:sz w:val="14"/>
                <w:szCs w:val="14"/>
                <w:color w:val="auto"/>
              </w:rPr>
              <w:t>Prepaid expenses</w:t>
            </w:r>
          </w:p>
        </w:tc>
        <w:tc>
          <w:tcPr>
            <w:tcW w:w="160" w:type="dxa"/>
            <w:vAlign w:val="bottom"/>
          </w:tcPr>
          <w:p>
            <w:pPr>
              <w:spacing w:after="0"/>
              <w:rPr>
                <w:sz w:val="19"/>
                <w:szCs w:val="19"/>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115,171</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124,875</w:t>
            </w:r>
          </w:p>
        </w:tc>
        <w:tc>
          <w:tcPr>
            <w:tcW w:w="0" w:type="dxa"/>
            <w:vAlign w:val="bottom"/>
          </w:tcPr>
          <w:p>
            <w:pPr>
              <w:spacing w:after="0"/>
              <w:rPr>
                <w:sz w:val="1"/>
                <w:szCs w:val="1"/>
                <w:color w:val="auto"/>
              </w:rPr>
            </w:pPr>
          </w:p>
        </w:tc>
      </w:tr>
      <w:tr>
        <w:trPr>
          <w:trHeight w:val="229"/>
        </w:trPr>
        <w:tc>
          <w:tcPr>
            <w:tcW w:w="8240" w:type="dxa"/>
            <w:vAlign w:val="bottom"/>
          </w:tcPr>
          <w:p>
            <w:pPr>
              <w:ind w:left="220"/>
              <w:spacing w:after="0"/>
              <w:rPr>
                <w:sz w:val="20"/>
                <w:szCs w:val="20"/>
                <w:color w:val="auto"/>
              </w:rPr>
            </w:pPr>
            <w:r>
              <w:rPr>
                <w:rFonts w:ascii="Arial" w:cs="Arial" w:eastAsia="Arial" w:hAnsi="Arial"/>
                <w:sz w:val="14"/>
                <w:szCs w:val="14"/>
                <w:color w:val="auto"/>
              </w:rPr>
              <w:t>Income taxes receivable</w:t>
            </w:r>
          </w:p>
        </w:tc>
        <w:tc>
          <w:tcPr>
            <w:tcW w:w="160" w:type="dxa"/>
            <w:vAlign w:val="bottom"/>
          </w:tcPr>
          <w:p>
            <w:pPr>
              <w:spacing w:after="0"/>
              <w:rPr>
                <w:sz w:val="19"/>
                <w:szCs w:val="19"/>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33,375</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15,447</w:t>
            </w:r>
          </w:p>
        </w:tc>
        <w:tc>
          <w:tcPr>
            <w:tcW w:w="0" w:type="dxa"/>
            <w:vAlign w:val="bottom"/>
          </w:tcPr>
          <w:p>
            <w:pPr>
              <w:spacing w:after="0"/>
              <w:rPr>
                <w:sz w:val="1"/>
                <w:szCs w:val="1"/>
                <w:color w:val="auto"/>
              </w:rPr>
            </w:pPr>
          </w:p>
        </w:tc>
      </w:tr>
      <w:tr>
        <w:trPr>
          <w:trHeight w:val="229"/>
        </w:trPr>
        <w:tc>
          <w:tcPr>
            <w:tcW w:w="8240" w:type="dxa"/>
            <w:vAlign w:val="bottom"/>
          </w:tcPr>
          <w:p>
            <w:pPr>
              <w:ind w:left="220"/>
              <w:spacing w:after="0"/>
              <w:rPr>
                <w:sz w:val="20"/>
                <w:szCs w:val="20"/>
                <w:color w:val="auto"/>
              </w:rPr>
            </w:pPr>
            <w:r>
              <w:rPr>
                <w:rFonts w:ascii="Arial" w:cs="Arial" w:eastAsia="Arial" w:hAnsi="Arial"/>
                <w:sz w:val="14"/>
                <w:szCs w:val="14"/>
                <w:color w:val="auto"/>
              </w:rPr>
              <w:t>Other current assets</w:t>
            </w:r>
          </w:p>
        </w:tc>
        <w:tc>
          <w:tcPr>
            <w:tcW w:w="160" w:type="dxa"/>
            <w:vAlign w:val="bottom"/>
          </w:tcPr>
          <w:p>
            <w:pPr>
              <w:spacing w:after="0"/>
              <w:rPr>
                <w:sz w:val="19"/>
                <w:szCs w:val="19"/>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12,672</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10,274</w:t>
            </w:r>
          </w:p>
        </w:tc>
        <w:tc>
          <w:tcPr>
            <w:tcW w:w="0" w:type="dxa"/>
            <w:vAlign w:val="bottom"/>
          </w:tcPr>
          <w:p>
            <w:pPr>
              <w:spacing w:after="0"/>
              <w:rPr>
                <w:sz w:val="1"/>
                <w:szCs w:val="1"/>
                <w:color w:val="auto"/>
              </w:rPr>
            </w:pPr>
          </w:p>
        </w:tc>
      </w:tr>
      <w:tr>
        <w:trPr>
          <w:trHeight w:val="239"/>
        </w:trPr>
        <w:tc>
          <w:tcPr>
            <w:tcW w:w="8240" w:type="dxa"/>
            <w:vAlign w:val="bottom"/>
          </w:tcPr>
          <w:p>
            <w:pPr>
              <w:ind w:left="220"/>
              <w:spacing w:after="0"/>
              <w:rPr>
                <w:sz w:val="20"/>
                <w:szCs w:val="20"/>
                <w:color w:val="auto"/>
              </w:rPr>
            </w:pPr>
            <w:r>
              <w:rPr>
                <w:rFonts w:ascii="Arial" w:cs="Arial" w:eastAsia="Arial" w:hAnsi="Arial"/>
                <w:sz w:val="14"/>
                <w:szCs w:val="14"/>
                <w:color w:val="auto"/>
              </w:rPr>
              <w:t>Current assets held for sale (includes $24,786 of cash and $19,178 of restricted cash)</w:t>
            </w: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57,844</w:t>
            </w: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4"/>
        </w:trPr>
        <w:tc>
          <w:tcPr>
            <w:tcW w:w="8240" w:type="dxa"/>
            <w:vAlign w:val="bottom"/>
          </w:tcPr>
          <w:p>
            <w:pPr>
              <w:ind w:left="460"/>
              <w:spacing w:after="0"/>
              <w:rPr>
                <w:sz w:val="20"/>
                <w:szCs w:val="20"/>
                <w:color w:val="auto"/>
              </w:rPr>
            </w:pPr>
            <w:r>
              <w:rPr>
                <w:rFonts w:ascii="Arial" w:cs="Arial" w:eastAsia="Arial" w:hAnsi="Arial"/>
                <w:sz w:val="14"/>
                <w:szCs w:val="14"/>
                <w:b w:val="1"/>
                <w:bCs w:val="1"/>
                <w:color w:val="auto"/>
              </w:rPr>
              <w:t>Total Current Assets</w:t>
            </w:r>
          </w:p>
        </w:tc>
        <w:tc>
          <w:tcPr>
            <w:tcW w:w="160" w:type="dxa"/>
            <w:vAlign w:val="bottom"/>
          </w:tcPr>
          <w:p>
            <w:pPr>
              <w:spacing w:after="0"/>
              <w:rPr>
                <w:sz w:val="18"/>
                <w:szCs w:val="18"/>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2,357,323</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2,431,095</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4"/>
                <w:szCs w:val="14"/>
                <w:b w:val="1"/>
                <w:bCs w:val="1"/>
                <w:color w:val="auto"/>
              </w:rPr>
              <w:t>Property, Plant and Equipment, Net</w:t>
            </w:r>
          </w:p>
        </w:tc>
        <w:tc>
          <w:tcPr>
            <w:tcW w:w="160" w:type="dxa"/>
            <w:vAlign w:val="bottom"/>
          </w:tcPr>
          <w:p>
            <w:pPr>
              <w:spacing w:after="0"/>
              <w:rPr>
                <w:sz w:val="19"/>
                <w:szCs w:val="19"/>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596,153</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587,434</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4"/>
                <w:szCs w:val="14"/>
                <w:b w:val="1"/>
                <w:bCs w:val="1"/>
                <w:color w:val="auto"/>
              </w:rPr>
              <w:t>Lease Right-of-Use Assets</w:t>
            </w:r>
          </w:p>
        </w:tc>
        <w:tc>
          <w:tcPr>
            <w:tcW w:w="160" w:type="dxa"/>
            <w:vAlign w:val="bottom"/>
          </w:tcPr>
          <w:p>
            <w:pPr>
              <w:spacing w:after="0"/>
              <w:rPr>
                <w:sz w:val="19"/>
                <w:szCs w:val="19"/>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382,275</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404,818</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4"/>
                <w:szCs w:val="14"/>
                <w:b w:val="1"/>
                <w:bCs w:val="1"/>
                <w:color w:val="auto"/>
              </w:rPr>
              <w:t>Investments in Affiliates</w:t>
            </w:r>
          </w:p>
        </w:tc>
        <w:tc>
          <w:tcPr>
            <w:tcW w:w="160" w:type="dxa"/>
            <w:vAlign w:val="bottom"/>
          </w:tcPr>
          <w:p>
            <w:pPr>
              <w:spacing w:after="0"/>
              <w:rPr>
                <w:sz w:val="19"/>
                <w:szCs w:val="19"/>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202,339</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229,565</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4"/>
                <w:szCs w:val="14"/>
                <w:b w:val="1"/>
                <w:bCs w:val="1"/>
                <w:color w:val="auto"/>
              </w:rPr>
              <w:t>Goodwill, Net</w:t>
            </w:r>
          </w:p>
        </w:tc>
        <w:tc>
          <w:tcPr>
            <w:tcW w:w="160" w:type="dxa"/>
            <w:vAlign w:val="bottom"/>
          </w:tcPr>
          <w:p>
            <w:pPr>
              <w:spacing w:after="0"/>
              <w:rPr>
                <w:sz w:val="19"/>
                <w:szCs w:val="19"/>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1,551,393</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1,585,666</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4"/>
                <w:szCs w:val="14"/>
                <w:b w:val="1"/>
                <w:bCs w:val="1"/>
                <w:color w:val="auto"/>
              </w:rPr>
              <w:t>Indefinite-Lived Intangible Assets</w:t>
            </w:r>
          </w:p>
        </w:tc>
        <w:tc>
          <w:tcPr>
            <w:tcW w:w="160" w:type="dxa"/>
            <w:vAlign w:val="bottom"/>
          </w:tcPr>
          <w:p>
            <w:pPr>
              <w:spacing w:after="0"/>
              <w:rPr>
                <w:sz w:val="19"/>
                <w:szCs w:val="19"/>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170,339</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170,805</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4"/>
                <w:szCs w:val="14"/>
                <w:b w:val="1"/>
                <w:bCs w:val="1"/>
                <w:color w:val="auto"/>
              </w:rPr>
              <w:t>Amortized Intangible Assets, Net</w:t>
            </w:r>
          </w:p>
        </w:tc>
        <w:tc>
          <w:tcPr>
            <w:tcW w:w="160" w:type="dxa"/>
            <w:vAlign w:val="bottom"/>
          </w:tcPr>
          <w:p>
            <w:pPr>
              <w:spacing w:after="0"/>
              <w:rPr>
                <w:sz w:val="19"/>
                <w:szCs w:val="19"/>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43,635</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61,631</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4"/>
                <w:szCs w:val="14"/>
                <w:b w:val="1"/>
                <w:bCs w:val="1"/>
                <w:color w:val="auto"/>
              </w:rPr>
              <w:t>Prepaid Pension Cost</w:t>
            </w:r>
          </w:p>
        </w:tc>
        <w:tc>
          <w:tcPr>
            <w:tcW w:w="160" w:type="dxa"/>
            <w:vAlign w:val="bottom"/>
          </w:tcPr>
          <w:p>
            <w:pPr>
              <w:spacing w:after="0"/>
              <w:rPr>
                <w:sz w:val="19"/>
                <w:szCs w:val="19"/>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2,789,352</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2,772,394</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4"/>
                <w:szCs w:val="14"/>
                <w:b w:val="1"/>
                <w:bCs w:val="1"/>
                <w:color w:val="auto"/>
              </w:rPr>
              <w:t>Deferred Income Taxes</w:t>
            </w:r>
          </w:p>
        </w:tc>
        <w:tc>
          <w:tcPr>
            <w:tcW w:w="160" w:type="dxa"/>
            <w:vAlign w:val="bottom"/>
          </w:tcPr>
          <w:p>
            <w:pPr>
              <w:spacing w:after="0"/>
              <w:rPr>
                <w:sz w:val="19"/>
                <w:szCs w:val="19"/>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9,125</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9,690</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4"/>
                <w:szCs w:val="14"/>
                <w:b w:val="1"/>
                <w:bCs w:val="1"/>
                <w:color w:val="auto"/>
              </w:rPr>
              <w:t>Deferred Charges and Other Assets</w:t>
            </w:r>
          </w:p>
        </w:tc>
        <w:tc>
          <w:tcPr>
            <w:tcW w:w="160" w:type="dxa"/>
            <w:vAlign w:val="bottom"/>
          </w:tcPr>
          <w:p>
            <w:pPr>
              <w:spacing w:after="0"/>
              <w:rPr>
                <w:sz w:val="19"/>
                <w:szCs w:val="19"/>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125,741</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142,615</w:t>
            </w:r>
          </w:p>
        </w:tc>
        <w:tc>
          <w:tcPr>
            <w:tcW w:w="0" w:type="dxa"/>
            <w:vAlign w:val="bottom"/>
          </w:tcPr>
          <w:p>
            <w:pPr>
              <w:spacing w:after="0"/>
              <w:rPr>
                <w:sz w:val="1"/>
                <w:szCs w:val="1"/>
                <w:color w:val="auto"/>
              </w:rPr>
            </w:pPr>
          </w:p>
        </w:tc>
      </w:tr>
      <w:tr>
        <w:trPr>
          <w:trHeight w:val="238"/>
        </w:trPr>
        <w:tc>
          <w:tcPr>
            <w:tcW w:w="8240" w:type="dxa"/>
            <w:vAlign w:val="bottom"/>
          </w:tcPr>
          <w:p>
            <w:pPr>
              <w:ind w:left="20"/>
              <w:spacing w:after="0"/>
              <w:rPr>
                <w:sz w:val="20"/>
                <w:szCs w:val="20"/>
                <w:color w:val="auto"/>
              </w:rPr>
            </w:pPr>
            <w:r>
              <w:rPr>
                <w:rFonts w:ascii="Arial" w:cs="Arial" w:eastAsia="Arial" w:hAnsi="Arial"/>
                <w:sz w:val="14"/>
                <w:szCs w:val="14"/>
                <w:b w:val="1"/>
                <w:bCs w:val="1"/>
                <w:color w:val="auto"/>
              </w:rPr>
              <w:t>Noncurrent Assets Held for Sale</w:t>
            </w: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62,324</w:t>
            </w: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9"/>
        </w:trPr>
        <w:tc>
          <w:tcPr>
            <w:tcW w:w="8240" w:type="dxa"/>
            <w:vAlign w:val="bottom"/>
          </w:tcPr>
          <w:p>
            <w:pPr>
              <w:ind w:left="460"/>
              <w:spacing w:after="0"/>
              <w:rPr>
                <w:sz w:val="20"/>
                <w:szCs w:val="20"/>
                <w:color w:val="auto"/>
              </w:rPr>
            </w:pPr>
            <w:r>
              <w:rPr>
                <w:rFonts w:ascii="Arial" w:cs="Arial" w:eastAsia="Arial" w:hAnsi="Arial"/>
                <w:sz w:val="14"/>
                <w:szCs w:val="14"/>
                <w:b w:val="1"/>
                <w:bCs w:val="1"/>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8,289,999</w:t>
            </w:r>
          </w:p>
        </w:tc>
        <w:tc>
          <w:tcPr>
            <w:tcW w:w="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8,395,713</w:t>
            </w:r>
          </w:p>
        </w:tc>
        <w:tc>
          <w:tcPr>
            <w:tcW w:w="0" w:type="dxa"/>
            <w:vAlign w:val="bottom"/>
          </w:tcPr>
          <w:p>
            <w:pPr>
              <w:spacing w:after="0"/>
              <w:rPr>
                <w:sz w:val="1"/>
                <w:szCs w:val="1"/>
                <w:color w:val="auto"/>
              </w:rPr>
            </w:pPr>
          </w:p>
        </w:tc>
      </w:tr>
      <w:tr>
        <w:trPr>
          <w:trHeight w:val="21"/>
        </w:trPr>
        <w:tc>
          <w:tcPr>
            <w:tcW w:w="8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Liabilities and Equity</w:t>
            </w: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3"/>
        </w:trPr>
        <w:tc>
          <w:tcPr>
            <w:tcW w:w="82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4"/>
                <w:szCs w:val="14"/>
                <w:b w:val="1"/>
                <w:bCs w:val="1"/>
                <w:color w:val="auto"/>
              </w:rPr>
              <w:t>Current Liabilities</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20"/>
              <w:spacing w:after="0"/>
              <w:rPr>
                <w:sz w:val="20"/>
                <w:szCs w:val="20"/>
                <w:color w:val="auto"/>
              </w:rPr>
            </w:pPr>
            <w:r>
              <w:rPr>
                <w:rFonts w:ascii="Arial" w:cs="Arial" w:eastAsia="Arial" w:hAnsi="Arial"/>
                <w:sz w:val="14"/>
                <w:szCs w:val="14"/>
                <w:color w:val="auto"/>
              </w:rPr>
              <w:t>Accounts payable, vehicle floor plan payable and accrued liabilities</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691,474</w:t>
            </w: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721,626</w:t>
            </w:r>
          </w:p>
        </w:tc>
        <w:tc>
          <w:tcPr>
            <w:tcW w:w="0" w:type="dxa"/>
            <w:vAlign w:val="bottom"/>
          </w:tcPr>
          <w:p>
            <w:pPr>
              <w:spacing w:after="0"/>
              <w:rPr>
                <w:sz w:val="1"/>
                <w:szCs w:val="1"/>
                <w:color w:val="auto"/>
              </w:rPr>
            </w:pPr>
          </w:p>
        </w:tc>
      </w:tr>
      <w:tr>
        <w:trPr>
          <w:trHeight w:val="230"/>
        </w:trPr>
        <w:tc>
          <w:tcPr>
            <w:tcW w:w="8240" w:type="dxa"/>
            <w:vAlign w:val="bottom"/>
          </w:tcPr>
          <w:p>
            <w:pPr>
              <w:ind w:left="220"/>
              <w:spacing w:after="0"/>
              <w:rPr>
                <w:sz w:val="20"/>
                <w:szCs w:val="20"/>
                <w:color w:val="auto"/>
              </w:rPr>
            </w:pPr>
            <w:r>
              <w:rPr>
                <w:rFonts w:ascii="Arial" w:cs="Arial" w:eastAsia="Arial" w:hAnsi="Arial"/>
                <w:sz w:val="14"/>
                <w:szCs w:val="14"/>
                <w:color w:val="auto"/>
              </w:rPr>
              <w:t>Deferred revenue</w:t>
            </w:r>
          </w:p>
        </w:tc>
        <w:tc>
          <w:tcPr>
            <w:tcW w:w="160" w:type="dxa"/>
            <w:vAlign w:val="bottom"/>
          </w:tcPr>
          <w:p>
            <w:pPr>
              <w:spacing w:after="0"/>
              <w:rPr>
                <w:sz w:val="19"/>
                <w:szCs w:val="19"/>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352,558</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411,651</w:t>
            </w:r>
          </w:p>
        </w:tc>
        <w:tc>
          <w:tcPr>
            <w:tcW w:w="0" w:type="dxa"/>
            <w:vAlign w:val="bottom"/>
          </w:tcPr>
          <w:p>
            <w:pPr>
              <w:spacing w:after="0"/>
              <w:rPr>
                <w:sz w:val="1"/>
                <w:szCs w:val="1"/>
                <w:color w:val="auto"/>
              </w:rPr>
            </w:pPr>
          </w:p>
        </w:tc>
      </w:tr>
      <w:tr>
        <w:trPr>
          <w:trHeight w:val="230"/>
        </w:trPr>
        <w:tc>
          <w:tcPr>
            <w:tcW w:w="8240" w:type="dxa"/>
            <w:vAlign w:val="bottom"/>
          </w:tcPr>
          <w:p>
            <w:pPr>
              <w:ind w:left="220"/>
              <w:spacing w:after="0"/>
              <w:rPr>
                <w:sz w:val="20"/>
                <w:szCs w:val="20"/>
                <w:color w:val="auto"/>
              </w:rPr>
            </w:pPr>
            <w:r>
              <w:rPr>
                <w:rFonts w:ascii="Arial" w:cs="Arial" w:eastAsia="Arial" w:hAnsi="Arial"/>
                <w:sz w:val="14"/>
                <w:szCs w:val="14"/>
                <w:color w:val="auto"/>
              </w:rPr>
              <w:t>Income taxes payable</w:t>
            </w:r>
          </w:p>
        </w:tc>
        <w:tc>
          <w:tcPr>
            <w:tcW w:w="160" w:type="dxa"/>
            <w:vAlign w:val="bottom"/>
          </w:tcPr>
          <w:p>
            <w:pPr>
              <w:spacing w:after="0"/>
              <w:rPr>
                <w:sz w:val="19"/>
                <w:szCs w:val="19"/>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25,949</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8,995</w:t>
            </w:r>
          </w:p>
        </w:tc>
        <w:tc>
          <w:tcPr>
            <w:tcW w:w="0" w:type="dxa"/>
            <w:vAlign w:val="bottom"/>
          </w:tcPr>
          <w:p>
            <w:pPr>
              <w:spacing w:after="0"/>
              <w:rPr>
                <w:sz w:val="1"/>
                <w:szCs w:val="1"/>
                <w:color w:val="auto"/>
              </w:rPr>
            </w:pPr>
          </w:p>
        </w:tc>
      </w:tr>
      <w:tr>
        <w:trPr>
          <w:trHeight w:val="230"/>
        </w:trPr>
        <w:tc>
          <w:tcPr>
            <w:tcW w:w="8240" w:type="dxa"/>
            <w:vAlign w:val="bottom"/>
          </w:tcPr>
          <w:p>
            <w:pPr>
              <w:ind w:left="220"/>
              <w:spacing w:after="0"/>
              <w:rPr>
                <w:sz w:val="20"/>
                <w:szCs w:val="20"/>
                <w:color w:val="auto"/>
              </w:rPr>
            </w:pPr>
            <w:r>
              <w:rPr>
                <w:rFonts w:ascii="Arial" w:cs="Arial" w:eastAsia="Arial" w:hAnsi="Arial"/>
                <w:sz w:val="14"/>
                <w:szCs w:val="14"/>
                <w:color w:val="auto"/>
              </w:rPr>
              <w:t>Mandatorily redeemable noncontrolling interest</w:t>
            </w:r>
          </w:p>
        </w:tc>
        <w:tc>
          <w:tcPr>
            <w:tcW w:w="160" w:type="dxa"/>
            <w:vAlign w:val="bottom"/>
          </w:tcPr>
          <w:p>
            <w:pPr>
              <w:spacing w:after="0"/>
              <w:rPr>
                <w:sz w:val="19"/>
                <w:szCs w:val="19"/>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6,033</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6,874</w:t>
            </w:r>
          </w:p>
        </w:tc>
        <w:tc>
          <w:tcPr>
            <w:tcW w:w="0" w:type="dxa"/>
            <w:vAlign w:val="bottom"/>
          </w:tcPr>
          <w:p>
            <w:pPr>
              <w:spacing w:after="0"/>
              <w:rPr>
                <w:sz w:val="1"/>
                <w:szCs w:val="1"/>
                <w:color w:val="auto"/>
              </w:rPr>
            </w:pPr>
          </w:p>
        </w:tc>
      </w:tr>
      <w:tr>
        <w:trPr>
          <w:trHeight w:val="229"/>
        </w:trPr>
        <w:tc>
          <w:tcPr>
            <w:tcW w:w="8240" w:type="dxa"/>
            <w:vAlign w:val="bottom"/>
          </w:tcPr>
          <w:p>
            <w:pPr>
              <w:ind w:left="220"/>
              <w:spacing w:after="0"/>
              <w:rPr>
                <w:sz w:val="20"/>
                <w:szCs w:val="20"/>
                <w:color w:val="auto"/>
              </w:rPr>
            </w:pPr>
            <w:r>
              <w:rPr>
                <w:rFonts w:ascii="Arial" w:cs="Arial" w:eastAsia="Arial" w:hAnsi="Arial"/>
                <w:sz w:val="14"/>
                <w:szCs w:val="14"/>
                <w:color w:val="auto"/>
              </w:rPr>
              <w:t>Current portion of lease liabilities</w:t>
            </w:r>
          </w:p>
        </w:tc>
        <w:tc>
          <w:tcPr>
            <w:tcW w:w="160" w:type="dxa"/>
            <w:vAlign w:val="bottom"/>
          </w:tcPr>
          <w:p>
            <w:pPr>
              <w:spacing w:after="0"/>
              <w:rPr>
                <w:sz w:val="19"/>
                <w:szCs w:val="19"/>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59,023</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64,290</w:t>
            </w:r>
          </w:p>
        </w:tc>
        <w:tc>
          <w:tcPr>
            <w:tcW w:w="0" w:type="dxa"/>
            <w:vAlign w:val="bottom"/>
          </w:tcPr>
          <w:p>
            <w:pPr>
              <w:spacing w:after="0"/>
              <w:rPr>
                <w:sz w:val="1"/>
                <w:szCs w:val="1"/>
                <w:color w:val="auto"/>
              </w:rPr>
            </w:pPr>
          </w:p>
        </w:tc>
      </w:tr>
      <w:tr>
        <w:trPr>
          <w:trHeight w:val="230"/>
        </w:trPr>
        <w:tc>
          <w:tcPr>
            <w:tcW w:w="8240" w:type="dxa"/>
            <w:vAlign w:val="bottom"/>
          </w:tcPr>
          <w:p>
            <w:pPr>
              <w:ind w:left="220"/>
              <w:spacing w:after="0"/>
              <w:rPr>
                <w:sz w:val="20"/>
                <w:szCs w:val="20"/>
                <w:color w:val="auto"/>
              </w:rPr>
            </w:pPr>
            <w:r>
              <w:rPr>
                <w:rFonts w:ascii="Arial" w:cs="Arial" w:eastAsia="Arial" w:hAnsi="Arial"/>
                <w:sz w:val="14"/>
                <w:szCs w:val="14"/>
                <w:color w:val="auto"/>
              </w:rPr>
              <w:t>Current portion of long-term debt</w:t>
            </w:r>
          </w:p>
        </w:tc>
        <w:tc>
          <w:tcPr>
            <w:tcW w:w="160" w:type="dxa"/>
            <w:vAlign w:val="bottom"/>
          </w:tcPr>
          <w:p>
            <w:pPr>
              <w:spacing w:after="0"/>
              <w:rPr>
                <w:sz w:val="19"/>
                <w:szCs w:val="19"/>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148,075</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175,138</w:t>
            </w:r>
          </w:p>
        </w:tc>
        <w:tc>
          <w:tcPr>
            <w:tcW w:w="0" w:type="dxa"/>
            <w:vAlign w:val="bottom"/>
          </w:tcPr>
          <w:p>
            <w:pPr>
              <w:spacing w:after="0"/>
              <w:rPr>
                <w:sz w:val="1"/>
                <w:szCs w:val="1"/>
                <w:color w:val="auto"/>
              </w:rPr>
            </w:pPr>
          </w:p>
        </w:tc>
      </w:tr>
      <w:tr>
        <w:trPr>
          <w:trHeight w:val="230"/>
        </w:trPr>
        <w:tc>
          <w:tcPr>
            <w:tcW w:w="8240" w:type="dxa"/>
            <w:vAlign w:val="bottom"/>
          </w:tcPr>
          <w:p>
            <w:pPr>
              <w:ind w:left="220"/>
              <w:spacing w:after="0"/>
              <w:rPr>
                <w:sz w:val="20"/>
                <w:szCs w:val="20"/>
                <w:color w:val="auto"/>
              </w:rPr>
            </w:pPr>
            <w:r>
              <w:rPr>
                <w:rFonts w:ascii="Arial" w:cs="Arial" w:eastAsia="Arial" w:hAnsi="Arial"/>
                <w:sz w:val="14"/>
                <w:szCs w:val="14"/>
                <w:color w:val="auto"/>
              </w:rPr>
              <w:t>Dividends declared</w:t>
            </w:r>
          </w:p>
        </w:tc>
        <w:tc>
          <w:tcPr>
            <w:tcW w:w="160" w:type="dxa"/>
            <w:vAlign w:val="bottom"/>
          </w:tcPr>
          <w:p>
            <w:pPr>
              <w:spacing w:after="0"/>
              <w:rPr>
                <w:sz w:val="19"/>
                <w:szCs w:val="19"/>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7,869</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8"/>
        </w:trPr>
        <w:tc>
          <w:tcPr>
            <w:tcW w:w="8240" w:type="dxa"/>
            <w:vAlign w:val="bottom"/>
          </w:tcPr>
          <w:p>
            <w:pPr>
              <w:ind w:left="220"/>
              <w:spacing w:after="0"/>
              <w:rPr>
                <w:sz w:val="20"/>
                <w:szCs w:val="20"/>
                <w:color w:val="auto"/>
              </w:rPr>
            </w:pPr>
            <w:r>
              <w:rPr>
                <w:rFonts w:ascii="Arial" w:cs="Arial" w:eastAsia="Arial" w:hAnsi="Arial"/>
                <w:sz w:val="14"/>
                <w:szCs w:val="14"/>
                <w:color w:val="auto"/>
              </w:rPr>
              <w:t>Current liabilities held for sale</w:t>
            </w: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49,061</w:t>
            </w: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4"/>
        </w:trPr>
        <w:tc>
          <w:tcPr>
            <w:tcW w:w="8240" w:type="dxa"/>
            <w:vAlign w:val="bottom"/>
          </w:tcPr>
          <w:p>
            <w:pPr>
              <w:ind w:left="460"/>
              <w:spacing w:after="0"/>
              <w:rPr>
                <w:sz w:val="20"/>
                <w:szCs w:val="20"/>
                <w:color w:val="auto"/>
              </w:rPr>
            </w:pPr>
            <w:r>
              <w:rPr>
                <w:rFonts w:ascii="Arial" w:cs="Arial" w:eastAsia="Arial" w:hAnsi="Arial"/>
                <w:sz w:val="14"/>
                <w:szCs w:val="14"/>
                <w:b w:val="1"/>
                <w:bCs w:val="1"/>
                <w:color w:val="auto"/>
              </w:rPr>
              <w:t>Total Current Liabilities</w:t>
            </w:r>
          </w:p>
        </w:tc>
        <w:tc>
          <w:tcPr>
            <w:tcW w:w="160" w:type="dxa"/>
            <w:vAlign w:val="bottom"/>
          </w:tcPr>
          <w:p>
            <w:pPr>
              <w:spacing w:after="0"/>
              <w:rPr>
                <w:sz w:val="18"/>
                <w:szCs w:val="18"/>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1,340,042</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1,388,574</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4"/>
                <w:szCs w:val="14"/>
                <w:b w:val="1"/>
                <w:bCs w:val="1"/>
                <w:color w:val="auto"/>
              </w:rPr>
              <w:t>Accrued Compensation and Related Benefits</w:t>
            </w:r>
          </w:p>
        </w:tc>
        <w:tc>
          <w:tcPr>
            <w:tcW w:w="160" w:type="dxa"/>
            <w:vAlign w:val="bottom"/>
          </w:tcPr>
          <w:p>
            <w:pPr>
              <w:spacing w:after="0"/>
              <w:rPr>
                <w:sz w:val="19"/>
                <w:szCs w:val="19"/>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140,209</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135,323</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4"/>
                <w:szCs w:val="14"/>
                <w:b w:val="1"/>
                <w:bCs w:val="1"/>
                <w:color w:val="auto"/>
              </w:rPr>
              <w:t>Other Liabilities</w:t>
            </w:r>
          </w:p>
        </w:tc>
        <w:tc>
          <w:tcPr>
            <w:tcW w:w="160" w:type="dxa"/>
            <w:vAlign w:val="bottom"/>
          </w:tcPr>
          <w:p>
            <w:pPr>
              <w:spacing w:after="0"/>
              <w:rPr>
                <w:sz w:val="19"/>
                <w:szCs w:val="19"/>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29,129</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28,639</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4"/>
                <w:szCs w:val="14"/>
                <w:b w:val="1"/>
                <w:bCs w:val="1"/>
                <w:color w:val="auto"/>
              </w:rPr>
              <w:t>Deferred Income Taxes</w:t>
            </w:r>
          </w:p>
        </w:tc>
        <w:tc>
          <w:tcPr>
            <w:tcW w:w="160" w:type="dxa"/>
            <w:vAlign w:val="bottom"/>
          </w:tcPr>
          <w:p>
            <w:pPr>
              <w:spacing w:after="0"/>
              <w:rPr>
                <w:sz w:val="19"/>
                <w:szCs w:val="19"/>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867,497</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890,984</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4"/>
                <w:szCs w:val="14"/>
                <w:b w:val="1"/>
                <w:bCs w:val="1"/>
                <w:color w:val="auto"/>
              </w:rPr>
              <w:t>Mandatorily Redeemable Noncontrolling Interest</w:t>
            </w:r>
          </w:p>
        </w:tc>
        <w:tc>
          <w:tcPr>
            <w:tcW w:w="160" w:type="dxa"/>
            <w:vAlign w:val="bottom"/>
          </w:tcPr>
          <w:p>
            <w:pPr>
              <w:spacing w:after="0"/>
              <w:rPr>
                <w:sz w:val="19"/>
                <w:szCs w:val="19"/>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1,240</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1,527</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4"/>
                <w:szCs w:val="14"/>
                <w:b w:val="1"/>
                <w:bCs w:val="1"/>
                <w:color w:val="auto"/>
              </w:rPr>
              <w:t>Lease Liabilities</w:t>
            </w:r>
          </w:p>
        </w:tc>
        <w:tc>
          <w:tcPr>
            <w:tcW w:w="160" w:type="dxa"/>
            <w:vAlign w:val="bottom"/>
          </w:tcPr>
          <w:p>
            <w:pPr>
              <w:spacing w:after="0"/>
              <w:rPr>
                <w:sz w:val="19"/>
                <w:szCs w:val="19"/>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365,829</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377,897</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4"/>
                <w:szCs w:val="14"/>
                <w:b w:val="1"/>
                <w:bCs w:val="1"/>
                <w:color w:val="auto"/>
              </w:rPr>
              <w:t>Long-Term Debt</w:t>
            </w:r>
          </w:p>
        </w:tc>
        <w:tc>
          <w:tcPr>
            <w:tcW w:w="160" w:type="dxa"/>
            <w:vAlign w:val="bottom"/>
          </w:tcPr>
          <w:p>
            <w:pPr>
              <w:spacing w:after="0"/>
              <w:rPr>
                <w:sz w:val="19"/>
                <w:szCs w:val="19"/>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705,359</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705,618</w:t>
            </w:r>
          </w:p>
        </w:tc>
        <w:tc>
          <w:tcPr>
            <w:tcW w:w="0" w:type="dxa"/>
            <w:vAlign w:val="bottom"/>
          </w:tcPr>
          <w:p>
            <w:pPr>
              <w:spacing w:after="0"/>
              <w:rPr>
                <w:sz w:val="1"/>
                <w:szCs w:val="1"/>
                <w:color w:val="auto"/>
              </w:rPr>
            </w:pPr>
          </w:p>
        </w:tc>
      </w:tr>
      <w:tr>
        <w:trPr>
          <w:trHeight w:val="238"/>
        </w:trPr>
        <w:tc>
          <w:tcPr>
            <w:tcW w:w="8240" w:type="dxa"/>
            <w:vAlign w:val="bottom"/>
          </w:tcPr>
          <w:p>
            <w:pPr>
              <w:ind w:left="20"/>
              <w:spacing w:after="0"/>
              <w:rPr>
                <w:sz w:val="20"/>
                <w:szCs w:val="20"/>
                <w:color w:val="auto"/>
              </w:rPr>
            </w:pPr>
            <w:r>
              <w:rPr>
                <w:rFonts w:ascii="Arial" w:cs="Arial" w:eastAsia="Arial" w:hAnsi="Arial"/>
                <w:sz w:val="14"/>
                <w:szCs w:val="14"/>
                <w:b w:val="1"/>
                <w:bCs w:val="1"/>
                <w:color w:val="auto"/>
              </w:rPr>
              <w:t>Noncurrent Liabilities Held for Sale</w:t>
            </w: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3,037</w:t>
            </w: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8240" w:type="dxa"/>
            <w:vAlign w:val="bottom"/>
          </w:tcPr>
          <w:p>
            <w:pPr>
              <w:ind w:left="460"/>
              <w:spacing w:after="0"/>
              <w:rPr>
                <w:sz w:val="20"/>
                <w:szCs w:val="20"/>
                <w:color w:val="auto"/>
              </w:rPr>
            </w:pPr>
            <w:r>
              <w:rPr>
                <w:rFonts w:ascii="Arial" w:cs="Arial" w:eastAsia="Arial" w:hAnsi="Arial"/>
                <w:sz w:val="14"/>
                <w:szCs w:val="14"/>
                <w:b w:val="1"/>
                <w:bCs w:val="1"/>
                <w:color w:val="auto"/>
              </w:rPr>
              <w:t>Total Liabilities</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3,452,342</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3,528,562</w:t>
            </w:r>
          </w:p>
        </w:tc>
        <w:tc>
          <w:tcPr>
            <w:tcW w:w="0" w:type="dxa"/>
            <w:vAlign w:val="bottom"/>
          </w:tcPr>
          <w:p>
            <w:pPr>
              <w:spacing w:after="0"/>
              <w:rPr>
                <w:sz w:val="1"/>
                <w:szCs w:val="1"/>
                <w:color w:val="auto"/>
              </w:rPr>
            </w:pPr>
          </w:p>
        </w:tc>
      </w:tr>
      <w:tr>
        <w:trPr>
          <w:trHeight w:val="201"/>
        </w:trPr>
        <w:tc>
          <w:tcPr>
            <w:tcW w:w="8240" w:type="dxa"/>
            <w:vAlign w:val="bottom"/>
          </w:tcPr>
          <w:p>
            <w:pPr>
              <w:ind w:left="20"/>
              <w:spacing w:after="0"/>
              <w:rPr>
                <w:sz w:val="20"/>
                <w:szCs w:val="20"/>
                <w:color w:val="auto"/>
              </w:rPr>
            </w:pPr>
            <w:r>
              <w:rPr>
                <w:rFonts w:ascii="Arial" w:cs="Arial" w:eastAsia="Arial" w:hAnsi="Arial"/>
                <w:sz w:val="14"/>
                <w:szCs w:val="14"/>
                <w:b w:val="1"/>
                <w:bCs w:val="1"/>
                <w:color w:val="auto"/>
              </w:rPr>
              <w:t xml:space="preserve">Commitments and Contingencies </w:t>
            </w:r>
            <w:r>
              <w:rPr>
                <w:rFonts w:ascii="Arial" w:cs="Arial" w:eastAsia="Arial" w:hAnsi="Arial"/>
                <w:sz w:val="14"/>
                <w:szCs w:val="14"/>
                <w:color w:val="auto"/>
              </w:rPr>
              <w:t>(Note 15)</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8240" w:type="dxa"/>
            <w:vAlign w:val="bottom"/>
          </w:tcPr>
          <w:p>
            <w:pPr>
              <w:ind w:left="20"/>
              <w:spacing w:after="0"/>
              <w:rPr>
                <w:sz w:val="20"/>
                <w:szCs w:val="20"/>
                <w:color w:val="auto"/>
              </w:rPr>
            </w:pPr>
            <w:r>
              <w:rPr>
                <w:rFonts w:ascii="Arial" w:cs="Arial" w:eastAsia="Arial" w:hAnsi="Arial"/>
                <w:sz w:val="14"/>
                <w:szCs w:val="14"/>
                <w:b w:val="1"/>
                <w:bCs w:val="1"/>
                <w:color w:val="auto"/>
              </w:rPr>
              <w:t>Redeemable Noncontrolling Interests</w:t>
            </w: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25,469</w:t>
            </w: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39,824</w:t>
            </w:r>
          </w:p>
        </w:tc>
        <w:tc>
          <w:tcPr>
            <w:tcW w:w="0" w:type="dxa"/>
            <w:vAlign w:val="bottom"/>
          </w:tcPr>
          <w:p>
            <w:pPr>
              <w:spacing w:after="0"/>
              <w:rPr>
                <w:sz w:val="1"/>
                <w:szCs w:val="1"/>
                <w:color w:val="auto"/>
              </w:rPr>
            </w:pPr>
          </w:p>
        </w:tc>
      </w:tr>
      <w:tr>
        <w:trPr>
          <w:trHeight w:val="223"/>
        </w:trPr>
        <w:tc>
          <w:tcPr>
            <w:tcW w:w="8240" w:type="dxa"/>
            <w:vAlign w:val="bottom"/>
          </w:tcPr>
          <w:p>
            <w:pPr>
              <w:ind w:left="20"/>
              <w:spacing w:after="0"/>
              <w:rPr>
                <w:sz w:val="20"/>
                <w:szCs w:val="20"/>
                <w:color w:val="auto"/>
              </w:rPr>
            </w:pPr>
            <w:r>
              <w:rPr>
                <w:rFonts w:ascii="Arial" w:cs="Arial" w:eastAsia="Arial" w:hAnsi="Arial"/>
                <w:sz w:val="14"/>
                <w:szCs w:val="14"/>
                <w:b w:val="1"/>
                <w:bCs w:val="1"/>
                <w:color w:val="auto"/>
              </w:rPr>
              <w:t>Preferred Stock</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8240" w:type="dxa"/>
            <w:vAlign w:val="bottom"/>
          </w:tcPr>
          <w:p>
            <w:pPr>
              <w:ind w:left="20"/>
              <w:spacing w:after="0"/>
              <w:rPr>
                <w:sz w:val="20"/>
                <w:szCs w:val="20"/>
                <w:color w:val="auto"/>
              </w:rPr>
            </w:pPr>
            <w:r>
              <w:rPr>
                <w:rFonts w:ascii="Arial" w:cs="Arial" w:eastAsia="Arial" w:hAnsi="Arial"/>
                <w:sz w:val="14"/>
                <w:szCs w:val="14"/>
                <w:b w:val="1"/>
                <w:bCs w:val="1"/>
                <w:color w:val="auto"/>
              </w:rPr>
              <w:t>Common Stockholders’ Equity</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220"/>
              <w:spacing w:after="0"/>
              <w:rPr>
                <w:sz w:val="20"/>
                <w:szCs w:val="20"/>
                <w:color w:val="auto"/>
              </w:rPr>
            </w:pPr>
            <w:r>
              <w:rPr>
                <w:rFonts w:ascii="Arial" w:cs="Arial" w:eastAsia="Arial" w:hAnsi="Arial"/>
                <w:sz w:val="14"/>
                <w:szCs w:val="14"/>
                <w:color w:val="auto"/>
              </w:rPr>
              <w:t>Common stock</w:t>
            </w:r>
          </w:p>
        </w:tc>
        <w:tc>
          <w:tcPr>
            <w:tcW w:w="160" w:type="dxa"/>
            <w:vAlign w:val="bottom"/>
          </w:tcPr>
          <w:p>
            <w:pPr>
              <w:spacing w:after="0"/>
              <w:rPr>
                <w:sz w:val="19"/>
                <w:szCs w:val="19"/>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20,000</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20,000</w:t>
            </w:r>
          </w:p>
        </w:tc>
        <w:tc>
          <w:tcPr>
            <w:tcW w:w="0" w:type="dxa"/>
            <w:vAlign w:val="bottom"/>
          </w:tcPr>
          <w:p>
            <w:pPr>
              <w:spacing w:after="0"/>
              <w:rPr>
                <w:sz w:val="1"/>
                <w:szCs w:val="1"/>
                <w:color w:val="auto"/>
              </w:rPr>
            </w:pPr>
          </w:p>
        </w:tc>
      </w:tr>
      <w:tr>
        <w:trPr>
          <w:trHeight w:val="229"/>
        </w:trPr>
        <w:tc>
          <w:tcPr>
            <w:tcW w:w="8240" w:type="dxa"/>
            <w:vAlign w:val="bottom"/>
          </w:tcPr>
          <w:p>
            <w:pPr>
              <w:ind w:left="220"/>
              <w:spacing w:after="0"/>
              <w:rPr>
                <w:sz w:val="20"/>
                <w:szCs w:val="20"/>
                <w:color w:val="auto"/>
              </w:rPr>
            </w:pPr>
            <w:r>
              <w:rPr>
                <w:rFonts w:ascii="Arial" w:cs="Arial" w:eastAsia="Arial" w:hAnsi="Arial"/>
                <w:sz w:val="14"/>
                <w:szCs w:val="14"/>
                <w:color w:val="auto"/>
              </w:rPr>
              <w:t>Capital in excess of par value</w:t>
            </w:r>
          </w:p>
        </w:tc>
        <w:tc>
          <w:tcPr>
            <w:tcW w:w="160" w:type="dxa"/>
            <w:vAlign w:val="bottom"/>
          </w:tcPr>
          <w:p>
            <w:pPr>
              <w:spacing w:after="0"/>
              <w:rPr>
                <w:sz w:val="19"/>
                <w:szCs w:val="19"/>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354,197</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379,896</w:t>
            </w:r>
          </w:p>
        </w:tc>
        <w:tc>
          <w:tcPr>
            <w:tcW w:w="0" w:type="dxa"/>
            <w:vAlign w:val="bottom"/>
          </w:tcPr>
          <w:p>
            <w:pPr>
              <w:spacing w:after="0"/>
              <w:rPr>
                <w:sz w:val="1"/>
                <w:szCs w:val="1"/>
                <w:color w:val="auto"/>
              </w:rPr>
            </w:pPr>
          </w:p>
        </w:tc>
      </w:tr>
      <w:tr>
        <w:trPr>
          <w:trHeight w:val="230"/>
        </w:trPr>
        <w:tc>
          <w:tcPr>
            <w:tcW w:w="8240" w:type="dxa"/>
            <w:vAlign w:val="bottom"/>
          </w:tcPr>
          <w:p>
            <w:pPr>
              <w:ind w:left="220"/>
              <w:spacing w:after="0"/>
              <w:rPr>
                <w:sz w:val="20"/>
                <w:szCs w:val="20"/>
                <w:color w:val="auto"/>
              </w:rPr>
            </w:pPr>
            <w:r>
              <w:rPr>
                <w:rFonts w:ascii="Arial" w:cs="Arial" w:eastAsia="Arial" w:hAnsi="Arial"/>
                <w:sz w:val="14"/>
                <w:szCs w:val="14"/>
                <w:color w:val="auto"/>
              </w:rPr>
              <w:t>Retained earnings</w:t>
            </w:r>
          </w:p>
        </w:tc>
        <w:tc>
          <w:tcPr>
            <w:tcW w:w="160" w:type="dxa"/>
            <w:vAlign w:val="bottom"/>
          </w:tcPr>
          <w:p>
            <w:pPr>
              <w:spacing w:after="0"/>
              <w:rPr>
                <w:sz w:val="19"/>
                <w:szCs w:val="19"/>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8,645,846</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8,292,681</w:t>
            </w:r>
          </w:p>
        </w:tc>
        <w:tc>
          <w:tcPr>
            <w:tcW w:w="0" w:type="dxa"/>
            <w:vAlign w:val="bottom"/>
          </w:tcPr>
          <w:p>
            <w:pPr>
              <w:spacing w:after="0"/>
              <w:rPr>
                <w:sz w:val="1"/>
                <w:szCs w:val="1"/>
                <w:color w:val="auto"/>
              </w:rPr>
            </w:pPr>
          </w:p>
        </w:tc>
      </w:tr>
      <w:tr>
        <w:trPr>
          <w:trHeight w:val="223"/>
        </w:trPr>
        <w:tc>
          <w:tcPr>
            <w:tcW w:w="8240" w:type="dxa"/>
            <w:vAlign w:val="bottom"/>
          </w:tcPr>
          <w:p>
            <w:pPr>
              <w:ind w:left="220"/>
              <w:spacing w:after="0"/>
              <w:rPr>
                <w:sz w:val="20"/>
                <w:szCs w:val="20"/>
                <w:color w:val="auto"/>
              </w:rPr>
            </w:pPr>
            <w:r>
              <w:rPr>
                <w:rFonts w:ascii="Arial" w:cs="Arial" w:eastAsia="Arial" w:hAnsi="Arial"/>
                <w:sz w:val="14"/>
                <w:szCs w:val="14"/>
                <w:color w:val="auto"/>
              </w:rPr>
              <w:t>Accumulated other comprehensive income, net of taxes</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8240" w:type="dxa"/>
            <w:vAlign w:val="bottom"/>
          </w:tcPr>
          <w:p>
            <w:pPr>
              <w:ind w:left="460"/>
              <w:spacing w:after="0"/>
              <w:rPr>
                <w:sz w:val="20"/>
                <w:szCs w:val="20"/>
                <w:color w:val="auto"/>
              </w:rPr>
            </w:pPr>
            <w:r>
              <w:rPr>
                <w:rFonts w:ascii="Arial" w:cs="Arial" w:eastAsia="Arial" w:hAnsi="Arial"/>
                <w:sz w:val="14"/>
                <w:szCs w:val="14"/>
                <w:color w:val="auto"/>
              </w:rPr>
              <w:t>Cumulative foreign currency translation adjustment</w:t>
            </w:r>
          </w:p>
        </w:tc>
        <w:tc>
          <w:tcPr>
            <w:tcW w:w="160" w:type="dxa"/>
            <w:vAlign w:val="bottom"/>
          </w:tcPr>
          <w:p>
            <w:pPr>
              <w:spacing w:after="0"/>
              <w:rPr>
                <w:sz w:val="20"/>
                <w:szCs w:val="20"/>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b w:val="1"/>
                <w:bCs w:val="1"/>
                <w:color w:val="auto"/>
              </w:rPr>
              <w:t>(8,901)</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(12,262)</w:t>
            </w:r>
          </w:p>
        </w:tc>
        <w:tc>
          <w:tcPr>
            <w:tcW w:w="0" w:type="dxa"/>
            <w:vAlign w:val="bottom"/>
          </w:tcPr>
          <w:p>
            <w:pPr>
              <w:spacing w:after="0"/>
              <w:rPr>
                <w:sz w:val="1"/>
                <w:szCs w:val="1"/>
                <w:color w:val="auto"/>
              </w:rPr>
            </w:pPr>
          </w:p>
        </w:tc>
      </w:tr>
      <w:tr>
        <w:trPr>
          <w:trHeight w:val="229"/>
        </w:trPr>
        <w:tc>
          <w:tcPr>
            <w:tcW w:w="8240" w:type="dxa"/>
            <w:vAlign w:val="bottom"/>
          </w:tcPr>
          <w:p>
            <w:pPr>
              <w:ind w:left="460"/>
              <w:spacing w:after="0"/>
              <w:rPr>
                <w:sz w:val="20"/>
                <w:szCs w:val="20"/>
                <w:color w:val="auto"/>
              </w:rPr>
            </w:pPr>
            <w:r>
              <w:rPr>
                <w:rFonts w:ascii="Arial" w:cs="Arial" w:eastAsia="Arial" w:hAnsi="Arial"/>
                <w:sz w:val="14"/>
                <w:szCs w:val="14"/>
                <w:color w:val="auto"/>
              </w:rPr>
              <w:t>Unrealized gain on pensions and other postretirement plans</w:t>
            </w:r>
          </w:p>
        </w:tc>
        <w:tc>
          <w:tcPr>
            <w:tcW w:w="160" w:type="dxa"/>
            <w:vAlign w:val="bottom"/>
          </w:tcPr>
          <w:p>
            <w:pPr>
              <w:spacing w:after="0"/>
              <w:rPr>
                <w:sz w:val="19"/>
                <w:szCs w:val="19"/>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453,843</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601,064</w:t>
            </w:r>
          </w:p>
        </w:tc>
        <w:tc>
          <w:tcPr>
            <w:tcW w:w="0" w:type="dxa"/>
            <w:vAlign w:val="bottom"/>
          </w:tcPr>
          <w:p>
            <w:pPr>
              <w:spacing w:after="0"/>
              <w:rPr>
                <w:sz w:val="1"/>
                <w:szCs w:val="1"/>
                <w:color w:val="auto"/>
              </w:rPr>
            </w:pPr>
          </w:p>
        </w:tc>
      </w:tr>
      <w:tr>
        <w:trPr>
          <w:trHeight w:val="229"/>
        </w:trPr>
        <w:tc>
          <w:tcPr>
            <w:tcW w:w="8240" w:type="dxa"/>
            <w:vAlign w:val="bottom"/>
          </w:tcPr>
          <w:p>
            <w:pPr>
              <w:ind w:left="460"/>
              <w:spacing w:after="0"/>
              <w:rPr>
                <w:sz w:val="20"/>
                <w:szCs w:val="20"/>
                <w:color w:val="auto"/>
              </w:rPr>
            </w:pPr>
            <w:r>
              <w:rPr>
                <w:rFonts w:ascii="Arial" w:cs="Arial" w:eastAsia="Arial" w:hAnsi="Arial"/>
                <w:sz w:val="14"/>
                <w:szCs w:val="14"/>
                <w:color w:val="auto"/>
              </w:rPr>
              <w:t>Cash flow hedges</w:t>
            </w:r>
          </w:p>
        </w:tc>
        <w:tc>
          <w:tcPr>
            <w:tcW w:w="160" w:type="dxa"/>
            <w:vAlign w:val="bottom"/>
          </w:tcPr>
          <w:p>
            <w:pPr>
              <w:spacing w:after="0"/>
              <w:rPr>
                <w:sz w:val="19"/>
                <w:szCs w:val="19"/>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b w:val="1"/>
                <w:bCs w:val="1"/>
                <w:color w:val="auto"/>
              </w:rPr>
              <w:t>(65)</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(1,722)</w:t>
            </w:r>
          </w:p>
        </w:tc>
        <w:tc>
          <w:tcPr>
            <w:tcW w:w="0" w:type="dxa"/>
            <w:vAlign w:val="bottom"/>
          </w:tcPr>
          <w:p>
            <w:pPr>
              <w:spacing w:after="0"/>
              <w:rPr>
                <w:sz w:val="1"/>
                <w:szCs w:val="1"/>
                <w:color w:val="auto"/>
              </w:rPr>
            </w:pPr>
          </w:p>
        </w:tc>
      </w:tr>
      <w:tr>
        <w:trPr>
          <w:trHeight w:val="238"/>
        </w:trPr>
        <w:tc>
          <w:tcPr>
            <w:tcW w:w="8240" w:type="dxa"/>
            <w:vAlign w:val="bottom"/>
          </w:tcPr>
          <w:p>
            <w:pPr>
              <w:ind w:left="220"/>
              <w:spacing w:after="0"/>
              <w:rPr>
                <w:sz w:val="20"/>
                <w:szCs w:val="20"/>
                <w:color w:val="auto"/>
              </w:rPr>
            </w:pPr>
            <w:r>
              <w:rPr>
                <w:rFonts w:ascii="Arial" w:cs="Arial" w:eastAsia="Arial" w:hAnsi="Arial"/>
                <w:sz w:val="14"/>
                <w:szCs w:val="14"/>
                <w:color w:val="auto"/>
              </w:rPr>
              <w:t>Cost of Class B common stock held in treasury</w:t>
            </w: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(4,686,844)</w:t>
            </w: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(4,485,632)</w:t>
            </w:r>
          </w:p>
        </w:tc>
        <w:tc>
          <w:tcPr>
            <w:tcW w:w="0" w:type="dxa"/>
            <w:vAlign w:val="bottom"/>
          </w:tcPr>
          <w:p>
            <w:pPr>
              <w:spacing w:after="0"/>
              <w:rPr>
                <w:sz w:val="1"/>
                <w:szCs w:val="1"/>
                <w:color w:val="auto"/>
              </w:rPr>
            </w:pPr>
          </w:p>
        </w:tc>
      </w:tr>
      <w:tr>
        <w:trPr>
          <w:trHeight w:val="223"/>
        </w:trPr>
        <w:tc>
          <w:tcPr>
            <w:tcW w:w="8240" w:type="dxa"/>
            <w:vAlign w:val="bottom"/>
          </w:tcPr>
          <w:p>
            <w:pPr>
              <w:ind w:left="460"/>
              <w:spacing w:after="0"/>
              <w:rPr>
                <w:sz w:val="20"/>
                <w:szCs w:val="20"/>
                <w:color w:val="auto"/>
              </w:rPr>
            </w:pPr>
            <w:r>
              <w:rPr>
                <w:rFonts w:ascii="Arial" w:cs="Arial" w:eastAsia="Arial" w:hAnsi="Arial"/>
                <w:sz w:val="14"/>
                <w:szCs w:val="14"/>
                <w:b w:val="1"/>
                <w:bCs w:val="1"/>
                <w:color w:val="auto"/>
              </w:rPr>
              <w:t>Total Common Stockholders’ Equity</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4,778,076</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4,794,025</w:t>
            </w:r>
          </w:p>
        </w:tc>
        <w:tc>
          <w:tcPr>
            <w:tcW w:w="0" w:type="dxa"/>
            <w:vAlign w:val="bottom"/>
          </w:tcPr>
          <w:p>
            <w:pPr>
              <w:spacing w:after="0"/>
              <w:rPr>
                <w:sz w:val="1"/>
                <w:szCs w:val="1"/>
                <w:color w:val="auto"/>
              </w:rPr>
            </w:pPr>
          </w:p>
        </w:tc>
      </w:tr>
      <w:tr>
        <w:trPr>
          <w:trHeight w:val="223"/>
        </w:trPr>
        <w:tc>
          <w:tcPr>
            <w:tcW w:w="8240" w:type="dxa"/>
            <w:vAlign w:val="bottom"/>
          </w:tcPr>
          <w:p>
            <w:pPr>
              <w:ind w:left="20"/>
              <w:spacing w:after="0"/>
              <w:rPr>
                <w:sz w:val="20"/>
                <w:szCs w:val="20"/>
                <w:color w:val="auto"/>
              </w:rPr>
            </w:pPr>
            <w:r>
              <w:rPr>
                <w:rFonts w:ascii="Arial" w:cs="Arial" w:eastAsia="Arial" w:hAnsi="Arial"/>
                <w:sz w:val="14"/>
                <w:szCs w:val="14"/>
                <w:b w:val="1"/>
                <w:bCs w:val="1"/>
                <w:color w:val="auto"/>
              </w:rPr>
              <w:t>Noncontrolling Interests</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34,112</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33,302</w:t>
            </w:r>
          </w:p>
        </w:tc>
        <w:tc>
          <w:tcPr>
            <w:tcW w:w="0" w:type="dxa"/>
            <w:vAlign w:val="bottom"/>
          </w:tcPr>
          <w:p>
            <w:pPr>
              <w:spacing w:after="0"/>
              <w:rPr>
                <w:sz w:val="1"/>
                <w:szCs w:val="1"/>
                <w:color w:val="auto"/>
              </w:rPr>
            </w:pPr>
          </w:p>
        </w:tc>
      </w:tr>
      <w:tr>
        <w:trPr>
          <w:trHeight w:val="223"/>
        </w:trPr>
        <w:tc>
          <w:tcPr>
            <w:tcW w:w="8240" w:type="dxa"/>
            <w:vAlign w:val="bottom"/>
          </w:tcPr>
          <w:p>
            <w:pPr>
              <w:ind w:left="460"/>
              <w:spacing w:after="0"/>
              <w:rPr>
                <w:sz w:val="20"/>
                <w:szCs w:val="20"/>
                <w:color w:val="auto"/>
              </w:rPr>
            </w:pPr>
            <w:r>
              <w:rPr>
                <w:rFonts w:ascii="Arial" w:cs="Arial" w:eastAsia="Arial" w:hAnsi="Arial"/>
                <w:sz w:val="14"/>
                <w:szCs w:val="14"/>
                <w:b w:val="1"/>
                <w:bCs w:val="1"/>
                <w:color w:val="auto"/>
              </w:rPr>
              <w:t>Total Equity</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4,812,188</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4,827,327</w:t>
            </w:r>
          </w:p>
        </w:tc>
        <w:tc>
          <w:tcPr>
            <w:tcW w:w="0" w:type="dxa"/>
            <w:vAlign w:val="bottom"/>
          </w:tcPr>
          <w:p>
            <w:pPr>
              <w:spacing w:after="0"/>
              <w:rPr>
                <w:sz w:val="1"/>
                <w:szCs w:val="1"/>
                <w:color w:val="auto"/>
              </w:rPr>
            </w:pPr>
          </w:p>
        </w:tc>
      </w:tr>
      <w:tr>
        <w:trPr>
          <w:trHeight w:val="229"/>
        </w:trPr>
        <w:tc>
          <w:tcPr>
            <w:tcW w:w="8240" w:type="dxa"/>
            <w:vAlign w:val="bottom"/>
          </w:tcPr>
          <w:p>
            <w:pPr>
              <w:ind w:left="660"/>
              <w:spacing w:after="0"/>
              <w:rPr>
                <w:sz w:val="20"/>
                <w:szCs w:val="20"/>
                <w:color w:val="auto"/>
              </w:rPr>
            </w:pPr>
            <w:r>
              <w:rPr>
                <w:rFonts w:ascii="Arial" w:cs="Arial" w:eastAsia="Arial" w:hAnsi="Arial"/>
                <w:sz w:val="14"/>
                <w:szCs w:val="14"/>
                <w:b w:val="1"/>
                <w:bCs w:val="1"/>
                <w:color w:val="auto"/>
              </w:rPr>
              <w:t>Total Liabilities and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8,289,999</w:t>
            </w:r>
          </w:p>
        </w:tc>
        <w:tc>
          <w:tcPr>
            <w:tcW w:w="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8,395,713</w:t>
            </w:r>
          </w:p>
        </w:tc>
        <w:tc>
          <w:tcPr>
            <w:tcW w:w="0" w:type="dxa"/>
            <w:vAlign w:val="bottom"/>
          </w:tcPr>
          <w:p>
            <w:pPr>
              <w:spacing w:after="0"/>
              <w:rPr>
                <w:sz w:val="1"/>
                <w:szCs w:val="1"/>
                <w:color w:val="auto"/>
              </w:rPr>
            </w:pPr>
          </w:p>
        </w:tc>
      </w:tr>
      <w:tr>
        <w:trPr>
          <w:trHeight w:val="21"/>
        </w:trPr>
        <w:tc>
          <w:tcPr>
            <w:tcW w:w="8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ectPr>
          <w:pgSz w:w="11900" w:h="16838" w:orient="portrait"/>
          <w:cols w:equalWidth="0" w:num="1">
            <w:col w:w="11220"/>
          </w:cols>
          <w:pgMar w:left="320" w:top="971" w:right="359" w:bottom="0" w:gutter="0" w:footer="0" w:header="0"/>
        </w:sectPr>
      </w:pPr>
    </w:p>
    <w:bookmarkStart w:id="5" w:name="page6"/>
    <w:bookmarkEnd w:id="5"/>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183515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49" w:lineRule="exact"/>
        <w:rPr>
          <w:sz w:val="20"/>
          <w:szCs w:val="20"/>
          <w:color w:val="auto"/>
        </w:rPr>
      </w:pPr>
    </w:p>
    <w:p>
      <w:pPr>
        <w:ind w:left="9360"/>
        <w:spacing w:after="0"/>
        <w:rPr>
          <w:sz w:val="20"/>
          <w:szCs w:val="20"/>
          <w:color w:val="auto"/>
        </w:rPr>
      </w:pPr>
      <w:r>
        <w:rPr>
          <w:rFonts w:ascii="Arial" w:cs="Arial" w:eastAsia="Arial" w:hAnsi="Arial"/>
          <w:sz w:val="14"/>
          <w:szCs w:val="14"/>
          <w:b w:val="1"/>
          <w:bCs w:val="1"/>
          <w:color w:val="auto"/>
        </w:rPr>
        <w:t>Nine Months Ended</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88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3"/>
          </w:tcPr>
          <w:p>
            <w:pPr>
              <w:jc w:val="right"/>
              <w:ind w:right="599"/>
              <w:spacing w:after="0"/>
              <w:rPr>
                <w:sz w:val="20"/>
                <w:szCs w:val="20"/>
                <w:color w:val="auto"/>
              </w:rPr>
            </w:pPr>
            <w:r>
              <w:rPr>
                <w:rFonts w:ascii="Arial" w:cs="Arial" w:eastAsia="Arial" w:hAnsi="Arial"/>
                <w:sz w:val="14"/>
                <w:szCs w:val="14"/>
                <w:b w:val="1"/>
                <w:bCs w:val="1"/>
                <w:color w:val="auto"/>
              </w:rPr>
              <w:t>September 30</w:t>
            </w:r>
          </w:p>
        </w:tc>
      </w:tr>
      <w:tr>
        <w:trPr>
          <w:trHeight w:val="217"/>
        </w:trPr>
        <w:tc>
          <w:tcPr>
            <w:tcW w:w="8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2026</w:t>
            </w: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2025</w:t>
            </w:r>
          </w:p>
        </w:tc>
      </w:tr>
      <w:tr>
        <w:trPr>
          <w:trHeight w:val="236"/>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43"/>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Net Income</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390,370</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192,382</w:t>
            </w:r>
          </w:p>
        </w:tc>
      </w:tr>
      <w:tr>
        <w:trPr>
          <w:trHeight w:val="235"/>
        </w:trPr>
        <w:tc>
          <w:tcPr>
            <w:tcW w:w="8860" w:type="dxa"/>
            <w:vAlign w:val="bottom"/>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51"/>
        </w:trPr>
        <w:tc>
          <w:tcPr>
            <w:tcW w:w="8860" w:type="dxa"/>
            <w:vAlign w:val="bottom"/>
          </w:tcPr>
          <w:p>
            <w:pPr>
              <w:ind w:left="220"/>
              <w:spacing w:after="0"/>
              <w:rPr>
                <w:sz w:val="20"/>
                <w:szCs w:val="20"/>
                <w:color w:val="auto"/>
              </w:rPr>
            </w:pPr>
            <w:r>
              <w:rPr>
                <w:rFonts w:ascii="Arial" w:cs="Arial" w:eastAsia="Arial" w:hAnsi="Arial"/>
                <w:sz w:val="16"/>
                <w:szCs w:val="16"/>
                <w:color w:val="auto"/>
              </w:rPr>
              <w:t>Depreciation, amortization and goodwill and other asset impairments</w:t>
            </w:r>
          </w:p>
        </w:tc>
        <w:tc>
          <w:tcPr>
            <w:tcW w:w="260" w:type="dxa"/>
            <w:vAlign w:val="bottom"/>
          </w:tcPr>
          <w:p>
            <w:pPr>
              <w:spacing w:after="0"/>
              <w:rPr>
                <w:sz w:val="21"/>
                <w:szCs w:val="21"/>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91,631</w:t>
            </w: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86,496</w:t>
            </w:r>
          </w:p>
        </w:tc>
      </w:tr>
      <w:tr>
        <w:trPr>
          <w:trHeight w:val="243"/>
        </w:trPr>
        <w:tc>
          <w:tcPr>
            <w:tcW w:w="8860" w:type="dxa"/>
            <w:vAlign w:val="bottom"/>
          </w:tcPr>
          <w:p>
            <w:pPr>
              <w:ind w:left="220"/>
              <w:spacing w:after="0"/>
              <w:rPr>
                <w:sz w:val="20"/>
                <w:szCs w:val="20"/>
                <w:color w:val="auto"/>
              </w:rPr>
            </w:pPr>
            <w:r>
              <w:rPr>
                <w:rFonts w:ascii="Arial" w:cs="Arial" w:eastAsia="Arial" w:hAnsi="Arial"/>
                <w:sz w:val="16"/>
                <w:szCs w:val="16"/>
                <w:color w:val="auto"/>
              </w:rPr>
              <w:t>Amortization of lease right-of-use asset</w:t>
            </w:r>
          </w:p>
        </w:tc>
        <w:tc>
          <w:tcPr>
            <w:tcW w:w="260" w:type="dxa"/>
            <w:vAlign w:val="bottom"/>
          </w:tcPr>
          <w:p>
            <w:pPr>
              <w:spacing w:after="0"/>
              <w:rPr>
                <w:sz w:val="21"/>
                <w:szCs w:val="21"/>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43,707</w:t>
            </w: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44,229</w:t>
            </w:r>
          </w:p>
        </w:tc>
      </w:tr>
      <w:tr>
        <w:trPr>
          <w:trHeight w:val="243"/>
        </w:trPr>
        <w:tc>
          <w:tcPr>
            <w:tcW w:w="8860" w:type="dxa"/>
            <w:vAlign w:val="bottom"/>
          </w:tcPr>
          <w:p>
            <w:pPr>
              <w:ind w:left="220"/>
              <w:spacing w:after="0"/>
              <w:rPr>
                <w:sz w:val="20"/>
                <w:szCs w:val="20"/>
                <w:color w:val="auto"/>
              </w:rPr>
            </w:pPr>
            <w:r>
              <w:rPr>
                <w:rFonts w:ascii="Arial" w:cs="Arial" w:eastAsia="Arial" w:hAnsi="Arial"/>
                <w:sz w:val="16"/>
                <w:szCs w:val="16"/>
                <w:color w:val="auto"/>
              </w:rPr>
              <w:t>Net pension benefit, settlement gain and early retirement and special separation benefit expense</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(215,165)</w:t>
            </w: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(61,090)</w:t>
            </w:r>
          </w:p>
        </w:tc>
      </w:tr>
      <w:tr>
        <w:trPr>
          <w:trHeight w:val="243"/>
        </w:trPr>
        <w:tc>
          <w:tcPr>
            <w:tcW w:w="8860" w:type="dxa"/>
            <w:vAlign w:val="bottom"/>
          </w:tcPr>
          <w:p>
            <w:pPr>
              <w:ind w:left="220"/>
              <w:spacing w:after="0"/>
              <w:rPr>
                <w:sz w:val="20"/>
                <w:szCs w:val="20"/>
                <w:color w:val="auto"/>
              </w:rPr>
            </w:pPr>
            <w:r>
              <w:rPr>
                <w:rFonts w:ascii="Arial" w:cs="Arial" w:eastAsia="Arial" w:hAnsi="Arial"/>
                <w:sz w:val="16"/>
                <w:szCs w:val="16"/>
                <w:color w:val="auto"/>
              </w:rPr>
              <w:t>Gain on marketable equity securities and cost method investments, net of impairment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(17,829)</w:t>
            </w: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(102,861)</w:t>
            </w:r>
          </w:p>
        </w:tc>
      </w:tr>
      <w:tr>
        <w:trPr>
          <w:trHeight w:val="243"/>
        </w:trPr>
        <w:tc>
          <w:tcPr>
            <w:tcW w:w="8860" w:type="dxa"/>
            <w:vAlign w:val="bottom"/>
          </w:tcPr>
          <w:p>
            <w:pPr>
              <w:ind w:left="220"/>
              <w:spacing w:after="0"/>
              <w:rPr>
                <w:sz w:val="20"/>
                <w:szCs w:val="20"/>
                <w:color w:val="auto"/>
              </w:rPr>
            </w:pPr>
            <w:r>
              <w:rPr>
                <w:rFonts w:ascii="Arial" w:cs="Arial" w:eastAsia="Arial" w:hAnsi="Arial"/>
                <w:sz w:val="16"/>
                <w:szCs w:val="16"/>
                <w:color w:val="auto"/>
              </w:rPr>
              <w:t>Loss on disposition of businesses, property, plant and equipment and investments, net</w:t>
            </w:r>
          </w:p>
        </w:tc>
        <w:tc>
          <w:tcPr>
            <w:tcW w:w="260" w:type="dxa"/>
            <w:vAlign w:val="bottom"/>
          </w:tcPr>
          <w:p>
            <w:pPr>
              <w:spacing w:after="0"/>
              <w:rPr>
                <w:sz w:val="21"/>
                <w:szCs w:val="21"/>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3,011</w:t>
            </w: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1,019</w:t>
            </w:r>
          </w:p>
        </w:tc>
      </w:tr>
      <w:tr>
        <w:trPr>
          <w:trHeight w:val="243"/>
        </w:trPr>
        <w:tc>
          <w:tcPr>
            <w:tcW w:w="8860" w:type="dxa"/>
            <w:vAlign w:val="bottom"/>
          </w:tcPr>
          <w:p>
            <w:pPr>
              <w:ind w:left="220"/>
              <w:spacing w:after="0"/>
              <w:rPr>
                <w:sz w:val="20"/>
                <w:szCs w:val="20"/>
                <w:color w:val="auto"/>
              </w:rPr>
            </w:pPr>
            <w:r>
              <w:rPr>
                <w:rFonts w:ascii="Arial" w:cs="Arial" w:eastAsia="Arial" w:hAnsi="Arial"/>
                <w:sz w:val="16"/>
                <w:szCs w:val="16"/>
                <w:color w:val="auto"/>
              </w:rPr>
              <w:t>Credit loss expense</w:t>
            </w:r>
          </w:p>
        </w:tc>
        <w:tc>
          <w:tcPr>
            <w:tcW w:w="260" w:type="dxa"/>
            <w:vAlign w:val="bottom"/>
          </w:tcPr>
          <w:p>
            <w:pPr>
              <w:spacing w:after="0"/>
              <w:rPr>
                <w:sz w:val="21"/>
                <w:szCs w:val="21"/>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4,726</w:t>
            </w: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2,921</w:t>
            </w:r>
          </w:p>
        </w:tc>
      </w:tr>
      <w:tr>
        <w:trPr>
          <w:trHeight w:val="243"/>
        </w:trPr>
        <w:tc>
          <w:tcPr>
            <w:tcW w:w="8860" w:type="dxa"/>
            <w:vAlign w:val="bottom"/>
          </w:tcPr>
          <w:p>
            <w:pPr>
              <w:ind w:left="220"/>
              <w:spacing w:after="0"/>
              <w:rPr>
                <w:sz w:val="20"/>
                <w:szCs w:val="20"/>
                <w:color w:val="auto"/>
              </w:rPr>
            </w:pPr>
            <w:r>
              <w:rPr>
                <w:rFonts w:ascii="Arial" w:cs="Arial" w:eastAsia="Arial" w:hAnsi="Arial"/>
                <w:sz w:val="16"/>
                <w:szCs w:val="16"/>
                <w:color w:val="auto"/>
              </w:rPr>
              <w:t>Stock-based compensation expense, net of forfeitures</w:t>
            </w:r>
          </w:p>
        </w:tc>
        <w:tc>
          <w:tcPr>
            <w:tcW w:w="260" w:type="dxa"/>
            <w:vAlign w:val="bottom"/>
          </w:tcPr>
          <w:p>
            <w:pPr>
              <w:spacing w:after="0"/>
              <w:rPr>
                <w:sz w:val="21"/>
                <w:szCs w:val="21"/>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4,467</w:t>
            </w: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4,797</w:t>
            </w:r>
          </w:p>
        </w:tc>
      </w:tr>
      <w:tr>
        <w:trPr>
          <w:trHeight w:val="243"/>
        </w:trPr>
        <w:tc>
          <w:tcPr>
            <w:tcW w:w="8860" w:type="dxa"/>
            <w:vAlign w:val="bottom"/>
          </w:tcPr>
          <w:p>
            <w:pPr>
              <w:ind w:left="220"/>
              <w:spacing w:after="0"/>
              <w:rPr>
                <w:sz w:val="20"/>
                <w:szCs w:val="20"/>
                <w:color w:val="auto"/>
              </w:rPr>
            </w:pPr>
            <w:r>
              <w:rPr>
                <w:rFonts w:ascii="Arial" w:cs="Arial" w:eastAsia="Arial" w:hAnsi="Arial"/>
                <w:sz w:val="16"/>
                <w:szCs w:val="16"/>
                <w:color w:val="auto"/>
              </w:rPr>
              <w:t>Foreign exchange loss</w:t>
            </w:r>
          </w:p>
        </w:tc>
        <w:tc>
          <w:tcPr>
            <w:tcW w:w="260" w:type="dxa"/>
            <w:vAlign w:val="bottom"/>
          </w:tcPr>
          <w:p>
            <w:pPr>
              <w:spacing w:after="0"/>
              <w:rPr>
                <w:sz w:val="21"/>
                <w:szCs w:val="21"/>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2,034</w:t>
            </w: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7,707</w:t>
            </w:r>
          </w:p>
        </w:tc>
      </w:tr>
      <w:tr>
        <w:trPr>
          <w:trHeight w:val="243"/>
        </w:trPr>
        <w:tc>
          <w:tcPr>
            <w:tcW w:w="8860" w:type="dxa"/>
            <w:vAlign w:val="bottom"/>
          </w:tcPr>
          <w:p>
            <w:pPr>
              <w:ind w:left="220"/>
              <w:spacing w:after="0"/>
              <w:rPr>
                <w:sz w:val="20"/>
                <w:szCs w:val="20"/>
                <w:color w:val="auto"/>
              </w:rPr>
            </w:pPr>
            <w:r>
              <w:rPr>
                <w:rFonts w:ascii="Arial" w:cs="Arial" w:eastAsia="Arial" w:hAnsi="Arial"/>
                <w:sz w:val="16"/>
                <w:szCs w:val="16"/>
                <w:color w:val="auto"/>
              </w:rPr>
              <w:t>Equity in (earnings) losses of affiliates, net of distributions</w:t>
            </w:r>
          </w:p>
        </w:tc>
        <w:tc>
          <w:tcPr>
            <w:tcW w:w="260" w:type="dxa"/>
            <w:vAlign w:val="bottom"/>
          </w:tcPr>
          <w:p>
            <w:pPr>
              <w:spacing w:after="0"/>
              <w:rPr>
                <w:sz w:val="21"/>
                <w:szCs w:val="21"/>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26,235</w:t>
            </w: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(2,562)</w:t>
            </w:r>
          </w:p>
        </w:tc>
      </w:tr>
      <w:tr>
        <w:trPr>
          <w:trHeight w:val="243"/>
        </w:trPr>
        <w:tc>
          <w:tcPr>
            <w:tcW w:w="8860" w:type="dxa"/>
            <w:vAlign w:val="bottom"/>
          </w:tcPr>
          <w:p>
            <w:pPr>
              <w:ind w:left="220"/>
              <w:spacing w:after="0"/>
              <w:rPr>
                <w:sz w:val="20"/>
                <w:szCs w:val="20"/>
                <w:color w:val="auto"/>
              </w:rPr>
            </w:pPr>
            <w:r>
              <w:rPr>
                <w:rFonts w:ascii="Arial" w:cs="Arial" w:eastAsia="Arial" w:hAnsi="Arial"/>
                <w:sz w:val="16"/>
                <w:szCs w:val="16"/>
                <w:color w:val="auto"/>
              </w:rPr>
              <w:t>Provision for deferred income taxes</w:t>
            </w:r>
          </w:p>
        </w:tc>
        <w:tc>
          <w:tcPr>
            <w:tcW w:w="260" w:type="dxa"/>
            <w:vAlign w:val="bottom"/>
          </w:tcPr>
          <w:p>
            <w:pPr>
              <w:spacing w:after="0"/>
              <w:rPr>
                <w:sz w:val="21"/>
                <w:szCs w:val="21"/>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24,888</w:t>
            </w: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28,578</w:t>
            </w:r>
          </w:p>
        </w:tc>
      </w:tr>
      <w:tr>
        <w:trPr>
          <w:trHeight w:val="235"/>
        </w:trPr>
        <w:tc>
          <w:tcPr>
            <w:tcW w:w="8860" w:type="dxa"/>
            <w:vAlign w:val="bottom"/>
          </w:tcPr>
          <w:p>
            <w:pPr>
              <w:ind w:left="220"/>
              <w:spacing w:after="0"/>
              <w:rPr>
                <w:sz w:val="20"/>
                <w:szCs w:val="20"/>
                <w:color w:val="auto"/>
              </w:rPr>
            </w:pPr>
            <w:r>
              <w:rPr>
                <w:rFonts w:ascii="Arial" w:cs="Arial" w:eastAsia="Arial" w:hAnsi="Arial"/>
                <w:sz w:val="16"/>
                <w:szCs w:val="16"/>
                <w:color w:val="auto"/>
              </w:rPr>
              <w:t>Change in operating assets and liabilities:</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51"/>
        </w:trPr>
        <w:tc>
          <w:tcPr>
            <w:tcW w:w="8860" w:type="dxa"/>
            <w:vAlign w:val="bottom"/>
          </w:tcPr>
          <w:p>
            <w:pPr>
              <w:ind w:left="460"/>
              <w:spacing w:after="0"/>
              <w:rPr>
                <w:sz w:val="20"/>
                <w:szCs w:val="20"/>
                <w:color w:val="auto"/>
              </w:rPr>
            </w:pPr>
            <w:r>
              <w:rPr>
                <w:rFonts w:ascii="Arial" w:cs="Arial" w:eastAsia="Arial" w:hAnsi="Arial"/>
                <w:sz w:val="16"/>
                <w:szCs w:val="16"/>
                <w:color w:val="auto"/>
              </w:rPr>
              <w:t>Accounts receivable</w:t>
            </w:r>
          </w:p>
        </w:tc>
        <w:tc>
          <w:tcPr>
            <w:tcW w:w="260" w:type="dxa"/>
            <w:vAlign w:val="bottom"/>
          </w:tcPr>
          <w:p>
            <w:pPr>
              <w:spacing w:after="0"/>
              <w:rPr>
                <w:sz w:val="21"/>
                <w:szCs w:val="21"/>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4,661</w:t>
            </w: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13,083</w:t>
            </w:r>
          </w:p>
        </w:tc>
      </w:tr>
      <w:tr>
        <w:trPr>
          <w:trHeight w:val="243"/>
        </w:trPr>
        <w:tc>
          <w:tcPr>
            <w:tcW w:w="8860" w:type="dxa"/>
            <w:vAlign w:val="bottom"/>
          </w:tcPr>
          <w:p>
            <w:pPr>
              <w:ind w:left="460"/>
              <w:spacing w:after="0"/>
              <w:rPr>
                <w:sz w:val="20"/>
                <w:szCs w:val="20"/>
                <w:color w:val="auto"/>
              </w:rPr>
            </w:pPr>
            <w:r>
              <w:rPr>
                <w:rFonts w:ascii="Arial" w:cs="Arial" w:eastAsia="Arial" w:hAnsi="Arial"/>
                <w:sz w:val="16"/>
                <w:szCs w:val="16"/>
                <w:color w:val="auto"/>
              </w:rPr>
              <w:t>Inventories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(44,177)</w:t>
            </w: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22,682</w:t>
            </w:r>
          </w:p>
        </w:tc>
      </w:tr>
      <w:tr>
        <w:trPr>
          <w:trHeight w:val="243"/>
        </w:trPr>
        <w:tc>
          <w:tcPr>
            <w:tcW w:w="8860" w:type="dxa"/>
            <w:vAlign w:val="bottom"/>
          </w:tcPr>
          <w:p>
            <w:pPr>
              <w:ind w:left="460"/>
              <w:spacing w:after="0"/>
              <w:rPr>
                <w:sz w:val="20"/>
                <w:szCs w:val="20"/>
                <w:color w:val="auto"/>
              </w:rPr>
            </w:pPr>
            <w:r>
              <w:rPr>
                <w:rFonts w:ascii="Arial" w:cs="Arial" w:eastAsia="Arial" w:hAnsi="Arial"/>
                <w:sz w:val="16"/>
                <w:szCs w:val="16"/>
                <w:color w:val="auto"/>
              </w:rPr>
              <w:t>Accounts payable and accrued liabilities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(8,289)</w:t>
            </w: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31,249</w:t>
            </w:r>
          </w:p>
        </w:tc>
      </w:tr>
      <w:tr>
        <w:trPr>
          <w:trHeight w:val="243"/>
        </w:trPr>
        <w:tc>
          <w:tcPr>
            <w:tcW w:w="8860" w:type="dxa"/>
            <w:vAlign w:val="bottom"/>
          </w:tcPr>
          <w:p>
            <w:pPr>
              <w:ind w:left="460"/>
              <w:spacing w:after="0"/>
              <w:rPr>
                <w:sz w:val="20"/>
                <w:szCs w:val="20"/>
                <w:color w:val="auto"/>
              </w:rPr>
            </w:pPr>
            <w:r>
              <w:rPr>
                <w:rFonts w:ascii="Arial" w:cs="Arial" w:eastAsia="Arial" w:hAnsi="Arial"/>
                <w:sz w:val="16"/>
                <w:szCs w:val="16"/>
                <w:color w:val="auto"/>
              </w:rPr>
              <w:t>Deferred revenue</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(3,570)</w:t>
            </w: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14,382</w:t>
            </w:r>
          </w:p>
        </w:tc>
      </w:tr>
      <w:tr>
        <w:trPr>
          <w:trHeight w:val="243"/>
        </w:trPr>
        <w:tc>
          <w:tcPr>
            <w:tcW w:w="8860" w:type="dxa"/>
            <w:vAlign w:val="bottom"/>
          </w:tcPr>
          <w:p>
            <w:pPr>
              <w:ind w:left="460"/>
              <w:spacing w:after="0"/>
              <w:rPr>
                <w:sz w:val="20"/>
                <w:szCs w:val="20"/>
                <w:color w:val="auto"/>
              </w:rPr>
            </w:pPr>
            <w:r>
              <w:rPr>
                <w:rFonts w:ascii="Arial" w:cs="Arial" w:eastAsia="Arial" w:hAnsi="Arial"/>
                <w:sz w:val="16"/>
                <w:szCs w:val="16"/>
                <w:color w:val="auto"/>
              </w:rPr>
              <w:t>Income taxes receivable/payable</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(2,545)</w:t>
            </w: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5,455</w:t>
            </w:r>
          </w:p>
        </w:tc>
      </w:tr>
      <w:tr>
        <w:trPr>
          <w:trHeight w:val="243"/>
        </w:trPr>
        <w:tc>
          <w:tcPr>
            <w:tcW w:w="8860" w:type="dxa"/>
            <w:vAlign w:val="bottom"/>
          </w:tcPr>
          <w:p>
            <w:pPr>
              <w:ind w:left="460"/>
              <w:spacing w:after="0"/>
              <w:rPr>
                <w:sz w:val="20"/>
                <w:szCs w:val="20"/>
                <w:color w:val="auto"/>
              </w:rPr>
            </w:pPr>
            <w:r>
              <w:rPr>
                <w:rFonts w:ascii="Arial" w:cs="Arial" w:eastAsia="Arial" w:hAnsi="Arial"/>
                <w:sz w:val="16"/>
                <w:szCs w:val="16"/>
                <w:color w:val="auto"/>
              </w:rPr>
              <w:t>Lease liabilities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(38,557)</w:t>
            </w: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(41,722)</w:t>
            </w:r>
          </w:p>
        </w:tc>
      </w:tr>
      <w:tr>
        <w:trPr>
          <w:trHeight w:val="243"/>
        </w:trPr>
        <w:tc>
          <w:tcPr>
            <w:tcW w:w="8860" w:type="dxa"/>
            <w:vAlign w:val="bottom"/>
          </w:tcPr>
          <w:p>
            <w:pPr>
              <w:ind w:left="460"/>
              <w:spacing w:after="0"/>
              <w:rPr>
                <w:sz w:val="20"/>
                <w:szCs w:val="20"/>
                <w:color w:val="auto"/>
              </w:rPr>
            </w:pPr>
            <w:r>
              <w:rPr>
                <w:rFonts w:ascii="Arial" w:cs="Arial" w:eastAsia="Arial" w:hAnsi="Arial"/>
                <w:sz w:val="16"/>
                <w:szCs w:val="16"/>
                <w:color w:val="auto"/>
              </w:rPr>
              <w:t>Other assets and other liabilities, net</w:t>
            </w:r>
          </w:p>
        </w:tc>
        <w:tc>
          <w:tcPr>
            <w:tcW w:w="260" w:type="dxa"/>
            <w:vAlign w:val="bottom"/>
          </w:tcPr>
          <w:p>
            <w:pPr>
              <w:spacing w:after="0"/>
              <w:rPr>
                <w:sz w:val="21"/>
                <w:szCs w:val="21"/>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13,280</w:t>
            </w: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71,708</w:t>
            </w:r>
          </w:p>
        </w:tc>
      </w:tr>
      <w:tr>
        <w:trPr>
          <w:trHeight w:val="247"/>
        </w:trPr>
        <w:tc>
          <w:tcPr>
            <w:tcW w:w="8860" w:type="dxa"/>
            <w:vAlign w:val="bottom"/>
          </w:tcPr>
          <w:p>
            <w:pPr>
              <w:ind w:left="2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1,954</w:t>
            </w:r>
          </w:p>
        </w:tc>
        <w:tc>
          <w:tcPr>
            <w:tcW w:w="3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443</w:t>
            </w:r>
          </w:p>
        </w:tc>
      </w:tr>
      <w:tr>
        <w:trPr>
          <w:trHeight w:val="234"/>
        </w:trPr>
        <w:tc>
          <w:tcPr>
            <w:tcW w:w="8860" w:type="dxa"/>
            <w:vAlign w:val="bottom"/>
          </w:tcPr>
          <w:p>
            <w:pPr>
              <w:ind w:left="460"/>
              <w:spacing w:after="0"/>
              <w:rPr>
                <w:sz w:val="20"/>
                <w:szCs w:val="20"/>
                <w:color w:val="auto"/>
              </w:rPr>
            </w:pPr>
            <w:r>
              <w:rPr>
                <w:rFonts w:ascii="Arial" w:cs="Arial" w:eastAsia="Arial" w:hAnsi="Arial"/>
                <w:sz w:val="16"/>
                <w:szCs w:val="16"/>
                <w:color w:val="auto"/>
              </w:rPr>
              <w:t>Net Cash Provided by Operating Activities</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280,832</w:t>
            </w: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318,896</w:t>
            </w:r>
          </w:p>
        </w:tc>
      </w:tr>
      <w:tr>
        <w:trPr>
          <w:trHeight w:val="235"/>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43"/>
        </w:trPr>
        <w:tc>
          <w:tcPr>
            <w:tcW w:w="8860" w:type="dxa"/>
            <w:vAlign w:val="bottom"/>
          </w:tcPr>
          <w:p>
            <w:pPr>
              <w:ind w:left="220"/>
              <w:spacing w:after="0"/>
              <w:rPr>
                <w:sz w:val="20"/>
                <w:szCs w:val="20"/>
                <w:color w:val="auto"/>
              </w:rPr>
            </w:pPr>
            <w:r>
              <w:rPr>
                <w:rFonts w:ascii="Arial" w:cs="Arial" w:eastAsia="Arial" w:hAnsi="Arial"/>
                <w:sz w:val="16"/>
                <w:szCs w:val="16"/>
                <w:color w:val="auto"/>
              </w:rPr>
              <w:t>Purchases of property, plant and equipment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(65,013)</w:t>
            </w: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(48,618)</w:t>
            </w:r>
          </w:p>
        </w:tc>
      </w:tr>
      <w:tr>
        <w:trPr>
          <w:trHeight w:val="243"/>
        </w:trPr>
        <w:tc>
          <w:tcPr>
            <w:tcW w:w="8860" w:type="dxa"/>
            <w:vAlign w:val="bottom"/>
          </w:tcPr>
          <w:p>
            <w:pPr>
              <w:ind w:left="220"/>
              <w:spacing w:after="0"/>
              <w:rPr>
                <w:sz w:val="20"/>
                <w:szCs w:val="20"/>
                <w:color w:val="auto"/>
              </w:rPr>
            </w:pPr>
            <w:r>
              <w:rPr>
                <w:rFonts w:ascii="Arial" w:cs="Arial" w:eastAsia="Arial" w:hAnsi="Arial"/>
                <w:sz w:val="16"/>
                <w:szCs w:val="16"/>
                <w:color w:val="auto"/>
              </w:rPr>
              <w:t>Proceeds from sales of marketable equity securities</w:t>
            </w:r>
          </w:p>
        </w:tc>
        <w:tc>
          <w:tcPr>
            <w:tcW w:w="260" w:type="dxa"/>
            <w:vAlign w:val="bottom"/>
          </w:tcPr>
          <w:p>
            <w:pPr>
              <w:spacing w:after="0"/>
              <w:rPr>
                <w:sz w:val="21"/>
                <w:szCs w:val="21"/>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54,642</w:t>
            </w: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8860" w:type="dxa"/>
            <w:vAlign w:val="bottom"/>
          </w:tcPr>
          <w:p>
            <w:pPr>
              <w:ind w:left="220"/>
              <w:spacing w:after="0"/>
              <w:rPr>
                <w:sz w:val="20"/>
                <w:szCs w:val="20"/>
                <w:color w:val="auto"/>
              </w:rPr>
            </w:pPr>
            <w:r>
              <w:rPr>
                <w:rFonts w:ascii="Arial" w:cs="Arial" w:eastAsia="Arial" w:hAnsi="Arial"/>
                <w:sz w:val="16"/>
                <w:szCs w:val="16"/>
                <w:color w:val="auto"/>
              </w:rPr>
              <w:t>Net (payment on) proceeds from disposition of businesses, property, plant and equipment and investments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(37,900)</w:t>
            </w: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7,747</w:t>
            </w:r>
          </w:p>
        </w:tc>
      </w:tr>
      <w:tr>
        <w:trPr>
          <w:trHeight w:val="243"/>
        </w:trPr>
        <w:tc>
          <w:tcPr>
            <w:tcW w:w="8860" w:type="dxa"/>
            <w:vAlign w:val="bottom"/>
          </w:tcPr>
          <w:p>
            <w:pPr>
              <w:ind w:left="220"/>
              <w:spacing w:after="0"/>
              <w:rPr>
                <w:sz w:val="20"/>
                <w:szCs w:val="20"/>
                <w:color w:val="auto"/>
              </w:rPr>
            </w:pPr>
            <w:r>
              <w:rPr>
                <w:rFonts w:ascii="Arial" w:cs="Arial" w:eastAsia="Arial" w:hAnsi="Arial"/>
                <w:sz w:val="16"/>
                <w:szCs w:val="16"/>
                <w:color w:val="auto"/>
              </w:rPr>
              <w:t>Purchases of marketable equity securities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(25,020)</w:t>
            </w: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(29,823)</w:t>
            </w:r>
          </w:p>
        </w:tc>
      </w:tr>
      <w:tr>
        <w:trPr>
          <w:trHeight w:val="243"/>
        </w:trPr>
        <w:tc>
          <w:tcPr>
            <w:tcW w:w="8860" w:type="dxa"/>
            <w:vAlign w:val="bottom"/>
          </w:tcPr>
          <w:p>
            <w:pPr>
              <w:ind w:left="220"/>
              <w:spacing w:after="0"/>
              <w:rPr>
                <w:sz w:val="20"/>
                <w:szCs w:val="20"/>
                <w:color w:val="auto"/>
              </w:rPr>
            </w:pPr>
            <w:r>
              <w:rPr>
                <w:rFonts w:ascii="Arial" w:cs="Arial" w:eastAsia="Arial" w:hAnsi="Arial"/>
                <w:sz w:val="16"/>
                <w:szCs w:val="16"/>
                <w:color w:val="auto"/>
              </w:rPr>
              <w:t>Proceeds from repayment of related party loan</w:t>
            </w:r>
          </w:p>
        </w:tc>
        <w:tc>
          <w:tcPr>
            <w:tcW w:w="260" w:type="dxa"/>
            <w:vAlign w:val="bottom"/>
          </w:tcPr>
          <w:p>
            <w:pPr>
              <w:spacing w:after="0"/>
              <w:rPr>
                <w:sz w:val="21"/>
                <w:szCs w:val="21"/>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20,000</w:t>
            </w: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8860" w:type="dxa"/>
            <w:vAlign w:val="bottom"/>
          </w:tcPr>
          <w:p>
            <w:pPr>
              <w:ind w:left="220"/>
              <w:spacing w:after="0"/>
              <w:rPr>
                <w:sz w:val="20"/>
                <w:szCs w:val="20"/>
                <w:color w:val="auto"/>
              </w:rPr>
            </w:pPr>
            <w:r>
              <w:rPr>
                <w:rFonts w:ascii="Arial" w:cs="Arial" w:eastAsia="Arial" w:hAnsi="Arial"/>
                <w:sz w:val="16"/>
                <w:szCs w:val="16"/>
                <w:color w:val="auto"/>
              </w:rPr>
              <w:t>Investments in certain businesses, net of cash acquired</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(18,362)</w:t>
            </w: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(19,486)</w:t>
            </w:r>
          </w:p>
        </w:tc>
      </w:tr>
      <w:tr>
        <w:trPr>
          <w:trHeight w:val="243"/>
        </w:trPr>
        <w:tc>
          <w:tcPr>
            <w:tcW w:w="8860" w:type="dxa"/>
            <w:vAlign w:val="bottom"/>
          </w:tcPr>
          <w:p>
            <w:pPr>
              <w:ind w:left="220"/>
              <w:spacing w:after="0"/>
              <w:rPr>
                <w:sz w:val="20"/>
                <w:szCs w:val="20"/>
                <w:color w:val="auto"/>
              </w:rPr>
            </w:pPr>
            <w:r>
              <w:rPr>
                <w:rFonts w:ascii="Arial" w:cs="Arial" w:eastAsia="Arial" w:hAnsi="Arial"/>
                <w:sz w:val="16"/>
                <w:szCs w:val="16"/>
                <w:color w:val="auto"/>
              </w:rPr>
              <w:t>Investments in equity affiliates and cost method investments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(204)</w:t>
            </w: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(10,512)</w:t>
            </w:r>
          </w:p>
        </w:tc>
      </w:tr>
      <w:tr>
        <w:trPr>
          <w:trHeight w:val="247"/>
        </w:trPr>
        <w:tc>
          <w:tcPr>
            <w:tcW w:w="8860" w:type="dxa"/>
            <w:vAlign w:val="bottom"/>
          </w:tcPr>
          <w:p>
            <w:pPr>
              <w:ind w:left="2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2,136</w:t>
            </w:r>
          </w:p>
        </w:tc>
        <w:tc>
          <w:tcPr>
            <w:tcW w:w="3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2,330</w:t>
            </w:r>
          </w:p>
        </w:tc>
      </w:tr>
      <w:tr>
        <w:trPr>
          <w:trHeight w:val="234"/>
        </w:trPr>
        <w:tc>
          <w:tcPr>
            <w:tcW w:w="8860" w:type="dxa"/>
            <w:vAlign w:val="bottom"/>
          </w:tcPr>
          <w:p>
            <w:pPr>
              <w:ind w:left="460"/>
              <w:spacing w:after="0"/>
              <w:rPr>
                <w:sz w:val="20"/>
                <w:szCs w:val="20"/>
                <w:color w:val="auto"/>
              </w:rPr>
            </w:pPr>
            <w:r>
              <w:rPr>
                <w:rFonts w:ascii="Arial" w:cs="Arial" w:eastAsia="Arial" w:hAnsi="Arial"/>
                <w:sz w:val="16"/>
                <w:szCs w:val="16"/>
                <w:color w:val="auto"/>
              </w:rPr>
              <w:t>Net Cash Used in Investing Activities</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(69,721)</w:t>
            </w: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(98,362)</w:t>
            </w:r>
          </w:p>
        </w:tc>
      </w:tr>
      <w:tr>
        <w:trPr>
          <w:trHeight w:val="235"/>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43"/>
        </w:trPr>
        <w:tc>
          <w:tcPr>
            <w:tcW w:w="8860" w:type="dxa"/>
            <w:vAlign w:val="bottom"/>
          </w:tcPr>
          <w:p>
            <w:pPr>
              <w:ind w:left="220"/>
              <w:spacing w:after="0"/>
              <w:rPr>
                <w:sz w:val="20"/>
                <w:szCs w:val="20"/>
                <w:color w:val="auto"/>
              </w:rPr>
            </w:pPr>
            <w:r>
              <w:rPr>
                <w:rFonts w:ascii="Arial" w:cs="Arial" w:eastAsia="Arial" w:hAnsi="Arial"/>
                <w:sz w:val="16"/>
                <w:szCs w:val="16"/>
                <w:color w:val="auto"/>
              </w:rPr>
              <w:t>Common shares repurchased</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(198,598)</w:t>
            </w: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(3,468)</w:t>
            </w:r>
          </w:p>
        </w:tc>
      </w:tr>
      <w:tr>
        <w:trPr>
          <w:trHeight w:val="243"/>
        </w:trPr>
        <w:tc>
          <w:tcPr>
            <w:tcW w:w="8860" w:type="dxa"/>
            <w:vAlign w:val="bottom"/>
          </w:tcPr>
          <w:p>
            <w:pPr>
              <w:ind w:left="220"/>
              <w:spacing w:after="0"/>
              <w:rPr>
                <w:sz w:val="20"/>
                <w:szCs w:val="20"/>
                <w:color w:val="auto"/>
              </w:rPr>
            </w:pPr>
            <w:r>
              <w:rPr>
                <w:rFonts w:ascii="Arial" w:cs="Arial" w:eastAsia="Arial" w:hAnsi="Arial"/>
                <w:sz w:val="16"/>
                <w:szCs w:val="16"/>
                <w:color w:val="auto"/>
              </w:rPr>
              <w:t>Net (payments) borrowings under revolving credit facilities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(31,258)</w:t>
            </w: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600</w:t>
            </w:r>
          </w:p>
        </w:tc>
      </w:tr>
      <w:tr>
        <w:trPr>
          <w:trHeight w:val="243"/>
        </w:trPr>
        <w:tc>
          <w:tcPr>
            <w:tcW w:w="8860" w:type="dxa"/>
            <w:vAlign w:val="bottom"/>
          </w:tcPr>
          <w:p>
            <w:pPr>
              <w:ind w:left="220"/>
              <w:spacing w:after="0"/>
              <w:rPr>
                <w:sz w:val="20"/>
                <w:szCs w:val="20"/>
                <w:color w:val="auto"/>
              </w:rPr>
            </w:pPr>
            <w:r>
              <w:rPr>
                <w:rFonts w:ascii="Arial" w:cs="Arial" w:eastAsia="Arial" w:hAnsi="Arial"/>
                <w:sz w:val="16"/>
                <w:szCs w:val="16"/>
                <w:color w:val="auto"/>
              </w:rPr>
              <w:t>Dividends paid</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(24,285)</w:t>
            </w: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(23,508)</w:t>
            </w:r>
          </w:p>
        </w:tc>
      </w:tr>
      <w:tr>
        <w:trPr>
          <w:trHeight w:val="243"/>
        </w:trPr>
        <w:tc>
          <w:tcPr>
            <w:tcW w:w="8860" w:type="dxa"/>
            <w:vAlign w:val="bottom"/>
          </w:tcPr>
          <w:p>
            <w:pPr>
              <w:ind w:left="220"/>
              <w:spacing w:after="0"/>
              <w:rPr>
                <w:sz w:val="20"/>
                <w:szCs w:val="20"/>
                <w:color w:val="auto"/>
              </w:rPr>
            </w:pPr>
            <w:r>
              <w:rPr>
                <w:rFonts w:ascii="Arial" w:cs="Arial" w:eastAsia="Arial" w:hAnsi="Arial"/>
                <w:sz w:val="16"/>
                <w:szCs w:val="16"/>
                <w:color w:val="auto"/>
              </w:rPr>
              <w:t>Repayments of borrowings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(21,535)</w:t>
            </w: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(22,089)</w:t>
            </w:r>
          </w:p>
        </w:tc>
      </w:tr>
      <w:tr>
        <w:trPr>
          <w:trHeight w:val="243"/>
        </w:trPr>
        <w:tc>
          <w:tcPr>
            <w:tcW w:w="8860" w:type="dxa"/>
            <w:vAlign w:val="bottom"/>
          </w:tcPr>
          <w:p>
            <w:pPr>
              <w:ind w:left="220"/>
              <w:spacing w:after="0"/>
              <w:rPr>
                <w:sz w:val="20"/>
                <w:szCs w:val="20"/>
                <w:color w:val="auto"/>
              </w:rPr>
            </w:pPr>
            <w:r>
              <w:rPr>
                <w:rFonts w:ascii="Arial" w:cs="Arial" w:eastAsia="Arial" w:hAnsi="Arial"/>
                <w:sz w:val="16"/>
                <w:szCs w:val="16"/>
                <w:color w:val="auto"/>
              </w:rPr>
              <w:t>Purchase of noncontrolling interests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(17,526)</w:t>
            </w: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(1,761)</w:t>
            </w:r>
          </w:p>
        </w:tc>
      </w:tr>
      <w:tr>
        <w:trPr>
          <w:trHeight w:val="243"/>
        </w:trPr>
        <w:tc>
          <w:tcPr>
            <w:tcW w:w="8860" w:type="dxa"/>
            <w:vAlign w:val="bottom"/>
          </w:tcPr>
          <w:p>
            <w:pPr>
              <w:ind w:left="220"/>
              <w:spacing w:after="0"/>
              <w:rPr>
                <w:sz w:val="20"/>
                <w:szCs w:val="20"/>
                <w:color w:val="auto"/>
              </w:rPr>
            </w:pPr>
            <w:r>
              <w:rPr>
                <w:rFonts w:ascii="Arial" w:cs="Arial" w:eastAsia="Arial" w:hAnsi="Arial"/>
                <w:sz w:val="16"/>
                <w:szCs w:val="16"/>
                <w:color w:val="auto"/>
              </w:rPr>
              <w:t>Principal payments of finance leases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(13,406)</w:t>
            </w: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(13,049)</w:t>
            </w:r>
          </w:p>
        </w:tc>
      </w:tr>
      <w:tr>
        <w:trPr>
          <w:trHeight w:val="243"/>
        </w:trPr>
        <w:tc>
          <w:tcPr>
            <w:tcW w:w="8860" w:type="dxa"/>
            <w:vAlign w:val="bottom"/>
          </w:tcPr>
          <w:p>
            <w:pPr>
              <w:ind w:left="220"/>
              <w:spacing w:after="0"/>
              <w:rPr>
                <w:sz w:val="20"/>
                <w:szCs w:val="20"/>
                <w:color w:val="auto"/>
              </w:rPr>
            </w:pPr>
            <w:r>
              <w:rPr>
                <w:rFonts w:ascii="Arial" w:cs="Arial" w:eastAsia="Arial" w:hAnsi="Arial"/>
                <w:sz w:val="16"/>
                <w:szCs w:val="16"/>
                <w:color w:val="auto"/>
              </w:rPr>
              <w:t>Distributions paid to noncontrolling interests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(5,269)</w:t>
            </w: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(191,609)</w:t>
            </w:r>
          </w:p>
        </w:tc>
      </w:tr>
      <w:tr>
        <w:trPr>
          <w:trHeight w:val="243"/>
        </w:trPr>
        <w:tc>
          <w:tcPr>
            <w:tcW w:w="8860" w:type="dxa"/>
            <w:vAlign w:val="bottom"/>
          </w:tcPr>
          <w:p>
            <w:pPr>
              <w:ind w:left="220"/>
              <w:spacing w:after="0"/>
              <w:rPr>
                <w:sz w:val="20"/>
                <w:szCs w:val="20"/>
                <w:color w:val="auto"/>
              </w:rPr>
            </w:pPr>
            <w:r>
              <w:rPr>
                <w:rFonts w:ascii="Arial" w:cs="Arial" w:eastAsia="Arial" w:hAnsi="Arial"/>
                <w:sz w:val="16"/>
                <w:szCs w:val="16"/>
                <w:color w:val="auto"/>
              </w:rPr>
              <w:t>Net proceeds from (repayments of) vehicle floor plan payable</w:t>
            </w:r>
          </w:p>
        </w:tc>
        <w:tc>
          <w:tcPr>
            <w:tcW w:w="260" w:type="dxa"/>
            <w:vAlign w:val="bottom"/>
          </w:tcPr>
          <w:p>
            <w:pPr>
              <w:spacing w:after="0"/>
              <w:rPr>
                <w:sz w:val="21"/>
                <w:szCs w:val="21"/>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4,863</w:t>
            </w: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(27,897)</w:t>
            </w:r>
          </w:p>
        </w:tc>
      </w:tr>
      <w:tr>
        <w:trPr>
          <w:trHeight w:val="243"/>
        </w:trPr>
        <w:tc>
          <w:tcPr>
            <w:tcW w:w="8860" w:type="dxa"/>
            <w:vAlign w:val="bottom"/>
          </w:tcPr>
          <w:p>
            <w:pPr>
              <w:ind w:left="220"/>
              <w:spacing w:after="0"/>
              <w:rPr>
                <w:sz w:val="20"/>
                <w:szCs w:val="20"/>
                <w:color w:val="auto"/>
              </w:rPr>
            </w:pPr>
            <w:r>
              <w:rPr>
                <w:rFonts w:ascii="Arial" w:cs="Arial" w:eastAsia="Arial" w:hAnsi="Arial"/>
                <w:sz w:val="16"/>
                <w:szCs w:val="16"/>
                <w:color w:val="auto"/>
              </w:rPr>
              <w:t>Issuance of borrowings</w:t>
            </w:r>
          </w:p>
        </w:tc>
        <w:tc>
          <w:tcPr>
            <w:tcW w:w="260" w:type="dxa"/>
            <w:vAlign w:val="bottom"/>
          </w:tcPr>
          <w:p>
            <w:pPr>
              <w:spacing w:after="0"/>
              <w:rPr>
                <w:sz w:val="21"/>
                <w:szCs w:val="21"/>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1,800</w:t>
            </w: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8860" w:type="dxa"/>
            <w:vAlign w:val="bottom"/>
          </w:tcPr>
          <w:p>
            <w:pPr>
              <w:ind w:left="220"/>
              <w:spacing w:after="0"/>
              <w:rPr>
                <w:sz w:val="20"/>
                <w:szCs w:val="20"/>
                <w:color w:val="auto"/>
              </w:rPr>
            </w:pPr>
            <w:r>
              <w:rPr>
                <w:rFonts w:ascii="Arial" w:cs="Arial" w:eastAsia="Arial" w:hAnsi="Arial"/>
                <w:sz w:val="16"/>
                <w:szCs w:val="16"/>
                <w:color w:val="auto"/>
              </w:rPr>
              <w:t>Deferred payments of acquisitions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(383)</w:t>
            </w: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(7,017)</w:t>
            </w:r>
          </w:p>
        </w:tc>
      </w:tr>
      <w:tr>
        <w:trPr>
          <w:trHeight w:val="247"/>
        </w:trPr>
        <w:tc>
          <w:tcPr>
            <w:tcW w:w="8860" w:type="dxa"/>
            <w:vAlign w:val="bottom"/>
          </w:tcPr>
          <w:p>
            <w:pPr>
              <w:ind w:left="2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988</w:t>
            </w:r>
          </w:p>
        </w:tc>
        <w:tc>
          <w:tcPr>
            <w:tcW w:w="3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(1,019)</w:t>
            </w:r>
          </w:p>
        </w:tc>
      </w:tr>
      <w:tr>
        <w:trPr>
          <w:trHeight w:val="234"/>
        </w:trPr>
        <w:tc>
          <w:tcPr>
            <w:tcW w:w="8860" w:type="dxa"/>
            <w:vAlign w:val="bottom"/>
          </w:tcPr>
          <w:p>
            <w:pPr>
              <w:ind w:left="460"/>
              <w:spacing w:after="0"/>
              <w:rPr>
                <w:sz w:val="20"/>
                <w:szCs w:val="20"/>
                <w:color w:val="auto"/>
              </w:rPr>
            </w:pPr>
            <w:r>
              <w:rPr>
                <w:rFonts w:ascii="Arial" w:cs="Arial" w:eastAsia="Arial" w:hAnsi="Arial"/>
                <w:sz w:val="16"/>
                <w:szCs w:val="16"/>
                <w:color w:val="auto"/>
              </w:rPr>
              <w:t>Net Cash Used in Financing Activities</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(304,609)</w:t>
            </w: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(290,817)</w:t>
            </w:r>
          </w:p>
        </w:tc>
      </w:tr>
      <w:tr>
        <w:trPr>
          <w:trHeight w:val="237"/>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Effect of Currency Exchange Rate Change</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(1,861)</w:t>
            </w: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9,533</w:t>
            </w:r>
          </w:p>
        </w:tc>
      </w:tr>
      <w:tr>
        <w:trPr>
          <w:trHeight w:val="235"/>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Net Decrease in Cash and Cash Equivalents and Restricted Cash</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(95,359)</w:t>
            </w:r>
          </w:p>
        </w:tc>
        <w:tc>
          <w:tcPr>
            <w:tcW w:w="3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(60,750)</w:t>
            </w:r>
          </w:p>
        </w:tc>
      </w:tr>
      <w:tr>
        <w:trPr>
          <w:trHeight w:val="247"/>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Beginning Cash and Cash Equivalents and Restricted Cash</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311,405</w:t>
            </w:r>
          </w:p>
        </w:tc>
        <w:tc>
          <w:tcPr>
            <w:tcW w:w="3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297,853</w:t>
            </w:r>
          </w:p>
        </w:tc>
      </w:tr>
      <w:tr>
        <w:trPr>
          <w:trHeight w:val="240"/>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Ending Cash and Cash Equivalents and Restricted Cash</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216,046</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237,103</w:t>
            </w:r>
          </w:p>
        </w:tc>
      </w:tr>
      <w:tr>
        <w:trPr>
          <w:trHeight w:val="20"/>
        </w:trPr>
        <w:tc>
          <w:tcPr>
            <w:tcW w:w="8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ectPr>
          <w:pgSz w:w="11900" w:h="16838" w:orient="portrait"/>
          <w:cols w:equalWidth="0" w:num="1">
            <w:col w:w="11220"/>
          </w:cols>
          <w:pgMar w:left="320" w:top="944" w:right="359" w:bottom="527" w:gutter="0" w:footer="0" w:header="0"/>
        </w:sect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4" w:right="359" w:bottom="527" w:gutter="0" w:footer="0" w:header="0"/>
          <w:type w:val="continuous"/>
        </w:sectPr>
      </w:pPr>
    </w:p>
    <w:bookmarkStart w:id="7" w:name="page8"/>
    <w:bookmarkEnd w:id="7"/>
    <w:p>
      <w:pPr>
        <w:ind w:left="4520"/>
        <w:spacing w:after="0"/>
        <w:rPr>
          <w:sz w:val="20"/>
          <w:szCs w:val="20"/>
          <w:color w:val="auto"/>
        </w:rPr>
      </w:pPr>
      <w:r>
        <w:rPr>
          <w:rFonts w:ascii="Arial" w:cs="Arial" w:eastAsia="Arial" w:hAnsi="Arial"/>
          <w:sz w:val="18"/>
          <w:szCs w:val="18"/>
          <w:b w:val="1"/>
          <w:bCs w:val="1"/>
          <w:color w:val="auto"/>
        </w:rPr>
        <w:t>GRAHAM HOLDINGS COMPANY</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CONDENSED CONSOLIDATED STATEMENTS OF CHANGES IN COMMON STOCKHOLDERS’ EQUITY (UNAUDITED)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ind w:left="20"/>
              <w:spacing w:after="0"/>
              <w:rPr>
                <w:sz w:val="20"/>
                <w:szCs w:val="20"/>
                <w:color w:val="auto"/>
              </w:rPr>
            </w:pPr>
            <w:r>
              <w:rPr>
                <w:rFonts w:ascii="Arial" w:cs="Arial" w:eastAsia="Arial" w:hAnsi="Arial"/>
                <w:sz w:val="11"/>
                <w:szCs w:val="11"/>
                <w:color w:val="auto"/>
              </w:rPr>
              <w:t>Common</w:t>
            </w:r>
          </w:p>
        </w:tc>
        <w:tc>
          <w:tcPr>
            <w:tcW w:w="160" w:type="dxa"/>
            <w:vAlign w:val="bottom"/>
          </w:tcPr>
          <w:p>
            <w:pPr>
              <w:spacing w:after="0"/>
              <w:rPr>
                <w:sz w:val="10"/>
                <w:szCs w:val="10"/>
                <w:color w:val="auto"/>
              </w:rPr>
            </w:pPr>
          </w:p>
        </w:tc>
        <w:tc>
          <w:tcPr>
            <w:tcW w:w="720" w:type="dxa"/>
            <w:vAlign w:val="bottom"/>
          </w:tcPr>
          <w:p>
            <w:pPr>
              <w:ind w:left="40"/>
              <w:spacing w:after="0"/>
              <w:rPr>
                <w:sz w:val="20"/>
                <w:szCs w:val="20"/>
                <w:color w:val="auto"/>
              </w:rPr>
            </w:pPr>
            <w:r>
              <w:rPr>
                <w:rFonts w:ascii="Arial" w:cs="Arial" w:eastAsia="Arial" w:hAnsi="Arial"/>
                <w:sz w:val="11"/>
                <w:szCs w:val="11"/>
                <w:color w:val="auto"/>
              </w:rPr>
              <w:t>Capital in</w:t>
            </w:r>
          </w:p>
        </w:tc>
        <w:tc>
          <w:tcPr>
            <w:tcW w:w="160" w:type="dxa"/>
            <w:vAlign w:val="bottom"/>
          </w:tcPr>
          <w:p>
            <w:pPr>
              <w:spacing w:after="0"/>
              <w:rPr>
                <w:sz w:val="10"/>
                <w:szCs w:val="10"/>
                <w:color w:val="auto"/>
              </w:rPr>
            </w:pPr>
          </w:p>
        </w:tc>
        <w:tc>
          <w:tcPr>
            <w:tcW w:w="780" w:type="dxa"/>
            <w:vAlign w:val="bottom"/>
            <w:vMerge w:val="restart"/>
          </w:tcPr>
          <w:p>
            <w:pPr>
              <w:jc w:val="right"/>
              <w:ind w:right="194"/>
              <w:spacing w:after="0"/>
              <w:rPr>
                <w:sz w:val="20"/>
                <w:szCs w:val="20"/>
                <w:color w:val="auto"/>
              </w:rPr>
            </w:pPr>
            <w:r>
              <w:rPr>
                <w:rFonts w:ascii="Arial" w:cs="Arial" w:eastAsia="Arial" w:hAnsi="Arial"/>
                <w:sz w:val="11"/>
                <w:szCs w:val="11"/>
                <w:color w:val="auto"/>
              </w:rPr>
              <w:t>Retained</w:t>
            </w:r>
          </w:p>
        </w:tc>
        <w:tc>
          <w:tcPr>
            <w:tcW w:w="1060" w:type="dxa"/>
            <w:vAlign w:val="bottom"/>
            <w:gridSpan w:val="2"/>
          </w:tcPr>
          <w:p>
            <w:pPr>
              <w:jc w:val="center"/>
              <w:spacing w:after="0"/>
              <w:rPr>
                <w:sz w:val="20"/>
                <w:szCs w:val="20"/>
                <w:color w:val="auto"/>
              </w:rPr>
            </w:pPr>
            <w:r>
              <w:rPr>
                <w:rFonts w:ascii="Arial" w:cs="Arial" w:eastAsia="Arial" w:hAnsi="Arial"/>
                <w:sz w:val="11"/>
                <w:szCs w:val="11"/>
                <w:color w:val="auto"/>
                <w:w w:val="99"/>
              </w:rPr>
              <w:t>Accumulated Other</w:t>
            </w:r>
          </w:p>
        </w:tc>
        <w:tc>
          <w:tcPr>
            <w:tcW w:w="180" w:type="dxa"/>
            <w:vAlign w:val="bottom"/>
          </w:tcPr>
          <w:p>
            <w:pPr>
              <w:spacing w:after="0"/>
              <w:rPr>
                <w:sz w:val="10"/>
                <w:szCs w:val="10"/>
                <w:color w:val="auto"/>
              </w:rPr>
            </w:pPr>
          </w:p>
        </w:tc>
        <w:tc>
          <w:tcPr>
            <w:tcW w:w="860" w:type="dxa"/>
            <w:vAlign w:val="bottom"/>
            <w:vMerge w:val="restart"/>
          </w:tcPr>
          <w:p>
            <w:pPr>
              <w:jc w:val="right"/>
              <w:ind w:right="254"/>
              <w:spacing w:after="0"/>
              <w:rPr>
                <w:sz w:val="20"/>
                <w:szCs w:val="20"/>
                <w:color w:val="auto"/>
              </w:rPr>
            </w:pPr>
            <w:r>
              <w:rPr>
                <w:rFonts w:ascii="Arial" w:cs="Arial" w:eastAsia="Arial" w:hAnsi="Arial"/>
                <w:sz w:val="11"/>
                <w:szCs w:val="11"/>
                <w:color w:val="auto"/>
              </w:rPr>
              <w:t>Treasury</w:t>
            </w:r>
          </w:p>
        </w:tc>
        <w:tc>
          <w:tcPr>
            <w:tcW w:w="100" w:type="dxa"/>
            <w:vAlign w:val="bottom"/>
          </w:tcPr>
          <w:p>
            <w:pPr>
              <w:spacing w:after="0"/>
              <w:rPr>
                <w:sz w:val="10"/>
                <w:szCs w:val="10"/>
                <w:color w:val="auto"/>
              </w:rPr>
            </w:pPr>
          </w:p>
        </w:tc>
        <w:tc>
          <w:tcPr>
            <w:tcW w:w="880" w:type="dxa"/>
            <w:vAlign w:val="bottom"/>
            <w:vMerge w:val="restart"/>
          </w:tcPr>
          <w:p>
            <w:pPr>
              <w:jc w:val="right"/>
              <w:ind w:right="94"/>
              <w:spacing w:after="0"/>
              <w:rPr>
                <w:sz w:val="20"/>
                <w:szCs w:val="20"/>
                <w:color w:val="auto"/>
              </w:rPr>
            </w:pPr>
            <w:r>
              <w:rPr>
                <w:rFonts w:ascii="Arial" w:cs="Arial" w:eastAsia="Arial" w:hAnsi="Arial"/>
                <w:sz w:val="11"/>
                <w:szCs w:val="11"/>
                <w:color w:val="auto"/>
                <w:w w:val="99"/>
              </w:rPr>
              <w:t>Noncontrolling</w:t>
            </w: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jc w:val="center"/>
              <w:ind w:right="75"/>
              <w:spacing w:after="0"/>
              <w:rPr>
                <w:sz w:val="20"/>
                <w:szCs w:val="20"/>
                <w:color w:val="auto"/>
              </w:rPr>
            </w:pPr>
            <w:r>
              <w:rPr>
                <w:rFonts w:ascii="Arial" w:cs="Arial" w:eastAsia="Arial" w:hAnsi="Arial"/>
                <w:sz w:val="11"/>
                <w:szCs w:val="11"/>
                <w:color w:val="auto"/>
                <w:w w:val="96"/>
              </w:rPr>
              <w:t>Redeemable</w:t>
            </w:r>
          </w:p>
        </w:tc>
        <w:tc>
          <w:tcPr>
            <w:tcW w:w="0" w:type="dxa"/>
            <w:vAlign w:val="bottom"/>
          </w:tcPr>
          <w:p>
            <w:pPr>
              <w:spacing w:after="0"/>
              <w:rPr>
                <w:sz w:val="1"/>
                <w:szCs w:val="1"/>
                <w:color w:val="auto"/>
              </w:rPr>
            </w:pPr>
          </w:p>
        </w:tc>
      </w:tr>
      <w:tr>
        <w:trPr>
          <w:trHeight w:val="108"/>
        </w:trPr>
        <w:tc>
          <w:tcPr>
            <w:tcW w:w="3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ind w:left="40"/>
              <w:spacing w:after="0" w:line="108" w:lineRule="exact"/>
              <w:rPr>
                <w:sz w:val="20"/>
                <w:szCs w:val="20"/>
                <w:color w:val="auto"/>
              </w:rPr>
            </w:pPr>
            <w:r>
              <w:rPr>
                <w:rFonts w:ascii="Arial" w:cs="Arial" w:eastAsia="Arial" w:hAnsi="Arial"/>
                <w:sz w:val="11"/>
                <w:szCs w:val="11"/>
                <w:color w:val="auto"/>
              </w:rPr>
              <w:t>Excess of</w:t>
            </w:r>
          </w:p>
        </w:tc>
        <w:tc>
          <w:tcPr>
            <w:tcW w:w="16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jc w:val="center"/>
              <w:ind w:right="56"/>
              <w:spacing w:after="0" w:line="108" w:lineRule="exact"/>
              <w:rPr>
                <w:sz w:val="20"/>
                <w:szCs w:val="20"/>
                <w:color w:val="auto"/>
              </w:rPr>
            </w:pPr>
            <w:r>
              <w:rPr>
                <w:rFonts w:ascii="Arial" w:cs="Arial" w:eastAsia="Arial" w:hAnsi="Arial"/>
                <w:sz w:val="11"/>
                <w:szCs w:val="11"/>
                <w:color w:val="auto"/>
                <w:w w:val="96"/>
              </w:rPr>
              <w:t>Comprehensive</w:t>
            </w:r>
          </w:p>
        </w:tc>
        <w:tc>
          <w:tcPr>
            <w:tcW w:w="18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jc w:val="center"/>
              <w:ind w:right="75"/>
              <w:spacing w:after="0" w:line="108" w:lineRule="exact"/>
              <w:rPr>
                <w:sz w:val="20"/>
                <w:szCs w:val="20"/>
                <w:color w:val="auto"/>
              </w:rPr>
            </w:pPr>
            <w:r>
              <w:rPr>
                <w:rFonts w:ascii="Arial" w:cs="Arial" w:eastAsia="Arial" w:hAnsi="Arial"/>
                <w:sz w:val="11"/>
                <w:szCs w:val="11"/>
                <w:color w:val="auto"/>
                <w:w w:val="96"/>
              </w:rPr>
              <w:t>Noncontrolling</w:t>
            </w:r>
          </w:p>
        </w:tc>
        <w:tc>
          <w:tcPr>
            <w:tcW w:w="0" w:type="dxa"/>
            <w:vAlign w:val="bottom"/>
          </w:tcPr>
          <w:p>
            <w:pPr>
              <w:spacing w:after="0"/>
              <w:rPr>
                <w:sz w:val="1"/>
                <w:szCs w:val="1"/>
                <w:color w:val="auto"/>
              </w:rPr>
            </w:pPr>
          </w:p>
        </w:tc>
      </w:tr>
      <w:tr>
        <w:trPr>
          <w:trHeight w:val="155"/>
        </w:trPr>
        <w:tc>
          <w:tcPr>
            <w:tcW w:w="3460" w:type="dxa"/>
            <w:vAlign w:val="bottom"/>
          </w:tcPr>
          <w:p>
            <w:pPr>
              <w:spacing w:after="0"/>
              <w:rPr>
                <w:sz w:val="20"/>
                <w:szCs w:val="20"/>
                <w:color w:val="auto"/>
              </w:rPr>
            </w:pPr>
            <w:r>
              <w:rPr>
                <w:rFonts w:ascii="Arial" w:cs="Arial" w:eastAsia="Arial" w:hAnsi="Arial"/>
                <w:sz w:val="11"/>
                <w:szCs w:val="11"/>
                <w:color w:val="auto"/>
              </w:rPr>
              <w:t>(in thousands)</w:t>
            </w:r>
          </w:p>
        </w:tc>
        <w:tc>
          <w:tcPr>
            <w:tcW w:w="100" w:type="dxa"/>
            <w:vAlign w:val="bottom"/>
          </w:tcPr>
          <w:p>
            <w:pPr>
              <w:spacing w:after="0"/>
              <w:rPr>
                <w:sz w:val="13"/>
                <w:szCs w:val="13"/>
                <w:color w:val="auto"/>
              </w:rPr>
            </w:pPr>
          </w:p>
        </w:tc>
        <w:tc>
          <w:tcPr>
            <w:tcW w:w="600" w:type="dxa"/>
            <w:vAlign w:val="bottom"/>
          </w:tcPr>
          <w:p>
            <w:pPr>
              <w:ind w:left="120"/>
              <w:spacing w:after="0"/>
              <w:rPr>
                <w:sz w:val="20"/>
                <w:szCs w:val="20"/>
                <w:color w:val="auto"/>
              </w:rPr>
            </w:pPr>
            <w:r>
              <w:rPr>
                <w:rFonts w:ascii="Arial" w:cs="Arial" w:eastAsia="Arial" w:hAnsi="Arial"/>
                <w:sz w:val="11"/>
                <w:szCs w:val="11"/>
                <w:color w:val="auto"/>
              </w:rPr>
              <w:t>Stock</w:t>
            </w:r>
          </w:p>
        </w:tc>
        <w:tc>
          <w:tcPr>
            <w:tcW w:w="16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color w:val="auto"/>
              </w:rPr>
              <w:t>Par Value</w:t>
            </w:r>
          </w:p>
        </w:tc>
        <w:tc>
          <w:tcPr>
            <w:tcW w:w="160" w:type="dxa"/>
            <w:vAlign w:val="bottom"/>
          </w:tcPr>
          <w:p>
            <w:pPr>
              <w:spacing w:after="0"/>
              <w:rPr>
                <w:sz w:val="13"/>
                <w:szCs w:val="13"/>
                <w:color w:val="auto"/>
              </w:rPr>
            </w:pPr>
          </w:p>
        </w:tc>
        <w:tc>
          <w:tcPr>
            <w:tcW w:w="780" w:type="dxa"/>
            <w:vAlign w:val="bottom"/>
          </w:tcPr>
          <w:p>
            <w:pPr>
              <w:jc w:val="right"/>
              <w:ind w:right="194"/>
              <w:spacing w:after="0"/>
              <w:rPr>
                <w:sz w:val="20"/>
                <w:szCs w:val="20"/>
                <w:color w:val="auto"/>
              </w:rPr>
            </w:pPr>
            <w:r>
              <w:rPr>
                <w:rFonts w:ascii="Arial" w:cs="Arial" w:eastAsia="Arial" w:hAnsi="Arial"/>
                <w:sz w:val="11"/>
                <w:szCs w:val="11"/>
                <w:color w:val="auto"/>
              </w:rPr>
              <w:t>Earnings</w:t>
            </w:r>
          </w:p>
        </w:tc>
        <w:tc>
          <w:tcPr>
            <w:tcW w:w="120" w:type="dxa"/>
            <w:vAlign w:val="bottom"/>
          </w:tcPr>
          <w:p>
            <w:pPr>
              <w:spacing w:after="0"/>
              <w:rPr>
                <w:sz w:val="13"/>
                <w:szCs w:val="13"/>
                <w:color w:val="auto"/>
              </w:rPr>
            </w:pPr>
          </w:p>
        </w:tc>
        <w:tc>
          <w:tcPr>
            <w:tcW w:w="940" w:type="dxa"/>
            <w:vAlign w:val="bottom"/>
          </w:tcPr>
          <w:p>
            <w:pPr>
              <w:jc w:val="center"/>
              <w:ind w:right="56"/>
              <w:spacing w:after="0"/>
              <w:rPr>
                <w:sz w:val="20"/>
                <w:szCs w:val="20"/>
                <w:color w:val="auto"/>
              </w:rPr>
            </w:pPr>
            <w:r>
              <w:rPr>
                <w:rFonts w:ascii="Arial" w:cs="Arial" w:eastAsia="Arial" w:hAnsi="Arial"/>
                <w:sz w:val="11"/>
                <w:szCs w:val="11"/>
                <w:color w:val="auto"/>
                <w:w w:val="94"/>
              </w:rPr>
              <w:t>Income</w:t>
            </w:r>
          </w:p>
        </w:tc>
        <w:tc>
          <w:tcPr>
            <w:tcW w:w="180" w:type="dxa"/>
            <w:vAlign w:val="bottom"/>
          </w:tcPr>
          <w:p>
            <w:pPr>
              <w:spacing w:after="0"/>
              <w:rPr>
                <w:sz w:val="13"/>
                <w:szCs w:val="13"/>
                <w:color w:val="auto"/>
              </w:rPr>
            </w:pPr>
          </w:p>
        </w:tc>
        <w:tc>
          <w:tcPr>
            <w:tcW w:w="860" w:type="dxa"/>
            <w:vAlign w:val="bottom"/>
          </w:tcPr>
          <w:p>
            <w:pPr>
              <w:jc w:val="right"/>
              <w:ind w:right="314"/>
              <w:spacing w:after="0"/>
              <w:rPr>
                <w:sz w:val="20"/>
                <w:szCs w:val="20"/>
                <w:color w:val="auto"/>
              </w:rPr>
            </w:pPr>
            <w:r>
              <w:rPr>
                <w:rFonts w:ascii="Arial" w:cs="Arial" w:eastAsia="Arial" w:hAnsi="Arial"/>
                <w:sz w:val="11"/>
                <w:szCs w:val="11"/>
                <w:color w:val="auto"/>
              </w:rPr>
              <w:t>Stock</w:t>
            </w:r>
          </w:p>
        </w:tc>
        <w:tc>
          <w:tcPr>
            <w:tcW w:w="100" w:type="dxa"/>
            <w:vAlign w:val="bottom"/>
          </w:tcPr>
          <w:p>
            <w:pPr>
              <w:spacing w:after="0"/>
              <w:rPr>
                <w:sz w:val="13"/>
                <w:szCs w:val="13"/>
                <w:color w:val="auto"/>
              </w:rPr>
            </w:pPr>
          </w:p>
        </w:tc>
        <w:tc>
          <w:tcPr>
            <w:tcW w:w="880" w:type="dxa"/>
            <w:vAlign w:val="bottom"/>
          </w:tcPr>
          <w:p>
            <w:pPr>
              <w:jc w:val="right"/>
              <w:ind w:right="254"/>
              <w:spacing w:after="0"/>
              <w:rPr>
                <w:sz w:val="20"/>
                <w:szCs w:val="20"/>
                <w:color w:val="auto"/>
              </w:rPr>
            </w:pPr>
            <w:r>
              <w:rPr>
                <w:rFonts w:ascii="Arial" w:cs="Arial" w:eastAsia="Arial" w:hAnsi="Arial"/>
                <w:sz w:val="11"/>
                <w:szCs w:val="11"/>
                <w:color w:val="auto"/>
              </w:rPr>
              <w:t>Interest</w:t>
            </w:r>
          </w:p>
        </w:tc>
        <w:tc>
          <w:tcPr>
            <w:tcW w:w="160" w:type="dxa"/>
            <w:vAlign w:val="bottom"/>
          </w:tcPr>
          <w:p>
            <w:pPr>
              <w:spacing w:after="0"/>
              <w:rPr>
                <w:sz w:val="13"/>
                <w:szCs w:val="13"/>
                <w:color w:val="auto"/>
              </w:rPr>
            </w:pPr>
          </w:p>
        </w:tc>
        <w:tc>
          <w:tcPr>
            <w:tcW w:w="860" w:type="dxa"/>
            <w:vAlign w:val="bottom"/>
          </w:tcPr>
          <w:p>
            <w:pPr>
              <w:jc w:val="right"/>
              <w:ind w:right="193"/>
              <w:spacing w:after="0"/>
              <w:rPr>
                <w:sz w:val="20"/>
                <w:szCs w:val="20"/>
                <w:color w:val="auto"/>
              </w:rPr>
            </w:pPr>
            <w:r>
              <w:rPr>
                <w:rFonts w:ascii="Arial" w:cs="Arial" w:eastAsia="Arial" w:hAnsi="Arial"/>
                <w:sz w:val="11"/>
                <w:szCs w:val="11"/>
                <w:color w:val="auto"/>
                <w:w w:val="99"/>
              </w:rPr>
              <w:t>Total Equity</w:t>
            </w:r>
          </w:p>
        </w:tc>
        <w:tc>
          <w:tcPr>
            <w:tcW w:w="200" w:type="dxa"/>
            <w:vAlign w:val="bottom"/>
          </w:tcPr>
          <w:p>
            <w:pPr>
              <w:spacing w:after="0"/>
              <w:rPr>
                <w:sz w:val="13"/>
                <w:szCs w:val="13"/>
                <w:color w:val="auto"/>
              </w:rPr>
            </w:pPr>
          </w:p>
        </w:tc>
        <w:tc>
          <w:tcPr>
            <w:tcW w:w="900" w:type="dxa"/>
            <w:vAlign w:val="bottom"/>
          </w:tcPr>
          <w:p>
            <w:pPr>
              <w:jc w:val="center"/>
              <w:ind w:right="75"/>
              <w:spacing w:after="0"/>
              <w:rPr>
                <w:sz w:val="20"/>
                <w:szCs w:val="20"/>
                <w:color w:val="auto"/>
              </w:rPr>
            </w:pPr>
            <w:r>
              <w:rPr>
                <w:rFonts w:ascii="Arial" w:cs="Arial" w:eastAsia="Arial" w:hAnsi="Arial"/>
                <w:sz w:val="11"/>
                <w:szCs w:val="11"/>
                <w:color w:val="auto"/>
                <w:w w:val="97"/>
              </w:rPr>
              <w:t>Interest</w:t>
            </w:r>
          </w:p>
        </w:tc>
        <w:tc>
          <w:tcPr>
            <w:tcW w:w="0" w:type="dxa"/>
            <w:vAlign w:val="bottom"/>
          </w:tcPr>
          <w:p>
            <w:pPr>
              <w:spacing w:after="0"/>
              <w:rPr>
                <w:sz w:val="1"/>
                <w:szCs w:val="1"/>
                <w:color w:val="auto"/>
              </w:rPr>
            </w:pPr>
          </w:p>
        </w:tc>
      </w:tr>
      <w:tr>
        <w:trPr>
          <w:trHeight w:val="33"/>
        </w:trPr>
        <w:tc>
          <w:tcPr>
            <w:tcW w:w="3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3460" w:type="dxa"/>
            <w:vAlign w:val="bottom"/>
          </w:tcPr>
          <w:p>
            <w:pPr>
              <w:spacing w:after="0"/>
              <w:rPr>
                <w:sz w:val="20"/>
                <w:szCs w:val="20"/>
                <w:color w:val="auto"/>
              </w:rPr>
            </w:pPr>
            <w:r>
              <w:rPr>
                <w:rFonts w:ascii="Arial" w:cs="Arial" w:eastAsia="Arial" w:hAnsi="Arial"/>
                <w:sz w:val="13"/>
                <w:szCs w:val="13"/>
                <w:color w:val="auto"/>
              </w:rPr>
              <w:t>As of December 31, 2025</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ind w:left="140"/>
              <w:spacing w:after="0"/>
              <w:rPr>
                <w:sz w:val="20"/>
                <w:szCs w:val="20"/>
                <w:color w:val="auto"/>
              </w:rPr>
            </w:pPr>
            <w:r>
              <w:rPr>
                <w:rFonts w:ascii="Arial" w:cs="Arial" w:eastAsia="Arial" w:hAnsi="Arial"/>
                <w:sz w:val="13"/>
                <w:szCs w:val="13"/>
                <w:color w:val="auto"/>
              </w:rPr>
              <w:t>20,000</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379,896</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8,292,681</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587,080</w:t>
            </w: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(4,485,632)</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33,302</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4,827,327</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39,824</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3"/>
                <w:szCs w:val="13"/>
                <w:color w:val="auto"/>
              </w:rPr>
              <w:t>Net income for the period</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30,751</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30,751</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3"/>
                <w:szCs w:val="13"/>
                <w:color w:val="auto"/>
              </w:rPr>
              <w:t>Net income attributable to noncontrolling interests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(699)</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699</w:t>
            </w:r>
          </w:p>
        </w:tc>
        <w:tc>
          <w:tcPr>
            <w:tcW w:w="160" w:type="dxa"/>
            <w:vAlign w:val="bottom"/>
          </w:tcPr>
          <w:p>
            <w:pPr>
              <w:spacing w:after="0"/>
              <w:rPr>
                <w:sz w:val="18"/>
                <w:szCs w:val="18"/>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460" w:type="dxa"/>
            <w:vAlign w:val="bottom"/>
          </w:tcPr>
          <w:p>
            <w:pPr>
              <w:spacing w:after="0"/>
              <w:rPr>
                <w:sz w:val="20"/>
                <w:szCs w:val="20"/>
                <w:color w:val="auto"/>
              </w:rPr>
            </w:pPr>
            <w:r>
              <w:rPr>
                <w:rFonts w:ascii="Arial" w:cs="Arial" w:eastAsia="Arial" w:hAnsi="Arial"/>
                <w:sz w:val="13"/>
                <w:szCs w:val="13"/>
                <w:color w:val="auto"/>
              </w:rPr>
              <w:t>Net income attributable to redeemable noncontrolling</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460" w:type="dxa"/>
            <w:vAlign w:val="bottom"/>
          </w:tcPr>
          <w:p>
            <w:pPr>
              <w:ind w:left="160"/>
              <w:spacing w:after="0"/>
              <w:rPr>
                <w:sz w:val="20"/>
                <w:szCs w:val="20"/>
                <w:color w:val="auto"/>
              </w:rPr>
            </w:pPr>
            <w:r>
              <w:rPr>
                <w:rFonts w:ascii="Arial" w:cs="Arial" w:eastAsia="Arial" w:hAnsi="Arial"/>
                <w:sz w:val="13"/>
                <w:szCs w:val="13"/>
                <w:color w:val="auto"/>
              </w:rPr>
              <w:t>interests</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(946)</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(946)</w:t>
            </w: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946</w:t>
            </w:r>
          </w:p>
        </w:tc>
        <w:tc>
          <w:tcPr>
            <w:tcW w:w="0" w:type="dxa"/>
            <w:vAlign w:val="bottom"/>
          </w:tcPr>
          <w:p>
            <w:pPr>
              <w:spacing w:after="0"/>
              <w:rPr>
                <w:sz w:val="1"/>
                <w:szCs w:val="1"/>
                <w:color w:val="auto"/>
              </w:rPr>
            </w:pPr>
          </w:p>
        </w:tc>
      </w:tr>
      <w:tr>
        <w:trPr>
          <w:trHeight w:val="188"/>
        </w:trPr>
        <w:tc>
          <w:tcPr>
            <w:tcW w:w="3460" w:type="dxa"/>
            <w:vAlign w:val="bottom"/>
          </w:tcPr>
          <w:p>
            <w:pPr>
              <w:spacing w:after="0"/>
              <w:rPr>
                <w:sz w:val="20"/>
                <w:szCs w:val="20"/>
                <w:color w:val="auto"/>
              </w:rPr>
            </w:pPr>
            <w:r>
              <w:rPr>
                <w:rFonts w:ascii="Arial" w:cs="Arial" w:eastAsia="Arial" w:hAnsi="Arial"/>
                <w:sz w:val="13"/>
                <w:szCs w:val="13"/>
                <w:color w:val="auto"/>
              </w:rPr>
              <w:t>Change in redemption value of redeemable</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460" w:type="dxa"/>
            <w:vAlign w:val="bottom"/>
          </w:tcPr>
          <w:p>
            <w:pPr>
              <w:ind w:left="160"/>
              <w:spacing w:after="0"/>
              <w:rPr>
                <w:sz w:val="20"/>
                <w:szCs w:val="20"/>
                <w:color w:val="auto"/>
              </w:rPr>
            </w:pPr>
            <w:r>
              <w:rPr>
                <w:rFonts w:ascii="Arial" w:cs="Arial" w:eastAsia="Arial" w:hAnsi="Arial"/>
                <w:sz w:val="13"/>
                <w:szCs w:val="13"/>
                <w:color w:val="auto"/>
              </w:rPr>
              <w:t>noncontrolling interest</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(8,225)</w:t>
            </w: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w:t>
            </w:r>
          </w:p>
        </w:tc>
        <w:tc>
          <w:tcPr>
            <w:tcW w:w="160" w:type="dxa"/>
            <w:vAlign w:val="bottom"/>
          </w:tcPr>
          <w:p>
            <w:pPr>
              <w:spacing w:after="0"/>
              <w:rPr>
                <w:sz w:val="15"/>
                <w:szCs w:val="15"/>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(8,229)</w:t>
            </w: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8,250</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3"/>
                <w:szCs w:val="13"/>
                <w:color w:val="auto"/>
              </w:rPr>
              <w:t>Distributions to noncontrolling interests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(884)</w:t>
            </w:r>
          </w:p>
        </w:tc>
        <w:tc>
          <w:tcPr>
            <w:tcW w:w="160" w:type="dxa"/>
            <w:vAlign w:val="bottom"/>
          </w:tcPr>
          <w:p>
            <w:pPr>
              <w:spacing w:after="0"/>
              <w:rPr>
                <w:sz w:val="18"/>
                <w:szCs w:val="18"/>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(884)</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(2,251)</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3"/>
                <w:szCs w:val="13"/>
                <w:color w:val="auto"/>
              </w:rPr>
              <w:t>Dividends on common stock</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(16,398)</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(16,398)</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3"/>
                <w:szCs w:val="13"/>
                <w:color w:val="auto"/>
              </w:rPr>
              <w:t>Repurchase of Class B common stock</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(34,476)</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(34,476)</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460" w:type="dxa"/>
            <w:vAlign w:val="bottom"/>
          </w:tcPr>
          <w:p>
            <w:pPr>
              <w:spacing w:after="0"/>
              <w:rPr>
                <w:sz w:val="20"/>
                <w:szCs w:val="20"/>
                <w:color w:val="auto"/>
              </w:rPr>
            </w:pPr>
            <w:r>
              <w:rPr>
                <w:rFonts w:ascii="Arial" w:cs="Arial" w:eastAsia="Arial" w:hAnsi="Arial"/>
                <w:sz w:val="13"/>
                <w:szCs w:val="13"/>
                <w:color w:val="auto"/>
              </w:rPr>
              <w:t>Issuance of Class B common stock, net of restricted</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460" w:type="dxa"/>
            <w:vAlign w:val="bottom"/>
          </w:tcPr>
          <w:p>
            <w:pPr>
              <w:ind w:left="160"/>
              <w:spacing w:after="0"/>
              <w:rPr>
                <w:sz w:val="20"/>
                <w:szCs w:val="20"/>
                <w:color w:val="auto"/>
              </w:rPr>
            </w:pPr>
            <w:r>
              <w:rPr>
                <w:rFonts w:ascii="Arial" w:cs="Arial" w:eastAsia="Arial" w:hAnsi="Arial"/>
                <w:sz w:val="13"/>
                <w:szCs w:val="13"/>
                <w:color w:val="auto"/>
              </w:rPr>
              <w:t>stock award forfeitures</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(252)</w:t>
            </w: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224</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(28)</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3"/>
                <w:szCs w:val="13"/>
                <w:color w:val="auto"/>
              </w:rPr>
              <w:t>Shares withheld related to net share settlement</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(434)</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(434)</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460" w:type="dxa"/>
            <w:vAlign w:val="bottom"/>
          </w:tcPr>
          <w:p>
            <w:pPr>
              <w:spacing w:after="0"/>
              <w:rPr>
                <w:sz w:val="20"/>
                <w:szCs w:val="20"/>
                <w:color w:val="auto"/>
              </w:rPr>
            </w:pPr>
            <w:r>
              <w:rPr>
                <w:rFonts w:ascii="Arial" w:cs="Arial" w:eastAsia="Arial" w:hAnsi="Arial"/>
                <w:sz w:val="13"/>
                <w:szCs w:val="13"/>
                <w:color w:val="auto"/>
              </w:rPr>
              <w:t>Amortization of unearned stock compensation and stock</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460" w:type="dxa"/>
            <w:vAlign w:val="bottom"/>
          </w:tcPr>
          <w:p>
            <w:pPr>
              <w:ind w:left="160"/>
              <w:spacing w:after="0"/>
              <w:rPr>
                <w:sz w:val="20"/>
                <w:szCs w:val="20"/>
                <w:color w:val="auto"/>
              </w:rPr>
            </w:pPr>
            <w:r>
              <w:rPr>
                <w:rFonts w:ascii="Arial" w:cs="Arial" w:eastAsia="Arial" w:hAnsi="Arial"/>
                <w:sz w:val="13"/>
                <w:szCs w:val="13"/>
                <w:color w:val="auto"/>
              </w:rPr>
              <w:t>option expense</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1,525</w:t>
            </w: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1,525</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3"/>
                <w:szCs w:val="13"/>
                <w:color w:val="auto"/>
              </w:rPr>
              <w:t>Purchase of noncontrolling interest</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(26,001)</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939</w:t>
            </w:r>
          </w:p>
        </w:tc>
        <w:tc>
          <w:tcPr>
            <w:tcW w:w="160" w:type="dxa"/>
            <w:vAlign w:val="bottom"/>
          </w:tcPr>
          <w:p>
            <w:pPr>
              <w:spacing w:after="0"/>
              <w:rPr>
                <w:sz w:val="18"/>
                <w:szCs w:val="18"/>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(25,062)</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3"/>
                <w:szCs w:val="13"/>
                <w:color w:val="auto"/>
              </w:rPr>
              <w:t>Other comprehensive loss, net of income taxes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(6,342)</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(6,342)</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60" w:type="dxa"/>
            <w:vAlign w:val="bottom"/>
          </w:tcPr>
          <w:p>
            <w:pPr>
              <w:spacing w:after="0"/>
              <w:rPr>
                <w:sz w:val="20"/>
                <w:szCs w:val="20"/>
                <w:color w:val="auto"/>
              </w:rPr>
            </w:pPr>
            <w:r>
              <w:rPr>
                <w:rFonts w:ascii="Arial" w:cs="Arial" w:eastAsia="Arial" w:hAnsi="Arial"/>
                <w:sz w:val="13"/>
                <w:szCs w:val="13"/>
                <w:color w:val="auto"/>
              </w:rPr>
              <w:t>Purchase of redeemable noncontrolling interests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(16,849)</w:t>
            </w: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Arial" w:cs="Arial" w:eastAsia="Arial" w:hAnsi="Arial"/>
                <w:sz w:val="13"/>
                <w:szCs w:val="13"/>
                <w:color w:val="auto"/>
              </w:rPr>
              <w:t>As of March 31, 2026</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ind w:left="140"/>
              <w:spacing w:after="0"/>
              <w:rPr>
                <w:sz w:val="20"/>
                <w:szCs w:val="20"/>
                <w:color w:val="auto"/>
              </w:rPr>
            </w:pPr>
            <w:r>
              <w:rPr>
                <w:rFonts w:ascii="Arial" w:cs="Arial" w:eastAsia="Arial" w:hAnsi="Arial"/>
                <w:sz w:val="13"/>
                <w:szCs w:val="13"/>
                <w:color w:val="auto"/>
              </w:rPr>
              <w:t>20,000</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346,943</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8,305,389</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580,738</w:t>
            </w: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(4,520,318)</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34,052</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4,766,804</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29,920</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3"/>
                <w:szCs w:val="13"/>
                <w:color w:val="auto"/>
              </w:rPr>
              <w:t>Net income for the period</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282,376</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282,376</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3"/>
                <w:szCs w:val="13"/>
                <w:color w:val="auto"/>
              </w:rPr>
              <w:t>Net income attributable to noncontrolling interests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(1,348)</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1,348</w:t>
            </w:r>
          </w:p>
        </w:tc>
        <w:tc>
          <w:tcPr>
            <w:tcW w:w="160" w:type="dxa"/>
            <w:vAlign w:val="bottom"/>
          </w:tcPr>
          <w:p>
            <w:pPr>
              <w:spacing w:after="0"/>
              <w:rPr>
                <w:sz w:val="18"/>
                <w:szCs w:val="18"/>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460" w:type="dxa"/>
            <w:vAlign w:val="bottom"/>
          </w:tcPr>
          <w:p>
            <w:pPr>
              <w:spacing w:after="0"/>
              <w:rPr>
                <w:sz w:val="20"/>
                <w:szCs w:val="20"/>
                <w:color w:val="auto"/>
              </w:rPr>
            </w:pPr>
            <w:r>
              <w:rPr>
                <w:rFonts w:ascii="Arial" w:cs="Arial" w:eastAsia="Arial" w:hAnsi="Arial"/>
                <w:sz w:val="13"/>
                <w:szCs w:val="13"/>
                <w:color w:val="auto"/>
              </w:rPr>
              <w:t>Net loss attributable to redeemable noncontrolling</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460" w:type="dxa"/>
            <w:vAlign w:val="bottom"/>
          </w:tcPr>
          <w:p>
            <w:pPr>
              <w:ind w:left="160"/>
              <w:spacing w:after="0"/>
              <w:rPr>
                <w:sz w:val="20"/>
                <w:szCs w:val="20"/>
                <w:color w:val="auto"/>
              </w:rPr>
            </w:pPr>
            <w:r>
              <w:rPr>
                <w:rFonts w:ascii="Arial" w:cs="Arial" w:eastAsia="Arial" w:hAnsi="Arial"/>
                <w:sz w:val="13"/>
                <w:szCs w:val="13"/>
                <w:color w:val="auto"/>
              </w:rPr>
              <w:t>interests</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75</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75</w:t>
            </w: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(75)</w:t>
            </w:r>
          </w:p>
        </w:tc>
        <w:tc>
          <w:tcPr>
            <w:tcW w:w="0" w:type="dxa"/>
            <w:vAlign w:val="bottom"/>
          </w:tcPr>
          <w:p>
            <w:pPr>
              <w:spacing w:after="0"/>
              <w:rPr>
                <w:sz w:val="1"/>
                <w:szCs w:val="1"/>
                <w:color w:val="auto"/>
              </w:rPr>
            </w:pPr>
          </w:p>
        </w:tc>
      </w:tr>
      <w:tr>
        <w:trPr>
          <w:trHeight w:val="188"/>
        </w:trPr>
        <w:tc>
          <w:tcPr>
            <w:tcW w:w="3460" w:type="dxa"/>
            <w:vAlign w:val="bottom"/>
          </w:tcPr>
          <w:p>
            <w:pPr>
              <w:spacing w:after="0"/>
              <w:rPr>
                <w:sz w:val="20"/>
                <w:szCs w:val="20"/>
                <w:color w:val="auto"/>
              </w:rPr>
            </w:pPr>
            <w:r>
              <w:rPr>
                <w:rFonts w:ascii="Arial" w:cs="Arial" w:eastAsia="Arial" w:hAnsi="Arial"/>
                <w:sz w:val="13"/>
                <w:szCs w:val="13"/>
                <w:color w:val="auto"/>
              </w:rPr>
              <w:t>Change in redemption value of redeemable</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460" w:type="dxa"/>
            <w:vAlign w:val="bottom"/>
          </w:tcPr>
          <w:p>
            <w:pPr>
              <w:ind w:left="160"/>
              <w:spacing w:after="0"/>
              <w:rPr>
                <w:sz w:val="20"/>
                <w:szCs w:val="20"/>
                <w:color w:val="auto"/>
              </w:rPr>
            </w:pPr>
            <w:r>
              <w:rPr>
                <w:rFonts w:ascii="Arial" w:cs="Arial" w:eastAsia="Arial" w:hAnsi="Arial"/>
                <w:sz w:val="13"/>
                <w:szCs w:val="13"/>
                <w:color w:val="auto"/>
              </w:rPr>
              <w:t>noncontrolling interests</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4,427</w:t>
            </w: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210</w:t>
            </w:r>
          </w:p>
        </w:tc>
        <w:tc>
          <w:tcPr>
            <w:tcW w:w="160" w:type="dxa"/>
            <w:vAlign w:val="bottom"/>
          </w:tcPr>
          <w:p>
            <w:pPr>
              <w:spacing w:after="0"/>
              <w:rPr>
                <w:sz w:val="15"/>
                <w:szCs w:val="15"/>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4,637</w:t>
            </w: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(4,427)</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3"/>
                <w:szCs w:val="13"/>
                <w:color w:val="auto"/>
              </w:rPr>
              <w:t>Distributions to noncontrolling interests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(1,088)</w:t>
            </w:r>
          </w:p>
        </w:tc>
        <w:tc>
          <w:tcPr>
            <w:tcW w:w="160" w:type="dxa"/>
            <w:vAlign w:val="bottom"/>
          </w:tcPr>
          <w:p>
            <w:pPr>
              <w:spacing w:after="0"/>
              <w:rPr>
                <w:sz w:val="18"/>
                <w:szCs w:val="18"/>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(1,088)</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3"/>
                <w:szCs w:val="13"/>
                <w:color w:val="auto"/>
              </w:rPr>
              <w:t>Dividends on common stock</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(7,953)</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(7,953)</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3"/>
                <w:szCs w:val="13"/>
                <w:color w:val="auto"/>
              </w:rPr>
              <w:t>Repurchase of Class B common stock</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(88,718)</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(88,718)</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460" w:type="dxa"/>
            <w:vAlign w:val="bottom"/>
          </w:tcPr>
          <w:p>
            <w:pPr>
              <w:spacing w:after="0"/>
              <w:rPr>
                <w:sz w:val="20"/>
                <w:szCs w:val="20"/>
                <w:color w:val="auto"/>
              </w:rPr>
            </w:pPr>
            <w:r>
              <w:rPr>
                <w:rFonts w:ascii="Arial" w:cs="Arial" w:eastAsia="Arial" w:hAnsi="Arial"/>
                <w:sz w:val="13"/>
                <w:szCs w:val="13"/>
                <w:color w:val="auto"/>
              </w:rPr>
              <w:t>Issuance of Class B common stock, net of restricted</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460" w:type="dxa"/>
            <w:vAlign w:val="bottom"/>
          </w:tcPr>
          <w:p>
            <w:pPr>
              <w:ind w:left="160"/>
              <w:spacing w:after="0"/>
              <w:rPr>
                <w:sz w:val="20"/>
                <w:szCs w:val="20"/>
                <w:color w:val="auto"/>
              </w:rPr>
            </w:pPr>
            <w:r>
              <w:rPr>
                <w:rFonts w:ascii="Arial" w:cs="Arial" w:eastAsia="Arial" w:hAnsi="Arial"/>
                <w:sz w:val="13"/>
                <w:szCs w:val="13"/>
                <w:color w:val="auto"/>
              </w:rPr>
              <w:t>stock award forfeitures</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(160)</w:t>
            </w: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(157)</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460" w:type="dxa"/>
            <w:vAlign w:val="bottom"/>
          </w:tcPr>
          <w:p>
            <w:pPr>
              <w:spacing w:after="0"/>
              <w:rPr>
                <w:sz w:val="20"/>
                <w:szCs w:val="20"/>
                <w:color w:val="auto"/>
              </w:rPr>
            </w:pPr>
            <w:r>
              <w:rPr>
                <w:rFonts w:ascii="Arial" w:cs="Arial" w:eastAsia="Arial" w:hAnsi="Arial"/>
                <w:sz w:val="13"/>
                <w:szCs w:val="13"/>
                <w:color w:val="auto"/>
              </w:rPr>
              <w:t>Amortization of unearned stock compensation and stock</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460" w:type="dxa"/>
            <w:vAlign w:val="bottom"/>
          </w:tcPr>
          <w:p>
            <w:pPr>
              <w:ind w:left="160"/>
              <w:spacing w:after="0"/>
              <w:rPr>
                <w:sz w:val="20"/>
                <w:szCs w:val="20"/>
                <w:color w:val="auto"/>
              </w:rPr>
            </w:pPr>
            <w:r>
              <w:rPr>
                <w:rFonts w:ascii="Arial" w:cs="Arial" w:eastAsia="Arial" w:hAnsi="Arial"/>
                <w:sz w:val="13"/>
                <w:szCs w:val="13"/>
                <w:color w:val="auto"/>
              </w:rPr>
              <w:t>option expense</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1,773</w:t>
            </w: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1,773</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3460" w:type="dxa"/>
            <w:vAlign w:val="bottom"/>
          </w:tcPr>
          <w:p>
            <w:pPr>
              <w:spacing w:after="0"/>
              <w:rPr>
                <w:sz w:val="20"/>
                <w:szCs w:val="20"/>
                <w:color w:val="auto"/>
              </w:rPr>
            </w:pPr>
            <w:r>
              <w:rPr>
                <w:rFonts w:ascii="Arial" w:cs="Arial" w:eastAsia="Arial" w:hAnsi="Arial"/>
                <w:sz w:val="13"/>
                <w:szCs w:val="13"/>
                <w:color w:val="auto"/>
              </w:rPr>
              <w:t>Other comprehensive loss, net of income taxes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(161,649)</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(161,649)</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3460" w:type="dxa"/>
            <w:vAlign w:val="bottom"/>
          </w:tcPr>
          <w:p>
            <w:pPr>
              <w:spacing w:after="0"/>
              <w:rPr>
                <w:sz w:val="20"/>
                <w:szCs w:val="20"/>
                <w:color w:val="auto"/>
              </w:rPr>
            </w:pPr>
            <w:r>
              <w:rPr>
                <w:rFonts w:ascii="Arial" w:cs="Arial" w:eastAsia="Arial" w:hAnsi="Arial"/>
                <w:sz w:val="13"/>
                <w:szCs w:val="13"/>
                <w:color w:val="auto"/>
              </w:rPr>
              <w:t>As of June 30, 2026</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ind w:left="140"/>
              <w:spacing w:after="0"/>
              <w:rPr>
                <w:sz w:val="20"/>
                <w:szCs w:val="20"/>
                <w:color w:val="auto"/>
              </w:rPr>
            </w:pPr>
            <w:r>
              <w:rPr>
                <w:rFonts w:ascii="Arial" w:cs="Arial" w:eastAsia="Arial" w:hAnsi="Arial"/>
                <w:sz w:val="13"/>
                <w:szCs w:val="13"/>
                <w:color w:val="auto"/>
              </w:rPr>
              <w:t>20,000</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352,983</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8,578,539</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419,089</w:t>
            </w: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(4,609,033)</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34,522</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4,796,100</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25,386</w:t>
            </w:r>
          </w:p>
        </w:tc>
        <w:tc>
          <w:tcPr>
            <w:tcW w:w="0" w:type="dxa"/>
            <w:vAlign w:val="bottom"/>
          </w:tcPr>
          <w:p>
            <w:pPr>
              <w:spacing w:after="0"/>
              <w:rPr>
                <w:sz w:val="1"/>
                <w:szCs w:val="1"/>
                <w:color w:val="auto"/>
              </w:rPr>
            </w:pPr>
          </w:p>
        </w:tc>
      </w:tr>
      <w:tr>
        <w:trPr>
          <w:trHeight w:val="224"/>
        </w:trPr>
        <w:tc>
          <w:tcPr>
            <w:tcW w:w="3460" w:type="dxa"/>
            <w:vAlign w:val="bottom"/>
          </w:tcPr>
          <w:p>
            <w:pPr>
              <w:spacing w:after="0"/>
              <w:rPr>
                <w:sz w:val="20"/>
                <w:szCs w:val="20"/>
                <w:color w:val="auto"/>
              </w:rPr>
            </w:pPr>
            <w:r>
              <w:rPr>
                <w:rFonts w:ascii="Arial" w:cs="Arial" w:eastAsia="Arial" w:hAnsi="Arial"/>
                <w:sz w:val="13"/>
                <w:szCs w:val="13"/>
                <w:b w:val="1"/>
                <w:bCs w:val="1"/>
                <w:color w:val="auto"/>
              </w:rPr>
              <w:t>Net income for the period</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77,243</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b w:val="1"/>
                <w:bCs w:val="1"/>
                <w:color w:val="auto"/>
              </w:rPr>
              <w:t>77,243</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3"/>
                <w:szCs w:val="13"/>
                <w:b w:val="1"/>
                <w:bCs w:val="1"/>
                <w:color w:val="auto"/>
              </w:rPr>
              <w:t>Net income attributable to noncontrolling interests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(1,550)</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1,550</w:t>
            </w:r>
          </w:p>
        </w:tc>
        <w:tc>
          <w:tcPr>
            <w:tcW w:w="160" w:type="dxa"/>
            <w:vAlign w:val="bottom"/>
          </w:tcPr>
          <w:p>
            <w:pPr>
              <w:spacing w:after="0"/>
              <w:rPr>
                <w:sz w:val="18"/>
                <w:szCs w:val="18"/>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3460" w:type="dxa"/>
            <w:vAlign w:val="bottom"/>
          </w:tcPr>
          <w:p>
            <w:pPr>
              <w:spacing w:after="0"/>
              <w:rPr>
                <w:sz w:val="20"/>
                <w:szCs w:val="20"/>
                <w:color w:val="auto"/>
              </w:rPr>
            </w:pPr>
            <w:r>
              <w:rPr>
                <w:rFonts w:ascii="Arial" w:cs="Arial" w:eastAsia="Arial" w:hAnsi="Arial"/>
                <w:sz w:val="13"/>
                <w:szCs w:val="13"/>
                <w:b w:val="1"/>
                <w:bCs w:val="1"/>
                <w:color w:val="auto"/>
              </w:rPr>
              <w:t>Net income attributable to redeemable</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(583)</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vMerge w:val="restart"/>
          </w:tcPr>
          <w:p>
            <w:pPr>
              <w:jc w:val="right"/>
              <w:ind w:right="13"/>
              <w:spacing w:after="0"/>
              <w:rPr>
                <w:sz w:val="20"/>
                <w:szCs w:val="20"/>
                <w:color w:val="auto"/>
              </w:rPr>
            </w:pPr>
            <w:r>
              <w:rPr>
                <w:rFonts w:ascii="Arial" w:cs="Arial" w:eastAsia="Arial" w:hAnsi="Arial"/>
                <w:sz w:val="13"/>
                <w:szCs w:val="13"/>
                <w:b w:val="1"/>
                <w:bCs w:val="1"/>
                <w:color w:val="auto"/>
              </w:rPr>
              <w:t>(583)</w:t>
            </w:r>
          </w:p>
        </w:tc>
        <w:tc>
          <w:tcPr>
            <w:tcW w:w="20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583</w:t>
            </w:r>
          </w:p>
        </w:tc>
        <w:tc>
          <w:tcPr>
            <w:tcW w:w="0" w:type="dxa"/>
            <w:vAlign w:val="bottom"/>
          </w:tcPr>
          <w:p>
            <w:pPr>
              <w:spacing w:after="0"/>
              <w:rPr>
                <w:sz w:val="1"/>
                <w:szCs w:val="1"/>
                <w:color w:val="auto"/>
              </w:rPr>
            </w:pPr>
          </w:p>
        </w:tc>
      </w:tr>
      <w:tr>
        <w:trPr>
          <w:trHeight w:val="186"/>
        </w:trPr>
        <w:tc>
          <w:tcPr>
            <w:tcW w:w="3460" w:type="dxa"/>
            <w:vAlign w:val="bottom"/>
          </w:tcPr>
          <w:p>
            <w:pPr>
              <w:ind w:left="160"/>
              <w:spacing w:after="0"/>
              <w:rPr>
                <w:sz w:val="20"/>
                <w:szCs w:val="20"/>
                <w:color w:val="auto"/>
              </w:rPr>
            </w:pPr>
            <w:r>
              <w:rPr>
                <w:rFonts w:ascii="Arial" w:cs="Arial" w:eastAsia="Arial" w:hAnsi="Arial"/>
                <w:sz w:val="13"/>
                <w:szCs w:val="13"/>
                <w:b w:val="1"/>
                <w:bCs w:val="1"/>
                <w:color w:val="auto"/>
              </w:rPr>
              <w:t>noncontrolling interests</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460" w:type="dxa"/>
            <w:vAlign w:val="bottom"/>
          </w:tcPr>
          <w:p>
            <w:pPr>
              <w:spacing w:after="0"/>
              <w:rPr>
                <w:sz w:val="20"/>
                <w:szCs w:val="20"/>
                <w:color w:val="auto"/>
              </w:rPr>
            </w:pPr>
            <w:r>
              <w:rPr>
                <w:rFonts w:ascii="Arial" w:cs="Arial" w:eastAsia="Arial" w:hAnsi="Arial"/>
                <w:sz w:val="13"/>
                <w:szCs w:val="13"/>
                <w:b w:val="1"/>
                <w:bCs w:val="1"/>
                <w:color w:val="auto"/>
              </w:rPr>
              <w:t>Change in redemption value of redeemable</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15</w:t>
            </w:r>
          </w:p>
        </w:tc>
        <w:tc>
          <w:tcPr>
            <w:tcW w:w="160" w:type="dxa"/>
            <w:vAlign w:val="bottom"/>
          </w:tcPr>
          <w:p>
            <w:pPr>
              <w:spacing w:after="0"/>
              <w:rPr>
                <w:sz w:val="15"/>
                <w:szCs w:val="15"/>
                <w:color w:val="auto"/>
              </w:rPr>
            </w:pPr>
          </w:p>
        </w:tc>
        <w:tc>
          <w:tcPr>
            <w:tcW w:w="860" w:type="dxa"/>
            <w:vAlign w:val="bottom"/>
            <w:vMerge w:val="restart"/>
          </w:tcPr>
          <w:p>
            <w:pPr>
              <w:jc w:val="right"/>
              <w:ind w:right="53"/>
              <w:spacing w:after="0"/>
              <w:rPr>
                <w:sz w:val="20"/>
                <w:szCs w:val="20"/>
                <w:color w:val="auto"/>
              </w:rPr>
            </w:pPr>
            <w:r>
              <w:rPr>
                <w:rFonts w:ascii="Arial" w:cs="Arial" w:eastAsia="Arial" w:hAnsi="Arial"/>
                <w:sz w:val="13"/>
                <w:szCs w:val="13"/>
                <w:b w:val="1"/>
                <w:bCs w:val="1"/>
                <w:color w:val="auto"/>
              </w:rPr>
              <w:t>15</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460" w:type="dxa"/>
            <w:vAlign w:val="bottom"/>
          </w:tcPr>
          <w:p>
            <w:pPr>
              <w:ind w:left="160"/>
              <w:spacing w:after="0"/>
              <w:rPr>
                <w:sz w:val="20"/>
                <w:szCs w:val="20"/>
                <w:color w:val="auto"/>
              </w:rPr>
            </w:pPr>
            <w:r>
              <w:rPr>
                <w:rFonts w:ascii="Arial" w:cs="Arial" w:eastAsia="Arial" w:hAnsi="Arial"/>
                <w:sz w:val="13"/>
                <w:szCs w:val="13"/>
                <w:b w:val="1"/>
                <w:bCs w:val="1"/>
                <w:color w:val="auto"/>
              </w:rPr>
              <w:t>noncontrolling interests</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3"/>
                <w:szCs w:val="13"/>
                <w:b w:val="1"/>
                <w:bCs w:val="1"/>
                <w:color w:val="auto"/>
              </w:rPr>
              <w:t>Noncontrolling interest capital contribution</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279</w:t>
            </w:r>
          </w:p>
        </w:tc>
        <w:tc>
          <w:tcPr>
            <w:tcW w:w="160" w:type="dxa"/>
            <w:vAlign w:val="bottom"/>
          </w:tcPr>
          <w:p>
            <w:pPr>
              <w:spacing w:after="0"/>
              <w:rPr>
                <w:sz w:val="18"/>
                <w:szCs w:val="18"/>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b w:val="1"/>
                <w:bCs w:val="1"/>
                <w:color w:val="auto"/>
              </w:rPr>
              <w:t>279</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3"/>
                <w:szCs w:val="13"/>
                <w:b w:val="1"/>
                <w:bCs w:val="1"/>
                <w:color w:val="auto"/>
              </w:rPr>
              <w:t>Distributions to noncontrolling interests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(389)</w:t>
            </w:r>
          </w:p>
        </w:tc>
        <w:tc>
          <w:tcPr>
            <w:tcW w:w="160" w:type="dxa"/>
            <w:vAlign w:val="bottom"/>
          </w:tcPr>
          <w:p>
            <w:pPr>
              <w:spacing w:after="0"/>
              <w:rPr>
                <w:sz w:val="18"/>
                <w:szCs w:val="18"/>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b w:val="1"/>
                <w:bCs w:val="1"/>
                <w:color w:val="auto"/>
              </w:rPr>
              <w:t>(389)</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(500)</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3"/>
                <w:szCs w:val="13"/>
                <w:b w:val="1"/>
                <w:bCs w:val="1"/>
                <w:color w:val="auto"/>
              </w:rPr>
              <w:t>Dividends on common stock</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(7,803)</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b w:val="1"/>
                <w:bCs w:val="1"/>
                <w:color w:val="auto"/>
              </w:rPr>
              <w:t>(7,803)</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3"/>
                <w:szCs w:val="13"/>
                <w:b w:val="1"/>
                <w:bCs w:val="1"/>
                <w:color w:val="auto"/>
              </w:rPr>
              <w:t>Repurchase of Class B common stock</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(77,371)</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b w:val="1"/>
                <w:bCs w:val="1"/>
                <w:color w:val="auto"/>
              </w:rPr>
              <w:t>(77,371)</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3460" w:type="dxa"/>
            <w:vAlign w:val="bottom"/>
          </w:tcPr>
          <w:p>
            <w:pPr>
              <w:spacing w:after="0"/>
              <w:rPr>
                <w:sz w:val="20"/>
                <w:szCs w:val="20"/>
                <w:color w:val="auto"/>
              </w:rPr>
            </w:pPr>
            <w:r>
              <w:rPr>
                <w:rFonts w:ascii="Arial" w:cs="Arial" w:eastAsia="Arial" w:hAnsi="Arial"/>
                <w:sz w:val="13"/>
                <w:szCs w:val="13"/>
                <w:b w:val="1"/>
                <w:bCs w:val="1"/>
                <w:color w:val="auto"/>
              </w:rPr>
              <w:t>Issuance of Class B common stock, net of restricted</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(179)</w:t>
            </w: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141</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vMerge w:val="restart"/>
          </w:tcPr>
          <w:p>
            <w:pPr>
              <w:jc w:val="right"/>
              <w:ind w:right="13"/>
              <w:spacing w:after="0"/>
              <w:rPr>
                <w:sz w:val="20"/>
                <w:szCs w:val="20"/>
                <w:color w:val="auto"/>
              </w:rPr>
            </w:pPr>
            <w:r>
              <w:rPr>
                <w:rFonts w:ascii="Arial" w:cs="Arial" w:eastAsia="Arial" w:hAnsi="Arial"/>
                <w:sz w:val="13"/>
                <w:szCs w:val="13"/>
                <w:b w:val="1"/>
                <w:bCs w:val="1"/>
                <w:color w:val="auto"/>
              </w:rPr>
              <w:t>(38)</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460" w:type="dxa"/>
            <w:vAlign w:val="bottom"/>
          </w:tcPr>
          <w:p>
            <w:pPr>
              <w:ind w:left="160"/>
              <w:spacing w:after="0"/>
              <w:rPr>
                <w:sz w:val="20"/>
                <w:szCs w:val="20"/>
                <w:color w:val="auto"/>
              </w:rPr>
            </w:pPr>
            <w:r>
              <w:rPr>
                <w:rFonts w:ascii="Arial" w:cs="Arial" w:eastAsia="Arial" w:hAnsi="Arial"/>
                <w:sz w:val="13"/>
                <w:szCs w:val="13"/>
                <w:b w:val="1"/>
                <w:bCs w:val="1"/>
                <w:color w:val="auto"/>
              </w:rPr>
              <w:t>stock award forfeitures</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3"/>
                <w:szCs w:val="13"/>
                <w:b w:val="1"/>
                <w:bCs w:val="1"/>
                <w:color w:val="auto"/>
              </w:rPr>
              <w:t>Shares withheld related to net share settlement</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(581)</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b w:val="1"/>
                <w:bCs w:val="1"/>
                <w:color w:val="auto"/>
              </w:rPr>
              <w:t>(581)</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3460" w:type="dxa"/>
            <w:vAlign w:val="bottom"/>
          </w:tcPr>
          <w:p>
            <w:pPr>
              <w:spacing w:after="0"/>
              <w:rPr>
                <w:sz w:val="20"/>
                <w:szCs w:val="20"/>
                <w:color w:val="auto"/>
              </w:rPr>
            </w:pPr>
            <w:r>
              <w:rPr>
                <w:rFonts w:ascii="Arial" w:cs="Arial" w:eastAsia="Arial" w:hAnsi="Arial"/>
                <w:sz w:val="13"/>
                <w:szCs w:val="13"/>
                <w:b w:val="1"/>
                <w:bCs w:val="1"/>
                <w:color w:val="auto"/>
              </w:rPr>
              <w:t>Amortization of unearned stock compensation and</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1,393</w:t>
            </w: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vMerge w:val="restart"/>
          </w:tcPr>
          <w:p>
            <w:pPr>
              <w:jc w:val="right"/>
              <w:ind w:right="53"/>
              <w:spacing w:after="0"/>
              <w:rPr>
                <w:sz w:val="20"/>
                <w:szCs w:val="20"/>
                <w:color w:val="auto"/>
              </w:rPr>
            </w:pPr>
            <w:r>
              <w:rPr>
                <w:rFonts w:ascii="Arial" w:cs="Arial" w:eastAsia="Arial" w:hAnsi="Arial"/>
                <w:sz w:val="13"/>
                <w:szCs w:val="13"/>
                <w:b w:val="1"/>
                <w:bCs w:val="1"/>
                <w:color w:val="auto"/>
              </w:rPr>
              <w:t>1,393</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460" w:type="dxa"/>
            <w:vAlign w:val="bottom"/>
          </w:tcPr>
          <w:p>
            <w:pPr>
              <w:ind w:left="160"/>
              <w:spacing w:after="0"/>
              <w:rPr>
                <w:sz w:val="20"/>
                <w:szCs w:val="20"/>
                <w:color w:val="auto"/>
              </w:rPr>
            </w:pPr>
            <w:r>
              <w:rPr>
                <w:rFonts w:ascii="Arial" w:cs="Arial" w:eastAsia="Arial" w:hAnsi="Arial"/>
                <w:sz w:val="13"/>
                <w:szCs w:val="13"/>
                <w:b w:val="1"/>
                <w:bCs w:val="1"/>
                <w:color w:val="auto"/>
              </w:rPr>
              <w:t>stock option expense</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3"/>
                <w:szCs w:val="13"/>
                <w:b w:val="1"/>
                <w:bCs w:val="1"/>
                <w:color w:val="auto"/>
              </w:rPr>
              <w:t>Purchase of noncontrolling interest</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(1,865)</w:t>
            </w:r>
          </w:p>
        </w:tc>
        <w:tc>
          <w:tcPr>
            <w:tcW w:w="160" w:type="dxa"/>
            <w:vAlign w:val="bottom"/>
          </w:tcPr>
          <w:p>
            <w:pPr>
              <w:spacing w:after="0"/>
              <w:rPr>
                <w:sz w:val="18"/>
                <w:szCs w:val="18"/>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b w:val="1"/>
                <w:bCs w:val="1"/>
                <w:color w:val="auto"/>
              </w:rPr>
              <w:t>(1,865)</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460" w:type="dxa"/>
            <w:vAlign w:val="bottom"/>
          </w:tcPr>
          <w:p>
            <w:pPr>
              <w:spacing w:after="0"/>
              <w:rPr>
                <w:sz w:val="20"/>
                <w:szCs w:val="20"/>
                <w:color w:val="auto"/>
              </w:rPr>
            </w:pPr>
            <w:r>
              <w:rPr>
                <w:rFonts w:ascii="Arial" w:cs="Arial" w:eastAsia="Arial" w:hAnsi="Arial"/>
                <w:sz w:val="13"/>
                <w:szCs w:val="13"/>
                <w:b w:val="1"/>
                <w:bCs w:val="1"/>
                <w:color w:val="auto"/>
              </w:rPr>
              <w:t>Other comprehensive income, net of income taxes</w:t>
            </w: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25,788</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25,788</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460" w:type="dxa"/>
            <w:vAlign w:val="bottom"/>
          </w:tcPr>
          <w:p>
            <w:pPr>
              <w:spacing w:after="0"/>
              <w:rPr>
                <w:sz w:val="20"/>
                <w:szCs w:val="20"/>
                <w:color w:val="auto"/>
              </w:rPr>
            </w:pPr>
            <w:r>
              <w:rPr>
                <w:rFonts w:ascii="Arial" w:cs="Arial" w:eastAsia="Arial" w:hAnsi="Arial"/>
                <w:sz w:val="13"/>
                <w:szCs w:val="13"/>
                <w:b w:val="1"/>
                <w:bCs w:val="1"/>
                <w:color w:val="auto"/>
              </w:rPr>
              <w:t>As of September 30, 2026</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60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20,000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354,197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8,645,846</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444,877</w:t>
            </w:r>
          </w:p>
        </w:tc>
        <w:tc>
          <w:tcPr>
            <w:tcW w:w="1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w w:val="82"/>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(4,686,844)</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34,112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8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4,812,188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25,469</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167640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944" w:right="35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26"/>
        </w:trPr>
        <w:tc>
          <w:tcPr>
            <w:tcW w:w="3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ind w:left="20"/>
              <w:spacing w:after="0"/>
              <w:rPr>
                <w:sz w:val="20"/>
                <w:szCs w:val="20"/>
                <w:color w:val="auto"/>
              </w:rPr>
            </w:pPr>
            <w:r>
              <w:rPr>
                <w:rFonts w:ascii="Arial" w:cs="Arial" w:eastAsia="Arial" w:hAnsi="Arial"/>
                <w:sz w:val="11"/>
                <w:szCs w:val="11"/>
                <w:color w:val="auto"/>
              </w:rPr>
              <w:t>Common</w:t>
            </w:r>
          </w:p>
        </w:tc>
        <w:tc>
          <w:tcPr>
            <w:tcW w:w="140" w:type="dxa"/>
            <w:vAlign w:val="bottom"/>
          </w:tcPr>
          <w:p>
            <w:pPr>
              <w:spacing w:after="0"/>
              <w:rPr>
                <w:sz w:val="10"/>
                <w:szCs w:val="10"/>
                <w:color w:val="auto"/>
              </w:rPr>
            </w:pPr>
          </w:p>
        </w:tc>
        <w:tc>
          <w:tcPr>
            <w:tcW w:w="700" w:type="dxa"/>
            <w:vAlign w:val="bottom"/>
          </w:tcPr>
          <w:p>
            <w:pPr>
              <w:ind w:left="60"/>
              <w:spacing w:after="0"/>
              <w:rPr>
                <w:sz w:val="20"/>
                <w:szCs w:val="20"/>
                <w:color w:val="auto"/>
              </w:rPr>
            </w:pPr>
            <w:r>
              <w:rPr>
                <w:rFonts w:ascii="Arial" w:cs="Arial" w:eastAsia="Arial" w:hAnsi="Arial"/>
                <w:sz w:val="11"/>
                <w:szCs w:val="11"/>
                <w:color w:val="auto"/>
              </w:rPr>
              <w:t>Capital in</w:t>
            </w:r>
          </w:p>
        </w:tc>
        <w:tc>
          <w:tcPr>
            <w:tcW w:w="180" w:type="dxa"/>
            <w:vAlign w:val="bottom"/>
          </w:tcPr>
          <w:p>
            <w:pPr>
              <w:spacing w:after="0"/>
              <w:rPr>
                <w:sz w:val="10"/>
                <w:szCs w:val="10"/>
                <w:color w:val="auto"/>
              </w:rPr>
            </w:pPr>
          </w:p>
        </w:tc>
        <w:tc>
          <w:tcPr>
            <w:tcW w:w="780" w:type="dxa"/>
            <w:vAlign w:val="bottom"/>
            <w:vMerge w:val="restart"/>
          </w:tcPr>
          <w:p>
            <w:pPr>
              <w:jc w:val="right"/>
              <w:ind w:right="214"/>
              <w:spacing w:after="0"/>
              <w:rPr>
                <w:sz w:val="20"/>
                <w:szCs w:val="20"/>
                <w:color w:val="auto"/>
              </w:rPr>
            </w:pPr>
            <w:r>
              <w:rPr>
                <w:rFonts w:ascii="Arial" w:cs="Arial" w:eastAsia="Arial" w:hAnsi="Arial"/>
                <w:sz w:val="11"/>
                <w:szCs w:val="11"/>
                <w:color w:val="auto"/>
              </w:rPr>
              <w:t>Retained</w:t>
            </w:r>
          </w:p>
        </w:tc>
        <w:tc>
          <w:tcPr>
            <w:tcW w:w="1060" w:type="dxa"/>
            <w:vAlign w:val="bottom"/>
            <w:gridSpan w:val="2"/>
          </w:tcPr>
          <w:p>
            <w:pPr>
              <w:jc w:val="center"/>
              <w:spacing w:after="0"/>
              <w:rPr>
                <w:sz w:val="20"/>
                <w:szCs w:val="20"/>
                <w:color w:val="auto"/>
              </w:rPr>
            </w:pPr>
            <w:r>
              <w:rPr>
                <w:rFonts w:ascii="Arial" w:cs="Arial" w:eastAsia="Arial" w:hAnsi="Arial"/>
                <w:sz w:val="11"/>
                <w:szCs w:val="11"/>
                <w:color w:val="auto"/>
                <w:w w:val="99"/>
              </w:rPr>
              <w:t>Accumulated Other</w:t>
            </w:r>
          </w:p>
        </w:tc>
        <w:tc>
          <w:tcPr>
            <w:tcW w:w="180" w:type="dxa"/>
            <w:vAlign w:val="bottom"/>
          </w:tcPr>
          <w:p>
            <w:pPr>
              <w:spacing w:after="0"/>
              <w:rPr>
                <w:sz w:val="10"/>
                <w:szCs w:val="10"/>
                <w:color w:val="auto"/>
              </w:rPr>
            </w:pPr>
          </w:p>
        </w:tc>
        <w:tc>
          <w:tcPr>
            <w:tcW w:w="840" w:type="dxa"/>
            <w:vAlign w:val="bottom"/>
            <w:vMerge w:val="restart"/>
          </w:tcPr>
          <w:p>
            <w:pPr>
              <w:jc w:val="right"/>
              <w:ind w:right="255"/>
              <w:spacing w:after="0"/>
              <w:rPr>
                <w:sz w:val="20"/>
                <w:szCs w:val="20"/>
                <w:color w:val="auto"/>
              </w:rPr>
            </w:pPr>
            <w:r>
              <w:rPr>
                <w:rFonts w:ascii="Arial" w:cs="Arial" w:eastAsia="Arial" w:hAnsi="Arial"/>
                <w:sz w:val="11"/>
                <w:szCs w:val="11"/>
                <w:color w:val="auto"/>
              </w:rPr>
              <w:t>Treasury</w:t>
            </w:r>
          </w:p>
        </w:tc>
        <w:tc>
          <w:tcPr>
            <w:tcW w:w="100" w:type="dxa"/>
            <w:vAlign w:val="bottom"/>
          </w:tcPr>
          <w:p>
            <w:pPr>
              <w:spacing w:after="0"/>
              <w:rPr>
                <w:sz w:val="10"/>
                <w:szCs w:val="10"/>
                <w:color w:val="auto"/>
              </w:rPr>
            </w:pPr>
          </w:p>
        </w:tc>
        <w:tc>
          <w:tcPr>
            <w:tcW w:w="880" w:type="dxa"/>
            <w:vAlign w:val="bottom"/>
            <w:vMerge w:val="restart"/>
          </w:tcPr>
          <w:p>
            <w:pPr>
              <w:jc w:val="right"/>
              <w:ind w:right="94"/>
              <w:spacing w:after="0"/>
              <w:rPr>
                <w:sz w:val="20"/>
                <w:szCs w:val="20"/>
                <w:color w:val="auto"/>
              </w:rPr>
            </w:pPr>
            <w:r>
              <w:rPr>
                <w:rFonts w:ascii="Arial" w:cs="Arial" w:eastAsia="Arial" w:hAnsi="Arial"/>
                <w:sz w:val="11"/>
                <w:szCs w:val="11"/>
                <w:color w:val="auto"/>
                <w:w w:val="99"/>
              </w:rPr>
              <w:t>Noncontrolling</w:t>
            </w: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jc w:val="center"/>
              <w:ind w:right="75"/>
              <w:spacing w:after="0"/>
              <w:rPr>
                <w:sz w:val="20"/>
                <w:szCs w:val="20"/>
                <w:color w:val="auto"/>
              </w:rPr>
            </w:pPr>
            <w:r>
              <w:rPr>
                <w:rFonts w:ascii="Arial" w:cs="Arial" w:eastAsia="Arial" w:hAnsi="Arial"/>
                <w:sz w:val="11"/>
                <w:szCs w:val="11"/>
                <w:color w:val="auto"/>
                <w:w w:val="96"/>
              </w:rPr>
              <w:t>Redeemable</w:t>
            </w:r>
          </w:p>
        </w:tc>
        <w:tc>
          <w:tcPr>
            <w:tcW w:w="0" w:type="dxa"/>
            <w:vAlign w:val="bottom"/>
          </w:tcPr>
          <w:p>
            <w:pPr>
              <w:spacing w:after="0"/>
              <w:rPr>
                <w:sz w:val="1"/>
                <w:szCs w:val="1"/>
                <w:color w:val="auto"/>
              </w:rPr>
            </w:pPr>
          </w:p>
        </w:tc>
      </w:tr>
      <w:tr>
        <w:trPr>
          <w:trHeight w:val="108"/>
        </w:trPr>
        <w:tc>
          <w:tcPr>
            <w:tcW w:w="3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ind w:left="40"/>
              <w:spacing w:after="0" w:line="108" w:lineRule="exact"/>
              <w:rPr>
                <w:sz w:val="20"/>
                <w:szCs w:val="20"/>
                <w:color w:val="auto"/>
              </w:rPr>
            </w:pPr>
            <w:r>
              <w:rPr>
                <w:rFonts w:ascii="Arial" w:cs="Arial" w:eastAsia="Arial" w:hAnsi="Arial"/>
                <w:sz w:val="11"/>
                <w:szCs w:val="11"/>
                <w:color w:val="auto"/>
              </w:rPr>
              <w:t>Excess of</w:t>
            </w:r>
          </w:p>
        </w:tc>
        <w:tc>
          <w:tcPr>
            <w:tcW w:w="1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jc w:val="center"/>
              <w:ind w:right="56"/>
              <w:spacing w:after="0" w:line="108" w:lineRule="exact"/>
              <w:rPr>
                <w:sz w:val="20"/>
                <w:szCs w:val="20"/>
                <w:color w:val="auto"/>
              </w:rPr>
            </w:pPr>
            <w:r>
              <w:rPr>
                <w:rFonts w:ascii="Arial" w:cs="Arial" w:eastAsia="Arial" w:hAnsi="Arial"/>
                <w:sz w:val="11"/>
                <w:szCs w:val="11"/>
                <w:color w:val="auto"/>
                <w:w w:val="96"/>
              </w:rPr>
              <w:t>Comprehensive</w:t>
            </w:r>
          </w:p>
        </w:tc>
        <w:tc>
          <w:tcPr>
            <w:tcW w:w="18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jc w:val="center"/>
              <w:ind w:right="75"/>
              <w:spacing w:after="0" w:line="108" w:lineRule="exact"/>
              <w:rPr>
                <w:sz w:val="20"/>
                <w:szCs w:val="20"/>
                <w:color w:val="auto"/>
              </w:rPr>
            </w:pPr>
            <w:r>
              <w:rPr>
                <w:rFonts w:ascii="Arial" w:cs="Arial" w:eastAsia="Arial" w:hAnsi="Arial"/>
                <w:sz w:val="11"/>
                <w:szCs w:val="11"/>
                <w:color w:val="auto"/>
                <w:w w:val="96"/>
              </w:rPr>
              <w:t>Noncontrolling</w:t>
            </w:r>
          </w:p>
        </w:tc>
        <w:tc>
          <w:tcPr>
            <w:tcW w:w="0" w:type="dxa"/>
            <w:vAlign w:val="bottom"/>
          </w:tcPr>
          <w:p>
            <w:pPr>
              <w:spacing w:after="0"/>
              <w:rPr>
                <w:sz w:val="1"/>
                <w:szCs w:val="1"/>
                <w:color w:val="auto"/>
              </w:rPr>
            </w:pPr>
          </w:p>
        </w:tc>
      </w:tr>
      <w:tr>
        <w:trPr>
          <w:trHeight w:val="169"/>
        </w:trPr>
        <w:tc>
          <w:tcPr>
            <w:tcW w:w="35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thousands)</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ind w:left="120"/>
              <w:spacing w:after="0"/>
              <w:rPr>
                <w:sz w:val="20"/>
                <w:szCs w:val="20"/>
                <w:color w:val="auto"/>
              </w:rPr>
            </w:pPr>
            <w:r>
              <w:rPr>
                <w:rFonts w:ascii="Arial" w:cs="Arial" w:eastAsia="Arial" w:hAnsi="Arial"/>
                <w:sz w:val="11"/>
                <w:szCs w:val="11"/>
                <w:color w:val="auto"/>
              </w:rPr>
              <w:t>Stock</w:t>
            </w: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ind w:left="60"/>
              <w:spacing w:after="0"/>
              <w:rPr>
                <w:sz w:val="20"/>
                <w:szCs w:val="20"/>
                <w:color w:val="auto"/>
              </w:rPr>
            </w:pPr>
            <w:r>
              <w:rPr>
                <w:rFonts w:ascii="Arial" w:cs="Arial" w:eastAsia="Arial" w:hAnsi="Arial"/>
                <w:sz w:val="11"/>
                <w:szCs w:val="11"/>
                <w:color w:val="auto"/>
              </w:rPr>
              <w:t>Par Value</w:t>
            </w: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94"/>
              <w:spacing w:after="0"/>
              <w:rPr>
                <w:sz w:val="20"/>
                <w:szCs w:val="20"/>
                <w:color w:val="auto"/>
              </w:rPr>
            </w:pPr>
            <w:r>
              <w:rPr>
                <w:rFonts w:ascii="Arial" w:cs="Arial" w:eastAsia="Arial" w:hAnsi="Arial"/>
                <w:sz w:val="11"/>
                <w:szCs w:val="11"/>
                <w:color w:val="auto"/>
              </w:rPr>
              <w:t>Earnings</w:t>
            </w: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56"/>
              <w:spacing w:after="0"/>
              <w:rPr>
                <w:sz w:val="20"/>
                <w:szCs w:val="20"/>
                <w:color w:val="auto"/>
              </w:rPr>
            </w:pPr>
            <w:r>
              <w:rPr>
                <w:rFonts w:ascii="Arial" w:cs="Arial" w:eastAsia="Arial" w:hAnsi="Arial"/>
                <w:sz w:val="11"/>
                <w:szCs w:val="11"/>
                <w:color w:val="auto"/>
                <w:w w:val="94"/>
              </w:rPr>
              <w:t>Income</w:t>
            </w: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5"/>
              <w:spacing w:after="0"/>
              <w:rPr>
                <w:sz w:val="20"/>
                <w:szCs w:val="20"/>
                <w:color w:val="auto"/>
              </w:rPr>
            </w:pPr>
            <w:r>
              <w:rPr>
                <w:rFonts w:ascii="Arial" w:cs="Arial" w:eastAsia="Arial" w:hAnsi="Arial"/>
                <w:sz w:val="11"/>
                <w:szCs w:val="11"/>
                <w:color w:val="auto"/>
              </w:rPr>
              <w:t>Stock</w:t>
            </w: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54"/>
              <w:spacing w:after="0"/>
              <w:rPr>
                <w:sz w:val="20"/>
                <w:szCs w:val="20"/>
                <w:color w:val="auto"/>
              </w:rPr>
            </w:pPr>
            <w:r>
              <w:rPr>
                <w:rFonts w:ascii="Arial" w:cs="Arial" w:eastAsia="Arial" w:hAnsi="Arial"/>
                <w:sz w:val="11"/>
                <w:szCs w:val="11"/>
                <w:color w:val="auto"/>
              </w:rPr>
              <w:t>Interest</w:t>
            </w: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93"/>
              <w:spacing w:after="0"/>
              <w:rPr>
                <w:sz w:val="20"/>
                <w:szCs w:val="20"/>
                <w:color w:val="auto"/>
              </w:rPr>
            </w:pPr>
            <w:r>
              <w:rPr>
                <w:rFonts w:ascii="Arial" w:cs="Arial" w:eastAsia="Arial" w:hAnsi="Arial"/>
                <w:sz w:val="11"/>
                <w:szCs w:val="11"/>
                <w:color w:val="auto"/>
                <w:w w:val="99"/>
              </w:rPr>
              <w:t>Total Equity</w:t>
            </w: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75"/>
              <w:spacing w:after="0"/>
              <w:rPr>
                <w:sz w:val="20"/>
                <w:szCs w:val="20"/>
                <w:color w:val="auto"/>
              </w:rPr>
            </w:pPr>
            <w:r>
              <w:rPr>
                <w:rFonts w:ascii="Arial" w:cs="Arial" w:eastAsia="Arial" w:hAnsi="Arial"/>
                <w:sz w:val="11"/>
                <w:szCs w:val="11"/>
                <w:color w:val="auto"/>
                <w:w w:val="97"/>
              </w:rPr>
              <w:t>Interest</w:t>
            </w:r>
          </w:p>
        </w:tc>
        <w:tc>
          <w:tcPr>
            <w:tcW w:w="0" w:type="dxa"/>
            <w:vAlign w:val="bottom"/>
          </w:tcPr>
          <w:p>
            <w:pPr>
              <w:spacing w:after="0"/>
              <w:rPr>
                <w:sz w:val="1"/>
                <w:szCs w:val="1"/>
                <w:color w:val="auto"/>
              </w:rPr>
            </w:pPr>
          </w:p>
        </w:tc>
      </w:tr>
      <w:tr>
        <w:trPr>
          <w:trHeight w:val="204"/>
        </w:trPr>
        <w:tc>
          <w:tcPr>
            <w:tcW w:w="3560" w:type="dxa"/>
            <w:vAlign w:val="bottom"/>
          </w:tcPr>
          <w:p>
            <w:pPr>
              <w:ind w:left="20"/>
              <w:spacing w:after="0"/>
              <w:rPr>
                <w:sz w:val="20"/>
                <w:szCs w:val="20"/>
                <w:color w:val="auto"/>
              </w:rPr>
            </w:pPr>
            <w:r>
              <w:rPr>
                <w:rFonts w:ascii="Arial" w:cs="Arial" w:eastAsia="Arial" w:hAnsi="Arial"/>
                <w:sz w:val="13"/>
                <w:szCs w:val="13"/>
                <w:color w:val="auto"/>
              </w:rPr>
              <w:t>As of December 31, 2024</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ind w:left="140"/>
              <w:spacing w:after="0"/>
              <w:rPr>
                <w:sz w:val="20"/>
                <w:szCs w:val="20"/>
                <w:color w:val="auto"/>
              </w:rPr>
            </w:pPr>
            <w:r>
              <w:rPr>
                <w:rFonts w:ascii="Arial" w:cs="Arial" w:eastAsia="Arial" w:hAnsi="Arial"/>
                <w:sz w:val="13"/>
                <w:szCs w:val="13"/>
                <w:color w:val="auto"/>
              </w:rPr>
              <w:t>20,000</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356,919</w:t>
            </w:r>
          </w:p>
        </w:tc>
        <w:tc>
          <w:tcPr>
            <w:tcW w:w="1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8,031,750</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334,797</w:t>
            </w:r>
          </w:p>
        </w:tc>
        <w:tc>
          <w:tcPr>
            <w:tcW w:w="1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(4,486,805)</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30,154</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4,286,815</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43,821</w:t>
            </w:r>
          </w:p>
        </w:tc>
        <w:tc>
          <w:tcPr>
            <w:tcW w:w="0" w:type="dxa"/>
            <w:vAlign w:val="bottom"/>
          </w:tcPr>
          <w:p>
            <w:pPr>
              <w:spacing w:after="0"/>
              <w:rPr>
                <w:sz w:val="1"/>
                <w:szCs w:val="1"/>
                <w:color w:val="auto"/>
              </w:rPr>
            </w:pPr>
          </w:p>
        </w:tc>
      </w:tr>
      <w:tr>
        <w:trPr>
          <w:trHeight w:val="216"/>
        </w:trPr>
        <w:tc>
          <w:tcPr>
            <w:tcW w:w="3560" w:type="dxa"/>
            <w:vAlign w:val="bottom"/>
          </w:tcPr>
          <w:p>
            <w:pPr>
              <w:ind w:left="20"/>
              <w:spacing w:after="0"/>
              <w:rPr>
                <w:sz w:val="20"/>
                <w:szCs w:val="20"/>
                <w:color w:val="auto"/>
              </w:rPr>
            </w:pPr>
            <w:r>
              <w:rPr>
                <w:rFonts w:ascii="Arial" w:cs="Arial" w:eastAsia="Arial" w:hAnsi="Arial"/>
                <w:sz w:val="13"/>
                <w:szCs w:val="13"/>
                <w:color w:val="auto"/>
              </w:rPr>
              <w:t>Net income for the period</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25,721</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25,721</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ind w:left="20"/>
              <w:spacing w:after="0"/>
              <w:rPr>
                <w:sz w:val="20"/>
                <w:szCs w:val="20"/>
                <w:color w:val="auto"/>
              </w:rPr>
            </w:pPr>
            <w:r>
              <w:rPr>
                <w:rFonts w:ascii="Arial" w:cs="Arial" w:eastAsia="Arial" w:hAnsi="Arial"/>
                <w:sz w:val="13"/>
                <w:szCs w:val="13"/>
                <w:color w:val="auto"/>
              </w:rPr>
              <w:t>Net income attributable to noncontrolling interests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(1,129)</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1,129</w:t>
            </w:r>
          </w:p>
        </w:tc>
        <w:tc>
          <w:tcPr>
            <w:tcW w:w="160" w:type="dxa"/>
            <w:vAlign w:val="bottom"/>
          </w:tcPr>
          <w:p>
            <w:pPr>
              <w:spacing w:after="0"/>
              <w:rPr>
                <w:sz w:val="18"/>
                <w:szCs w:val="18"/>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560" w:type="dxa"/>
            <w:vAlign w:val="bottom"/>
          </w:tcPr>
          <w:p>
            <w:pPr>
              <w:ind w:left="20"/>
              <w:spacing w:after="0"/>
              <w:rPr>
                <w:sz w:val="20"/>
                <w:szCs w:val="20"/>
                <w:color w:val="auto"/>
              </w:rPr>
            </w:pPr>
            <w:r>
              <w:rPr>
                <w:rFonts w:ascii="Arial" w:cs="Arial" w:eastAsia="Arial" w:hAnsi="Arial"/>
                <w:sz w:val="13"/>
                <w:szCs w:val="13"/>
                <w:color w:val="auto"/>
              </w:rPr>
              <w:t>Net income attributable to redeemable noncontrolling</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560" w:type="dxa"/>
            <w:vAlign w:val="bottom"/>
          </w:tcPr>
          <w:p>
            <w:pPr>
              <w:ind w:left="180"/>
              <w:spacing w:after="0"/>
              <w:rPr>
                <w:sz w:val="20"/>
                <w:szCs w:val="20"/>
                <w:color w:val="auto"/>
              </w:rPr>
            </w:pPr>
            <w:r>
              <w:rPr>
                <w:rFonts w:ascii="Arial" w:cs="Arial" w:eastAsia="Arial" w:hAnsi="Arial"/>
                <w:sz w:val="13"/>
                <w:szCs w:val="13"/>
                <w:color w:val="auto"/>
              </w:rPr>
              <w:t>interests</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(698)</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(698)</w:t>
            </w: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698</w:t>
            </w:r>
          </w:p>
        </w:tc>
        <w:tc>
          <w:tcPr>
            <w:tcW w:w="0" w:type="dxa"/>
            <w:vAlign w:val="bottom"/>
          </w:tcPr>
          <w:p>
            <w:pPr>
              <w:spacing w:after="0"/>
              <w:rPr>
                <w:sz w:val="1"/>
                <w:szCs w:val="1"/>
                <w:color w:val="auto"/>
              </w:rPr>
            </w:pPr>
          </w:p>
        </w:tc>
      </w:tr>
      <w:tr>
        <w:trPr>
          <w:trHeight w:val="188"/>
        </w:trPr>
        <w:tc>
          <w:tcPr>
            <w:tcW w:w="3560" w:type="dxa"/>
            <w:vAlign w:val="bottom"/>
          </w:tcPr>
          <w:p>
            <w:pPr>
              <w:ind w:left="20"/>
              <w:spacing w:after="0"/>
              <w:rPr>
                <w:sz w:val="20"/>
                <w:szCs w:val="20"/>
                <w:color w:val="auto"/>
              </w:rPr>
            </w:pPr>
            <w:r>
              <w:rPr>
                <w:rFonts w:ascii="Arial" w:cs="Arial" w:eastAsia="Arial" w:hAnsi="Arial"/>
                <w:sz w:val="13"/>
                <w:szCs w:val="13"/>
                <w:color w:val="auto"/>
              </w:rPr>
              <w:t>Change in redemption value of redeemable noncontrolling</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560" w:type="dxa"/>
            <w:vAlign w:val="bottom"/>
          </w:tcPr>
          <w:p>
            <w:pPr>
              <w:ind w:left="180"/>
              <w:spacing w:after="0"/>
              <w:rPr>
                <w:sz w:val="20"/>
                <w:szCs w:val="20"/>
                <w:color w:val="auto"/>
              </w:rPr>
            </w:pPr>
            <w:r>
              <w:rPr>
                <w:rFonts w:ascii="Arial" w:cs="Arial" w:eastAsia="Arial" w:hAnsi="Arial"/>
                <w:sz w:val="13"/>
                <w:szCs w:val="13"/>
                <w:color w:val="auto"/>
              </w:rPr>
              <w:t>interests</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634</w:t>
            </w:r>
          </w:p>
        </w:tc>
        <w:tc>
          <w:tcPr>
            <w:tcW w:w="160" w:type="dxa"/>
            <w:vAlign w:val="bottom"/>
          </w:tcPr>
          <w:p>
            <w:pPr>
              <w:spacing w:after="0"/>
              <w:rPr>
                <w:sz w:val="15"/>
                <w:szCs w:val="15"/>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634</w:t>
            </w: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216"/>
        </w:trPr>
        <w:tc>
          <w:tcPr>
            <w:tcW w:w="3560" w:type="dxa"/>
            <w:vAlign w:val="bottom"/>
          </w:tcPr>
          <w:p>
            <w:pPr>
              <w:ind w:left="20"/>
              <w:spacing w:after="0"/>
              <w:rPr>
                <w:sz w:val="20"/>
                <w:szCs w:val="20"/>
                <w:color w:val="auto"/>
              </w:rPr>
            </w:pPr>
            <w:r>
              <w:rPr>
                <w:rFonts w:ascii="Arial" w:cs="Arial" w:eastAsia="Arial" w:hAnsi="Arial"/>
                <w:sz w:val="13"/>
                <w:szCs w:val="13"/>
                <w:color w:val="auto"/>
              </w:rPr>
              <w:t>Noncontrolling interest capital contribution</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180</w:t>
            </w:r>
          </w:p>
        </w:tc>
        <w:tc>
          <w:tcPr>
            <w:tcW w:w="160" w:type="dxa"/>
            <w:vAlign w:val="bottom"/>
          </w:tcPr>
          <w:p>
            <w:pPr>
              <w:spacing w:after="0"/>
              <w:rPr>
                <w:sz w:val="18"/>
                <w:szCs w:val="18"/>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180</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ind w:left="20"/>
              <w:spacing w:after="0"/>
              <w:rPr>
                <w:sz w:val="20"/>
                <w:szCs w:val="20"/>
                <w:color w:val="auto"/>
              </w:rPr>
            </w:pPr>
            <w:r>
              <w:rPr>
                <w:rFonts w:ascii="Arial" w:cs="Arial" w:eastAsia="Arial" w:hAnsi="Arial"/>
                <w:sz w:val="13"/>
                <w:szCs w:val="13"/>
                <w:color w:val="auto"/>
              </w:rPr>
              <w:t>Distributions to noncontrolling interests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(747)</w:t>
            </w:r>
          </w:p>
        </w:tc>
        <w:tc>
          <w:tcPr>
            <w:tcW w:w="160" w:type="dxa"/>
            <w:vAlign w:val="bottom"/>
          </w:tcPr>
          <w:p>
            <w:pPr>
              <w:spacing w:after="0"/>
              <w:rPr>
                <w:sz w:val="18"/>
                <w:szCs w:val="18"/>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(747)</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(941)</w:t>
            </w:r>
          </w:p>
        </w:tc>
        <w:tc>
          <w:tcPr>
            <w:tcW w:w="0" w:type="dxa"/>
            <w:vAlign w:val="bottom"/>
          </w:tcPr>
          <w:p>
            <w:pPr>
              <w:spacing w:after="0"/>
              <w:rPr>
                <w:sz w:val="1"/>
                <w:szCs w:val="1"/>
                <w:color w:val="auto"/>
              </w:rPr>
            </w:pPr>
          </w:p>
        </w:tc>
      </w:tr>
      <w:tr>
        <w:trPr>
          <w:trHeight w:val="216"/>
        </w:trPr>
        <w:tc>
          <w:tcPr>
            <w:tcW w:w="3560" w:type="dxa"/>
            <w:vAlign w:val="bottom"/>
          </w:tcPr>
          <w:p>
            <w:pPr>
              <w:ind w:left="20"/>
              <w:spacing w:after="0"/>
              <w:rPr>
                <w:sz w:val="20"/>
                <w:szCs w:val="20"/>
                <w:color w:val="auto"/>
              </w:rPr>
            </w:pPr>
            <w:r>
              <w:rPr>
                <w:rFonts w:ascii="Arial" w:cs="Arial" w:eastAsia="Arial" w:hAnsi="Arial"/>
                <w:sz w:val="13"/>
                <w:szCs w:val="13"/>
                <w:color w:val="auto"/>
              </w:rPr>
              <w:t>Dividends on common stock</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(15,662)</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(15,662)</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ind w:left="20"/>
              <w:spacing w:after="0"/>
              <w:rPr>
                <w:sz w:val="20"/>
                <w:szCs w:val="20"/>
                <w:color w:val="auto"/>
              </w:rPr>
            </w:pPr>
            <w:r>
              <w:rPr>
                <w:rFonts w:ascii="Arial" w:cs="Arial" w:eastAsia="Arial" w:hAnsi="Arial"/>
                <w:sz w:val="13"/>
                <w:szCs w:val="13"/>
                <w:color w:val="auto"/>
              </w:rPr>
              <w:t>Repurchase of Class B common stock</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(3,468)</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(3,468)</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560" w:type="dxa"/>
            <w:vAlign w:val="bottom"/>
          </w:tcPr>
          <w:p>
            <w:pPr>
              <w:ind w:left="20"/>
              <w:spacing w:after="0"/>
              <w:rPr>
                <w:sz w:val="20"/>
                <w:szCs w:val="20"/>
                <w:color w:val="auto"/>
              </w:rPr>
            </w:pPr>
            <w:r>
              <w:rPr>
                <w:rFonts w:ascii="Arial" w:cs="Arial" w:eastAsia="Arial" w:hAnsi="Arial"/>
                <w:sz w:val="13"/>
                <w:szCs w:val="13"/>
                <w:color w:val="auto"/>
              </w:rPr>
              <w:t>Issuance of Class B common stock, net of restricted stock</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560" w:type="dxa"/>
            <w:vAlign w:val="bottom"/>
          </w:tcPr>
          <w:p>
            <w:pPr>
              <w:ind w:left="180"/>
              <w:spacing w:after="0"/>
              <w:rPr>
                <w:sz w:val="20"/>
                <w:szCs w:val="20"/>
                <w:color w:val="auto"/>
              </w:rPr>
            </w:pPr>
            <w:r>
              <w:rPr>
                <w:rFonts w:ascii="Arial" w:cs="Arial" w:eastAsia="Arial" w:hAnsi="Arial"/>
                <w:sz w:val="13"/>
                <w:szCs w:val="13"/>
                <w:color w:val="auto"/>
              </w:rPr>
              <w:t>award forfeitures</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9,431</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9,141</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18,572</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560" w:type="dxa"/>
            <w:vAlign w:val="bottom"/>
          </w:tcPr>
          <w:p>
            <w:pPr>
              <w:ind w:left="20"/>
              <w:spacing w:after="0"/>
              <w:rPr>
                <w:sz w:val="20"/>
                <w:szCs w:val="20"/>
                <w:color w:val="auto"/>
              </w:rPr>
            </w:pPr>
            <w:r>
              <w:rPr>
                <w:rFonts w:ascii="Arial" w:cs="Arial" w:eastAsia="Arial" w:hAnsi="Arial"/>
                <w:sz w:val="13"/>
                <w:szCs w:val="13"/>
                <w:color w:val="auto"/>
              </w:rPr>
              <w:t>Shares withheld related to net share settlement</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(402)</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(402)</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560" w:type="dxa"/>
            <w:vAlign w:val="bottom"/>
          </w:tcPr>
          <w:p>
            <w:pPr>
              <w:ind w:left="20"/>
              <w:spacing w:after="0"/>
              <w:rPr>
                <w:sz w:val="20"/>
                <w:szCs w:val="20"/>
                <w:color w:val="auto"/>
              </w:rPr>
            </w:pPr>
            <w:r>
              <w:rPr>
                <w:rFonts w:ascii="Arial" w:cs="Arial" w:eastAsia="Arial" w:hAnsi="Arial"/>
                <w:sz w:val="13"/>
                <w:szCs w:val="13"/>
                <w:color w:val="auto"/>
              </w:rPr>
              <w:t>Amortization of unearned stock compensation and stock</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560" w:type="dxa"/>
            <w:vAlign w:val="bottom"/>
          </w:tcPr>
          <w:p>
            <w:pPr>
              <w:ind w:left="180"/>
              <w:spacing w:after="0"/>
              <w:rPr>
                <w:sz w:val="20"/>
                <w:szCs w:val="20"/>
                <w:color w:val="auto"/>
              </w:rPr>
            </w:pPr>
            <w:r>
              <w:rPr>
                <w:rFonts w:ascii="Arial" w:cs="Arial" w:eastAsia="Arial" w:hAnsi="Arial"/>
                <w:sz w:val="13"/>
                <w:szCs w:val="13"/>
                <w:color w:val="auto"/>
              </w:rPr>
              <w:t>option expense</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1,724</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1,724</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3560" w:type="dxa"/>
            <w:vAlign w:val="bottom"/>
          </w:tcPr>
          <w:p>
            <w:pPr>
              <w:ind w:left="20"/>
              <w:spacing w:after="0"/>
              <w:rPr>
                <w:sz w:val="20"/>
                <w:szCs w:val="20"/>
                <w:color w:val="auto"/>
              </w:rPr>
            </w:pPr>
            <w:r>
              <w:rPr>
                <w:rFonts w:ascii="Arial" w:cs="Arial" w:eastAsia="Arial" w:hAnsi="Arial"/>
                <w:sz w:val="13"/>
                <w:szCs w:val="13"/>
                <w:color w:val="auto"/>
              </w:rPr>
              <w:t>Other comprehensive income, net of income taxes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13,096</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13,096</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As of March 31, 2025</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ind w:left="140"/>
              <w:spacing w:after="0"/>
              <w:rPr>
                <w:sz w:val="20"/>
                <w:szCs w:val="20"/>
                <w:color w:val="auto"/>
              </w:rPr>
            </w:pPr>
            <w:r>
              <w:rPr>
                <w:rFonts w:ascii="Arial" w:cs="Arial" w:eastAsia="Arial" w:hAnsi="Arial"/>
                <w:sz w:val="13"/>
                <w:szCs w:val="13"/>
                <w:color w:val="auto"/>
              </w:rPr>
              <w:t>20,000</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368,074</w:t>
            </w:r>
          </w:p>
        </w:tc>
        <w:tc>
          <w:tcPr>
            <w:tcW w:w="1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8,039,982</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347,893</w:t>
            </w:r>
          </w:p>
        </w:tc>
        <w:tc>
          <w:tcPr>
            <w:tcW w:w="1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(4,481,534)</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31,350</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4,325,765</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43,586</w:t>
            </w:r>
          </w:p>
        </w:tc>
        <w:tc>
          <w:tcPr>
            <w:tcW w:w="0" w:type="dxa"/>
            <w:vAlign w:val="bottom"/>
          </w:tcPr>
          <w:p>
            <w:pPr>
              <w:spacing w:after="0"/>
              <w:rPr>
                <w:sz w:val="1"/>
                <w:szCs w:val="1"/>
                <w:color w:val="auto"/>
              </w:rPr>
            </w:pPr>
          </w:p>
        </w:tc>
      </w:tr>
      <w:tr>
        <w:trPr>
          <w:trHeight w:val="216"/>
        </w:trPr>
        <w:tc>
          <w:tcPr>
            <w:tcW w:w="3560" w:type="dxa"/>
            <w:vAlign w:val="bottom"/>
          </w:tcPr>
          <w:p>
            <w:pPr>
              <w:ind w:left="20"/>
              <w:spacing w:after="0"/>
              <w:rPr>
                <w:sz w:val="20"/>
                <w:szCs w:val="20"/>
                <w:color w:val="auto"/>
              </w:rPr>
            </w:pPr>
            <w:r>
              <w:rPr>
                <w:rFonts w:ascii="Arial" w:cs="Arial" w:eastAsia="Arial" w:hAnsi="Arial"/>
                <w:sz w:val="13"/>
                <w:szCs w:val="13"/>
                <w:color w:val="auto"/>
              </w:rPr>
              <w:t>Net income for the period</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40,423</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40,423</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ind w:left="20"/>
              <w:spacing w:after="0"/>
              <w:rPr>
                <w:sz w:val="20"/>
                <w:szCs w:val="20"/>
                <w:color w:val="auto"/>
              </w:rPr>
            </w:pPr>
            <w:r>
              <w:rPr>
                <w:rFonts w:ascii="Arial" w:cs="Arial" w:eastAsia="Arial" w:hAnsi="Arial"/>
                <w:sz w:val="13"/>
                <w:szCs w:val="13"/>
                <w:color w:val="auto"/>
              </w:rPr>
              <w:t>Net income attributable to noncontrolling interests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(2,030)</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2,030</w:t>
            </w:r>
          </w:p>
        </w:tc>
        <w:tc>
          <w:tcPr>
            <w:tcW w:w="160" w:type="dxa"/>
            <w:vAlign w:val="bottom"/>
          </w:tcPr>
          <w:p>
            <w:pPr>
              <w:spacing w:after="0"/>
              <w:rPr>
                <w:sz w:val="18"/>
                <w:szCs w:val="18"/>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560" w:type="dxa"/>
            <w:vAlign w:val="bottom"/>
          </w:tcPr>
          <w:p>
            <w:pPr>
              <w:ind w:left="20"/>
              <w:spacing w:after="0"/>
              <w:rPr>
                <w:sz w:val="20"/>
                <w:szCs w:val="20"/>
                <w:color w:val="auto"/>
              </w:rPr>
            </w:pPr>
            <w:r>
              <w:rPr>
                <w:rFonts w:ascii="Arial" w:cs="Arial" w:eastAsia="Arial" w:hAnsi="Arial"/>
                <w:sz w:val="13"/>
                <w:szCs w:val="13"/>
                <w:color w:val="auto"/>
              </w:rPr>
              <w:t>Net income attributable to redeemable noncontrolling</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560" w:type="dxa"/>
            <w:vAlign w:val="bottom"/>
          </w:tcPr>
          <w:p>
            <w:pPr>
              <w:ind w:left="180"/>
              <w:spacing w:after="0"/>
              <w:rPr>
                <w:sz w:val="20"/>
                <w:szCs w:val="20"/>
                <w:color w:val="auto"/>
              </w:rPr>
            </w:pPr>
            <w:r>
              <w:rPr>
                <w:rFonts w:ascii="Arial" w:cs="Arial" w:eastAsia="Arial" w:hAnsi="Arial"/>
                <w:sz w:val="13"/>
                <w:szCs w:val="13"/>
                <w:color w:val="auto"/>
              </w:rPr>
              <w:t>interests</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(1,644)</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(1,644)</w:t>
            </w: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1,644</w:t>
            </w:r>
          </w:p>
        </w:tc>
        <w:tc>
          <w:tcPr>
            <w:tcW w:w="0" w:type="dxa"/>
            <w:vAlign w:val="bottom"/>
          </w:tcPr>
          <w:p>
            <w:pPr>
              <w:spacing w:after="0"/>
              <w:rPr>
                <w:sz w:val="1"/>
                <w:szCs w:val="1"/>
                <w:color w:val="auto"/>
              </w:rPr>
            </w:pPr>
          </w:p>
        </w:tc>
      </w:tr>
      <w:tr>
        <w:trPr>
          <w:trHeight w:val="188"/>
        </w:trPr>
        <w:tc>
          <w:tcPr>
            <w:tcW w:w="3560" w:type="dxa"/>
            <w:vAlign w:val="bottom"/>
          </w:tcPr>
          <w:p>
            <w:pPr>
              <w:ind w:left="20"/>
              <w:spacing w:after="0"/>
              <w:rPr>
                <w:sz w:val="20"/>
                <w:szCs w:val="20"/>
                <w:color w:val="auto"/>
              </w:rPr>
            </w:pPr>
            <w:r>
              <w:rPr>
                <w:rFonts w:ascii="Arial" w:cs="Arial" w:eastAsia="Arial" w:hAnsi="Arial"/>
                <w:sz w:val="13"/>
                <w:szCs w:val="13"/>
                <w:color w:val="auto"/>
              </w:rPr>
              <w:t>Change in redemption value of redeemable noncontrolling</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560" w:type="dxa"/>
            <w:vAlign w:val="bottom"/>
          </w:tcPr>
          <w:p>
            <w:pPr>
              <w:ind w:left="180"/>
              <w:spacing w:after="0"/>
              <w:rPr>
                <w:sz w:val="20"/>
                <w:szCs w:val="20"/>
                <w:color w:val="auto"/>
              </w:rPr>
            </w:pPr>
            <w:r>
              <w:rPr>
                <w:rFonts w:ascii="Arial" w:cs="Arial" w:eastAsia="Arial" w:hAnsi="Arial"/>
                <w:sz w:val="13"/>
                <w:szCs w:val="13"/>
                <w:color w:val="auto"/>
              </w:rPr>
              <w:t>interests</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(4,971)</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642</w:t>
            </w:r>
          </w:p>
        </w:tc>
        <w:tc>
          <w:tcPr>
            <w:tcW w:w="160" w:type="dxa"/>
            <w:vAlign w:val="bottom"/>
          </w:tcPr>
          <w:p>
            <w:pPr>
              <w:spacing w:after="0"/>
              <w:rPr>
                <w:sz w:val="15"/>
                <w:szCs w:val="15"/>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(4,329)</w:t>
            </w: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4,977</w:t>
            </w:r>
          </w:p>
        </w:tc>
        <w:tc>
          <w:tcPr>
            <w:tcW w:w="0" w:type="dxa"/>
            <w:vAlign w:val="bottom"/>
          </w:tcPr>
          <w:p>
            <w:pPr>
              <w:spacing w:after="0"/>
              <w:rPr>
                <w:sz w:val="1"/>
                <w:szCs w:val="1"/>
                <w:color w:val="auto"/>
              </w:rPr>
            </w:pPr>
          </w:p>
        </w:tc>
      </w:tr>
      <w:tr>
        <w:trPr>
          <w:trHeight w:val="216"/>
        </w:trPr>
        <w:tc>
          <w:tcPr>
            <w:tcW w:w="3560" w:type="dxa"/>
            <w:vAlign w:val="bottom"/>
          </w:tcPr>
          <w:p>
            <w:pPr>
              <w:ind w:left="20"/>
              <w:spacing w:after="0"/>
              <w:rPr>
                <w:sz w:val="20"/>
                <w:szCs w:val="20"/>
                <w:color w:val="auto"/>
              </w:rPr>
            </w:pPr>
            <w:r>
              <w:rPr>
                <w:rFonts w:ascii="Arial" w:cs="Arial" w:eastAsia="Arial" w:hAnsi="Arial"/>
                <w:sz w:val="13"/>
                <w:szCs w:val="13"/>
                <w:color w:val="auto"/>
              </w:rPr>
              <w:t>Distributions to noncontrolling interests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(1,371)</w:t>
            </w:r>
          </w:p>
        </w:tc>
        <w:tc>
          <w:tcPr>
            <w:tcW w:w="160" w:type="dxa"/>
            <w:vAlign w:val="bottom"/>
          </w:tcPr>
          <w:p>
            <w:pPr>
              <w:spacing w:after="0"/>
              <w:rPr>
                <w:sz w:val="18"/>
                <w:szCs w:val="18"/>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(1,371)</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(338)</w:t>
            </w:r>
          </w:p>
        </w:tc>
        <w:tc>
          <w:tcPr>
            <w:tcW w:w="0" w:type="dxa"/>
            <w:vAlign w:val="bottom"/>
          </w:tcPr>
          <w:p>
            <w:pPr>
              <w:spacing w:after="0"/>
              <w:rPr>
                <w:sz w:val="1"/>
                <w:szCs w:val="1"/>
                <w:color w:val="auto"/>
              </w:rPr>
            </w:pPr>
          </w:p>
        </w:tc>
      </w:tr>
      <w:tr>
        <w:trPr>
          <w:trHeight w:val="216"/>
        </w:trPr>
        <w:tc>
          <w:tcPr>
            <w:tcW w:w="3560" w:type="dxa"/>
            <w:vAlign w:val="bottom"/>
          </w:tcPr>
          <w:p>
            <w:pPr>
              <w:ind w:left="20"/>
              <w:spacing w:after="0"/>
              <w:rPr>
                <w:sz w:val="20"/>
                <w:szCs w:val="20"/>
                <w:color w:val="auto"/>
              </w:rPr>
            </w:pPr>
            <w:r>
              <w:rPr>
                <w:rFonts w:ascii="Arial" w:cs="Arial" w:eastAsia="Arial" w:hAnsi="Arial"/>
                <w:sz w:val="13"/>
                <w:szCs w:val="13"/>
                <w:color w:val="auto"/>
              </w:rPr>
              <w:t>Dividends on common stock</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(7,846)</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(7,846)</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560" w:type="dxa"/>
            <w:vAlign w:val="bottom"/>
          </w:tcPr>
          <w:p>
            <w:pPr>
              <w:ind w:left="20"/>
              <w:spacing w:after="0"/>
              <w:rPr>
                <w:sz w:val="20"/>
                <w:szCs w:val="20"/>
                <w:color w:val="auto"/>
              </w:rPr>
            </w:pPr>
            <w:r>
              <w:rPr>
                <w:rFonts w:ascii="Arial" w:cs="Arial" w:eastAsia="Arial" w:hAnsi="Arial"/>
                <w:sz w:val="13"/>
                <w:szCs w:val="13"/>
                <w:color w:val="auto"/>
              </w:rPr>
              <w:t>Forfeiture of restricted stock awards, net of Class B</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560" w:type="dxa"/>
            <w:vAlign w:val="bottom"/>
          </w:tcPr>
          <w:p>
            <w:pPr>
              <w:ind w:left="180"/>
              <w:spacing w:after="0"/>
              <w:rPr>
                <w:sz w:val="20"/>
                <w:szCs w:val="20"/>
                <w:color w:val="auto"/>
              </w:rPr>
            </w:pPr>
            <w:r>
              <w:rPr>
                <w:rFonts w:ascii="Arial" w:cs="Arial" w:eastAsia="Arial" w:hAnsi="Arial"/>
                <w:sz w:val="13"/>
                <w:szCs w:val="13"/>
                <w:color w:val="auto"/>
              </w:rPr>
              <w:t>common stock issuances</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(6)</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(124)</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(130)</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560" w:type="dxa"/>
            <w:vAlign w:val="bottom"/>
          </w:tcPr>
          <w:p>
            <w:pPr>
              <w:ind w:left="20"/>
              <w:spacing w:after="0"/>
              <w:rPr>
                <w:sz w:val="20"/>
                <w:szCs w:val="20"/>
                <w:color w:val="auto"/>
              </w:rPr>
            </w:pPr>
            <w:r>
              <w:rPr>
                <w:rFonts w:ascii="Arial" w:cs="Arial" w:eastAsia="Arial" w:hAnsi="Arial"/>
                <w:sz w:val="13"/>
                <w:szCs w:val="13"/>
                <w:color w:val="auto"/>
              </w:rPr>
              <w:t>Amortization of unearned stock compensation and stock</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560" w:type="dxa"/>
            <w:vAlign w:val="bottom"/>
          </w:tcPr>
          <w:p>
            <w:pPr>
              <w:ind w:left="180"/>
              <w:spacing w:after="0"/>
              <w:rPr>
                <w:sz w:val="20"/>
                <w:szCs w:val="20"/>
                <w:color w:val="auto"/>
              </w:rPr>
            </w:pPr>
            <w:r>
              <w:rPr>
                <w:rFonts w:ascii="Arial" w:cs="Arial" w:eastAsia="Arial" w:hAnsi="Arial"/>
                <w:sz w:val="13"/>
                <w:szCs w:val="13"/>
                <w:color w:val="auto"/>
              </w:rPr>
              <w:t>option expense</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1,696</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1,696</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3560" w:type="dxa"/>
            <w:vAlign w:val="bottom"/>
          </w:tcPr>
          <w:p>
            <w:pPr>
              <w:ind w:left="20"/>
              <w:spacing w:after="0"/>
              <w:rPr>
                <w:sz w:val="20"/>
                <w:szCs w:val="20"/>
                <w:color w:val="auto"/>
              </w:rPr>
            </w:pPr>
            <w:r>
              <w:rPr>
                <w:rFonts w:ascii="Arial" w:cs="Arial" w:eastAsia="Arial" w:hAnsi="Arial"/>
                <w:sz w:val="13"/>
                <w:szCs w:val="13"/>
                <w:color w:val="auto"/>
              </w:rPr>
              <w:t>Other comprehensive income, net of income taxes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31,990</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31,990</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3560" w:type="dxa"/>
            <w:vAlign w:val="bottom"/>
          </w:tcPr>
          <w:p>
            <w:pPr>
              <w:ind w:left="20"/>
              <w:spacing w:after="0"/>
              <w:rPr>
                <w:sz w:val="20"/>
                <w:szCs w:val="20"/>
                <w:color w:val="auto"/>
              </w:rPr>
            </w:pPr>
            <w:r>
              <w:rPr>
                <w:rFonts w:ascii="Arial" w:cs="Arial" w:eastAsia="Arial" w:hAnsi="Arial"/>
                <w:sz w:val="13"/>
                <w:szCs w:val="13"/>
                <w:color w:val="auto"/>
              </w:rPr>
              <w:t>As of June 30, 2025</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ind w:left="140"/>
              <w:spacing w:after="0"/>
              <w:rPr>
                <w:sz w:val="20"/>
                <w:szCs w:val="20"/>
                <w:color w:val="auto"/>
              </w:rPr>
            </w:pPr>
            <w:r>
              <w:rPr>
                <w:rFonts w:ascii="Arial" w:cs="Arial" w:eastAsia="Arial" w:hAnsi="Arial"/>
                <w:sz w:val="13"/>
                <w:szCs w:val="13"/>
                <w:color w:val="auto"/>
              </w:rPr>
              <w:t>20,000</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364,793</w:t>
            </w:r>
          </w:p>
        </w:tc>
        <w:tc>
          <w:tcPr>
            <w:tcW w:w="1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8,068,885</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379,883</w:t>
            </w:r>
          </w:p>
        </w:tc>
        <w:tc>
          <w:tcPr>
            <w:tcW w:w="1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(4,481,658)</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32,651</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4,384,554</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49,869</w:t>
            </w:r>
          </w:p>
        </w:tc>
        <w:tc>
          <w:tcPr>
            <w:tcW w:w="0" w:type="dxa"/>
            <w:vAlign w:val="bottom"/>
          </w:tcPr>
          <w:p>
            <w:pPr>
              <w:spacing w:after="0"/>
              <w:rPr>
                <w:sz w:val="1"/>
                <w:szCs w:val="1"/>
                <w:color w:val="auto"/>
              </w:rPr>
            </w:pPr>
          </w:p>
        </w:tc>
      </w:tr>
      <w:tr>
        <w:trPr>
          <w:trHeight w:val="216"/>
        </w:trPr>
        <w:tc>
          <w:tcPr>
            <w:tcW w:w="3560" w:type="dxa"/>
            <w:vAlign w:val="bottom"/>
          </w:tcPr>
          <w:p>
            <w:pPr>
              <w:ind w:left="20"/>
              <w:spacing w:after="0"/>
              <w:rPr>
                <w:sz w:val="20"/>
                <w:szCs w:val="20"/>
                <w:color w:val="auto"/>
              </w:rPr>
            </w:pPr>
            <w:r>
              <w:rPr>
                <w:rFonts w:ascii="Arial" w:cs="Arial" w:eastAsia="Arial" w:hAnsi="Arial"/>
                <w:sz w:val="13"/>
                <w:szCs w:val="13"/>
                <w:color w:val="auto"/>
              </w:rPr>
              <w:t>Net income for the period</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126,238</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126,238</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ind w:left="20"/>
              <w:spacing w:after="0"/>
              <w:rPr>
                <w:sz w:val="20"/>
                <w:szCs w:val="20"/>
                <w:color w:val="auto"/>
              </w:rPr>
            </w:pPr>
            <w:r>
              <w:rPr>
                <w:rFonts w:ascii="Arial" w:cs="Arial" w:eastAsia="Arial" w:hAnsi="Arial"/>
                <w:sz w:val="13"/>
                <w:szCs w:val="13"/>
                <w:color w:val="auto"/>
              </w:rPr>
              <w:t>Net income attributable to noncontrolling interests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(1,652)</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1,652</w:t>
            </w:r>
          </w:p>
        </w:tc>
        <w:tc>
          <w:tcPr>
            <w:tcW w:w="160" w:type="dxa"/>
            <w:vAlign w:val="bottom"/>
          </w:tcPr>
          <w:p>
            <w:pPr>
              <w:spacing w:after="0"/>
              <w:rPr>
                <w:sz w:val="18"/>
                <w:szCs w:val="18"/>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560" w:type="dxa"/>
            <w:vAlign w:val="bottom"/>
          </w:tcPr>
          <w:p>
            <w:pPr>
              <w:ind w:left="20"/>
              <w:spacing w:after="0"/>
              <w:rPr>
                <w:sz w:val="20"/>
                <w:szCs w:val="20"/>
                <w:color w:val="auto"/>
              </w:rPr>
            </w:pPr>
            <w:r>
              <w:rPr>
                <w:rFonts w:ascii="Arial" w:cs="Arial" w:eastAsia="Arial" w:hAnsi="Arial"/>
                <w:sz w:val="13"/>
                <w:szCs w:val="13"/>
                <w:color w:val="auto"/>
              </w:rPr>
              <w:t>Net income attributable to redeemable noncontrolling</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560" w:type="dxa"/>
            <w:vAlign w:val="bottom"/>
          </w:tcPr>
          <w:p>
            <w:pPr>
              <w:ind w:left="180"/>
              <w:spacing w:after="0"/>
              <w:rPr>
                <w:sz w:val="20"/>
                <w:szCs w:val="20"/>
                <w:color w:val="auto"/>
              </w:rPr>
            </w:pPr>
            <w:r>
              <w:rPr>
                <w:rFonts w:ascii="Arial" w:cs="Arial" w:eastAsia="Arial" w:hAnsi="Arial"/>
                <w:sz w:val="13"/>
                <w:szCs w:val="13"/>
                <w:color w:val="auto"/>
              </w:rPr>
              <w:t>interests</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(1,661)</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(1,661)</w:t>
            </w: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1,661</w:t>
            </w:r>
          </w:p>
        </w:tc>
        <w:tc>
          <w:tcPr>
            <w:tcW w:w="0" w:type="dxa"/>
            <w:vAlign w:val="bottom"/>
          </w:tcPr>
          <w:p>
            <w:pPr>
              <w:spacing w:after="0"/>
              <w:rPr>
                <w:sz w:val="1"/>
                <w:szCs w:val="1"/>
                <w:color w:val="auto"/>
              </w:rPr>
            </w:pPr>
          </w:p>
        </w:tc>
      </w:tr>
      <w:tr>
        <w:trPr>
          <w:trHeight w:val="188"/>
        </w:trPr>
        <w:tc>
          <w:tcPr>
            <w:tcW w:w="3560" w:type="dxa"/>
            <w:vAlign w:val="bottom"/>
          </w:tcPr>
          <w:p>
            <w:pPr>
              <w:ind w:left="20"/>
              <w:spacing w:after="0"/>
              <w:rPr>
                <w:sz w:val="20"/>
                <w:szCs w:val="20"/>
                <w:color w:val="auto"/>
              </w:rPr>
            </w:pPr>
            <w:r>
              <w:rPr>
                <w:rFonts w:ascii="Arial" w:cs="Arial" w:eastAsia="Arial" w:hAnsi="Arial"/>
                <w:sz w:val="13"/>
                <w:szCs w:val="13"/>
                <w:color w:val="auto"/>
              </w:rPr>
              <w:t>Change in redemption value of redeemable noncontrolling</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560" w:type="dxa"/>
            <w:vAlign w:val="bottom"/>
          </w:tcPr>
          <w:p>
            <w:pPr>
              <w:ind w:left="180"/>
              <w:spacing w:after="0"/>
              <w:rPr>
                <w:sz w:val="20"/>
                <w:szCs w:val="20"/>
                <w:color w:val="auto"/>
              </w:rPr>
            </w:pPr>
            <w:r>
              <w:rPr>
                <w:rFonts w:ascii="Arial" w:cs="Arial" w:eastAsia="Arial" w:hAnsi="Arial"/>
                <w:sz w:val="13"/>
                <w:szCs w:val="13"/>
                <w:color w:val="auto"/>
              </w:rPr>
              <w:t>interests</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(852)</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264</w:t>
            </w:r>
          </w:p>
        </w:tc>
        <w:tc>
          <w:tcPr>
            <w:tcW w:w="160" w:type="dxa"/>
            <w:vAlign w:val="bottom"/>
          </w:tcPr>
          <w:p>
            <w:pPr>
              <w:spacing w:after="0"/>
              <w:rPr>
                <w:sz w:val="15"/>
                <w:szCs w:val="15"/>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(588)</w:t>
            </w: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859</w:t>
            </w:r>
          </w:p>
        </w:tc>
        <w:tc>
          <w:tcPr>
            <w:tcW w:w="0" w:type="dxa"/>
            <w:vAlign w:val="bottom"/>
          </w:tcPr>
          <w:p>
            <w:pPr>
              <w:spacing w:after="0"/>
              <w:rPr>
                <w:sz w:val="1"/>
                <w:szCs w:val="1"/>
                <w:color w:val="auto"/>
              </w:rPr>
            </w:pPr>
          </w:p>
        </w:tc>
      </w:tr>
      <w:tr>
        <w:trPr>
          <w:trHeight w:val="216"/>
        </w:trPr>
        <w:tc>
          <w:tcPr>
            <w:tcW w:w="3560" w:type="dxa"/>
            <w:vAlign w:val="bottom"/>
          </w:tcPr>
          <w:p>
            <w:pPr>
              <w:ind w:left="20"/>
              <w:spacing w:after="0"/>
              <w:rPr>
                <w:sz w:val="20"/>
                <w:szCs w:val="20"/>
                <w:color w:val="auto"/>
              </w:rPr>
            </w:pPr>
            <w:r>
              <w:rPr>
                <w:rFonts w:ascii="Arial" w:cs="Arial" w:eastAsia="Arial" w:hAnsi="Arial"/>
                <w:sz w:val="13"/>
                <w:szCs w:val="13"/>
                <w:color w:val="auto"/>
              </w:rPr>
              <w:t>Distributions to noncontrolling interests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(872)</w:t>
            </w:r>
          </w:p>
        </w:tc>
        <w:tc>
          <w:tcPr>
            <w:tcW w:w="160" w:type="dxa"/>
            <w:vAlign w:val="bottom"/>
          </w:tcPr>
          <w:p>
            <w:pPr>
              <w:spacing w:after="0"/>
              <w:rPr>
                <w:sz w:val="18"/>
                <w:szCs w:val="18"/>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(872)</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(371)</w:t>
            </w:r>
          </w:p>
        </w:tc>
        <w:tc>
          <w:tcPr>
            <w:tcW w:w="0" w:type="dxa"/>
            <w:vAlign w:val="bottom"/>
          </w:tcPr>
          <w:p>
            <w:pPr>
              <w:spacing w:after="0"/>
              <w:rPr>
                <w:sz w:val="1"/>
                <w:szCs w:val="1"/>
                <w:color w:val="auto"/>
              </w:rPr>
            </w:pPr>
          </w:p>
        </w:tc>
      </w:tr>
      <w:tr>
        <w:trPr>
          <w:trHeight w:val="216"/>
        </w:trPr>
        <w:tc>
          <w:tcPr>
            <w:tcW w:w="3560" w:type="dxa"/>
            <w:vAlign w:val="bottom"/>
          </w:tcPr>
          <w:p>
            <w:pPr>
              <w:ind w:left="20"/>
              <w:spacing w:after="0"/>
              <w:rPr>
                <w:sz w:val="20"/>
                <w:szCs w:val="20"/>
                <w:color w:val="auto"/>
              </w:rPr>
            </w:pPr>
            <w:r>
              <w:rPr>
                <w:rFonts w:ascii="Arial" w:cs="Arial" w:eastAsia="Arial" w:hAnsi="Arial"/>
                <w:sz w:val="13"/>
                <w:szCs w:val="13"/>
                <w:color w:val="auto"/>
              </w:rPr>
              <w:t>Dividends on common stock</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(7,852)</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(7,852)</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ind w:left="20"/>
              <w:spacing w:after="0"/>
              <w:rPr>
                <w:sz w:val="20"/>
                <w:szCs w:val="20"/>
                <w:color w:val="auto"/>
              </w:rPr>
            </w:pPr>
            <w:r>
              <w:rPr>
                <w:rFonts w:ascii="Arial" w:cs="Arial" w:eastAsia="Arial" w:hAnsi="Arial"/>
                <w:sz w:val="13"/>
                <w:szCs w:val="13"/>
                <w:color w:val="auto"/>
              </w:rPr>
              <w:t>Issuance of Class B common stock</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(32)</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ind w:left="20"/>
              <w:spacing w:after="0"/>
              <w:rPr>
                <w:sz w:val="20"/>
                <w:szCs w:val="20"/>
                <w:color w:val="auto"/>
              </w:rPr>
            </w:pPr>
            <w:r>
              <w:rPr>
                <w:rFonts w:ascii="Arial" w:cs="Arial" w:eastAsia="Arial" w:hAnsi="Arial"/>
                <w:sz w:val="13"/>
                <w:szCs w:val="13"/>
                <w:color w:val="auto"/>
              </w:rPr>
              <w:t>Shares withheld related to net share settlement</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(2,235)</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(2,235)</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560" w:type="dxa"/>
            <w:vAlign w:val="bottom"/>
          </w:tcPr>
          <w:p>
            <w:pPr>
              <w:ind w:left="20"/>
              <w:spacing w:after="0"/>
              <w:rPr>
                <w:sz w:val="20"/>
                <w:szCs w:val="20"/>
                <w:color w:val="auto"/>
              </w:rPr>
            </w:pPr>
            <w:r>
              <w:rPr>
                <w:rFonts w:ascii="Arial" w:cs="Arial" w:eastAsia="Arial" w:hAnsi="Arial"/>
                <w:sz w:val="13"/>
                <w:szCs w:val="13"/>
                <w:color w:val="auto"/>
              </w:rPr>
              <w:t>Amortization of unearned stock compensation and stock</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560" w:type="dxa"/>
            <w:vAlign w:val="bottom"/>
          </w:tcPr>
          <w:p>
            <w:pPr>
              <w:ind w:left="180"/>
              <w:spacing w:after="0"/>
              <w:rPr>
                <w:sz w:val="20"/>
                <w:szCs w:val="20"/>
                <w:color w:val="auto"/>
              </w:rPr>
            </w:pPr>
            <w:r>
              <w:rPr>
                <w:rFonts w:ascii="Arial" w:cs="Arial" w:eastAsia="Arial" w:hAnsi="Arial"/>
                <w:sz w:val="13"/>
                <w:szCs w:val="13"/>
                <w:color w:val="auto"/>
              </w:rPr>
              <w:t>option expense</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1,686</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1,686</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560" w:type="dxa"/>
            <w:vAlign w:val="bottom"/>
          </w:tcPr>
          <w:p>
            <w:pPr>
              <w:ind w:left="20"/>
              <w:spacing w:after="0"/>
              <w:rPr>
                <w:sz w:val="20"/>
                <w:szCs w:val="20"/>
                <w:color w:val="auto"/>
              </w:rPr>
            </w:pPr>
            <w:r>
              <w:rPr>
                <w:rFonts w:ascii="Arial" w:cs="Arial" w:eastAsia="Arial" w:hAnsi="Arial"/>
                <w:sz w:val="13"/>
                <w:szCs w:val="13"/>
                <w:color w:val="auto"/>
              </w:rPr>
              <w:t>Purchase of noncontrolling interest</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(1,761)</w:t>
            </w:r>
          </w:p>
        </w:tc>
        <w:tc>
          <w:tcPr>
            <w:tcW w:w="160" w:type="dxa"/>
            <w:vAlign w:val="bottom"/>
          </w:tcPr>
          <w:p>
            <w:pPr>
              <w:spacing w:after="0"/>
              <w:rPr>
                <w:sz w:val="18"/>
                <w:szCs w:val="18"/>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(1,761)</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560" w:type="dxa"/>
            <w:vAlign w:val="bottom"/>
          </w:tcPr>
          <w:p>
            <w:pPr>
              <w:ind w:left="20"/>
              <w:spacing w:after="0"/>
              <w:rPr>
                <w:sz w:val="20"/>
                <w:szCs w:val="20"/>
                <w:color w:val="auto"/>
              </w:rPr>
            </w:pPr>
            <w:r>
              <w:rPr>
                <w:rFonts w:ascii="Arial" w:cs="Arial" w:eastAsia="Arial" w:hAnsi="Arial"/>
                <w:sz w:val="13"/>
                <w:szCs w:val="13"/>
                <w:color w:val="auto"/>
              </w:rPr>
              <w:t>Other comprehensive loss, net of income taxes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(8,849)</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(8,849)</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560" w:type="dxa"/>
            <w:vAlign w:val="bottom"/>
          </w:tcPr>
          <w:p>
            <w:pPr>
              <w:ind w:left="20"/>
              <w:spacing w:after="0"/>
              <w:rPr>
                <w:sz w:val="20"/>
                <w:szCs w:val="20"/>
                <w:color w:val="auto"/>
              </w:rPr>
            </w:pPr>
            <w:r>
              <w:rPr>
                <w:rFonts w:ascii="Arial" w:cs="Arial" w:eastAsia="Arial" w:hAnsi="Arial"/>
                <w:sz w:val="13"/>
                <w:szCs w:val="13"/>
                <w:color w:val="auto"/>
              </w:rPr>
              <w:t>As of September 30, 2025</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tcPr>
          <w:p>
            <w:pPr>
              <w:ind w:left="140"/>
              <w:spacing w:after="0"/>
              <w:rPr>
                <w:sz w:val="20"/>
                <w:szCs w:val="20"/>
                <w:color w:val="auto"/>
              </w:rPr>
            </w:pPr>
            <w:r>
              <w:rPr>
                <w:rFonts w:ascii="Arial" w:cs="Arial" w:eastAsia="Arial" w:hAnsi="Arial"/>
                <w:sz w:val="13"/>
                <w:szCs w:val="13"/>
                <w:color w:val="auto"/>
              </w:rPr>
              <w:t>20,000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365,595</w:t>
            </w:r>
          </w:p>
        </w:tc>
        <w:tc>
          <w:tcPr>
            <w:tcW w:w="1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8,183,958</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371,034</w:t>
            </w:r>
          </w:p>
        </w:tc>
        <w:tc>
          <w:tcPr>
            <w:tcW w:w="1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(4,483,861)</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31,934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4,488,660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52,018</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9" w:name="page10"/>
    <w:bookmarkEnd w:id="9"/>
    <w:p>
      <w:pPr>
        <w:ind w:left="4240"/>
        <w:spacing w:after="0"/>
        <w:rPr>
          <w:sz w:val="20"/>
          <w:szCs w:val="20"/>
          <w:color w:val="auto"/>
        </w:rPr>
      </w:pPr>
      <w:r>
        <w:rPr>
          <w:rFonts w:ascii="Arial" w:cs="Arial" w:eastAsia="Arial" w:hAnsi="Arial"/>
          <w:sz w:val="18"/>
          <w:szCs w:val="18"/>
          <w:b w:val="1"/>
          <w:bCs w:val="1"/>
          <w:color w:val="auto"/>
        </w:rPr>
        <w:t>GRAHAM HOLDINGS COMPANY</w:t>
      </w:r>
    </w:p>
    <w:p>
      <w:pPr>
        <w:spacing w:after="0" w:line="158"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NOTES TO CONDENSED CONSOLIDATED FINANCIAL STATEMENTS</w:t>
      </w:r>
    </w:p>
    <w:p>
      <w:pPr>
        <w:ind w:left="5040"/>
        <w:spacing w:after="0"/>
        <w:rPr>
          <w:sz w:val="20"/>
          <w:szCs w:val="20"/>
          <w:color w:val="auto"/>
        </w:rPr>
      </w:pPr>
      <w:r>
        <w:rPr>
          <w:rFonts w:ascii="Arial" w:cs="Arial" w:eastAsia="Arial" w:hAnsi="Arial"/>
          <w:sz w:val="18"/>
          <w:szCs w:val="18"/>
          <w:b w:val="1"/>
          <w:bCs w:val="1"/>
          <w:color w:val="auto"/>
        </w:rPr>
        <w:t>(UNAUDITED)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BASIS OF PRESENTATION AND RECENT ACCOUNTING PRONOUNCEMENTS</w:t>
      </w:r>
    </w:p>
    <w:p>
      <w:pPr>
        <w:spacing w:after="0" w:line="158" w:lineRule="exact"/>
        <w:rPr>
          <w:sz w:val="20"/>
          <w:szCs w:val="20"/>
          <w:color w:val="auto"/>
        </w:rPr>
      </w:pPr>
    </w:p>
    <w:p>
      <w:pPr>
        <w:ind w:right="520"/>
        <w:spacing w:after="0" w:line="256" w:lineRule="auto"/>
        <w:rPr>
          <w:sz w:val="20"/>
          <w:szCs w:val="20"/>
          <w:color w:val="auto"/>
        </w:rPr>
      </w:pPr>
      <w:r>
        <w:rPr>
          <w:rFonts w:ascii="Arial" w:cs="Arial" w:eastAsia="Arial" w:hAnsi="Arial"/>
          <w:sz w:val="18"/>
          <w:szCs w:val="18"/>
          <w:color w:val="auto"/>
        </w:rPr>
        <w:t>Graham Holdings Company (the Company), is a diversified holding company whose operations include educational services, television broadcasting, healthcare, manufacturing, automotive dealerships and other businesses.</w:t>
      </w:r>
    </w:p>
    <w:p>
      <w:pPr>
        <w:spacing w:after="0" w:line="98" w:lineRule="exact"/>
        <w:rPr>
          <w:sz w:val="20"/>
          <w:szCs w:val="20"/>
          <w:color w:val="auto"/>
        </w:rPr>
      </w:pPr>
    </w:p>
    <w:p>
      <w:pPr>
        <w:ind w:right="160"/>
        <w:spacing w:after="0" w:line="251" w:lineRule="auto"/>
        <w:rPr>
          <w:sz w:val="20"/>
          <w:szCs w:val="20"/>
          <w:color w:val="auto"/>
        </w:rPr>
      </w:pPr>
      <w:r>
        <w:rPr>
          <w:rFonts w:ascii="Arial" w:cs="Arial" w:eastAsia="Arial" w:hAnsi="Arial"/>
          <w:sz w:val="17"/>
          <w:szCs w:val="17"/>
          <w:color w:val="auto"/>
        </w:rPr>
        <w:t>Through Kaplan, Inc. (Kaplan), the Company provides a wide variety of educational services to students, schools, colleges, universities and businesses, both domestically and outside the United States (U.S.). Kaplan’s educational services include academic preparation programs</w:t>
      </w:r>
    </w:p>
    <w:p>
      <w:pPr>
        <w:spacing w:after="0" w:line="1" w:lineRule="exact"/>
        <w:rPr>
          <w:sz w:val="20"/>
          <w:szCs w:val="20"/>
          <w:color w:val="auto"/>
        </w:rPr>
      </w:pPr>
    </w:p>
    <w:p>
      <w:pPr>
        <w:ind w:right="200"/>
        <w:spacing w:after="0" w:line="231" w:lineRule="auto"/>
        <w:rPr>
          <w:sz w:val="20"/>
          <w:szCs w:val="20"/>
          <w:color w:val="auto"/>
        </w:rPr>
      </w:pPr>
      <w:r>
        <w:rPr>
          <w:rFonts w:ascii="Arial" w:cs="Arial" w:eastAsia="Arial" w:hAnsi="Arial"/>
          <w:sz w:val="18"/>
          <w:szCs w:val="18"/>
          <w:color w:val="auto"/>
        </w:rPr>
        <w:t>for international students; operations support services for pre-college, certificate, undergraduate and graduate programs; exam preparation for high school and graduate students and for professional certifications and licensures; career and academic advisement services to businesses; and a United Kingdom (U.K.) sixth-form college that prepares students for A-level examinations.</w:t>
      </w:r>
    </w:p>
    <w:p>
      <w:pPr>
        <w:spacing w:after="0" w:line="113" w:lineRule="exact"/>
        <w:rPr>
          <w:sz w:val="20"/>
          <w:szCs w:val="20"/>
          <w:color w:val="auto"/>
        </w:rPr>
      </w:pPr>
    </w:p>
    <w:p>
      <w:pPr>
        <w:ind w:right="580"/>
        <w:spacing w:after="0" w:line="271" w:lineRule="auto"/>
        <w:rPr>
          <w:sz w:val="20"/>
          <w:szCs w:val="20"/>
          <w:color w:val="auto"/>
        </w:rPr>
      </w:pPr>
      <w:r>
        <w:rPr>
          <w:rFonts w:ascii="Arial" w:cs="Arial" w:eastAsia="Arial" w:hAnsi="Arial"/>
          <w:sz w:val="18"/>
          <w:szCs w:val="18"/>
          <w:color w:val="auto"/>
        </w:rPr>
        <w:t>The Company’s television broadcasting segment owns and operates seven television broadcasting stations and provides social media management tools designed to connect newsrooms with their users.</w:t>
      </w:r>
    </w:p>
    <w:p>
      <w:pPr>
        <w:spacing w:after="0" w:line="181" w:lineRule="exact"/>
        <w:rPr>
          <w:sz w:val="20"/>
          <w:szCs w:val="20"/>
          <w:color w:val="auto"/>
        </w:rPr>
      </w:pPr>
    </w:p>
    <w:p>
      <w:pPr>
        <w:ind w:right="280"/>
        <w:spacing w:after="0" w:line="237" w:lineRule="auto"/>
        <w:rPr>
          <w:sz w:val="20"/>
          <w:szCs w:val="20"/>
          <w:color w:val="auto"/>
        </w:rPr>
      </w:pPr>
      <w:r>
        <w:rPr>
          <w:rFonts w:ascii="Arial" w:cs="Arial" w:eastAsia="Arial" w:hAnsi="Arial"/>
          <w:sz w:val="18"/>
          <w:szCs w:val="18"/>
          <w:color w:val="auto"/>
        </w:rPr>
        <w:t>The Company’s healthcare division provides in-home specialty pharmacy infusion therapies; home health, hospice and palliative services; physician services for allergy, asthma and immunology patients; in-home aesthetics; applied behavior analysis therapy; and healthcare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software-as-a-service technology.</w:t>
      </w:r>
    </w:p>
    <w:p>
      <w:pPr>
        <w:spacing w:after="0" w:line="140"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The Company’s manufacturing companies include a supplier of pressure-treated wood and aluminum cladding products, a manufacturer of electrical solutions, a manufacturer of lifting solutions, and a supplier of parts used in electric utilities and industrial systems.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Company’s automotive business comprises eight dealerships and valet repair services.</w:t>
      </w:r>
    </w:p>
    <w:p>
      <w:pPr>
        <w:spacing w:after="0" w:line="158" w:lineRule="exact"/>
        <w:rPr>
          <w:sz w:val="20"/>
          <w:szCs w:val="20"/>
          <w:color w:val="auto"/>
        </w:rPr>
      </w:pPr>
    </w:p>
    <w:p>
      <w:pPr>
        <w:ind w:right="500"/>
        <w:spacing w:after="0" w:line="251" w:lineRule="auto"/>
        <w:rPr>
          <w:sz w:val="20"/>
          <w:szCs w:val="20"/>
          <w:color w:val="auto"/>
        </w:rPr>
      </w:pPr>
      <w:r>
        <w:rPr>
          <w:rFonts w:ascii="Arial" w:cs="Arial" w:eastAsia="Arial" w:hAnsi="Arial"/>
          <w:sz w:val="17"/>
          <w:szCs w:val="17"/>
          <w:color w:val="auto"/>
        </w:rPr>
        <w:t xml:space="preserve">The Company’s other businesses include restaurants; a custom framing company; a marketing solutions provider; a customer data and analytics software company; </w:t>
      </w:r>
      <w:r>
        <w:rPr>
          <w:rFonts w:ascii="Arial" w:cs="Arial" w:eastAsia="Arial" w:hAnsi="Arial"/>
          <w:sz w:val="17"/>
          <w:szCs w:val="17"/>
          <w:i w:val="1"/>
          <w:iCs w:val="1"/>
          <w:color w:val="auto"/>
        </w:rPr>
        <w:t>Slate</w:t>
      </w:r>
      <w:r>
        <w:rPr>
          <w:rFonts w:ascii="Arial" w:cs="Arial" w:eastAsia="Arial" w:hAnsi="Arial"/>
          <w:sz w:val="17"/>
          <w:szCs w:val="17"/>
          <w:color w:val="auto"/>
        </w:rPr>
        <w:t xml:space="preserve"> and </w:t>
      </w:r>
      <w:r>
        <w:rPr>
          <w:rFonts w:ascii="Arial" w:cs="Arial" w:eastAsia="Arial" w:hAnsi="Arial"/>
          <w:sz w:val="17"/>
          <w:szCs w:val="17"/>
          <w:i w:val="1"/>
          <w:iCs w:val="1"/>
          <w:color w:val="auto"/>
        </w:rPr>
        <w:t>Foreign Policy</w:t>
      </w:r>
      <w:r>
        <w:rPr>
          <w:rFonts w:ascii="Arial" w:cs="Arial" w:eastAsia="Arial" w:hAnsi="Arial"/>
          <w:sz w:val="17"/>
          <w:szCs w:val="17"/>
          <w:color w:val="auto"/>
        </w:rPr>
        <w:t xml:space="preserve"> magazines; a daily local news podcast and newsletter company; a company that</w:t>
      </w:r>
    </w:p>
    <w:p>
      <w:pPr>
        <w:spacing w:after="0" w:line="235" w:lineRule="auto"/>
        <w:rPr>
          <w:sz w:val="20"/>
          <w:szCs w:val="20"/>
          <w:color w:val="auto"/>
        </w:rPr>
      </w:pPr>
      <w:r>
        <w:rPr>
          <w:rFonts w:ascii="Arial" w:cs="Arial" w:eastAsia="Arial" w:hAnsi="Arial"/>
          <w:sz w:val="18"/>
          <w:szCs w:val="18"/>
          <w:color w:val="auto"/>
        </w:rPr>
        <w:t>provides a software-as-a-service platform that enables podcasters and media companies to monetize audio content through paid</w:t>
      </w:r>
    </w:p>
    <w:p>
      <w:pPr>
        <w:ind w:right="720"/>
        <w:spacing w:after="0" w:line="237" w:lineRule="auto"/>
        <w:rPr>
          <w:sz w:val="20"/>
          <w:szCs w:val="20"/>
          <w:color w:val="auto"/>
        </w:rPr>
      </w:pPr>
      <w:r>
        <w:rPr>
          <w:rFonts w:ascii="Arial" w:cs="Arial" w:eastAsia="Arial" w:hAnsi="Arial"/>
          <w:sz w:val="18"/>
          <w:szCs w:val="18"/>
          <w:color w:val="auto"/>
        </w:rPr>
        <w:t>subscriptions, memberships, and audiobooks; an online art gallery and in-person art fair business; and an online commerce platform featuring original art and designs on an array of consumer products.</w:t>
      </w:r>
    </w:p>
    <w:p>
      <w:pPr>
        <w:spacing w:after="0" w:line="127"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On February 1, 2026, Kaplan entered into a Share Purchase Agreement to sell its Kaplan Languages Group (KLG) business, consisting of more than 20 language schools in eight countries. The transaction closed on May 1, 2026.</w:t>
      </w:r>
    </w:p>
    <w:p>
      <w:pPr>
        <w:spacing w:after="0" w:line="86"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In the third quarter of 2026, Kaplan entered into a Share Purchase Agreement to sell Dublin Business School (DBS). The transaction closed on October 27, 2026.</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 The accompanying condensed consolidated financial statements have been prepared in accordance with:</w:t>
      </w:r>
    </w:p>
    <w:p>
      <w:pPr>
        <w:ind w:right="40" w:firstLine="8"/>
        <w:spacing w:after="0" w:line="232" w:lineRule="auto"/>
        <w:tabs>
          <w:tab w:leader="none" w:pos="21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generally accepted accounting principles in the United States of America (GAAP) for interim financial information; (ii) the instructions to Form 10-Q; and (iii) the guidance of Rule 10-01 of Regulation S-X under the Securities and Exchange Act of 1934, as amended, for financial statements required to be filed with the Securities and Exchange Commission (SEC). They include the assets, liabilities, results of operations and cash flows of the Company, including its domestic and foreign subsidiaries that are more than 50% owned or otherwise controlled by the Company. As permitted under such rules, certain notes and other financial information normally required by GAAP have been condensed or omitted. Management believes the accompanying condensed consolidated financial statements reflect all normal and recurring adjustments necessary for a fair statement of the Company’s financial position, results of operations, and cash flows as of and for the periods presented herein. The Company’s results of operations for the three and nine months ended September 30, 2026 and 2025 may not be indicative of the Company’s future results. These condensed consolidated financial statements are unaudited and should be read in conjunction with the Company’s audited consolidated financial statements and the notes thereto included in the Company’s Annual Report on Form 10-K for the fiscal year ended December 31, 2025.</w:t>
      </w:r>
    </w:p>
    <w:p>
      <w:pPr>
        <w:spacing w:after="0" w:line="13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year-end condensed consolidated balance sheet data was derived from audited financial statements, but does not include all disclosures required by GAAP.</w:t>
      </w:r>
    </w:p>
    <w:p>
      <w:pPr>
        <w:spacing w:after="0" w:line="112" w:lineRule="exact"/>
        <w:rPr>
          <w:sz w:val="20"/>
          <w:szCs w:val="20"/>
          <w:color w:val="auto"/>
        </w:rPr>
      </w:pPr>
    </w:p>
    <w:p>
      <w:pPr>
        <w:ind w:right="180"/>
        <w:spacing w:after="0" w:line="251" w:lineRule="auto"/>
        <w:rPr>
          <w:sz w:val="20"/>
          <w:szCs w:val="20"/>
          <w:color w:val="auto"/>
        </w:rPr>
      </w:pPr>
      <w:r>
        <w:rPr>
          <w:rFonts w:ascii="Arial" w:cs="Arial" w:eastAsia="Arial" w:hAnsi="Arial"/>
          <w:sz w:val="17"/>
          <w:szCs w:val="17"/>
          <w:b w:val="1"/>
          <w:bCs w:val="1"/>
          <w:color w:val="auto"/>
        </w:rPr>
        <w:t xml:space="preserve">Use of Estimates in the Preparation of the Condensed Consolidated Financial Statements </w:t>
      </w:r>
      <w:r>
        <w:rPr>
          <w:rFonts w:ascii="Arial" w:cs="Arial" w:eastAsia="Arial" w:hAnsi="Arial"/>
          <w:sz w:val="17"/>
          <w:szCs w:val="17"/>
          <w:color w:val="auto"/>
        </w:rPr>
        <w:t>– The preparation of the condensed</w:t>
      </w:r>
      <w:r>
        <w:rPr>
          <w:rFonts w:ascii="Arial" w:cs="Arial" w:eastAsia="Arial" w:hAnsi="Arial"/>
          <w:sz w:val="17"/>
          <w:szCs w:val="17"/>
          <w:b w:val="1"/>
          <w:bCs w:val="1"/>
          <w:color w:val="auto"/>
        </w:rPr>
        <w:t xml:space="preserve"> </w:t>
      </w:r>
      <w:r>
        <w:rPr>
          <w:rFonts w:ascii="Arial" w:cs="Arial" w:eastAsia="Arial" w:hAnsi="Arial"/>
          <w:sz w:val="17"/>
          <w:szCs w:val="17"/>
          <w:color w:val="auto"/>
        </w:rPr>
        <w:t>consolidated financial statements in conformity with GAAP requires management to make estimates and judgments that affect the amounts</w:t>
      </w:r>
    </w:p>
    <w:p>
      <w:pPr>
        <w:spacing w:after="0" w:line="1"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reported herein. Management bases its estimates and assumptions on historical experience and on various other factors that are believed to be reasonable under the</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0" w:name="page11"/>
    <w:bookmarkEnd w:id="10"/>
    <w:p>
      <w:pPr>
        <w:ind w:right="360"/>
        <w:spacing w:after="0" w:line="271" w:lineRule="auto"/>
        <w:rPr>
          <w:sz w:val="20"/>
          <w:szCs w:val="20"/>
          <w:color w:val="auto"/>
        </w:rPr>
      </w:pPr>
      <w:r>
        <w:rPr>
          <w:rFonts w:ascii="Arial" w:cs="Arial" w:eastAsia="Arial" w:hAnsi="Arial"/>
          <w:sz w:val="18"/>
          <w:szCs w:val="18"/>
          <w:color w:val="auto"/>
        </w:rPr>
        <w:t>circumstances. Due to the inherent uncertainty involved in making estimates, actual results reported in future periods may be affected by changes in those estimates.</w:t>
      </w:r>
    </w:p>
    <w:p>
      <w:pPr>
        <w:spacing w:after="0" w:line="86" w:lineRule="exact"/>
        <w:rPr>
          <w:sz w:val="20"/>
          <w:szCs w:val="20"/>
          <w:color w:val="auto"/>
        </w:rPr>
      </w:pPr>
    </w:p>
    <w:p>
      <w:pPr>
        <w:ind w:right="180"/>
        <w:spacing w:after="0" w:line="259" w:lineRule="auto"/>
        <w:rPr>
          <w:sz w:val="20"/>
          <w:szCs w:val="20"/>
          <w:color w:val="auto"/>
        </w:rPr>
      </w:pPr>
      <w:r>
        <w:rPr>
          <w:rFonts w:ascii="Arial" w:cs="Arial" w:eastAsia="Arial" w:hAnsi="Arial"/>
          <w:sz w:val="17"/>
          <w:szCs w:val="17"/>
          <w:b w:val="1"/>
          <w:bCs w:val="1"/>
          <w:color w:val="auto"/>
        </w:rPr>
        <w:t xml:space="preserve">Assets Held for Sale </w:t>
      </w:r>
      <w:r>
        <w:rPr>
          <w:rFonts w:ascii="Arial" w:cs="Arial" w:eastAsia="Arial" w:hAnsi="Arial"/>
          <w:sz w:val="17"/>
          <w:szCs w:val="17"/>
          <w:color w:val="auto"/>
        </w:rPr>
        <w:t>– An asset or business is classified as held for sale when (i) management commits to a plan to sell the asset or</w:t>
      </w:r>
      <w:r>
        <w:rPr>
          <w:rFonts w:ascii="Arial" w:cs="Arial" w:eastAsia="Arial" w:hAnsi="Arial"/>
          <w:sz w:val="17"/>
          <w:szCs w:val="17"/>
          <w:b w:val="1"/>
          <w:bCs w:val="1"/>
          <w:color w:val="auto"/>
        </w:rPr>
        <w:t xml:space="preserve"> </w:t>
      </w:r>
      <w:r>
        <w:rPr>
          <w:rFonts w:ascii="Arial" w:cs="Arial" w:eastAsia="Arial" w:hAnsi="Arial"/>
          <w:sz w:val="17"/>
          <w:szCs w:val="17"/>
          <w:color w:val="auto"/>
        </w:rPr>
        <w:t>business; (ii) the asset or business is available for immediate sale in its present condition; (iii) the asset or business is actively marketed for</w:t>
      </w:r>
    </w:p>
    <w:p>
      <w:pPr>
        <w:spacing w:after="0" w:line="1" w:lineRule="exact"/>
        <w:rPr>
          <w:sz w:val="20"/>
          <w:szCs w:val="20"/>
          <w:color w:val="auto"/>
        </w:rPr>
      </w:pPr>
    </w:p>
    <w:p>
      <w:pPr>
        <w:ind w:right="180"/>
        <w:spacing w:after="0" w:line="226" w:lineRule="auto"/>
        <w:rPr>
          <w:sz w:val="20"/>
          <w:szCs w:val="20"/>
          <w:color w:val="auto"/>
        </w:rPr>
      </w:pPr>
      <w:r>
        <w:rPr>
          <w:rFonts w:ascii="Arial" w:cs="Arial" w:eastAsia="Arial" w:hAnsi="Arial"/>
          <w:sz w:val="18"/>
          <w:szCs w:val="18"/>
          <w:color w:val="auto"/>
        </w:rPr>
        <w:t>sale at a reasonable price; (iv) the sale is expected to be completed within one year; and (v) it is unlikely significant changes to the plan will be made or that the plan will be withdrawn. The assets and related liabilities are aggregated and reported separately in the Company’s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Financial Statements (see Note 2).</w:t>
      </w:r>
    </w:p>
    <w:p>
      <w:pPr>
        <w:spacing w:after="0" w:line="140" w:lineRule="exact"/>
        <w:rPr>
          <w:sz w:val="20"/>
          <w:szCs w:val="20"/>
          <w:color w:val="auto"/>
        </w:rPr>
      </w:pPr>
    </w:p>
    <w:p>
      <w:pPr>
        <w:ind w:right="360"/>
        <w:spacing w:after="0" w:line="251" w:lineRule="auto"/>
        <w:rPr>
          <w:sz w:val="20"/>
          <w:szCs w:val="20"/>
          <w:color w:val="auto"/>
        </w:rPr>
      </w:pPr>
      <w:r>
        <w:rPr>
          <w:rFonts w:ascii="Arial" w:cs="Arial" w:eastAsia="Arial" w:hAnsi="Arial"/>
          <w:sz w:val="17"/>
          <w:szCs w:val="17"/>
          <w:b w:val="1"/>
          <w:bCs w:val="1"/>
          <w:color w:val="auto"/>
        </w:rPr>
        <w:t xml:space="preserve">Recently Adopted and Issued Accounting Pronouncements </w:t>
      </w:r>
      <w:r>
        <w:rPr>
          <w:rFonts w:ascii="Arial" w:cs="Arial" w:eastAsia="Arial" w:hAnsi="Arial"/>
          <w:sz w:val="17"/>
          <w:szCs w:val="17"/>
          <w:color w:val="auto"/>
        </w:rPr>
        <w:t>– In November 2024, the Financial Accounting Standards Board (FASB)</w:t>
      </w:r>
      <w:r>
        <w:rPr>
          <w:rFonts w:ascii="Arial" w:cs="Arial" w:eastAsia="Arial" w:hAnsi="Arial"/>
          <w:sz w:val="17"/>
          <w:szCs w:val="17"/>
          <w:b w:val="1"/>
          <w:bCs w:val="1"/>
          <w:color w:val="auto"/>
        </w:rPr>
        <w:t xml:space="preserve"> </w:t>
      </w:r>
      <w:r>
        <w:rPr>
          <w:rFonts w:ascii="Arial" w:cs="Arial" w:eastAsia="Arial" w:hAnsi="Arial"/>
          <w:sz w:val="17"/>
          <w:szCs w:val="17"/>
          <w:color w:val="auto"/>
        </w:rPr>
        <w:t>issued new guidance that requires disclosures about certain significant expense categories including inventory purchases, employee</w:t>
      </w:r>
    </w:p>
    <w:p>
      <w:pPr>
        <w:spacing w:after="0" w:line="235" w:lineRule="auto"/>
        <w:rPr>
          <w:sz w:val="20"/>
          <w:szCs w:val="20"/>
          <w:color w:val="auto"/>
        </w:rPr>
      </w:pPr>
      <w:r>
        <w:rPr>
          <w:rFonts w:ascii="Arial" w:cs="Arial" w:eastAsia="Arial" w:hAnsi="Arial"/>
          <w:sz w:val="18"/>
          <w:szCs w:val="18"/>
          <w:color w:val="auto"/>
        </w:rPr>
        <w:t>compensation, depreciation, amortization, and selling expenses. The guidance is effective for fiscal years beginning after December 15,</w:t>
      </w:r>
    </w:p>
    <w:p>
      <w:pPr>
        <w:ind w:right="40"/>
        <w:spacing w:after="0" w:line="237" w:lineRule="auto"/>
        <w:rPr>
          <w:sz w:val="20"/>
          <w:szCs w:val="20"/>
          <w:color w:val="auto"/>
        </w:rPr>
      </w:pPr>
      <w:r>
        <w:rPr>
          <w:rFonts w:ascii="Arial" w:cs="Arial" w:eastAsia="Arial" w:hAnsi="Arial"/>
          <w:sz w:val="18"/>
          <w:szCs w:val="18"/>
          <w:color w:val="auto"/>
        </w:rPr>
        <w:t>2026, and interim periods within fiscal years beginning after December 15, 2027. Early adoption is permitted. The Company is in the process of evaluating the impact of this new guidance on the disclosures within its Condensed Consolidated Financial Statements.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 September 2025, FASB issued new guidance which updates the accounting for internal-use software by removing references to software</w:t>
      </w:r>
    </w:p>
    <w:p>
      <w:pPr>
        <w:spacing w:after="0" w:line="14"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development project stages and adding new criteria to determine when an entity is required to start capitalizing internal-use software costs. The guidance is effective for fiscal years and interim periods beginning after December 15, 2027. Early adoption is permitted. The Company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is in the process of evaluating the impact of this new guidance on its Condensed Consolidated Financial Statements.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 AND DISPOSITIONS OF BUSINESSES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Acquisitions. </w:t>
      </w:r>
      <w:r>
        <w:rPr>
          <w:rFonts w:ascii="Arial" w:cs="Arial" w:eastAsia="Arial" w:hAnsi="Arial"/>
          <w:sz w:val="18"/>
          <w:szCs w:val="18"/>
          <w:color w:val="auto"/>
        </w:rPr>
        <w:t>During the first nine months of 2026, the Company acquired two small businesses, one in March and one in July, both of</w:t>
      </w:r>
    </w:p>
    <w:p>
      <w:pPr>
        <w:spacing w:after="0" w:line="14"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which are included in other healthcare businesses. The assets and liabilities of the companies acquired were recorded at their estimated fair values at the date of acquisition.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During 2025, the Company acquired five businesses: one in education, two in other healthcare businesses, one in manufacturing and one in</w:t>
      </w:r>
    </w:p>
    <w:p>
      <w:pPr>
        <w:spacing w:after="0" w:line="14"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automotive for $71.2 million in cash and the assumption of floor plan payables and $107.5 million in net pension obligations. The assets and liabilities of the companies acquired were recorded at their estimated fair values at the date of acquisition.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 June 2025, Kaplan acquired one small business which is included in its supplemental education division.</w:t>
      </w:r>
    </w:p>
    <w:p>
      <w:pPr>
        <w:spacing w:after="0" w:line="158"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In July 2025, Hoover acquired 100% of Arconic Architectural Products, LLC, a wholly-owned subsidiary of Arconic Corporation, which manufactures aluminum cladding products and operates within the broader non-residential materials space from its facility in Eastman, GA. A</w:t>
      </w:r>
    </w:p>
    <w:p>
      <w:pPr>
        <w:spacing w:after="0" w:line="1" w:lineRule="exact"/>
        <w:rPr>
          <w:sz w:val="20"/>
          <w:szCs w:val="20"/>
          <w:color w:val="auto"/>
        </w:rPr>
      </w:pPr>
    </w:p>
    <w:p>
      <w:pPr>
        <w:ind w:right="240"/>
        <w:spacing w:after="0" w:line="250" w:lineRule="auto"/>
        <w:rPr>
          <w:sz w:val="20"/>
          <w:szCs w:val="20"/>
          <w:color w:val="auto"/>
        </w:rPr>
      </w:pPr>
      <w:r>
        <w:rPr>
          <w:rFonts w:ascii="Arial" w:cs="Arial" w:eastAsia="Arial" w:hAnsi="Arial"/>
          <w:sz w:val="18"/>
          <w:szCs w:val="18"/>
          <w:color w:val="auto"/>
        </w:rPr>
        <w:t>significant portion of the purchase price was funded by the Company’s assumption of certain pension obligations. The acquisition expands Hoover’s product offerings and is included in manufacturing.</w:t>
      </w:r>
    </w:p>
    <w:p>
      <w:pPr>
        <w:spacing w:after="0" w:line="104" w:lineRule="exact"/>
        <w:rPr>
          <w:sz w:val="20"/>
          <w:szCs w:val="20"/>
          <w:color w:val="auto"/>
        </w:rPr>
      </w:pPr>
    </w:p>
    <w:p>
      <w:pPr>
        <w:ind w:right="560"/>
        <w:spacing w:after="0" w:line="359" w:lineRule="auto"/>
        <w:rPr>
          <w:sz w:val="20"/>
          <w:szCs w:val="20"/>
          <w:color w:val="auto"/>
        </w:rPr>
      </w:pPr>
      <w:r>
        <w:rPr>
          <w:rFonts w:ascii="Arial" w:cs="Arial" w:eastAsia="Arial" w:hAnsi="Arial"/>
          <w:sz w:val="17"/>
          <w:szCs w:val="17"/>
          <w:color w:val="auto"/>
        </w:rPr>
        <w:t>In October 2025, Graham Healthcare Group (GHG) acquired two small businesses which are included in other healthcare businesses. In October 2025, the Company’s automotive subsidiary acquired a Honda automotive dealership, including the real property for the</w:t>
      </w:r>
    </w:p>
    <w:p>
      <w:pPr>
        <w:ind w:right="220"/>
        <w:spacing w:after="0" w:line="226" w:lineRule="auto"/>
        <w:rPr>
          <w:sz w:val="20"/>
          <w:szCs w:val="20"/>
          <w:color w:val="auto"/>
        </w:rPr>
      </w:pPr>
      <w:r>
        <w:rPr>
          <w:rFonts w:ascii="Arial" w:cs="Arial" w:eastAsia="Arial" w:hAnsi="Arial"/>
          <w:sz w:val="18"/>
          <w:szCs w:val="18"/>
          <w:color w:val="auto"/>
        </w:rPr>
        <w:t>dealership operations. In addition to a cash payment and the assumption of $4.9 million in floor plan payables, the automotive subsidiary borrowed $38.7 million under the delayed draw term loan to finance the acquisition (see Note 7). The dealership is operated and managed</w:t>
      </w:r>
    </w:p>
    <w:p>
      <w:pPr>
        <w:spacing w:after="0" w:line="2" w:lineRule="exact"/>
        <w:rPr>
          <w:sz w:val="20"/>
          <w:szCs w:val="20"/>
          <w:color w:val="auto"/>
        </w:rPr>
      </w:pPr>
    </w:p>
    <w:p>
      <w:pPr>
        <w:ind w:right="440"/>
        <w:spacing w:after="0" w:line="250" w:lineRule="auto"/>
        <w:rPr>
          <w:sz w:val="20"/>
          <w:szCs w:val="20"/>
          <w:color w:val="auto"/>
        </w:rPr>
      </w:pPr>
      <w:r>
        <w:rPr>
          <w:rFonts w:ascii="Arial" w:cs="Arial" w:eastAsia="Arial" w:hAnsi="Arial"/>
          <w:sz w:val="18"/>
          <w:szCs w:val="18"/>
          <w:color w:val="auto"/>
        </w:rPr>
        <w:t>by an entity affiliated with Christopher J. Ourisman, a member of the Ourisman Automotive Group family of dealerships. This acquisition expands the Company’s automotive business operations and is included in automotive.</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Acquisition-related costs for the acquisitions that closed during the first nine months of 2025 were $2.0 million and expensed as incurred. The</w:t>
      </w:r>
    </w:p>
    <w:p>
      <w:pPr>
        <w:spacing w:after="0" w:line="14"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aggregate purchase price of the 2025 acquisitions was allocated as follows, based on the acquisition date fair values to the following assets and liabilities: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8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rPr>
              <w:t>Purchase Price Allocation</w:t>
            </w:r>
          </w:p>
        </w:tc>
      </w:tr>
      <w:tr>
        <w:trPr>
          <w:trHeight w:val="214"/>
        </w:trPr>
        <w:tc>
          <w:tcPr>
            <w:tcW w:w="8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tcPr>
          <w:p>
            <w:pPr>
              <w:jc w:val="center"/>
              <w:ind w:right="121"/>
              <w:spacing w:after="0"/>
              <w:rPr>
                <w:sz w:val="20"/>
                <w:szCs w:val="20"/>
                <w:color w:val="auto"/>
              </w:rPr>
            </w:pPr>
            <w:r>
              <w:rPr>
                <w:rFonts w:ascii="Arial" w:cs="Arial" w:eastAsia="Arial" w:hAnsi="Arial"/>
                <w:sz w:val="14"/>
                <w:szCs w:val="14"/>
                <w:b w:val="1"/>
                <w:bCs w:val="1"/>
                <w:color w:val="auto"/>
              </w:rPr>
              <w:t>Year Ended</w:t>
            </w:r>
          </w:p>
        </w:tc>
      </w:tr>
      <w:tr>
        <w:trPr>
          <w:trHeight w:val="238"/>
        </w:trPr>
        <w:tc>
          <w:tcPr>
            <w:tcW w:w="8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rPr>
              <w:t>December 31, 2025</w:t>
            </w:r>
          </w:p>
        </w:tc>
      </w:tr>
      <w:tr>
        <w:trPr>
          <w:trHeight w:val="228"/>
        </w:trPr>
        <w:tc>
          <w:tcPr>
            <w:tcW w:w="8860" w:type="dxa"/>
            <w:vAlign w:val="bottom"/>
          </w:tcPr>
          <w:p>
            <w:pPr>
              <w:ind w:left="20"/>
              <w:spacing w:after="0"/>
              <w:rPr>
                <w:sz w:val="20"/>
                <w:szCs w:val="20"/>
                <w:color w:val="auto"/>
              </w:rPr>
            </w:pPr>
            <w:r>
              <w:rPr>
                <w:rFonts w:ascii="Arial" w:cs="Arial" w:eastAsia="Arial" w:hAnsi="Arial"/>
                <w:sz w:val="16"/>
                <w:szCs w:val="16"/>
                <w:color w:val="auto"/>
              </w:rPr>
              <w:t>Accounts receivable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2180" w:type="dxa"/>
            <w:vAlign w:val="bottom"/>
          </w:tcPr>
          <w:p>
            <w:pPr>
              <w:jc w:val="right"/>
              <w:ind w:right="1"/>
              <w:spacing w:after="0"/>
              <w:rPr>
                <w:sz w:val="20"/>
                <w:szCs w:val="20"/>
                <w:color w:val="auto"/>
              </w:rPr>
            </w:pPr>
            <w:r>
              <w:rPr>
                <w:rFonts w:ascii="Arial" w:cs="Arial" w:eastAsia="Arial" w:hAnsi="Arial"/>
                <w:sz w:val="16"/>
                <w:szCs w:val="16"/>
                <w:color w:val="auto"/>
              </w:rPr>
              <w:t>11,641</w:t>
            </w:r>
          </w:p>
        </w:tc>
      </w:tr>
      <w:tr>
        <w:trPr>
          <w:trHeight w:val="243"/>
        </w:trPr>
        <w:tc>
          <w:tcPr>
            <w:tcW w:w="8860" w:type="dxa"/>
            <w:vAlign w:val="bottom"/>
          </w:tcPr>
          <w:p>
            <w:pPr>
              <w:ind w:left="20"/>
              <w:spacing w:after="0"/>
              <w:rPr>
                <w:sz w:val="20"/>
                <w:szCs w:val="20"/>
                <w:color w:val="auto"/>
              </w:rPr>
            </w:pPr>
            <w:r>
              <w:rPr>
                <w:rFonts w:ascii="Arial" w:cs="Arial" w:eastAsia="Arial" w:hAnsi="Arial"/>
                <w:sz w:val="16"/>
                <w:szCs w:val="16"/>
                <w:color w:val="auto"/>
              </w:rPr>
              <w:t>Inventory</w:t>
            </w:r>
          </w:p>
        </w:tc>
        <w:tc>
          <w:tcPr>
            <w:tcW w:w="200" w:type="dxa"/>
            <w:vAlign w:val="bottom"/>
          </w:tcPr>
          <w:p>
            <w:pPr>
              <w:spacing w:after="0"/>
              <w:rPr>
                <w:sz w:val="21"/>
                <w:szCs w:val="21"/>
                <w:color w:val="auto"/>
              </w:rPr>
            </w:pPr>
          </w:p>
        </w:tc>
        <w:tc>
          <w:tcPr>
            <w:tcW w:w="2180" w:type="dxa"/>
            <w:vAlign w:val="bottom"/>
          </w:tcPr>
          <w:p>
            <w:pPr>
              <w:jc w:val="right"/>
              <w:ind w:right="1"/>
              <w:spacing w:after="0"/>
              <w:rPr>
                <w:sz w:val="20"/>
                <w:szCs w:val="20"/>
                <w:color w:val="auto"/>
              </w:rPr>
            </w:pPr>
            <w:r>
              <w:rPr>
                <w:rFonts w:ascii="Arial" w:cs="Arial" w:eastAsia="Arial" w:hAnsi="Arial"/>
                <w:sz w:val="16"/>
                <w:szCs w:val="16"/>
                <w:color w:val="auto"/>
              </w:rPr>
              <w:t>32,731</w:t>
            </w:r>
          </w:p>
        </w:tc>
      </w:tr>
      <w:tr>
        <w:trPr>
          <w:trHeight w:val="243"/>
        </w:trPr>
        <w:tc>
          <w:tcPr>
            <w:tcW w:w="8860" w:type="dxa"/>
            <w:vAlign w:val="bottom"/>
          </w:tcPr>
          <w:p>
            <w:pPr>
              <w:ind w:left="20"/>
              <w:spacing w:after="0"/>
              <w:rPr>
                <w:sz w:val="20"/>
                <w:szCs w:val="20"/>
                <w:color w:val="auto"/>
              </w:rPr>
            </w:pPr>
            <w:r>
              <w:rPr>
                <w:rFonts w:ascii="Arial" w:cs="Arial" w:eastAsia="Arial" w:hAnsi="Arial"/>
                <w:sz w:val="16"/>
                <w:szCs w:val="16"/>
                <w:color w:val="auto"/>
              </w:rPr>
              <w:t>Property, plant and equipment</w:t>
            </w:r>
          </w:p>
        </w:tc>
        <w:tc>
          <w:tcPr>
            <w:tcW w:w="200" w:type="dxa"/>
            <w:vAlign w:val="bottom"/>
          </w:tcPr>
          <w:p>
            <w:pPr>
              <w:spacing w:after="0"/>
              <w:rPr>
                <w:sz w:val="21"/>
                <w:szCs w:val="21"/>
                <w:color w:val="auto"/>
              </w:rPr>
            </w:pPr>
          </w:p>
        </w:tc>
        <w:tc>
          <w:tcPr>
            <w:tcW w:w="2180" w:type="dxa"/>
            <w:vAlign w:val="bottom"/>
          </w:tcPr>
          <w:p>
            <w:pPr>
              <w:jc w:val="right"/>
              <w:ind w:right="1"/>
              <w:spacing w:after="0"/>
              <w:rPr>
                <w:sz w:val="20"/>
                <w:szCs w:val="20"/>
                <w:color w:val="auto"/>
              </w:rPr>
            </w:pPr>
            <w:r>
              <w:rPr>
                <w:rFonts w:ascii="Arial" w:cs="Arial" w:eastAsia="Arial" w:hAnsi="Arial"/>
                <w:sz w:val="16"/>
                <w:szCs w:val="16"/>
                <w:color w:val="auto"/>
              </w:rPr>
              <w:t>35,920</w:t>
            </w:r>
          </w:p>
        </w:tc>
      </w:tr>
      <w:tr>
        <w:trPr>
          <w:trHeight w:val="243"/>
        </w:trPr>
        <w:tc>
          <w:tcPr>
            <w:tcW w:w="8860" w:type="dxa"/>
            <w:vAlign w:val="bottom"/>
          </w:tcPr>
          <w:p>
            <w:pPr>
              <w:ind w:left="20"/>
              <w:spacing w:after="0"/>
              <w:rPr>
                <w:sz w:val="20"/>
                <w:szCs w:val="20"/>
                <w:color w:val="auto"/>
              </w:rPr>
            </w:pPr>
            <w:r>
              <w:rPr>
                <w:rFonts w:ascii="Arial" w:cs="Arial" w:eastAsia="Arial" w:hAnsi="Arial"/>
                <w:sz w:val="16"/>
                <w:szCs w:val="16"/>
                <w:color w:val="auto"/>
              </w:rPr>
              <w:t>Lease right-of-use assets</w:t>
            </w:r>
          </w:p>
        </w:tc>
        <w:tc>
          <w:tcPr>
            <w:tcW w:w="200" w:type="dxa"/>
            <w:vAlign w:val="bottom"/>
          </w:tcPr>
          <w:p>
            <w:pPr>
              <w:spacing w:after="0"/>
              <w:rPr>
                <w:sz w:val="21"/>
                <w:szCs w:val="21"/>
                <w:color w:val="auto"/>
              </w:rPr>
            </w:pPr>
          </w:p>
        </w:tc>
        <w:tc>
          <w:tcPr>
            <w:tcW w:w="2180" w:type="dxa"/>
            <w:vAlign w:val="bottom"/>
          </w:tcPr>
          <w:p>
            <w:pPr>
              <w:jc w:val="right"/>
              <w:ind w:right="1"/>
              <w:spacing w:after="0"/>
              <w:rPr>
                <w:sz w:val="20"/>
                <w:szCs w:val="20"/>
                <w:color w:val="auto"/>
              </w:rPr>
            </w:pPr>
            <w:r>
              <w:rPr>
                <w:rFonts w:ascii="Arial" w:cs="Arial" w:eastAsia="Arial" w:hAnsi="Arial"/>
                <w:sz w:val="16"/>
                <w:szCs w:val="16"/>
                <w:color w:val="auto"/>
              </w:rPr>
              <w:t>3,642</w:t>
            </w:r>
          </w:p>
        </w:tc>
      </w:tr>
      <w:tr>
        <w:trPr>
          <w:trHeight w:val="243"/>
        </w:trPr>
        <w:tc>
          <w:tcPr>
            <w:tcW w:w="8860" w:type="dxa"/>
            <w:vAlign w:val="bottom"/>
          </w:tcPr>
          <w:p>
            <w:pPr>
              <w:ind w:left="20"/>
              <w:spacing w:after="0"/>
              <w:rPr>
                <w:sz w:val="20"/>
                <w:szCs w:val="20"/>
                <w:color w:val="auto"/>
              </w:rPr>
            </w:pPr>
            <w:r>
              <w:rPr>
                <w:rFonts w:ascii="Arial" w:cs="Arial" w:eastAsia="Arial" w:hAnsi="Arial"/>
                <w:sz w:val="16"/>
                <w:szCs w:val="16"/>
                <w:color w:val="auto"/>
              </w:rPr>
              <w:t>Goodwill</w:t>
            </w:r>
          </w:p>
        </w:tc>
        <w:tc>
          <w:tcPr>
            <w:tcW w:w="200" w:type="dxa"/>
            <w:vAlign w:val="bottom"/>
          </w:tcPr>
          <w:p>
            <w:pPr>
              <w:spacing w:after="0"/>
              <w:rPr>
                <w:sz w:val="21"/>
                <w:szCs w:val="21"/>
                <w:color w:val="auto"/>
              </w:rPr>
            </w:pPr>
          </w:p>
        </w:tc>
        <w:tc>
          <w:tcPr>
            <w:tcW w:w="2180" w:type="dxa"/>
            <w:vAlign w:val="bottom"/>
          </w:tcPr>
          <w:p>
            <w:pPr>
              <w:jc w:val="right"/>
              <w:ind w:right="1"/>
              <w:spacing w:after="0"/>
              <w:rPr>
                <w:sz w:val="20"/>
                <w:szCs w:val="20"/>
                <w:color w:val="auto"/>
              </w:rPr>
            </w:pPr>
            <w:r>
              <w:rPr>
                <w:rFonts w:ascii="Arial" w:cs="Arial" w:eastAsia="Arial" w:hAnsi="Arial"/>
                <w:sz w:val="16"/>
                <w:szCs w:val="16"/>
                <w:color w:val="auto"/>
              </w:rPr>
              <w:t>51,943</w:t>
            </w:r>
          </w:p>
        </w:tc>
      </w:tr>
      <w:tr>
        <w:trPr>
          <w:trHeight w:val="243"/>
        </w:trPr>
        <w:tc>
          <w:tcPr>
            <w:tcW w:w="8860" w:type="dxa"/>
            <w:vAlign w:val="bottom"/>
          </w:tcPr>
          <w:p>
            <w:pPr>
              <w:ind w:left="20"/>
              <w:spacing w:after="0"/>
              <w:rPr>
                <w:sz w:val="20"/>
                <w:szCs w:val="20"/>
                <w:color w:val="auto"/>
              </w:rPr>
            </w:pPr>
            <w:r>
              <w:rPr>
                <w:rFonts w:ascii="Arial" w:cs="Arial" w:eastAsia="Arial" w:hAnsi="Arial"/>
                <w:sz w:val="16"/>
                <w:szCs w:val="16"/>
                <w:color w:val="auto"/>
              </w:rPr>
              <w:t>Indefinite-lived intangible assets</w:t>
            </w:r>
          </w:p>
        </w:tc>
        <w:tc>
          <w:tcPr>
            <w:tcW w:w="200" w:type="dxa"/>
            <w:vAlign w:val="bottom"/>
          </w:tcPr>
          <w:p>
            <w:pPr>
              <w:spacing w:after="0"/>
              <w:rPr>
                <w:sz w:val="21"/>
                <w:szCs w:val="21"/>
                <w:color w:val="auto"/>
              </w:rPr>
            </w:pPr>
          </w:p>
        </w:tc>
        <w:tc>
          <w:tcPr>
            <w:tcW w:w="2180" w:type="dxa"/>
            <w:vAlign w:val="bottom"/>
          </w:tcPr>
          <w:p>
            <w:pPr>
              <w:jc w:val="right"/>
              <w:ind w:right="1"/>
              <w:spacing w:after="0"/>
              <w:rPr>
                <w:sz w:val="20"/>
                <w:szCs w:val="20"/>
                <w:color w:val="auto"/>
              </w:rPr>
            </w:pPr>
            <w:r>
              <w:rPr>
                <w:rFonts w:ascii="Arial" w:cs="Arial" w:eastAsia="Arial" w:hAnsi="Arial"/>
                <w:sz w:val="16"/>
                <w:szCs w:val="16"/>
                <w:color w:val="auto"/>
              </w:rPr>
              <w:t>15,500</w:t>
            </w:r>
          </w:p>
        </w:tc>
      </w:tr>
      <w:tr>
        <w:trPr>
          <w:trHeight w:val="243"/>
        </w:trPr>
        <w:tc>
          <w:tcPr>
            <w:tcW w:w="8860" w:type="dxa"/>
            <w:vAlign w:val="bottom"/>
          </w:tcPr>
          <w:p>
            <w:pPr>
              <w:ind w:left="20"/>
              <w:spacing w:after="0"/>
              <w:rPr>
                <w:sz w:val="20"/>
                <w:szCs w:val="20"/>
                <w:color w:val="auto"/>
              </w:rPr>
            </w:pPr>
            <w:r>
              <w:rPr>
                <w:rFonts w:ascii="Arial" w:cs="Arial" w:eastAsia="Arial" w:hAnsi="Arial"/>
                <w:sz w:val="16"/>
                <w:szCs w:val="16"/>
                <w:color w:val="auto"/>
              </w:rPr>
              <w:t>Amortized intangible assets</w:t>
            </w:r>
          </w:p>
        </w:tc>
        <w:tc>
          <w:tcPr>
            <w:tcW w:w="200" w:type="dxa"/>
            <w:vAlign w:val="bottom"/>
          </w:tcPr>
          <w:p>
            <w:pPr>
              <w:spacing w:after="0"/>
              <w:rPr>
                <w:sz w:val="21"/>
                <w:szCs w:val="21"/>
                <w:color w:val="auto"/>
              </w:rPr>
            </w:pPr>
          </w:p>
        </w:tc>
        <w:tc>
          <w:tcPr>
            <w:tcW w:w="2180" w:type="dxa"/>
            <w:vAlign w:val="bottom"/>
          </w:tcPr>
          <w:p>
            <w:pPr>
              <w:jc w:val="right"/>
              <w:ind w:right="1"/>
              <w:spacing w:after="0"/>
              <w:rPr>
                <w:sz w:val="20"/>
                <w:szCs w:val="20"/>
                <w:color w:val="auto"/>
              </w:rPr>
            </w:pPr>
            <w:r>
              <w:rPr>
                <w:rFonts w:ascii="Arial" w:cs="Arial" w:eastAsia="Arial" w:hAnsi="Arial"/>
                <w:sz w:val="16"/>
                <w:szCs w:val="16"/>
                <w:color w:val="auto"/>
              </w:rPr>
              <w:t>41,300</w:t>
            </w:r>
          </w:p>
        </w:tc>
      </w:tr>
      <w:tr>
        <w:trPr>
          <w:trHeight w:val="243"/>
        </w:trPr>
        <w:tc>
          <w:tcPr>
            <w:tcW w:w="8860" w:type="dxa"/>
            <w:vAlign w:val="bottom"/>
          </w:tcPr>
          <w:p>
            <w:pPr>
              <w:ind w:left="20"/>
              <w:spacing w:after="0"/>
              <w:rPr>
                <w:sz w:val="20"/>
                <w:szCs w:val="20"/>
                <w:color w:val="auto"/>
              </w:rPr>
            </w:pPr>
            <w:r>
              <w:rPr>
                <w:rFonts w:ascii="Arial" w:cs="Arial" w:eastAsia="Arial" w:hAnsi="Arial"/>
                <w:sz w:val="16"/>
                <w:szCs w:val="16"/>
                <w:color w:val="auto"/>
              </w:rPr>
              <w:t>Deferred income taxes</w:t>
            </w:r>
          </w:p>
        </w:tc>
        <w:tc>
          <w:tcPr>
            <w:tcW w:w="200" w:type="dxa"/>
            <w:vAlign w:val="bottom"/>
          </w:tcPr>
          <w:p>
            <w:pPr>
              <w:spacing w:after="0"/>
              <w:rPr>
                <w:sz w:val="21"/>
                <w:szCs w:val="21"/>
                <w:color w:val="auto"/>
              </w:rPr>
            </w:pPr>
          </w:p>
        </w:tc>
        <w:tc>
          <w:tcPr>
            <w:tcW w:w="2180" w:type="dxa"/>
            <w:vAlign w:val="bottom"/>
          </w:tcPr>
          <w:p>
            <w:pPr>
              <w:jc w:val="right"/>
              <w:ind w:right="1"/>
              <w:spacing w:after="0"/>
              <w:rPr>
                <w:sz w:val="20"/>
                <w:szCs w:val="20"/>
                <w:color w:val="auto"/>
              </w:rPr>
            </w:pPr>
            <w:r>
              <w:rPr>
                <w:rFonts w:ascii="Arial" w:cs="Arial" w:eastAsia="Arial" w:hAnsi="Arial"/>
                <w:sz w:val="16"/>
                <w:szCs w:val="16"/>
                <w:color w:val="auto"/>
              </w:rPr>
              <w:t>13,947</w:t>
            </w:r>
          </w:p>
        </w:tc>
      </w:tr>
      <w:tr>
        <w:trPr>
          <w:trHeight w:val="243"/>
        </w:trPr>
        <w:tc>
          <w:tcPr>
            <w:tcW w:w="886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200" w:type="dxa"/>
            <w:vAlign w:val="bottom"/>
          </w:tcPr>
          <w:p>
            <w:pPr>
              <w:spacing w:after="0"/>
              <w:rPr>
                <w:sz w:val="21"/>
                <w:szCs w:val="21"/>
                <w:color w:val="auto"/>
              </w:rPr>
            </w:pPr>
          </w:p>
        </w:tc>
        <w:tc>
          <w:tcPr>
            <w:tcW w:w="2180" w:type="dxa"/>
            <w:vAlign w:val="bottom"/>
          </w:tcPr>
          <w:p>
            <w:pPr>
              <w:jc w:val="right"/>
              <w:ind w:right="1"/>
              <w:spacing w:after="0"/>
              <w:rPr>
                <w:sz w:val="20"/>
                <w:szCs w:val="20"/>
                <w:color w:val="auto"/>
              </w:rPr>
            </w:pPr>
            <w:r>
              <w:rPr>
                <w:rFonts w:ascii="Arial" w:cs="Arial" w:eastAsia="Arial" w:hAnsi="Arial"/>
                <w:sz w:val="16"/>
                <w:szCs w:val="16"/>
                <w:color w:val="auto"/>
              </w:rPr>
              <w:t>221</w:t>
            </w:r>
          </w:p>
        </w:tc>
      </w:tr>
      <w:tr>
        <w:trPr>
          <w:trHeight w:val="243"/>
        </w:trPr>
        <w:tc>
          <w:tcPr>
            <w:tcW w:w="8860" w:type="dxa"/>
            <w:vAlign w:val="bottom"/>
          </w:tcPr>
          <w:p>
            <w:pPr>
              <w:ind w:left="20"/>
              <w:spacing w:after="0"/>
              <w:rPr>
                <w:sz w:val="20"/>
                <w:szCs w:val="20"/>
                <w:color w:val="auto"/>
              </w:rPr>
            </w:pPr>
            <w:r>
              <w:rPr>
                <w:rFonts w:ascii="Arial" w:cs="Arial" w:eastAsia="Arial" w:hAnsi="Arial"/>
                <w:sz w:val="16"/>
                <w:szCs w:val="16"/>
                <w:color w:val="auto"/>
              </w:rPr>
              <w:t>Pension liabilities</w:t>
            </w:r>
          </w:p>
        </w:tc>
        <w:tc>
          <w:tcPr>
            <w:tcW w:w="200" w:type="dxa"/>
            <w:vAlign w:val="bottom"/>
          </w:tcPr>
          <w:p>
            <w:pPr>
              <w:spacing w:after="0"/>
              <w:rPr>
                <w:sz w:val="21"/>
                <w:szCs w:val="21"/>
                <w:color w:val="auto"/>
              </w:rPr>
            </w:pPr>
          </w:p>
        </w:tc>
        <w:tc>
          <w:tcPr>
            <w:tcW w:w="2180" w:type="dxa"/>
            <w:vAlign w:val="bottom"/>
          </w:tcPr>
          <w:p>
            <w:pPr>
              <w:jc w:val="right"/>
              <w:spacing w:after="0"/>
              <w:rPr>
                <w:sz w:val="20"/>
                <w:szCs w:val="20"/>
                <w:color w:val="auto"/>
              </w:rPr>
            </w:pPr>
            <w:r>
              <w:rPr>
                <w:rFonts w:ascii="Arial" w:cs="Arial" w:eastAsia="Arial" w:hAnsi="Arial"/>
                <w:sz w:val="16"/>
                <w:szCs w:val="16"/>
                <w:color w:val="auto"/>
              </w:rPr>
              <w:t>(107,517)</w:t>
            </w:r>
          </w:p>
        </w:tc>
      </w:tr>
      <w:tr>
        <w:trPr>
          <w:trHeight w:val="243"/>
        </w:trPr>
        <w:tc>
          <w:tcPr>
            <w:tcW w:w="8860" w:type="dxa"/>
            <w:vAlign w:val="bottom"/>
          </w:tcPr>
          <w:p>
            <w:pPr>
              <w:ind w:left="20"/>
              <w:spacing w:after="0"/>
              <w:rPr>
                <w:sz w:val="20"/>
                <w:szCs w:val="20"/>
                <w:color w:val="auto"/>
              </w:rPr>
            </w:pPr>
            <w:r>
              <w:rPr>
                <w:rFonts w:ascii="Arial" w:cs="Arial" w:eastAsia="Arial" w:hAnsi="Arial"/>
                <w:sz w:val="16"/>
                <w:szCs w:val="16"/>
                <w:color w:val="auto"/>
              </w:rPr>
              <w:t>Floor plan payables</w:t>
            </w:r>
          </w:p>
        </w:tc>
        <w:tc>
          <w:tcPr>
            <w:tcW w:w="200" w:type="dxa"/>
            <w:vAlign w:val="bottom"/>
          </w:tcPr>
          <w:p>
            <w:pPr>
              <w:spacing w:after="0"/>
              <w:rPr>
                <w:sz w:val="21"/>
                <w:szCs w:val="21"/>
                <w:color w:val="auto"/>
              </w:rPr>
            </w:pPr>
          </w:p>
        </w:tc>
        <w:tc>
          <w:tcPr>
            <w:tcW w:w="2180" w:type="dxa"/>
            <w:vAlign w:val="bottom"/>
          </w:tcPr>
          <w:p>
            <w:pPr>
              <w:jc w:val="right"/>
              <w:spacing w:after="0"/>
              <w:rPr>
                <w:sz w:val="20"/>
                <w:szCs w:val="20"/>
                <w:color w:val="auto"/>
              </w:rPr>
            </w:pPr>
            <w:r>
              <w:rPr>
                <w:rFonts w:ascii="Arial" w:cs="Arial" w:eastAsia="Arial" w:hAnsi="Arial"/>
                <w:sz w:val="16"/>
                <w:szCs w:val="16"/>
                <w:color w:val="auto"/>
              </w:rPr>
              <w:t>(4,939)</w:t>
            </w:r>
          </w:p>
        </w:tc>
      </w:tr>
      <w:tr>
        <w:trPr>
          <w:trHeight w:val="243"/>
        </w:trPr>
        <w:tc>
          <w:tcPr>
            <w:tcW w:w="8860" w:type="dxa"/>
            <w:vAlign w:val="bottom"/>
          </w:tcPr>
          <w:p>
            <w:pPr>
              <w:ind w:left="20"/>
              <w:spacing w:after="0"/>
              <w:rPr>
                <w:sz w:val="20"/>
                <w:szCs w:val="20"/>
                <w:color w:val="auto"/>
              </w:rPr>
            </w:pPr>
            <w:r>
              <w:rPr>
                <w:rFonts w:ascii="Arial" w:cs="Arial" w:eastAsia="Arial" w:hAnsi="Arial"/>
                <w:sz w:val="16"/>
                <w:szCs w:val="16"/>
                <w:color w:val="auto"/>
              </w:rPr>
              <w:t>Other liabilities</w:t>
            </w:r>
          </w:p>
        </w:tc>
        <w:tc>
          <w:tcPr>
            <w:tcW w:w="200" w:type="dxa"/>
            <w:vAlign w:val="bottom"/>
          </w:tcPr>
          <w:p>
            <w:pPr>
              <w:spacing w:after="0"/>
              <w:rPr>
                <w:sz w:val="21"/>
                <w:szCs w:val="21"/>
                <w:color w:val="auto"/>
              </w:rPr>
            </w:pPr>
          </w:p>
        </w:tc>
        <w:tc>
          <w:tcPr>
            <w:tcW w:w="2180" w:type="dxa"/>
            <w:vAlign w:val="bottom"/>
          </w:tcPr>
          <w:p>
            <w:pPr>
              <w:jc w:val="right"/>
              <w:spacing w:after="0"/>
              <w:rPr>
                <w:sz w:val="20"/>
                <w:szCs w:val="20"/>
                <w:color w:val="auto"/>
              </w:rPr>
            </w:pPr>
            <w:r>
              <w:rPr>
                <w:rFonts w:ascii="Arial" w:cs="Arial" w:eastAsia="Arial" w:hAnsi="Arial"/>
                <w:sz w:val="16"/>
                <w:szCs w:val="16"/>
                <w:color w:val="auto"/>
              </w:rPr>
              <w:t>(18,371)</w:t>
            </w:r>
          </w:p>
        </w:tc>
      </w:tr>
      <w:tr>
        <w:trPr>
          <w:trHeight w:val="252"/>
        </w:trPr>
        <w:tc>
          <w:tcPr>
            <w:tcW w:w="8860" w:type="dxa"/>
            <w:vAlign w:val="bottom"/>
          </w:tcPr>
          <w:p>
            <w:pPr>
              <w:ind w:left="20"/>
              <w:spacing w:after="0"/>
              <w:rPr>
                <w:sz w:val="20"/>
                <w:szCs w:val="20"/>
                <w:color w:val="auto"/>
              </w:rPr>
            </w:pPr>
            <w:r>
              <w:rPr>
                <w:rFonts w:ascii="Arial" w:cs="Arial" w:eastAsia="Arial" w:hAnsi="Arial"/>
                <w:sz w:val="16"/>
                <w:szCs w:val="16"/>
                <w:color w:val="auto"/>
              </w:rPr>
              <w:t>Current and noncurrent lease liabilities</w:t>
            </w:r>
          </w:p>
        </w:tc>
        <w:tc>
          <w:tcPr>
            <w:tcW w:w="200" w:type="dxa"/>
            <w:vAlign w:val="bottom"/>
            <w:tcBorders>
              <w:bottom w:val="single" w:sz="8" w:color="auto"/>
            </w:tcBorders>
          </w:tcPr>
          <w:p>
            <w:pPr>
              <w:spacing w:after="0"/>
              <w:rPr>
                <w:sz w:val="21"/>
                <w:szCs w:val="21"/>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(4,783)</w:t>
            </w:r>
          </w:p>
        </w:tc>
      </w:tr>
      <w:tr>
        <w:trPr>
          <w:trHeight w:val="243"/>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Aggregate purchase price, net of cash acquired</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2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71,235</w:t>
            </w:r>
          </w:p>
        </w:tc>
      </w:tr>
      <w:tr>
        <w:trPr>
          <w:trHeight w:val="20"/>
        </w:trPr>
        <w:tc>
          <w:tcPr>
            <w:tcW w:w="8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right="420"/>
        <w:spacing w:after="0" w:line="237" w:lineRule="auto"/>
        <w:rPr>
          <w:sz w:val="20"/>
          <w:szCs w:val="20"/>
          <w:color w:val="auto"/>
        </w:rPr>
      </w:pPr>
      <w:r>
        <w:rPr>
          <w:rFonts w:ascii="Arial" w:cs="Arial" w:eastAsia="Arial" w:hAnsi="Arial"/>
          <w:sz w:val="18"/>
          <w:szCs w:val="18"/>
          <w:color w:val="auto"/>
        </w:rPr>
        <w:t>Goodwill is calculated as the excess of the consideration transferred over the net assets recognized and represents the estimated future economic benefits arising from other assets acquired that could not be individually identified and separately recognized. The goodwill</w:t>
      </w:r>
    </w:p>
    <w:p>
      <w:pPr>
        <w:spacing w:after="0" w:line="1" w:lineRule="exact"/>
        <w:rPr>
          <w:sz w:val="20"/>
          <w:szCs w:val="20"/>
          <w:color w:val="auto"/>
        </w:rPr>
      </w:pPr>
    </w:p>
    <w:p>
      <w:pPr>
        <w:ind w:right="520"/>
        <w:spacing w:after="0" w:line="250" w:lineRule="auto"/>
        <w:rPr>
          <w:sz w:val="20"/>
          <w:szCs w:val="20"/>
          <w:color w:val="auto"/>
        </w:rPr>
      </w:pPr>
      <w:r>
        <w:rPr>
          <w:rFonts w:ascii="Arial" w:cs="Arial" w:eastAsia="Arial" w:hAnsi="Arial"/>
          <w:sz w:val="18"/>
          <w:szCs w:val="18"/>
          <w:color w:val="auto"/>
        </w:rPr>
        <w:t>recorded due to these acquisitions is attributable to the assembled workforces of the acquired companies and expected synergies. The Company expects to deduct $12.4 million of goodwill for income tax purposes for the acquisitions completed in 2025.</w:t>
      </w:r>
    </w:p>
    <w:p>
      <w:pPr>
        <w:spacing w:after="0" w:line="104" w:lineRule="exact"/>
        <w:rPr>
          <w:sz w:val="20"/>
          <w:szCs w:val="20"/>
          <w:color w:val="auto"/>
        </w:rPr>
      </w:pPr>
    </w:p>
    <w:p>
      <w:pPr>
        <w:ind w:right="580"/>
        <w:spacing w:after="0" w:line="271" w:lineRule="auto"/>
        <w:rPr>
          <w:sz w:val="20"/>
          <w:szCs w:val="20"/>
          <w:color w:val="auto"/>
        </w:rPr>
      </w:pPr>
      <w:r>
        <w:rPr>
          <w:rFonts w:ascii="Arial" w:cs="Arial" w:eastAsia="Arial" w:hAnsi="Arial"/>
          <w:sz w:val="18"/>
          <w:szCs w:val="18"/>
          <w:color w:val="auto"/>
        </w:rPr>
        <w:t>The acquired companies were consolidated into the Company’s financial statements starting on their respective acquisition dates. The following unaudited pro forma financial information includes the 2025 acquisitions as if they occurred at the beginning of 2024:</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20" w:type="dxa"/>
            <w:vAlign w:val="bottom"/>
          </w:tcPr>
          <w:p>
            <w:pPr>
              <w:jc w:val="right"/>
              <w:ind w:right="444"/>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2080" w:type="dxa"/>
            <w:vAlign w:val="bottom"/>
          </w:tcPr>
          <w:p>
            <w:pPr>
              <w:jc w:val="right"/>
              <w:ind w:right="464"/>
              <w:spacing w:after="0"/>
              <w:rPr>
                <w:sz w:val="20"/>
                <w:szCs w:val="20"/>
                <w:color w:val="auto"/>
              </w:rPr>
            </w:pPr>
            <w:r>
              <w:rPr>
                <w:rFonts w:ascii="Arial" w:cs="Arial" w:eastAsia="Arial" w:hAnsi="Arial"/>
                <w:sz w:val="14"/>
                <w:szCs w:val="14"/>
                <w:b w:val="1"/>
                <w:bCs w:val="1"/>
                <w:color w:val="auto"/>
              </w:rPr>
              <w:t>Nine Months Ended</w:t>
            </w:r>
          </w:p>
        </w:tc>
      </w:tr>
      <w:tr>
        <w:trPr>
          <w:trHeight w:val="205"/>
        </w:trPr>
        <w:tc>
          <w:tcPr>
            <w:tcW w:w="63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tcPr>
          <w:p>
            <w:pPr>
              <w:jc w:val="right"/>
              <w:ind w:right="644"/>
              <w:spacing w:after="0"/>
              <w:rPr>
                <w:sz w:val="20"/>
                <w:szCs w:val="20"/>
                <w:color w:val="auto"/>
              </w:rPr>
            </w:pPr>
            <w:r>
              <w:rPr>
                <w:rFonts w:ascii="Arial" w:cs="Arial" w:eastAsia="Arial" w:hAnsi="Arial"/>
                <w:sz w:val="14"/>
                <w:szCs w:val="14"/>
                <w:b w:val="1"/>
                <w:bCs w:val="1"/>
                <w:color w:val="auto"/>
              </w:rPr>
              <w:t>September 30</w:t>
            </w:r>
          </w:p>
        </w:tc>
        <w:tc>
          <w:tcPr>
            <w:tcW w:w="38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jc w:val="right"/>
              <w:ind w:right="624"/>
              <w:spacing w:after="0"/>
              <w:rPr>
                <w:sz w:val="20"/>
                <w:szCs w:val="20"/>
                <w:color w:val="auto"/>
              </w:rPr>
            </w:pPr>
            <w:r>
              <w:rPr>
                <w:rFonts w:ascii="Arial" w:cs="Arial" w:eastAsia="Arial" w:hAnsi="Arial"/>
                <w:sz w:val="14"/>
                <w:szCs w:val="14"/>
                <w:b w:val="1"/>
                <w:bCs w:val="1"/>
                <w:color w:val="auto"/>
              </w:rPr>
              <w:t>September 30</w:t>
            </w:r>
          </w:p>
        </w:tc>
      </w:tr>
      <w:tr>
        <w:trPr>
          <w:trHeight w:val="208"/>
        </w:trPr>
        <w:tc>
          <w:tcPr>
            <w:tcW w:w="638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80" w:type="dxa"/>
            <w:vAlign w:val="bottom"/>
          </w:tcPr>
          <w:p>
            <w:pPr>
              <w:spacing w:after="0"/>
              <w:rPr>
                <w:sz w:val="18"/>
                <w:szCs w:val="18"/>
                <w:color w:val="auto"/>
              </w:rPr>
            </w:pPr>
          </w:p>
        </w:tc>
        <w:tc>
          <w:tcPr>
            <w:tcW w:w="2120" w:type="dxa"/>
            <w:vAlign w:val="bottom"/>
          </w:tcPr>
          <w:p>
            <w:pPr>
              <w:jc w:val="right"/>
              <w:ind w:right="984"/>
              <w:spacing w:after="0"/>
              <w:rPr>
                <w:sz w:val="20"/>
                <w:szCs w:val="20"/>
                <w:color w:val="auto"/>
              </w:rPr>
            </w:pPr>
            <w:r>
              <w:rPr>
                <w:rFonts w:ascii="Arial" w:cs="Arial" w:eastAsia="Arial" w:hAnsi="Arial"/>
                <w:sz w:val="14"/>
                <w:szCs w:val="14"/>
                <w:color w:val="auto"/>
              </w:rPr>
              <w:t>2025</w:t>
            </w:r>
          </w:p>
        </w:tc>
        <w:tc>
          <w:tcPr>
            <w:tcW w:w="380" w:type="dxa"/>
            <w:vAlign w:val="bottom"/>
          </w:tcPr>
          <w:p>
            <w:pPr>
              <w:spacing w:after="0"/>
              <w:rPr>
                <w:sz w:val="18"/>
                <w:szCs w:val="18"/>
                <w:color w:val="auto"/>
              </w:rPr>
            </w:pPr>
          </w:p>
        </w:tc>
        <w:tc>
          <w:tcPr>
            <w:tcW w:w="2080" w:type="dxa"/>
            <w:vAlign w:val="bottom"/>
          </w:tcPr>
          <w:p>
            <w:pPr>
              <w:jc w:val="right"/>
              <w:ind w:right="944"/>
              <w:spacing w:after="0"/>
              <w:rPr>
                <w:sz w:val="20"/>
                <w:szCs w:val="20"/>
                <w:color w:val="auto"/>
              </w:rPr>
            </w:pPr>
            <w:r>
              <w:rPr>
                <w:rFonts w:ascii="Arial" w:cs="Arial" w:eastAsia="Arial" w:hAnsi="Arial"/>
                <w:sz w:val="14"/>
                <w:szCs w:val="14"/>
                <w:color w:val="auto"/>
              </w:rPr>
              <w:t>2025</w:t>
            </w:r>
          </w:p>
        </w:tc>
      </w:tr>
      <w:tr>
        <w:trPr>
          <w:trHeight w:val="22"/>
        </w:trPr>
        <w:tc>
          <w:tcPr>
            <w:tcW w:w="6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r>
        <w:trPr>
          <w:trHeight w:val="221"/>
        </w:trPr>
        <w:tc>
          <w:tcPr>
            <w:tcW w:w="6380" w:type="dxa"/>
            <w:vAlign w:val="bottom"/>
          </w:tcPr>
          <w:p>
            <w:pPr>
              <w:ind w:left="20"/>
              <w:spacing w:after="0"/>
              <w:rPr>
                <w:sz w:val="20"/>
                <w:szCs w:val="20"/>
                <w:color w:val="auto"/>
              </w:rPr>
            </w:pPr>
            <w:r>
              <w:rPr>
                <w:rFonts w:ascii="Arial" w:cs="Arial" w:eastAsia="Arial" w:hAnsi="Arial"/>
                <w:sz w:val="16"/>
                <w:szCs w:val="16"/>
                <w:color w:val="auto"/>
              </w:rPr>
              <w:t>Operating revenues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2120" w:type="dxa"/>
            <w:vAlign w:val="bottom"/>
          </w:tcPr>
          <w:p>
            <w:pPr>
              <w:jc w:val="right"/>
              <w:ind w:right="24"/>
              <w:spacing w:after="0"/>
              <w:rPr>
                <w:sz w:val="20"/>
                <w:szCs w:val="20"/>
                <w:color w:val="auto"/>
              </w:rPr>
            </w:pPr>
            <w:r>
              <w:rPr>
                <w:rFonts w:ascii="Arial" w:cs="Arial" w:eastAsia="Arial" w:hAnsi="Arial"/>
                <w:sz w:val="16"/>
                <w:szCs w:val="16"/>
                <w:color w:val="auto"/>
              </w:rPr>
              <w:t>1,305,382</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080" w:type="dxa"/>
            <w:vAlign w:val="bottom"/>
          </w:tcPr>
          <w:p>
            <w:pPr>
              <w:jc w:val="right"/>
              <w:ind w:right="4"/>
              <w:spacing w:after="0"/>
              <w:rPr>
                <w:sz w:val="20"/>
                <w:szCs w:val="20"/>
                <w:color w:val="auto"/>
              </w:rPr>
            </w:pPr>
            <w:r>
              <w:rPr>
                <w:rFonts w:ascii="Arial" w:cs="Arial" w:eastAsia="Arial" w:hAnsi="Arial"/>
                <w:sz w:val="16"/>
                <w:szCs w:val="16"/>
                <w:color w:val="auto"/>
              </w:rPr>
              <w:t>3,782,022</w:t>
            </w:r>
          </w:p>
        </w:tc>
      </w:tr>
      <w:tr>
        <w:trPr>
          <w:trHeight w:val="243"/>
        </w:trPr>
        <w:tc>
          <w:tcPr>
            <w:tcW w:w="63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80" w:type="dxa"/>
            <w:vAlign w:val="bottom"/>
          </w:tcPr>
          <w:p>
            <w:pPr>
              <w:spacing w:after="0"/>
              <w:rPr>
                <w:sz w:val="21"/>
                <w:szCs w:val="21"/>
                <w:color w:val="auto"/>
              </w:rPr>
            </w:pPr>
          </w:p>
        </w:tc>
        <w:tc>
          <w:tcPr>
            <w:tcW w:w="2120" w:type="dxa"/>
            <w:vAlign w:val="bottom"/>
          </w:tcPr>
          <w:p>
            <w:pPr>
              <w:jc w:val="right"/>
              <w:ind w:right="24"/>
              <w:spacing w:after="0"/>
              <w:rPr>
                <w:sz w:val="20"/>
                <w:szCs w:val="20"/>
                <w:color w:val="auto"/>
              </w:rPr>
            </w:pPr>
            <w:r>
              <w:rPr>
                <w:rFonts w:ascii="Arial" w:cs="Arial" w:eastAsia="Arial" w:hAnsi="Arial"/>
                <w:sz w:val="16"/>
                <w:szCs w:val="16"/>
                <w:color w:val="auto"/>
              </w:rPr>
              <w:t>129,979</w:t>
            </w:r>
          </w:p>
        </w:tc>
        <w:tc>
          <w:tcPr>
            <w:tcW w:w="380" w:type="dxa"/>
            <w:vAlign w:val="bottom"/>
          </w:tcPr>
          <w:p>
            <w:pPr>
              <w:spacing w:after="0"/>
              <w:rPr>
                <w:sz w:val="21"/>
                <w:szCs w:val="21"/>
                <w:color w:val="auto"/>
              </w:rPr>
            </w:pPr>
          </w:p>
        </w:tc>
        <w:tc>
          <w:tcPr>
            <w:tcW w:w="2080" w:type="dxa"/>
            <w:vAlign w:val="bottom"/>
          </w:tcPr>
          <w:p>
            <w:pPr>
              <w:jc w:val="right"/>
              <w:ind w:right="4"/>
              <w:spacing w:after="0"/>
              <w:rPr>
                <w:sz w:val="20"/>
                <w:szCs w:val="20"/>
                <w:color w:val="auto"/>
              </w:rPr>
            </w:pPr>
            <w:r>
              <w:rPr>
                <w:rFonts w:ascii="Arial" w:cs="Arial" w:eastAsia="Arial" w:hAnsi="Arial"/>
                <w:sz w:val="16"/>
                <w:szCs w:val="16"/>
                <w:color w:val="auto"/>
              </w:rPr>
              <w:t>199,322</w:t>
            </w:r>
          </w:p>
        </w:tc>
      </w:tr>
    </w:tbl>
    <w:p>
      <w:pPr>
        <w:spacing w:after="0" w:line="226"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color w:val="auto"/>
        </w:rPr>
        <w:t>These pro forma results were based on estimates and assumptions, which the Company believes are reasonable, and include the historical results of operations of the acquired companies and adjustments for depreciation and amortization of identified assets and the effect of pre-</w:t>
      </w:r>
    </w:p>
    <w:p>
      <w:pPr>
        <w:spacing w:after="0" w:line="1" w:lineRule="exact"/>
        <w:rPr>
          <w:sz w:val="20"/>
          <w:szCs w:val="20"/>
          <w:color w:val="auto"/>
        </w:rPr>
      </w:pPr>
    </w:p>
    <w:p>
      <w:pPr>
        <w:ind w:right="260"/>
        <w:spacing w:after="0" w:line="226" w:lineRule="auto"/>
        <w:rPr>
          <w:sz w:val="20"/>
          <w:szCs w:val="20"/>
          <w:color w:val="auto"/>
        </w:rPr>
      </w:pPr>
      <w:r>
        <w:rPr>
          <w:rFonts w:ascii="Arial" w:cs="Arial" w:eastAsia="Arial" w:hAnsi="Arial"/>
          <w:sz w:val="18"/>
          <w:szCs w:val="18"/>
          <w:color w:val="auto"/>
        </w:rPr>
        <w:t>acquisition transaction related expenses incurred by the Company and the acquired entities. The pro forma information does not include efficiencies, cost reductions and synergies expected to result from the acquisitions. They are not the results that would have been realized</w:t>
      </w:r>
    </w:p>
    <w:p>
      <w:pPr>
        <w:spacing w:after="0" w:line="2"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had these entities been part of the Company during the periods presented and are not necessarily indicative of the Company’s consolidated results of operations in future periods.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Disposition of Businesses. </w:t>
      </w:r>
      <w:r>
        <w:rPr>
          <w:rFonts w:ascii="Arial" w:cs="Arial" w:eastAsia="Arial" w:hAnsi="Arial"/>
          <w:sz w:val="18"/>
          <w:szCs w:val="18"/>
          <w:color w:val="auto"/>
        </w:rPr>
        <w:t>During the third quarter of 2026, Kaplan entered into a Share Purchase Agreement to sell the DBS business,</w:t>
      </w:r>
    </w:p>
    <w:p>
      <w:pPr>
        <w:spacing w:after="0" w:line="14" w:lineRule="exact"/>
        <w:rPr>
          <w:sz w:val="20"/>
          <w:szCs w:val="20"/>
          <w:color w:val="auto"/>
        </w:rPr>
      </w:pPr>
    </w:p>
    <w:p>
      <w:pPr>
        <w:ind w:right="800"/>
        <w:spacing w:after="0" w:line="237" w:lineRule="auto"/>
        <w:rPr>
          <w:sz w:val="20"/>
          <w:szCs w:val="20"/>
          <w:color w:val="auto"/>
        </w:rPr>
      </w:pPr>
      <w:r>
        <w:rPr>
          <w:rFonts w:ascii="Arial" w:cs="Arial" w:eastAsia="Arial" w:hAnsi="Arial"/>
          <w:sz w:val="18"/>
          <w:szCs w:val="18"/>
          <w:color w:val="auto"/>
        </w:rPr>
        <w:t>which is included in Kaplan International. As a result, the Company classified the assets and liabilities of DBS as held for sale in the Company’s Condensed Consolidated Balance Sheet as of September 30, 2026. The transaction closed on October 27, 2026.</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2" w:name="page13"/>
    <w:bookmarkEnd w:id="12"/>
    <w:p>
      <w:pPr>
        <w:ind w:right="120"/>
        <w:spacing w:after="0" w:line="271" w:lineRule="auto"/>
        <w:rPr>
          <w:sz w:val="20"/>
          <w:szCs w:val="20"/>
          <w:color w:val="auto"/>
        </w:rPr>
      </w:pPr>
      <w:r>
        <w:rPr>
          <w:rFonts w:ascii="Arial" w:cs="Arial" w:eastAsia="Arial" w:hAnsi="Arial"/>
          <w:sz w:val="18"/>
          <w:szCs w:val="18"/>
          <w:color w:val="auto"/>
        </w:rPr>
        <w:t>The carrying amounts of the major classes of assets and liabilities of the DBS disposal group classified as held for sale as of September 30, 2026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8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jc w:val="right"/>
              <w:ind w:right="940"/>
              <w:spacing w:after="0"/>
              <w:rPr>
                <w:sz w:val="20"/>
                <w:szCs w:val="20"/>
                <w:color w:val="auto"/>
              </w:rPr>
            </w:pPr>
            <w:r>
              <w:rPr>
                <w:rFonts w:ascii="Arial" w:cs="Arial" w:eastAsia="Arial" w:hAnsi="Arial"/>
                <w:sz w:val="14"/>
                <w:szCs w:val="14"/>
                <w:b w:val="1"/>
                <w:bCs w:val="1"/>
                <w:color w:val="auto"/>
              </w:rPr>
              <w:t>As of</w:t>
            </w:r>
          </w:p>
        </w:tc>
      </w:tr>
      <w:tr>
        <w:trPr>
          <w:trHeight w:val="223"/>
        </w:trPr>
        <w:tc>
          <w:tcPr>
            <w:tcW w:w="8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September 30, 2026</w:t>
            </w:r>
          </w:p>
        </w:tc>
      </w:tr>
      <w:tr>
        <w:trPr>
          <w:trHeight w:val="236"/>
        </w:trPr>
        <w:tc>
          <w:tcPr>
            <w:tcW w:w="886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2080" w:type="dxa"/>
            <w:vAlign w:val="bottom"/>
          </w:tcPr>
          <w:p>
            <w:pPr>
              <w:jc w:val="right"/>
              <w:spacing w:after="0"/>
              <w:rPr>
                <w:sz w:val="20"/>
                <w:szCs w:val="20"/>
                <w:color w:val="auto"/>
              </w:rPr>
            </w:pPr>
            <w:r>
              <w:rPr>
                <w:rFonts w:ascii="Arial" w:cs="Arial" w:eastAsia="Arial" w:hAnsi="Arial"/>
                <w:sz w:val="16"/>
                <w:szCs w:val="16"/>
                <w:b w:val="1"/>
                <w:bCs w:val="1"/>
                <w:color w:val="auto"/>
              </w:rPr>
              <w:t>24,786</w:t>
            </w:r>
          </w:p>
        </w:tc>
      </w:tr>
      <w:tr>
        <w:trPr>
          <w:trHeight w:val="243"/>
        </w:trPr>
        <w:tc>
          <w:tcPr>
            <w:tcW w:w="8860" w:type="dxa"/>
            <w:vAlign w:val="bottom"/>
          </w:tcPr>
          <w:p>
            <w:pPr>
              <w:ind w:left="20"/>
              <w:spacing w:after="0"/>
              <w:rPr>
                <w:sz w:val="20"/>
                <w:szCs w:val="20"/>
                <w:color w:val="auto"/>
              </w:rPr>
            </w:pPr>
            <w:r>
              <w:rPr>
                <w:rFonts w:ascii="Arial" w:cs="Arial" w:eastAsia="Arial" w:hAnsi="Arial"/>
                <w:sz w:val="16"/>
                <w:szCs w:val="16"/>
                <w:color w:val="auto"/>
              </w:rPr>
              <w:t>Restricted cash</w:t>
            </w:r>
          </w:p>
        </w:tc>
        <w:tc>
          <w:tcPr>
            <w:tcW w:w="30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6"/>
                <w:szCs w:val="16"/>
                <w:b w:val="1"/>
                <w:bCs w:val="1"/>
                <w:color w:val="auto"/>
              </w:rPr>
              <w:t>19,178</w:t>
            </w:r>
          </w:p>
        </w:tc>
      </w:tr>
      <w:tr>
        <w:trPr>
          <w:trHeight w:val="243"/>
        </w:trPr>
        <w:tc>
          <w:tcPr>
            <w:tcW w:w="8860" w:type="dxa"/>
            <w:vAlign w:val="bottom"/>
          </w:tcPr>
          <w:p>
            <w:pPr>
              <w:ind w:left="20"/>
              <w:spacing w:after="0"/>
              <w:rPr>
                <w:sz w:val="20"/>
                <w:szCs w:val="20"/>
                <w:color w:val="auto"/>
              </w:rPr>
            </w:pPr>
            <w:r>
              <w:rPr>
                <w:rFonts w:ascii="Arial" w:cs="Arial" w:eastAsia="Arial" w:hAnsi="Arial"/>
                <w:sz w:val="16"/>
                <w:szCs w:val="16"/>
                <w:color w:val="auto"/>
              </w:rPr>
              <w:t>Accounts receivable, net</w:t>
            </w:r>
          </w:p>
        </w:tc>
        <w:tc>
          <w:tcPr>
            <w:tcW w:w="30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6"/>
                <w:szCs w:val="16"/>
                <w:b w:val="1"/>
                <w:bCs w:val="1"/>
                <w:color w:val="auto"/>
              </w:rPr>
              <w:t>6,843</w:t>
            </w:r>
          </w:p>
        </w:tc>
      </w:tr>
      <w:tr>
        <w:trPr>
          <w:trHeight w:val="243"/>
        </w:trPr>
        <w:tc>
          <w:tcPr>
            <w:tcW w:w="8860" w:type="dxa"/>
            <w:vAlign w:val="bottom"/>
          </w:tcPr>
          <w:p>
            <w:pPr>
              <w:ind w:left="20"/>
              <w:spacing w:after="0"/>
              <w:rPr>
                <w:sz w:val="20"/>
                <w:szCs w:val="20"/>
                <w:color w:val="auto"/>
              </w:rPr>
            </w:pPr>
            <w:r>
              <w:rPr>
                <w:rFonts w:ascii="Arial" w:cs="Arial" w:eastAsia="Arial" w:hAnsi="Arial"/>
                <w:sz w:val="16"/>
                <w:szCs w:val="16"/>
                <w:color w:val="auto"/>
              </w:rPr>
              <w:t>Prepaid expenses</w:t>
            </w:r>
          </w:p>
        </w:tc>
        <w:tc>
          <w:tcPr>
            <w:tcW w:w="30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6"/>
                <w:szCs w:val="16"/>
                <w:b w:val="1"/>
                <w:bCs w:val="1"/>
                <w:color w:val="auto"/>
              </w:rPr>
              <w:t>6,384</w:t>
            </w:r>
          </w:p>
        </w:tc>
      </w:tr>
      <w:tr>
        <w:trPr>
          <w:trHeight w:val="244"/>
        </w:trPr>
        <w:tc>
          <w:tcPr>
            <w:tcW w:w="8860" w:type="dxa"/>
            <w:vAlign w:val="bottom"/>
          </w:tcPr>
          <w:p>
            <w:pPr>
              <w:ind w:left="20"/>
              <w:spacing w:after="0"/>
              <w:rPr>
                <w:sz w:val="20"/>
                <w:szCs w:val="20"/>
                <w:color w:val="auto"/>
              </w:rPr>
            </w:pPr>
            <w:r>
              <w:rPr>
                <w:rFonts w:ascii="Arial" w:cs="Arial" w:eastAsia="Arial" w:hAnsi="Arial"/>
                <w:sz w:val="16"/>
                <w:szCs w:val="16"/>
                <w:color w:val="auto"/>
              </w:rPr>
              <w:t>Other current assets</w:t>
            </w:r>
          </w:p>
        </w:tc>
        <w:tc>
          <w:tcPr>
            <w:tcW w:w="30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653</w:t>
            </w:r>
          </w:p>
        </w:tc>
      </w:tr>
      <w:tr>
        <w:trPr>
          <w:trHeight w:val="239"/>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Current Assets Held for Sale</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57,844</w:t>
            </w:r>
          </w:p>
        </w:tc>
      </w:tr>
      <w:tr>
        <w:trPr>
          <w:trHeight w:val="233"/>
        </w:trPr>
        <w:tc>
          <w:tcPr>
            <w:tcW w:w="8860" w:type="dxa"/>
            <w:vAlign w:val="bottom"/>
          </w:tcPr>
          <w:p>
            <w:pPr>
              <w:ind w:left="20"/>
              <w:spacing w:after="0"/>
              <w:rPr>
                <w:sz w:val="20"/>
                <w:szCs w:val="20"/>
                <w:color w:val="auto"/>
              </w:rPr>
            </w:pPr>
            <w:r>
              <w:rPr>
                <w:rFonts w:ascii="Arial" w:cs="Arial" w:eastAsia="Arial" w:hAnsi="Arial"/>
                <w:sz w:val="16"/>
                <w:szCs w:val="16"/>
                <w:color w:val="auto"/>
              </w:rPr>
              <w:t>Property, plant and equipment, net</w:t>
            </w: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2080" w:type="dxa"/>
            <w:vAlign w:val="bottom"/>
          </w:tcPr>
          <w:p>
            <w:pPr>
              <w:jc w:val="right"/>
              <w:spacing w:after="0"/>
              <w:rPr>
                <w:sz w:val="20"/>
                <w:szCs w:val="20"/>
                <w:color w:val="auto"/>
              </w:rPr>
            </w:pPr>
            <w:r>
              <w:rPr>
                <w:rFonts w:ascii="Arial" w:cs="Arial" w:eastAsia="Arial" w:hAnsi="Arial"/>
                <w:sz w:val="16"/>
                <w:szCs w:val="16"/>
                <w:b w:val="1"/>
                <w:bCs w:val="1"/>
                <w:color w:val="auto"/>
              </w:rPr>
              <w:t>3,403</w:t>
            </w:r>
          </w:p>
        </w:tc>
      </w:tr>
      <w:tr>
        <w:trPr>
          <w:trHeight w:val="243"/>
        </w:trPr>
        <w:tc>
          <w:tcPr>
            <w:tcW w:w="8860" w:type="dxa"/>
            <w:vAlign w:val="bottom"/>
          </w:tcPr>
          <w:p>
            <w:pPr>
              <w:ind w:left="20"/>
              <w:spacing w:after="0"/>
              <w:rPr>
                <w:sz w:val="20"/>
                <w:szCs w:val="20"/>
                <w:color w:val="auto"/>
              </w:rPr>
            </w:pPr>
            <w:r>
              <w:rPr>
                <w:rFonts w:ascii="Arial" w:cs="Arial" w:eastAsia="Arial" w:hAnsi="Arial"/>
                <w:sz w:val="16"/>
                <w:szCs w:val="16"/>
                <w:color w:val="auto"/>
              </w:rPr>
              <w:t>Lease right-of-use assets</w:t>
            </w:r>
          </w:p>
        </w:tc>
        <w:tc>
          <w:tcPr>
            <w:tcW w:w="30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6"/>
                <w:szCs w:val="16"/>
                <w:b w:val="1"/>
                <w:bCs w:val="1"/>
                <w:color w:val="auto"/>
              </w:rPr>
              <w:t>5,536</w:t>
            </w:r>
          </w:p>
        </w:tc>
      </w:tr>
      <w:tr>
        <w:trPr>
          <w:trHeight w:val="245"/>
        </w:trPr>
        <w:tc>
          <w:tcPr>
            <w:tcW w:w="8860" w:type="dxa"/>
            <w:vAlign w:val="bottom"/>
          </w:tcPr>
          <w:p>
            <w:pPr>
              <w:ind w:left="20"/>
              <w:spacing w:after="0"/>
              <w:rPr>
                <w:sz w:val="20"/>
                <w:szCs w:val="20"/>
                <w:color w:val="auto"/>
              </w:rPr>
            </w:pPr>
            <w:r>
              <w:rPr>
                <w:rFonts w:ascii="Arial" w:cs="Arial" w:eastAsia="Arial" w:hAnsi="Arial"/>
                <w:sz w:val="15"/>
                <w:szCs w:val="15"/>
                <w:color w:val="auto"/>
              </w:rPr>
              <w:t>Goodwill, net</w:t>
            </w:r>
          </w:p>
        </w:tc>
        <w:tc>
          <w:tcPr>
            <w:tcW w:w="30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6"/>
                <w:szCs w:val="16"/>
                <w:b w:val="1"/>
                <w:bCs w:val="1"/>
                <w:color w:val="auto"/>
              </w:rPr>
              <w:t>51,786</w:t>
            </w:r>
          </w:p>
        </w:tc>
      </w:tr>
      <w:tr>
        <w:trPr>
          <w:trHeight w:val="243"/>
        </w:trPr>
        <w:tc>
          <w:tcPr>
            <w:tcW w:w="8860" w:type="dxa"/>
            <w:vAlign w:val="bottom"/>
          </w:tcPr>
          <w:p>
            <w:pPr>
              <w:ind w:left="20"/>
              <w:spacing w:after="0"/>
              <w:rPr>
                <w:sz w:val="20"/>
                <w:szCs w:val="20"/>
                <w:color w:val="auto"/>
              </w:rPr>
            </w:pPr>
            <w:r>
              <w:rPr>
                <w:rFonts w:ascii="Arial" w:cs="Arial" w:eastAsia="Arial" w:hAnsi="Arial"/>
                <w:sz w:val="16"/>
                <w:szCs w:val="16"/>
                <w:color w:val="auto"/>
              </w:rPr>
              <w:t>Deferred charges and other assets</w:t>
            </w:r>
          </w:p>
        </w:tc>
        <w:tc>
          <w:tcPr>
            <w:tcW w:w="30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1,599</w:t>
            </w:r>
          </w:p>
        </w:tc>
      </w:tr>
      <w:tr>
        <w:trPr>
          <w:trHeight w:val="239"/>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Noncurrent Assets Held for Sale</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62,324</w:t>
            </w:r>
          </w:p>
        </w:tc>
      </w:tr>
      <w:tr>
        <w:trPr>
          <w:trHeight w:val="273"/>
        </w:trPr>
        <w:tc>
          <w:tcPr>
            <w:tcW w:w="8860" w:type="dxa"/>
            <w:vAlign w:val="bottom"/>
          </w:tcPr>
          <w:p>
            <w:pPr>
              <w:ind w:left="20"/>
              <w:spacing w:after="0"/>
              <w:rPr>
                <w:sz w:val="20"/>
                <w:szCs w:val="20"/>
                <w:color w:val="auto"/>
              </w:rPr>
            </w:pPr>
            <w:r>
              <w:rPr>
                <w:rFonts w:ascii="Arial" w:cs="Arial" w:eastAsia="Arial" w:hAnsi="Arial"/>
                <w:sz w:val="16"/>
                <w:szCs w:val="16"/>
                <w:color w:val="auto"/>
              </w:rPr>
              <w:t>Accounts payable and accrued liabilities</w:t>
            </w: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2080" w:type="dxa"/>
            <w:vAlign w:val="bottom"/>
          </w:tcPr>
          <w:p>
            <w:pPr>
              <w:jc w:val="right"/>
              <w:spacing w:after="0"/>
              <w:rPr>
                <w:sz w:val="20"/>
                <w:szCs w:val="20"/>
                <w:color w:val="auto"/>
              </w:rPr>
            </w:pPr>
            <w:r>
              <w:rPr>
                <w:rFonts w:ascii="Arial" w:cs="Arial" w:eastAsia="Arial" w:hAnsi="Arial"/>
                <w:sz w:val="16"/>
                <w:szCs w:val="16"/>
                <w:b w:val="1"/>
                <w:bCs w:val="1"/>
                <w:color w:val="auto"/>
              </w:rPr>
              <w:t>22,868</w:t>
            </w:r>
          </w:p>
        </w:tc>
      </w:tr>
      <w:tr>
        <w:trPr>
          <w:trHeight w:val="243"/>
        </w:trPr>
        <w:tc>
          <w:tcPr>
            <w:tcW w:w="8860" w:type="dxa"/>
            <w:vAlign w:val="bottom"/>
          </w:tcPr>
          <w:p>
            <w:pPr>
              <w:ind w:left="20"/>
              <w:spacing w:after="0"/>
              <w:rPr>
                <w:sz w:val="20"/>
                <w:szCs w:val="20"/>
                <w:color w:val="auto"/>
              </w:rPr>
            </w:pPr>
            <w:r>
              <w:rPr>
                <w:rFonts w:ascii="Arial" w:cs="Arial" w:eastAsia="Arial" w:hAnsi="Arial"/>
                <w:sz w:val="16"/>
                <w:szCs w:val="16"/>
                <w:color w:val="auto"/>
              </w:rPr>
              <w:t>Deferred revenue</w:t>
            </w:r>
          </w:p>
        </w:tc>
        <w:tc>
          <w:tcPr>
            <w:tcW w:w="30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6"/>
                <w:szCs w:val="16"/>
                <w:b w:val="1"/>
                <w:bCs w:val="1"/>
                <w:color w:val="auto"/>
              </w:rPr>
              <w:t>25,128</w:t>
            </w:r>
          </w:p>
        </w:tc>
      </w:tr>
      <w:tr>
        <w:trPr>
          <w:trHeight w:val="243"/>
        </w:trPr>
        <w:tc>
          <w:tcPr>
            <w:tcW w:w="8860" w:type="dxa"/>
            <w:vAlign w:val="bottom"/>
          </w:tcPr>
          <w:p>
            <w:pPr>
              <w:ind w:left="20"/>
              <w:spacing w:after="0"/>
              <w:rPr>
                <w:sz w:val="20"/>
                <w:szCs w:val="20"/>
                <w:color w:val="auto"/>
              </w:rPr>
            </w:pPr>
            <w:r>
              <w:rPr>
                <w:rFonts w:ascii="Arial" w:cs="Arial" w:eastAsia="Arial" w:hAnsi="Arial"/>
                <w:sz w:val="16"/>
                <w:szCs w:val="16"/>
                <w:color w:val="auto"/>
              </w:rPr>
              <w:t>Income taxes payable</w:t>
            </w:r>
          </w:p>
        </w:tc>
        <w:tc>
          <w:tcPr>
            <w:tcW w:w="30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6"/>
                <w:szCs w:val="16"/>
                <w:b w:val="1"/>
                <w:bCs w:val="1"/>
                <w:color w:val="auto"/>
              </w:rPr>
              <w:t>(1,067)</w:t>
            </w:r>
          </w:p>
        </w:tc>
      </w:tr>
      <w:tr>
        <w:trPr>
          <w:trHeight w:val="244"/>
        </w:trPr>
        <w:tc>
          <w:tcPr>
            <w:tcW w:w="8860" w:type="dxa"/>
            <w:vAlign w:val="bottom"/>
          </w:tcPr>
          <w:p>
            <w:pPr>
              <w:ind w:left="20"/>
              <w:spacing w:after="0"/>
              <w:rPr>
                <w:sz w:val="20"/>
                <w:szCs w:val="20"/>
                <w:color w:val="auto"/>
              </w:rPr>
            </w:pPr>
            <w:r>
              <w:rPr>
                <w:rFonts w:ascii="Arial" w:cs="Arial" w:eastAsia="Arial" w:hAnsi="Arial"/>
                <w:sz w:val="16"/>
                <w:szCs w:val="16"/>
                <w:color w:val="auto"/>
              </w:rPr>
              <w:t>Current portion of lease liabilities</w:t>
            </w:r>
          </w:p>
        </w:tc>
        <w:tc>
          <w:tcPr>
            <w:tcW w:w="30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2,132</w:t>
            </w:r>
          </w:p>
        </w:tc>
      </w:tr>
      <w:tr>
        <w:trPr>
          <w:trHeight w:val="239"/>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Current Liabilities Held for Sale</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49,061</w:t>
            </w:r>
          </w:p>
        </w:tc>
      </w:tr>
      <w:tr>
        <w:trPr>
          <w:trHeight w:val="233"/>
        </w:trPr>
        <w:tc>
          <w:tcPr>
            <w:tcW w:w="8860" w:type="dxa"/>
            <w:vAlign w:val="bottom"/>
          </w:tcPr>
          <w:p>
            <w:pPr>
              <w:ind w:left="20"/>
              <w:spacing w:after="0"/>
              <w:rPr>
                <w:sz w:val="20"/>
                <w:szCs w:val="20"/>
                <w:color w:val="auto"/>
              </w:rPr>
            </w:pPr>
            <w:r>
              <w:rPr>
                <w:rFonts w:ascii="Arial" w:cs="Arial" w:eastAsia="Arial" w:hAnsi="Arial"/>
                <w:sz w:val="16"/>
                <w:szCs w:val="16"/>
                <w:color w:val="auto"/>
              </w:rPr>
              <w:t>Other liabilities</w:t>
            </w: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2080" w:type="dxa"/>
            <w:vAlign w:val="bottom"/>
          </w:tcPr>
          <w:p>
            <w:pPr>
              <w:jc w:val="right"/>
              <w:spacing w:after="0"/>
              <w:rPr>
                <w:sz w:val="20"/>
                <w:szCs w:val="20"/>
                <w:color w:val="auto"/>
              </w:rPr>
            </w:pPr>
            <w:r>
              <w:rPr>
                <w:rFonts w:ascii="Arial" w:cs="Arial" w:eastAsia="Arial" w:hAnsi="Arial"/>
                <w:sz w:val="16"/>
                <w:szCs w:val="16"/>
                <w:b w:val="1"/>
                <w:bCs w:val="1"/>
                <w:color w:val="auto"/>
              </w:rPr>
              <w:t>442</w:t>
            </w:r>
          </w:p>
        </w:tc>
      </w:tr>
      <w:tr>
        <w:trPr>
          <w:trHeight w:val="243"/>
        </w:trPr>
        <w:tc>
          <w:tcPr>
            <w:tcW w:w="8860" w:type="dxa"/>
            <w:vAlign w:val="bottom"/>
          </w:tcPr>
          <w:p>
            <w:pPr>
              <w:ind w:left="20"/>
              <w:spacing w:after="0"/>
              <w:rPr>
                <w:sz w:val="20"/>
                <w:szCs w:val="20"/>
                <w:color w:val="auto"/>
              </w:rPr>
            </w:pPr>
            <w:r>
              <w:rPr>
                <w:rFonts w:ascii="Arial" w:cs="Arial" w:eastAsia="Arial" w:hAnsi="Arial"/>
                <w:sz w:val="16"/>
                <w:szCs w:val="16"/>
                <w:color w:val="auto"/>
              </w:rPr>
              <w:t>Deferred income taxes</w:t>
            </w:r>
          </w:p>
        </w:tc>
        <w:tc>
          <w:tcPr>
            <w:tcW w:w="30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6"/>
                <w:szCs w:val="16"/>
                <w:b w:val="1"/>
                <w:bCs w:val="1"/>
                <w:color w:val="auto"/>
              </w:rPr>
              <w:t>(843)</w:t>
            </w:r>
          </w:p>
        </w:tc>
      </w:tr>
      <w:tr>
        <w:trPr>
          <w:trHeight w:val="244"/>
        </w:trPr>
        <w:tc>
          <w:tcPr>
            <w:tcW w:w="8860" w:type="dxa"/>
            <w:vAlign w:val="bottom"/>
          </w:tcPr>
          <w:p>
            <w:pPr>
              <w:ind w:left="20"/>
              <w:spacing w:after="0"/>
              <w:rPr>
                <w:sz w:val="20"/>
                <w:szCs w:val="20"/>
                <w:color w:val="auto"/>
              </w:rPr>
            </w:pPr>
            <w:r>
              <w:rPr>
                <w:rFonts w:ascii="Arial" w:cs="Arial" w:eastAsia="Arial" w:hAnsi="Arial"/>
                <w:sz w:val="16"/>
                <w:szCs w:val="16"/>
                <w:color w:val="auto"/>
              </w:rPr>
              <w:t>Lease liabilities</w:t>
            </w:r>
          </w:p>
        </w:tc>
        <w:tc>
          <w:tcPr>
            <w:tcW w:w="30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3,438</w:t>
            </w:r>
          </w:p>
        </w:tc>
      </w:tr>
      <w:tr>
        <w:trPr>
          <w:trHeight w:val="239"/>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Noncurrent Liabilities Held for Sale</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3,037</w:t>
            </w: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In May 2026, Kaplan completed the sale of the KLG business, which is included in Kaplan International. As a result of the sale, the Company</w:t>
      </w:r>
    </w:p>
    <w:p>
      <w:pPr>
        <w:spacing w:after="0" w:line="14"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recorded a non-operating loss of $5.2 million in the second quarter of 2026 (see Note 13). KLG comprised Kaplan International Languages, Alpadia Language Schools, Azurlingua and English as a second language (ESL) Education. The assets and liabilities of KLG had previously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been classified as held for sale in the Company’s Condensed Consolidated Balance Sheet as of March 31, 2026.</w:t>
      </w:r>
    </w:p>
    <w:p>
      <w:pPr>
        <w:spacing w:after="0" w:line="140" w:lineRule="exact"/>
        <w:rPr>
          <w:sz w:val="20"/>
          <w:szCs w:val="20"/>
          <w:color w:val="auto"/>
        </w:rPr>
      </w:pPr>
    </w:p>
    <w:p>
      <w:pPr>
        <w:ind w:right="100"/>
        <w:spacing w:after="0" w:line="251" w:lineRule="auto"/>
        <w:rPr>
          <w:sz w:val="20"/>
          <w:szCs w:val="20"/>
          <w:color w:val="auto"/>
        </w:rPr>
      </w:pPr>
      <w:r>
        <w:rPr>
          <w:rFonts w:ascii="Arial" w:cs="Arial" w:eastAsia="Arial" w:hAnsi="Arial"/>
          <w:sz w:val="17"/>
          <w:szCs w:val="17"/>
          <w:color w:val="auto"/>
        </w:rPr>
        <w:t>During the first quarter of 2026, upon classifying the KLG disposal group as held for sale, the Company recognized total impairment charges of $19.0 million, consisting of a $1.0 million goodwill impairment charge and an $18.0 million impairment charge related to the asset group</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held for sale.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In early September 2025, the Company ceased operations of the Ourisman Jeep of Bethesda dealership.</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In April 2025, Kaplan completed the sale of a small business, BridgeU Limited, which was included in Kaplan International.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 the first half of 2025, World of Good Brands (WGB) completed the sale of various websites and related businesses that made up the WGB</w:t>
      </w:r>
    </w:p>
    <w:p>
      <w:pPr>
        <w:spacing w:after="0" w:line="14" w:lineRule="exact"/>
        <w:rPr>
          <w:sz w:val="20"/>
          <w:szCs w:val="20"/>
          <w:color w:val="auto"/>
        </w:rPr>
      </w:pPr>
    </w:p>
    <w:p>
      <w:pPr>
        <w:ind w:right="420"/>
        <w:spacing w:after="0" w:line="237" w:lineRule="auto"/>
        <w:rPr>
          <w:sz w:val="20"/>
          <w:szCs w:val="20"/>
          <w:color w:val="auto"/>
        </w:rPr>
      </w:pPr>
      <w:r>
        <w:rPr>
          <w:rFonts w:ascii="Arial" w:cs="Arial" w:eastAsia="Arial" w:hAnsi="Arial"/>
          <w:sz w:val="18"/>
          <w:szCs w:val="18"/>
          <w:color w:val="auto"/>
        </w:rPr>
        <w:t>operations, which were included in other businesses. All remaining WGB operations were substantially shut down by the end of the third quarter of 2025.</w:t>
      </w:r>
    </w:p>
    <w:p>
      <w:pPr>
        <w:spacing w:after="0" w:line="127"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b w:val="1"/>
          <w:bCs w:val="1"/>
          <w:color w:val="auto"/>
        </w:rPr>
        <w:t xml:space="preserve">Other Transactions. </w:t>
      </w:r>
      <w:r>
        <w:rPr>
          <w:rFonts w:ascii="Arial" w:cs="Arial" w:eastAsia="Arial" w:hAnsi="Arial"/>
          <w:sz w:val="18"/>
          <w:szCs w:val="18"/>
          <w:color w:val="auto"/>
        </w:rPr>
        <w:t>In October 2026, the Company acquired the 49% minority-owned shares of Skin Clique for $18.4 million;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now owns 100% of Skin Clique.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In July 2026, CSI Pharmacy Holding Company, LLC (CSI) exercised its call option to purchase some of the minority-owned interest of CSI for</w:t>
      </w:r>
    </w:p>
    <w:p>
      <w:pPr>
        <w:spacing w:after="0" w:line="14" w:lineRule="exact"/>
        <w:rPr>
          <w:sz w:val="20"/>
          <w:szCs w:val="20"/>
          <w:color w:val="auto"/>
        </w:rPr>
      </w:pPr>
    </w:p>
    <w:p>
      <w:pPr>
        <w:ind w:right="220"/>
        <w:spacing w:after="0" w:line="226" w:lineRule="auto"/>
        <w:rPr>
          <w:sz w:val="20"/>
          <w:szCs w:val="20"/>
          <w:color w:val="auto"/>
        </w:rPr>
      </w:pPr>
      <w:r>
        <w:rPr>
          <w:rFonts w:ascii="Arial" w:cs="Arial" w:eastAsia="Arial" w:hAnsi="Arial"/>
          <w:sz w:val="18"/>
          <w:szCs w:val="18"/>
          <w:color w:val="auto"/>
        </w:rPr>
        <w:t>$1.9 million. CSI paid cash of $0.2 million and entered into promissory notes for the remaining $1.7 million with an interest rate of 5.5% per annum. The notes are included in other indebtedness (see Note 7) and payable in annual installments with the final payment due July 31,</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2030.</w:t>
      </w:r>
    </w:p>
    <w:p>
      <w:pPr>
        <w:spacing w:after="0" w:line="140"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In March 2026, the Company acquired some of the minority-owned shares of CSI for a total amount of $41.0 million. The Company paid cash of $16.4 million and entered into promissory notes with the minority owners for the remaining $24.6 million at an interest rate of 8% per</w:t>
      </w:r>
    </w:p>
    <w:p>
      <w:pPr>
        <w:spacing w:after="0" w:line="1" w:lineRule="exact"/>
        <w:rPr>
          <w:sz w:val="20"/>
          <w:szCs w:val="20"/>
          <w:color w:val="auto"/>
        </w:rPr>
      </w:pPr>
    </w:p>
    <w:p>
      <w:pPr>
        <w:ind w:right="160"/>
        <w:spacing w:after="0" w:line="250" w:lineRule="auto"/>
        <w:rPr>
          <w:sz w:val="20"/>
          <w:szCs w:val="20"/>
          <w:color w:val="auto"/>
        </w:rPr>
      </w:pPr>
      <w:r>
        <w:rPr>
          <w:rFonts w:ascii="Arial" w:cs="Arial" w:eastAsia="Arial" w:hAnsi="Arial"/>
          <w:sz w:val="18"/>
          <w:szCs w:val="18"/>
          <w:color w:val="auto"/>
        </w:rPr>
        <w:t>annum. The notes are included in other indebtedness (see Note 7) and payable in quarterly installments with the final payment due on April 1, 2028. Following the redemption, the Company owns 93.4% of CSI.</w:t>
      </w:r>
    </w:p>
    <w:p>
      <w:pPr>
        <w:spacing w:after="0" w:line="104" w:lineRule="exact"/>
        <w:rPr>
          <w:sz w:val="20"/>
          <w:szCs w:val="20"/>
          <w:color w:val="auto"/>
        </w:rPr>
      </w:pPr>
    </w:p>
    <w:p>
      <w:pPr>
        <w:ind w:right="480"/>
        <w:spacing w:after="0" w:line="271" w:lineRule="auto"/>
        <w:rPr>
          <w:sz w:val="20"/>
          <w:szCs w:val="20"/>
          <w:color w:val="auto"/>
        </w:rPr>
      </w:pPr>
      <w:r>
        <w:rPr>
          <w:rFonts w:ascii="Arial" w:cs="Arial" w:eastAsia="Arial" w:hAnsi="Arial"/>
          <w:sz w:val="18"/>
          <w:szCs w:val="18"/>
          <w:color w:val="auto"/>
        </w:rPr>
        <w:t>In January 2026, pursuant to the exercise of a put right, the Company purchased some of the minority-owned interest of Clarus for $1.0 million. Following the redemption, the Company owns 97.5% of Clarus.</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13" w:name="page14"/>
    <w:bookmarkEnd w:id="13"/>
    <w:p>
      <w:pPr>
        <w:ind w:right="480"/>
        <w:spacing w:after="0" w:line="271" w:lineRule="auto"/>
        <w:rPr>
          <w:sz w:val="20"/>
          <w:szCs w:val="20"/>
          <w:color w:val="auto"/>
        </w:rPr>
      </w:pPr>
      <w:r>
        <w:rPr>
          <w:rFonts w:ascii="Arial" w:cs="Arial" w:eastAsia="Arial" w:hAnsi="Arial"/>
          <w:sz w:val="18"/>
          <w:szCs w:val="18"/>
          <w:color w:val="auto"/>
        </w:rPr>
        <w:t>In October 2025, pursuant to the exercise of a put right, the Company purchased some of the minority-owned interest of Clarus for $0.4 million. Following the redemption, the Company owned 95.75% of Clarus.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In July 2025, CSI exercised its call option to purchase some of the minority-owned interest of CSI for $1.8 million.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On February 25, 2025, the Company and a group of minority shareholders entered into an agreement to settle a significant portion of the</w:t>
      </w:r>
    </w:p>
    <w:p>
      <w:pPr>
        <w:spacing w:after="0" w:line="14" w:lineRule="exact"/>
        <w:rPr>
          <w:sz w:val="20"/>
          <w:szCs w:val="20"/>
          <w:color w:val="auto"/>
        </w:rPr>
      </w:pPr>
    </w:p>
    <w:p>
      <w:pPr>
        <w:ind w:right="740"/>
        <w:spacing w:after="0" w:line="237" w:lineRule="auto"/>
        <w:rPr>
          <w:sz w:val="20"/>
          <w:szCs w:val="20"/>
          <w:color w:val="auto"/>
        </w:rPr>
      </w:pPr>
      <w:r>
        <w:rPr>
          <w:rFonts w:ascii="Arial" w:cs="Arial" w:eastAsia="Arial" w:hAnsi="Arial"/>
          <w:sz w:val="18"/>
          <w:szCs w:val="18"/>
          <w:color w:val="auto"/>
        </w:rPr>
        <w:t>mandatorily redeemable noncontrolling interest related to GHC One LLC (GHC One), including CSI, for a total of $205 million, which consisted of approximately $186.25 million in cash and $18.75 million in Graham Holdings Company Class B common stock.</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settlement agreement resulted in a $66.2 million increase to the mandatorily redeemable noncontrolling interest obligation, which the</w:t>
      </w:r>
    </w:p>
    <w:p>
      <w:pPr>
        <w:spacing w:after="0" w:line="14"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Company recorded as interest expense in the first quarter of 2025. The remaining mandatorily redeemable noncontrolling interest obligation related to GHC One and GHC Two LLC (GHC Two) was $7.3 million at September 30, 2026, with $6.0 million included in current liabilities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due to the expected dissolution of GHC One within one year.</w:t>
      </w:r>
    </w:p>
    <w:p>
      <w:pPr>
        <w:spacing w:after="0" w:line="140" w:lineRule="exact"/>
        <w:rPr>
          <w:sz w:val="20"/>
          <w:szCs w:val="20"/>
          <w:color w:val="auto"/>
        </w:rPr>
      </w:pPr>
    </w:p>
    <w:p>
      <w:pPr>
        <w:ind w:right="320"/>
        <w:spacing w:after="0" w:line="251" w:lineRule="auto"/>
        <w:rPr>
          <w:sz w:val="20"/>
          <w:szCs w:val="20"/>
          <w:color w:val="auto"/>
        </w:rPr>
      </w:pPr>
      <w:r>
        <w:rPr>
          <w:rFonts w:ascii="Arial" w:cs="Arial" w:eastAsia="Arial" w:hAnsi="Arial"/>
          <w:sz w:val="17"/>
          <w:szCs w:val="17"/>
          <w:color w:val="auto"/>
        </w:rPr>
        <w:t>In December 2024, the Company acquired some of the minority-owned shares of CSI for a total estimated amount of $2.0 million. The Company paid cash of $0.6 million and entered into a promissory note with the minority owner for the remaining $1.4 million at an interest</w:t>
      </w:r>
    </w:p>
    <w:p>
      <w:pPr>
        <w:spacing w:after="0" w:line="235" w:lineRule="auto"/>
        <w:rPr>
          <w:sz w:val="20"/>
          <w:szCs w:val="20"/>
          <w:color w:val="auto"/>
        </w:rPr>
      </w:pPr>
      <w:r>
        <w:rPr>
          <w:rFonts w:ascii="Arial" w:cs="Arial" w:eastAsia="Arial" w:hAnsi="Arial"/>
          <w:sz w:val="18"/>
          <w:szCs w:val="18"/>
          <w:color w:val="auto"/>
        </w:rPr>
        <w:t>rate of 5.5% per annum. The note was included in other indebtedness (see Note 7) and was due and payable on January 31, 2026.</w:t>
      </w:r>
    </w:p>
    <w:p>
      <w:pPr>
        <w:ind w:right="60"/>
        <w:spacing w:after="0" w:line="226" w:lineRule="auto"/>
        <w:rPr>
          <w:sz w:val="20"/>
          <w:szCs w:val="20"/>
          <w:color w:val="auto"/>
        </w:rPr>
      </w:pPr>
      <w:r>
        <w:rPr>
          <w:rFonts w:ascii="Arial" w:cs="Arial" w:eastAsia="Arial" w:hAnsi="Arial"/>
          <w:sz w:val="18"/>
          <w:szCs w:val="18"/>
          <w:color w:val="auto"/>
        </w:rPr>
        <w:t>Following the redemption, the Company owned 87.5% of CSI. Pursuant to the terms of the purchase agreement, the purchase price was finalized in December 2025, resulting in an additional amount payable of $0.1 million, plus interest at 5.5% per annum, to the minority owner.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 note was subsequently paid in the first quarter of 2026.</w:t>
      </w:r>
    </w:p>
    <w:p>
      <w:pPr>
        <w:spacing w:after="0" w:line="140" w:lineRule="exact"/>
        <w:rPr>
          <w:sz w:val="20"/>
          <w:szCs w:val="20"/>
          <w:color w:val="auto"/>
        </w:rPr>
      </w:pPr>
    </w:p>
    <w:p>
      <w:pPr>
        <w:ind w:right="160"/>
        <w:spacing w:after="0" w:line="251" w:lineRule="auto"/>
        <w:rPr>
          <w:sz w:val="20"/>
          <w:szCs w:val="20"/>
          <w:color w:val="auto"/>
        </w:rPr>
      </w:pPr>
      <w:r>
        <w:rPr>
          <w:rFonts w:ascii="Arial" w:cs="Arial" w:eastAsia="Arial" w:hAnsi="Arial"/>
          <w:sz w:val="17"/>
          <w:szCs w:val="17"/>
          <w:color w:val="auto"/>
        </w:rPr>
        <w:t>As of September 30, 2026, the Company holds a controlling financial interest in GHC One and GHC Two and therefore includes the assets, liabilities, results of operations and cash flows in its consolidated financial statements. GHC One acquired Clarus during 2019. GHC Two</w:t>
      </w:r>
    </w:p>
    <w:p>
      <w:pPr>
        <w:spacing w:after="0" w:line="1"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acquired Impact Medical during 2021 and Skin Clique and Surpass in 2022. The Company accounts for the minority ownership of the group of current and former senior managers in GHC One and GHC Two as a mandatorily redeemable noncontrolling interest (see Note 8).</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INVESTMENTS</w:t>
      </w:r>
    </w:p>
    <w:p>
      <w:pPr>
        <w:spacing w:after="0" w:line="158" w:lineRule="exact"/>
        <w:rPr>
          <w:sz w:val="20"/>
          <w:szCs w:val="20"/>
          <w:color w:val="auto"/>
        </w:rPr>
      </w:pPr>
    </w:p>
    <w:p>
      <w:pPr>
        <w:ind w:right="260"/>
        <w:spacing w:after="0" w:line="251" w:lineRule="auto"/>
        <w:rPr>
          <w:sz w:val="20"/>
          <w:szCs w:val="20"/>
          <w:color w:val="auto"/>
        </w:rPr>
      </w:pPr>
      <w:r>
        <w:rPr>
          <w:rFonts w:ascii="Arial" w:cs="Arial" w:eastAsia="Arial" w:hAnsi="Arial"/>
          <w:sz w:val="17"/>
          <w:szCs w:val="17"/>
          <w:b w:val="1"/>
          <w:bCs w:val="1"/>
          <w:color w:val="auto"/>
        </w:rPr>
        <w:t xml:space="preserve">Money Market Investments. </w:t>
      </w:r>
      <w:r>
        <w:rPr>
          <w:rFonts w:ascii="Arial" w:cs="Arial" w:eastAsia="Arial" w:hAnsi="Arial"/>
          <w:sz w:val="17"/>
          <w:szCs w:val="17"/>
          <w:color w:val="auto"/>
        </w:rPr>
        <w:t>As of September 30, 2026 and December 31, 2025, the Company had money market investments of $7.9</w:t>
      </w:r>
      <w:r>
        <w:rPr>
          <w:rFonts w:ascii="Arial" w:cs="Arial" w:eastAsia="Arial" w:hAnsi="Arial"/>
          <w:sz w:val="17"/>
          <w:szCs w:val="17"/>
          <w:b w:val="1"/>
          <w:bCs w:val="1"/>
          <w:color w:val="auto"/>
        </w:rPr>
        <w:t xml:space="preserve"> </w:t>
      </w:r>
      <w:r>
        <w:rPr>
          <w:rFonts w:ascii="Arial" w:cs="Arial" w:eastAsia="Arial" w:hAnsi="Arial"/>
          <w:sz w:val="17"/>
          <w:szCs w:val="17"/>
          <w:color w:val="auto"/>
        </w:rPr>
        <w:t>million and $5.3 million, respectively, that are classified as cash and cash equivalents in the Company’s Condensed Consolidated Balance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Sheets.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Investments in Marketable Equity Securities. </w:t>
      </w:r>
      <w:r>
        <w:rPr>
          <w:rFonts w:ascii="Arial" w:cs="Arial" w:eastAsia="Arial" w:hAnsi="Arial"/>
          <w:sz w:val="18"/>
          <w:szCs w:val="18"/>
          <w:color w:val="auto"/>
        </w:rPr>
        <w:t>Investments in marketable equity securities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3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836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40" w:type="dxa"/>
            <w:vAlign w:val="bottom"/>
          </w:tcPr>
          <w:p>
            <w:pPr>
              <w:spacing w:after="0"/>
              <w:rPr>
                <w:sz w:val="15"/>
                <w:szCs w:val="15"/>
                <w:color w:val="auto"/>
              </w:rPr>
            </w:pPr>
          </w:p>
        </w:tc>
        <w:tc>
          <w:tcPr>
            <w:tcW w:w="1280" w:type="dxa"/>
            <w:vAlign w:val="bottom"/>
          </w:tcPr>
          <w:p>
            <w:pPr>
              <w:jc w:val="right"/>
              <w:ind w:right="163"/>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5"/>
                <w:szCs w:val="15"/>
                <w:color w:val="auto"/>
              </w:rPr>
            </w:pPr>
          </w:p>
        </w:tc>
        <w:tc>
          <w:tcPr>
            <w:tcW w:w="1200" w:type="dxa"/>
            <w:vAlign w:val="bottom"/>
          </w:tcPr>
          <w:p>
            <w:pPr>
              <w:jc w:val="right"/>
              <w:ind w:right="162"/>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97"/>
        </w:trPr>
        <w:tc>
          <w:tcPr>
            <w:tcW w:w="836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2026</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color w:val="auto"/>
              </w:rPr>
              <w:t>2025</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6"/>
                <w:szCs w:val="16"/>
                <w:color w:val="auto"/>
              </w:rPr>
              <w:t>Total cost</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Pr>
          <w:p>
            <w:pPr>
              <w:jc w:val="right"/>
              <w:ind w:right="43"/>
              <w:spacing w:after="0"/>
              <w:rPr>
                <w:sz w:val="20"/>
                <w:szCs w:val="20"/>
                <w:color w:val="auto"/>
              </w:rPr>
            </w:pPr>
            <w:r>
              <w:rPr>
                <w:rFonts w:ascii="Arial" w:cs="Arial" w:eastAsia="Arial" w:hAnsi="Arial"/>
                <w:sz w:val="16"/>
                <w:szCs w:val="16"/>
                <w:b w:val="1"/>
                <w:bCs w:val="1"/>
                <w:color w:val="auto"/>
              </w:rPr>
              <w:t>255,193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256,897</w:t>
            </w:r>
          </w:p>
        </w:tc>
        <w:tc>
          <w:tcPr>
            <w:tcW w:w="0" w:type="dxa"/>
            <w:vAlign w:val="bottom"/>
          </w:tcPr>
          <w:p>
            <w:pPr>
              <w:spacing w:after="0"/>
              <w:rPr>
                <w:sz w:val="1"/>
                <w:szCs w:val="1"/>
                <w:color w:val="auto"/>
              </w:rPr>
            </w:pPr>
          </w:p>
        </w:tc>
      </w:tr>
      <w:tr>
        <w:trPr>
          <w:trHeight w:val="243"/>
        </w:trPr>
        <w:tc>
          <w:tcPr>
            <w:tcW w:w="8360" w:type="dxa"/>
            <w:vAlign w:val="bottom"/>
          </w:tcPr>
          <w:p>
            <w:pPr>
              <w:ind w:left="20"/>
              <w:spacing w:after="0"/>
              <w:rPr>
                <w:sz w:val="20"/>
                <w:szCs w:val="20"/>
                <w:color w:val="auto"/>
              </w:rPr>
            </w:pPr>
            <w:r>
              <w:rPr>
                <w:rFonts w:ascii="Arial" w:cs="Arial" w:eastAsia="Arial" w:hAnsi="Arial"/>
                <w:sz w:val="16"/>
                <w:szCs w:val="16"/>
                <w:color w:val="auto"/>
              </w:rPr>
              <w:t>Gross unrealized gains</w:t>
            </w:r>
          </w:p>
        </w:tc>
        <w:tc>
          <w:tcPr>
            <w:tcW w:w="140" w:type="dxa"/>
            <w:vAlign w:val="bottom"/>
          </w:tcPr>
          <w:p>
            <w:pPr>
              <w:spacing w:after="0"/>
              <w:rPr>
                <w:sz w:val="21"/>
                <w:szCs w:val="21"/>
                <w:color w:val="auto"/>
              </w:rPr>
            </w:pPr>
          </w:p>
        </w:tc>
        <w:tc>
          <w:tcPr>
            <w:tcW w:w="1280" w:type="dxa"/>
            <w:vAlign w:val="bottom"/>
          </w:tcPr>
          <w:p>
            <w:pPr>
              <w:jc w:val="right"/>
              <w:ind w:right="43"/>
              <w:spacing w:after="0"/>
              <w:rPr>
                <w:sz w:val="20"/>
                <w:szCs w:val="20"/>
                <w:color w:val="auto"/>
              </w:rPr>
            </w:pPr>
            <w:r>
              <w:rPr>
                <w:rFonts w:ascii="Arial" w:cs="Arial" w:eastAsia="Arial" w:hAnsi="Arial"/>
                <w:sz w:val="16"/>
                <w:szCs w:val="16"/>
                <w:b w:val="1"/>
                <w:bCs w:val="1"/>
                <w:color w:val="auto"/>
              </w:rPr>
              <w:t>817,174</w:t>
            </w:r>
          </w:p>
        </w:tc>
        <w:tc>
          <w:tcPr>
            <w:tcW w:w="240" w:type="dxa"/>
            <w:vAlign w:val="bottom"/>
          </w:tcPr>
          <w:p>
            <w:pPr>
              <w:spacing w:after="0"/>
              <w:rPr>
                <w:sz w:val="21"/>
                <w:szCs w:val="21"/>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845,889</w:t>
            </w:r>
          </w:p>
        </w:tc>
        <w:tc>
          <w:tcPr>
            <w:tcW w:w="0" w:type="dxa"/>
            <w:vAlign w:val="bottom"/>
          </w:tcPr>
          <w:p>
            <w:pPr>
              <w:spacing w:after="0"/>
              <w:rPr>
                <w:sz w:val="1"/>
                <w:szCs w:val="1"/>
                <w:color w:val="auto"/>
              </w:rPr>
            </w:pPr>
          </w:p>
        </w:tc>
      </w:tr>
      <w:tr>
        <w:trPr>
          <w:trHeight w:val="247"/>
        </w:trPr>
        <w:tc>
          <w:tcPr>
            <w:tcW w:w="8360" w:type="dxa"/>
            <w:vAlign w:val="bottom"/>
          </w:tcPr>
          <w:p>
            <w:pPr>
              <w:ind w:left="20"/>
              <w:spacing w:after="0"/>
              <w:rPr>
                <w:sz w:val="20"/>
                <w:szCs w:val="20"/>
                <w:color w:val="auto"/>
              </w:rPr>
            </w:pPr>
            <w:r>
              <w:rPr>
                <w:rFonts w:ascii="Arial" w:cs="Arial" w:eastAsia="Arial" w:hAnsi="Arial"/>
                <w:sz w:val="16"/>
                <w:szCs w:val="16"/>
                <w:color w:val="auto"/>
              </w:rPr>
              <w:t>Gross unrealized losses</w:t>
            </w: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(2,626)</w:t>
            </w:r>
          </w:p>
        </w:tc>
        <w:tc>
          <w:tcPr>
            <w:tcW w:w="2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(20,848)</w:t>
            </w:r>
          </w:p>
        </w:tc>
        <w:tc>
          <w:tcPr>
            <w:tcW w:w="0" w:type="dxa"/>
            <w:vAlign w:val="bottom"/>
          </w:tcPr>
          <w:p>
            <w:pPr>
              <w:spacing w:after="0"/>
              <w:rPr>
                <w:sz w:val="1"/>
                <w:szCs w:val="1"/>
                <w:color w:val="auto"/>
              </w:rPr>
            </w:pPr>
          </w:p>
        </w:tc>
      </w:tr>
      <w:tr>
        <w:trPr>
          <w:trHeight w:val="240"/>
        </w:trPr>
        <w:tc>
          <w:tcPr>
            <w:tcW w:w="8360" w:type="dxa"/>
            <w:vAlign w:val="bottom"/>
          </w:tcPr>
          <w:p>
            <w:pPr>
              <w:ind w:left="20"/>
              <w:spacing w:after="0"/>
              <w:rPr>
                <w:sz w:val="20"/>
                <w:szCs w:val="20"/>
                <w:color w:val="auto"/>
              </w:rPr>
            </w:pPr>
            <w:r>
              <w:rPr>
                <w:rFonts w:ascii="Arial" w:cs="Arial" w:eastAsia="Arial" w:hAnsi="Arial"/>
                <w:sz w:val="16"/>
                <w:szCs w:val="16"/>
                <w:b w:val="1"/>
                <w:bCs w:val="1"/>
                <w:color w:val="auto"/>
              </w:rPr>
              <w:t>Total Fair Value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1,069,741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1,081,938</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2026 and December 31, 2025, the Company owned 63,793 and 55,430 shares, respectively, in Markel Group Inc. (Markel)</w:t>
      </w:r>
    </w:p>
    <w:p>
      <w:pPr>
        <w:spacing w:after="0" w:line="14" w:lineRule="exact"/>
        <w:rPr>
          <w:sz w:val="20"/>
          <w:szCs w:val="20"/>
          <w:color w:val="auto"/>
        </w:rPr>
      </w:pPr>
    </w:p>
    <w:p>
      <w:pPr>
        <w:ind w:right="240"/>
        <w:spacing w:after="0" w:line="226" w:lineRule="auto"/>
        <w:rPr>
          <w:sz w:val="20"/>
          <w:szCs w:val="20"/>
          <w:color w:val="auto"/>
        </w:rPr>
      </w:pPr>
      <w:r>
        <w:rPr>
          <w:rFonts w:ascii="Arial" w:cs="Arial" w:eastAsia="Arial" w:hAnsi="Arial"/>
          <w:sz w:val="18"/>
          <w:szCs w:val="18"/>
          <w:color w:val="auto"/>
        </w:rPr>
        <w:t>valued at $109.2 million and $119.2 million, respectively. The Chief Executive Officer of Markel, Mr. Thomas S. Gayner, is a member of the Company’s Board of Directors. As of September 30, 2026, the Company owned 422 Class A and 481,920 Class B shares in Berkshire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Hathaway valued at $555.2 million, which exceeded 5% of the Company’s total assets.</w:t>
      </w:r>
    </w:p>
    <w:p>
      <w:pPr>
        <w:spacing w:after="0" w:line="140" w:lineRule="exact"/>
        <w:rPr>
          <w:sz w:val="20"/>
          <w:szCs w:val="20"/>
          <w:color w:val="auto"/>
        </w:rPr>
      </w:pPr>
    </w:p>
    <w:p>
      <w:pPr>
        <w:ind w:right="540"/>
        <w:spacing w:after="0" w:line="256" w:lineRule="auto"/>
        <w:rPr>
          <w:sz w:val="20"/>
          <w:szCs w:val="20"/>
          <w:color w:val="auto"/>
        </w:rPr>
      </w:pPr>
      <w:r>
        <w:rPr>
          <w:rFonts w:ascii="Arial" w:cs="Arial" w:eastAsia="Arial" w:hAnsi="Arial"/>
          <w:sz w:val="18"/>
          <w:szCs w:val="18"/>
          <w:color w:val="auto"/>
        </w:rPr>
        <w:t>The Company purchased $25.0 million and $29.8 million of marketable equity securities during the first nine months of 2026 and 2025,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nine months of 2026, the gross cumulative realized net gains from the sales of marketable equity securities were $28.0</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million. The total proceeds from such sales were $54.6 million. The Company donated marketable equity securities in the first nine months of 2026 and 2025, and recorded $0.5 million and $0.4 million of gross cumulative realized gains from the donations, respectively. There were no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sales of marketable equity securities during the first nine months of 2025.</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The net gain (loss) on marketable equity securities comprised the following:</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80" w:type="dxa"/>
            <w:vAlign w:val="bottom"/>
            <w:gridSpan w:val="3"/>
          </w:tcPr>
          <w:p>
            <w:pPr>
              <w:jc w:val="right"/>
              <w:ind w:right="581"/>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2520" w:type="dxa"/>
            <w:vAlign w:val="bottom"/>
            <w:gridSpan w:val="3"/>
          </w:tcPr>
          <w:p>
            <w:pPr>
              <w:jc w:val="right"/>
              <w:ind w:right="68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05"/>
        </w:trPr>
        <w:tc>
          <w:tcPr>
            <w:tcW w:w="56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6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44"/>
              <w:spacing w:after="0"/>
              <w:rPr>
                <w:sz w:val="20"/>
                <w:szCs w:val="20"/>
                <w:color w:val="auto"/>
              </w:rPr>
            </w:pPr>
            <w:r>
              <w:rPr>
                <w:rFonts w:ascii="Arial" w:cs="Arial" w:eastAsia="Arial" w:hAnsi="Arial"/>
                <w:sz w:val="14"/>
                <w:szCs w:val="14"/>
                <w:b w:val="1"/>
                <w:bCs w:val="1"/>
                <w:color w:val="auto"/>
              </w:rPr>
              <w:t>2026</w:t>
            </w:r>
          </w:p>
        </w:tc>
        <w:tc>
          <w:tcPr>
            <w:tcW w:w="5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2025</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44"/>
              <w:spacing w:after="0"/>
              <w:rPr>
                <w:sz w:val="20"/>
                <w:szCs w:val="20"/>
                <w:color w:val="auto"/>
              </w:rPr>
            </w:pPr>
            <w:r>
              <w:rPr>
                <w:rFonts w:ascii="Arial" w:cs="Arial" w:eastAsia="Arial" w:hAnsi="Arial"/>
                <w:sz w:val="14"/>
                <w:szCs w:val="14"/>
                <w:b w:val="1"/>
                <w:bCs w:val="1"/>
                <w:color w:val="auto"/>
              </w:rPr>
              <w:t>2026</w:t>
            </w:r>
          </w:p>
        </w:tc>
        <w:tc>
          <w:tcPr>
            <w:tcW w:w="6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35"/>
        </w:trPr>
        <w:tc>
          <w:tcPr>
            <w:tcW w:w="5680" w:type="dxa"/>
            <w:vAlign w:val="bottom"/>
          </w:tcPr>
          <w:p>
            <w:pPr>
              <w:ind w:left="20"/>
              <w:spacing w:after="0"/>
              <w:rPr>
                <w:sz w:val="20"/>
                <w:szCs w:val="20"/>
                <w:color w:val="auto"/>
              </w:rPr>
            </w:pPr>
            <w:r>
              <w:rPr>
                <w:rFonts w:ascii="Arial" w:cs="Arial" w:eastAsia="Arial" w:hAnsi="Arial"/>
                <w:sz w:val="16"/>
                <w:szCs w:val="16"/>
                <w:color w:val="auto"/>
              </w:rPr>
              <w:t>(Loss) gain on marketable equity securities, net</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ind w:right="24"/>
              <w:spacing w:after="0"/>
              <w:rPr>
                <w:sz w:val="20"/>
                <w:szCs w:val="20"/>
                <w:color w:val="auto"/>
              </w:rPr>
            </w:pPr>
            <w:r>
              <w:rPr>
                <w:rFonts w:ascii="Arial" w:cs="Arial" w:eastAsia="Arial" w:hAnsi="Arial"/>
                <w:sz w:val="16"/>
                <w:szCs w:val="16"/>
                <w:b w:val="1"/>
                <w:bCs w:val="1"/>
                <w:color w:val="auto"/>
              </w:rPr>
              <w:t>(15,027)</w:t>
            </w:r>
          </w:p>
        </w:tc>
        <w:tc>
          <w:tcPr>
            <w:tcW w:w="52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84,768</w:t>
            </w:r>
          </w:p>
        </w:tc>
        <w:tc>
          <w:tcPr>
            <w:tcW w:w="38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24"/>
              <w:spacing w:after="0"/>
              <w:rPr>
                <w:sz w:val="20"/>
                <w:szCs w:val="20"/>
                <w:color w:val="auto"/>
              </w:rPr>
            </w:pPr>
            <w:r>
              <w:rPr>
                <w:rFonts w:ascii="Arial" w:cs="Arial" w:eastAsia="Arial" w:hAnsi="Arial"/>
                <w:sz w:val="16"/>
                <w:szCs w:val="16"/>
                <w:b w:val="1"/>
                <w:bCs w:val="1"/>
                <w:color w:val="auto"/>
              </w:rPr>
              <w:t>17,929</w:t>
            </w:r>
          </w:p>
        </w:tc>
        <w:tc>
          <w:tcPr>
            <w:tcW w:w="6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117,026</w:t>
            </w:r>
          </w:p>
        </w:tc>
        <w:tc>
          <w:tcPr>
            <w:tcW w:w="0" w:type="dxa"/>
            <w:vAlign w:val="bottom"/>
          </w:tcPr>
          <w:p>
            <w:pPr>
              <w:spacing w:after="0"/>
              <w:rPr>
                <w:sz w:val="1"/>
                <w:szCs w:val="1"/>
                <w:color w:val="auto"/>
              </w:rPr>
            </w:pPr>
          </w:p>
        </w:tc>
      </w:tr>
      <w:tr>
        <w:trPr>
          <w:trHeight w:val="196"/>
        </w:trPr>
        <w:tc>
          <w:tcPr>
            <w:tcW w:w="5680" w:type="dxa"/>
            <w:vAlign w:val="bottom"/>
          </w:tcPr>
          <w:p>
            <w:pPr>
              <w:ind w:left="20"/>
              <w:spacing w:after="0"/>
              <w:rPr>
                <w:sz w:val="20"/>
                <w:szCs w:val="20"/>
                <w:color w:val="auto"/>
              </w:rPr>
            </w:pPr>
            <w:r>
              <w:rPr>
                <w:rFonts w:ascii="Arial" w:cs="Arial" w:eastAsia="Arial" w:hAnsi="Arial"/>
                <w:sz w:val="16"/>
                <w:szCs w:val="16"/>
                <w:color w:val="auto"/>
              </w:rPr>
              <w:t>Less: Net losses (gains) in earnings from marketable equity securities sold</w:t>
            </w:r>
          </w:p>
        </w:tc>
        <w:tc>
          <w:tcPr>
            <w:tcW w:w="280" w:type="dxa"/>
            <w:vAlign w:val="bottom"/>
          </w:tcPr>
          <w:p>
            <w:pPr>
              <w:spacing w:after="0"/>
              <w:rPr>
                <w:sz w:val="17"/>
                <w:szCs w:val="17"/>
                <w:color w:val="auto"/>
              </w:rPr>
            </w:pPr>
          </w:p>
        </w:tc>
        <w:tc>
          <w:tcPr>
            <w:tcW w:w="1000" w:type="dxa"/>
            <w:vAlign w:val="bottom"/>
            <w:vMerge w:val="restart"/>
          </w:tcPr>
          <w:p>
            <w:pPr>
              <w:jc w:val="right"/>
              <w:ind w:right="64"/>
              <w:spacing w:after="0"/>
              <w:rPr>
                <w:sz w:val="20"/>
                <w:szCs w:val="20"/>
                <w:color w:val="auto"/>
              </w:rPr>
            </w:pPr>
            <w:r>
              <w:rPr>
                <w:rFonts w:ascii="Arial" w:cs="Arial" w:eastAsia="Arial" w:hAnsi="Arial"/>
                <w:sz w:val="16"/>
                <w:szCs w:val="16"/>
                <w:b w:val="1"/>
                <w:bCs w:val="1"/>
                <w:color w:val="auto"/>
              </w:rPr>
              <w:t>13,589</w:t>
            </w: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vMerge w:val="restart"/>
          </w:tcPr>
          <w:p>
            <w:pPr>
              <w:jc w:val="right"/>
              <w:ind w:right="24"/>
              <w:spacing w:after="0"/>
              <w:rPr>
                <w:sz w:val="20"/>
                <w:szCs w:val="20"/>
                <w:color w:val="auto"/>
              </w:rPr>
            </w:pPr>
            <w:r>
              <w:rPr>
                <w:rFonts w:ascii="Arial" w:cs="Arial" w:eastAsia="Arial" w:hAnsi="Arial"/>
                <w:sz w:val="16"/>
                <w:szCs w:val="16"/>
                <w:b w:val="1"/>
                <w:bCs w:val="1"/>
                <w:color w:val="auto"/>
              </w:rPr>
              <w:t>11,178</w:t>
            </w:r>
          </w:p>
        </w:tc>
        <w:tc>
          <w:tcPr>
            <w:tcW w:w="6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680" w:type="dxa"/>
            <w:vAlign w:val="bottom"/>
          </w:tcPr>
          <w:p>
            <w:pPr>
              <w:ind w:left="180"/>
              <w:spacing w:after="0"/>
              <w:rPr>
                <w:sz w:val="20"/>
                <w:szCs w:val="20"/>
                <w:color w:val="auto"/>
              </w:rPr>
            </w:pPr>
            <w:r>
              <w:rPr>
                <w:rFonts w:ascii="Arial" w:cs="Arial" w:eastAsia="Arial" w:hAnsi="Arial"/>
                <w:sz w:val="16"/>
                <w:szCs w:val="16"/>
                <w:color w:val="auto"/>
              </w:rPr>
              <w:t>and donated</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(25)</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75"/>
        </w:trPr>
        <w:tc>
          <w:tcPr>
            <w:tcW w:w="5680" w:type="dxa"/>
            <w:vAlign w:val="bottom"/>
          </w:tcPr>
          <w:p>
            <w:pPr>
              <w:ind w:left="20"/>
              <w:spacing w:after="0" w:line="175" w:lineRule="exact"/>
              <w:rPr>
                <w:sz w:val="20"/>
                <w:szCs w:val="20"/>
                <w:color w:val="auto"/>
              </w:rPr>
            </w:pPr>
            <w:r>
              <w:rPr>
                <w:rFonts w:ascii="Arial" w:cs="Arial" w:eastAsia="Arial" w:hAnsi="Arial"/>
                <w:sz w:val="16"/>
                <w:szCs w:val="16"/>
                <w:b w:val="1"/>
                <w:bCs w:val="1"/>
                <w:color w:val="auto"/>
              </w:rPr>
              <w:t>Net unrealized (losses) gains in earnings from marketable equity</w:t>
            </w:r>
          </w:p>
        </w:tc>
        <w:tc>
          <w:tcPr>
            <w:tcW w:w="28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00" w:type="dxa"/>
            <w:vAlign w:val="bottom"/>
            <w:vMerge w:val="restart"/>
          </w:tcPr>
          <w:p>
            <w:pPr>
              <w:jc w:val="right"/>
              <w:ind w:right="24"/>
              <w:spacing w:after="0"/>
              <w:rPr>
                <w:sz w:val="20"/>
                <w:szCs w:val="20"/>
                <w:color w:val="auto"/>
              </w:rPr>
            </w:pPr>
            <w:r>
              <w:rPr>
                <w:rFonts w:ascii="Arial" w:cs="Arial" w:eastAsia="Arial" w:hAnsi="Arial"/>
                <w:sz w:val="16"/>
                <w:szCs w:val="16"/>
                <w:b w:val="1"/>
                <w:bCs w:val="1"/>
                <w:color w:val="auto"/>
              </w:rPr>
              <w:t>(1,438)</w:t>
            </w:r>
          </w:p>
        </w:tc>
        <w:tc>
          <w:tcPr>
            <w:tcW w:w="520" w:type="dxa"/>
            <w:vAlign w:val="bottom"/>
            <w:vMerge w:val="restart"/>
          </w:tcPr>
          <w:p>
            <w:pPr>
              <w:jc w:val="right"/>
              <w:ind w:right="259"/>
              <w:spacing w:after="0"/>
              <w:rPr>
                <w:sz w:val="20"/>
                <w:szCs w:val="20"/>
                <w:color w:val="auto"/>
              </w:rPr>
            </w:pPr>
            <w:r>
              <w:rPr>
                <w:rFonts w:ascii="Arial" w:cs="Arial" w:eastAsia="Arial" w:hAnsi="Arial"/>
                <w:sz w:val="16"/>
                <w:szCs w:val="16"/>
                <w:color w:val="auto"/>
              </w:rPr>
              <w:t>$</w:t>
            </w:r>
          </w:p>
        </w:tc>
        <w:tc>
          <w:tcPr>
            <w:tcW w:w="860" w:type="dxa"/>
            <w:vAlign w:val="bottom"/>
            <w:vMerge w:val="restart"/>
          </w:tcPr>
          <w:p>
            <w:pPr>
              <w:jc w:val="right"/>
              <w:ind w:right="41"/>
              <w:spacing w:after="0"/>
              <w:rPr>
                <w:sz w:val="20"/>
                <w:szCs w:val="20"/>
                <w:color w:val="auto"/>
              </w:rPr>
            </w:pPr>
            <w:r>
              <w:rPr>
                <w:rFonts w:ascii="Arial" w:cs="Arial" w:eastAsia="Arial" w:hAnsi="Arial"/>
                <w:sz w:val="16"/>
                <w:szCs w:val="16"/>
                <w:color w:val="auto"/>
              </w:rPr>
              <w:t>84,743</w:t>
            </w:r>
          </w:p>
        </w:tc>
        <w:tc>
          <w:tcPr>
            <w:tcW w:w="38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vMerge w:val="restart"/>
          </w:tcPr>
          <w:p>
            <w:pPr>
              <w:jc w:val="right"/>
              <w:ind w:right="24"/>
              <w:spacing w:after="0"/>
              <w:rPr>
                <w:sz w:val="20"/>
                <w:szCs w:val="20"/>
                <w:color w:val="auto"/>
              </w:rPr>
            </w:pPr>
            <w:r>
              <w:rPr>
                <w:rFonts w:ascii="Arial" w:cs="Arial" w:eastAsia="Arial" w:hAnsi="Arial"/>
                <w:sz w:val="16"/>
                <w:szCs w:val="16"/>
                <w:b w:val="1"/>
                <w:bCs w:val="1"/>
                <w:color w:val="auto"/>
              </w:rPr>
              <w:t>29,107</w:t>
            </w:r>
          </w:p>
        </w:tc>
        <w:tc>
          <w:tcPr>
            <w:tcW w:w="600" w:type="dxa"/>
            <w:vAlign w:val="bottom"/>
            <w:vMerge w:val="restart"/>
          </w:tcPr>
          <w:p>
            <w:pPr>
              <w:jc w:val="right"/>
              <w:ind w:right="299"/>
              <w:spacing w:after="0"/>
              <w:rPr>
                <w:sz w:val="20"/>
                <w:szCs w:val="20"/>
                <w:color w:val="auto"/>
              </w:rPr>
            </w:pPr>
            <w:r>
              <w:rPr>
                <w:rFonts w:ascii="Arial" w:cs="Arial" w:eastAsia="Arial" w:hAnsi="Arial"/>
                <w:sz w:val="16"/>
                <w:szCs w:val="16"/>
                <w:color w:val="auto"/>
              </w:rPr>
              <w:t>$</w:t>
            </w:r>
          </w:p>
        </w:tc>
        <w:tc>
          <w:tcPr>
            <w:tcW w:w="880" w:type="dxa"/>
            <w:vAlign w:val="bottom"/>
            <w:vMerge w:val="restart"/>
          </w:tcPr>
          <w:p>
            <w:pPr>
              <w:jc w:val="right"/>
              <w:ind w:right="1"/>
              <w:spacing w:after="0"/>
              <w:rPr>
                <w:sz w:val="20"/>
                <w:szCs w:val="20"/>
                <w:color w:val="auto"/>
              </w:rPr>
            </w:pPr>
            <w:r>
              <w:rPr>
                <w:rFonts w:ascii="Arial" w:cs="Arial" w:eastAsia="Arial" w:hAnsi="Arial"/>
                <w:sz w:val="16"/>
                <w:szCs w:val="16"/>
                <w:color w:val="auto"/>
              </w:rPr>
              <w:t>117,001</w:t>
            </w:r>
          </w:p>
        </w:tc>
        <w:tc>
          <w:tcPr>
            <w:tcW w:w="0" w:type="dxa"/>
            <w:vAlign w:val="bottom"/>
          </w:tcPr>
          <w:p>
            <w:pPr>
              <w:spacing w:after="0"/>
              <w:rPr>
                <w:sz w:val="1"/>
                <w:szCs w:val="1"/>
                <w:color w:val="auto"/>
              </w:rPr>
            </w:pPr>
          </w:p>
        </w:tc>
      </w:tr>
      <w:tr>
        <w:trPr>
          <w:trHeight w:val="208"/>
        </w:trPr>
        <w:tc>
          <w:tcPr>
            <w:tcW w:w="5680" w:type="dxa"/>
            <w:vAlign w:val="bottom"/>
          </w:tcPr>
          <w:p>
            <w:pPr>
              <w:ind w:left="180"/>
              <w:spacing w:after="0"/>
              <w:rPr>
                <w:sz w:val="20"/>
                <w:szCs w:val="20"/>
                <w:color w:val="auto"/>
              </w:rPr>
            </w:pPr>
            <w:r>
              <w:rPr>
                <w:rFonts w:ascii="Arial" w:cs="Arial" w:eastAsia="Arial" w:hAnsi="Arial"/>
                <w:sz w:val="16"/>
                <w:szCs w:val="16"/>
                <w:b w:val="1"/>
                <w:bCs w:val="1"/>
                <w:color w:val="auto"/>
              </w:rPr>
              <w:t>securities still held at the end of the period</w:t>
            </w:r>
          </w:p>
        </w:tc>
        <w:tc>
          <w:tcPr>
            <w:tcW w:w="280" w:type="dxa"/>
            <w:vAlign w:val="bottom"/>
            <w:tcBorders>
              <w:bottom w:val="single" w:sz="8" w:color="auto"/>
            </w:tcBorders>
            <w:vMerge w:val="continue"/>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520" w:type="dxa"/>
            <w:vAlign w:val="bottom"/>
            <w:tcBorders>
              <w:bottom w:val="single" w:sz="8" w:color="auto"/>
            </w:tcBorders>
            <w:vMerge w:val="continue"/>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380" w:type="dxa"/>
            <w:vAlign w:val="bottom"/>
            <w:tcBorders>
              <w:bottom w:val="single" w:sz="8" w:color="auto"/>
            </w:tcBorders>
            <w:vMerge w:val="continue"/>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ind w:right="180"/>
        <w:spacing w:after="0" w:line="245" w:lineRule="auto"/>
        <w:rPr>
          <w:sz w:val="20"/>
          <w:szCs w:val="20"/>
          <w:color w:val="auto"/>
        </w:rPr>
      </w:pPr>
      <w:r>
        <w:rPr>
          <w:rFonts w:ascii="Arial" w:cs="Arial" w:eastAsia="Arial" w:hAnsi="Arial"/>
          <w:sz w:val="18"/>
          <w:szCs w:val="18"/>
          <w:b w:val="1"/>
          <w:bCs w:val="1"/>
          <w:color w:val="auto"/>
        </w:rPr>
        <w:t xml:space="preserve">Investments in Affiliates. </w:t>
      </w:r>
      <w:r>
        <w:rPr>
          <w:rFonts w:ascii="Arial" w:cs="Arial" w:eastAsia="Arial" w:hAnsi="Arial"/>
          <w:sz w:val="18"/>
          <w:szCs w:val="18"/>
          <w:color w:val="auto"/>
        </w:rPr>
        <w:t>As of September 30, 2026, the Company’s healthcare subsidiary held investments in several affiliates that GHG</w:t>
      </w:r>
      <w:r>
        <w:rPr>
          <w:rFonts w:ascii="Arial" w:cs="Arial" w:eastAsia="Arial" w:hAnsi="Arial"/>
          <w:sz w:val="18"/>
          <w:szCs w:val="18"/>
          <w:b w:val="1"/>
          <w:bCs w:val="1"/>
          <w:color w:val="auto"/>
        </w:rPr>
        <w:t xml:space="preserve"> </w:t>
      </w:r>
      <w:r>
        <w:rPr>
          <w:rFonts w:ascii="Arial" w:cs="Arial" w:eastAsia="Arial" w:hAnsi="Arial"/>
          <w:sz w:val="18"/>
          <w:szCs w:val="18"/>
          <w:color w:val="auto"/>
        </w:rPr>
        <w:t>actively manages; GHG held a 40% interest in each of the following affiliates: Residential Home Health Illinois, Residential Hospice Illinois,</w:t>
      </w:r>
    </w:p>
    <w:p>
      <w:pPr>
        <w:ind w:right="40"/>
        <w:spacing w:after="0" w:line="226" w:lineRule="auto"/>
        <w:rPr>
          <w:sz w:val="20"/>
          <w:szCs w:val="20"/>
          <w:color w:val="auto"/>
        </w:rPr>
      </w:pPr>
      <w:r>
        <w:rPr>
          <w:rFonts w:ascii="Arial" w:cs="Arial" w:eastAsia="Arial" w:hAnsi="Arial"/>
          <w:sz w:val="18"/>
          <w:szCs w:val="18"/>
          <w:color w:val="auto"/>
        </w:rPr>
        <w:t>Mary Free Bed at Home, and Allegheny Health Network Healthcare at Home. For the three and nine months ended September 30, 2026, the Company recorded $4.4 million and $12.8 million, respectively, in revenue for services provided to the affiliates of GHG. For the three and</w:t>
      </w:r>
    </w:p>
    <w:p>
      <w:pPr>
        <w:spacing w:after="0" w:line="2"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nine months ended September 30, 2025, the Company recorded $4.2 million and $12.1 million, respectively, in revenue for services provided to the affiliates of GHG.</w:t>
      </w:r>
    </w:p>
    <w:p>
      <w:pPr>
        <w:spacing w:after="0" w:line="104"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As of September 30, 2026, the Company held a 50.6%, 41.5% and 25.6% interest in N2K Networks, Realm and Intersection, respectively, on a fully diluted basis, and accounts for these investments under the equity method. The Company holds two of the five seats of N2K Networks’</w:t>
      </w:r>
    </w:p>
    <w:p>
      <w:pPr>
        <w:spacing w:after="0" w:line="226" w:lineRule="auto"/>
        <w:rPr>
          <w:sz w:val="20"/>
          <w:szCs w:val="20"/>
          <w:color w:val="auto"/>
        </w:rPr>
      </w:pPr>
      <w:r>
        <w:rPr>
          <w:rFonts w:ascii="Arial" w:cs="Arial" w:eastAsia="Arial" w:hAnsi="Arial"/>
          <w:sz w:val="18"/>
          <w:szCs w:val="18"/>
          <w:color w:val="auto"/>
        </w:rPr>
        <w:t>governing board with the other shareholders retaining substantive participation rights to control the financial and operating decisions of N2K Networks through representation on the board. In May 2024, the Company entered into a convertible promissory note agreement to loan N2K</w:t>
      </w:r>
    </w:p>
    <w:p>
      <w:pPr>
        <w:spacing w:after="0" w:line="2" w:lineRule="exact"/>
        <w:rPr>
          <w:sz w:val="20"/>
          <w:szCs w:val="20"/>
          <w:color w:val="auto"/>
        </w:rPr>
      </w:pPr>
    </w:p>
    <w:p>
      <w:pPr>
        <w:ind w:right="220"/>
        <w:spacing w:after="0" w:line="250" w:lineRule="auto"/>
        <w:rPr>
          <w:sz w:val="20"/>
          <w:szCs w:val="20"/>
          <w:color w:val="auto"/>
        </w:rPr>
      </w:pPr>
      <w:r>
        <w:rPr>
          <w:rFonts w:ascii="Arial" w:cs="Arial" w:eastAsia="Arial" w:hAnsi="Arial"/>
          <w:sz w:val="18"/>
          <w:szCs w:val="18"/>
          <w:color w:val="auto"/>
        </w:rPr>
        <w:t>Networks $2.0 million. The convertible promissory note bears interest at a rate of 12% per annum and, subject to conversion provisions, all unpaid interest and principal are due on or after May 28, 2027.</w:t>
      </w:r>
    </w:p>
    <w:p>
      <w:pPr>
        <w:spacing w:after="0" w:line="104"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In the third quarter of 2026, the Company recorded an impairment charge of $0.5 million on one of its investments in affiliates. In the second quarter of 2026, the Company recorded an impairment charge of $5.8 million on its investment in Realm following a reduction in the investee’s current and expected growth.</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In September 2025, the Company invested an additional $29.3 million in Intersection. Intersection used a portion of the additional investment</w:t>
      </w:r>
    </w:p>
    <w:p>
      <w:pPr>
        <w:spacing w:after="0" w:line="14" w:lineRule="exact"/>
        <w:rPr>
          <w:sz w:val="20"/>
          <w:szCs w:val="20"/>
          <w:color w:val="auto"/>
        </w:rPr>
      </w:pPr>
    </w:p>
    <w:p>
      <w:pPr>
        <w:ind w:right="300"/>
        <w:spacing w:after="0" w:line="237" w:lineRule="auto"/>
        <w:rPr>
          <w:sz w:val="20"/>
          <w:szCs w:val="20"/>
          <w:color w:val="auto"/>
        </w:rPr>
      </w:pPr>
      <w:r>
        <w:rPr>
          <w:rFonts w:ascii="Arial" w:cs="Arial" w:eastAsia="Arial" w:hAnsi="Arial"/>
          <w:sz w:val="18"/>
          <w:szCs w:val="18"/>
          <w:color w:val="auto"/>
        </w:rPr>
        <w:t>to settle, in a non-cash exchange, $19.3 million of the outstanding amount owed to the Company on the $30 million term loan extended in April 2023. Following the additional investment, the Company recognized a gain of $18.6 million in equity earnings.</w:t>
      </w:r>
    </w:p>
    <w:p>
      <w:pPr>
        <w:spacing w:after="0" w:line="127" w:lineRule="exact"/>
        <w:rPr>
          <w:sz w:val="20"/>
          <w:szCs w:val="20"/>
          <w:color w:val="auto"/>
        </w:rPr>
      </w:pPr>
    </w:p>
    <w:p>
      <w:pPr>
        <w:ind w:right="980"/>
        <w:spacing w:after="0" w:line="271" w:lineRule="auto"/>
        <w:rPr>
          <w:sz w:val="20"/>
          <w:szCs w:val="20"/>
          <w:color w:val="auto"/>
        </w:rPr>
      </w:pPr>
      <w:r>
        <w:rPr>
          <w:rFonts w:ascii="Arial" w:cs="Arial" w:eastAsia="Arial" w:hAnsi="Arial"/>
          <w:sz w:val="18"/>
          <w:szCs w:val="18"/>
          <w:color w:val="auto"/>
        </w:rPr>
        <w:t>The Company had $24.9 million and $30.0 million in its investment account that represents cumulative undistributed income in its investments in affiliates as of September 30, 2026 and December 31, 2025, respectively.</w:t>
      </w:r>
    </w:p>
    <w:p>
      <w:pPr>
        <w:spacing w:after="0" w:line="86"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Additionally, Kaplan International Holdings Limited (KIHL) held a 45% interest in a joint venture formed with University of York. KIHL loaned the joint venture £22 million, which is repayable over 25 years at an interest rate of 7% and guaranteed by the University of York. The outstanding balance on this loan was £18.2 million as of September 30, 2026. The loan is repayable by December 2041.</w:t>
      </w:r>
    </w:p>
    <w:p>
      <w:pPr>
        <w:spacing w:after="0" w:line="101" w:lineRule="exact"/>
        <w:rPr>
          <w:sz w:val="20"/>
          <w:szCs w:val="20"/>
          <w:color w:val="auto"/>
        </w:rPr>
      </w:pPr>
    </w:p>
    <w:p>
      <w:pPr>
        <w:ind w:right="60"/>
        <w:spacing w:after="0" w:line="245" w:lineRule="auto"/>
        <w:rPr>
          <w:sz w:val="20"/>
          <w:szCs w:val="20"/>
          <w:color w:val="auto"/>
        </w:rPr>
      </w:pPr>
      <w:r>
        <w:rPr>
          <w:rFonts w:ascii="Arial" w:cs="Arial" w:eastAsia="Arial" w:hAnsi="Arial"/>
          <w:sz w:val="18"/>
          <w:szCs w:val="18"/>
          <w:b w:val="1"/>
          <w:bCs w:val="1"/>
          <w:color w:val="auto"/>
        </w:rPr>
        <w:t xml:space="preserve">Cost Method Investments. </w:t>
      </w:r>
      <w:r>
        <w:rPr>
          <w:rFonts w:ascii="Arial" w:cs="Arial" w:eastAsia="Arial" w:hAnsi="Arial"/>
          <w:sz w:val="18"/>
          <w:szCs w:val="18"/>
          <w:color w:val="auto"/>
        </w:rPr>
        <w:t>The Company held investments without readily determinable fair values in a number of equity securities that are</w:t>
      </w:r>
      <w:r>
        <w:rPr>
          <w:rFonts w:ascii="Arial" w:cs="Arial" w:eastAsia="Arial" w:hAnsi="Arial"/>
          <w:sz w:val="18"/>
          <w:szCs w:val="18"/>
          <w:b w:val="1"/>
          <w:bCs w:val="1"/>
          <w:color w:val="auto"/>
        </w:rPr>
        <w:t xml:space="preserve"> </w:t>
      </w:r>
      <w:r>
        <w:rPr>
          <w:rFonts w:ascii="Arial" w:cs="Arial" w:eastAsia="Arial" w:hAnsi="Arial"/>
          <w:sz w:val="18"/>
          <w:szCs w:val="18"/>
          <w:color w:val="auto"/>
        </w:rPr>
        <w:t>accounted for as cost method investments, which are recorded at cost, less impairment, and adjusted for observable price changes for</w:t>
      </w:r>
    </w:p>
    <w:p>
      <w:pPr>
        <w:ind w:right="420"/>
        <w:spacing w:after="0"/>
        <w:rPr>
          <w:sz w:val="20"/>
          <w:szCs w:val="20"/>
          <w:color w:val="auto"/>
        </w:rPr>
      </w:pPr>
      <w:r>
        <w:rPr>
          <w:rFonts w:ascii="Arial" w:cs="Arial" w:eastAsia="Arial" w:hAnsi="Arial"/>
          <w:sz w:val="17"/>
          <w:szCs w:val="17"/>
          <w:color w:val="auto"/>
        </w:rPr>
        <w:t>identical or similar investments of the same issuer. The carrying value of these investments was $49.3 million and $49.4 million as of September 30, 2026 and December 31, 2025, respectively. During the three and nine months ended September 30, 2026, the Company</w:t>
      </w:r>
    </w:p>
    <w:p>
      <w:pPr>
        <w:spacing w:after="0" w:line="235" w:lineRule="auto"/>
        <w:rPr>
          <w:sz w:val="20"/>
          <w:szCs w:val="20"/>
          <w:color w:val="auto"/>
        </w:rPr>
      </w:pPr>
      <w:r>
        <w:rPr>
          <w:rFonts w:ascii="Arial" w:cs="Arial" w:eastAsia="Arial" w:hAnsi="Arial"/>
          <w:sz w:val="18"/>
          <w:szCs w:val="18"/>
          <w:color w:val="auto"/>
        </w:rPr>
        <w:t>recorded impairment losses of $0.1 million to equity securities that are accounted for as cost method investments. During the three and nine</w:t>
      </w:r>
    </w:p>
    <w:p>
      <w:pPr>
        <w:ind w:right="600"/>
        <w:spacing w:after="0" w:line="237" w:lineRule="auto"/>
        <w:rPr>
          <w:sz w:val="20"/>
          <w:szCs w:val="20"/>
          <w:color w:val="auto"/>
        </w:rPr>
      </w:pPr>
      <w:r>
        <w:rPr>
          <w:rFonts w:ascii="Arial" w:cs="Arial" w:eastAsia="Arial" w:hAnsi="Arial"/>
          <w:sz w:val="18"/>
          <w:szCs w:val="18"/>
          <w:color w:val="auto"/>
        </w:rPr>
        <w:t>months ended September 30, 2025, the Company recorded impairment losses of $1.5 million and $14.2 million, respectively, to equity securities that are accounted for as cost method investments.</w:t>
      </w:r>
    </w:p>
    <w:p>
      <w:pPr>
        <w:spacing w:after="0" w:line="127" w:lineRule="exact"/>
        <w:rPr>
          <w:sz w:val="20"/>
          <w:szCs w:val="20"/>
          <w:color w:val="auto"/>
        </w:rPr>
      </w:pPr>
    </w:p>
    <w:p>
      <w:pPr>
        <w:ind w:right="1400"/>
        <w:spacing w:after="0" w:line="459" w:lineRule="auto"/>
        <w:rPr>
          <w:sz w:val="20"/>
          <w:szCs w:val="20"/>
          <w:color w:val="auto"/>
        </w:rPr>
      </w:pPr>
      <w:r>
        <w:rPr>
          <w:rFonts w:ascii="Arial" w:cs="Arial" w:eastAsia="Arial" w:hAnsi="Arial"/>
          <w:sz w:val="18"/>
          <w:szCs w:val="18"/>
          <w:b w:val="1"/>
          <w:bCs w:val="1"/>
          <w:color w:val="auto"/>
        </w:rPr>
        <w:t xml:space="preserve">4. ACCOUNTS RECEIVABLE, ACCOUNTS PAYABLE, VEHICLE FLOOR PLAN PAYABLE AND ACCRUED LIABILITIES </w:t>
      </w:r>
      <w:r>
        <w:rPr>
          <w:rFonts w:ascii="Arial" w:cs="Arial" w:eastAsia="Arial" w:hAnsi="Arial"/>
          <w:sz w:val="18"/>
          <w:szCs w:val="18"/>
          <w:color w:val="auto"/>
        </w:rPr>
        <w:t>Accounts receivable consist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4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848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40" w:type="dxa"/>
            <w:vAlign w:val="bottom"/>
          </w:tcPr>
          <w:p>
            <w:pPr>
              <w:spacing w:after="0"/>
              <w:rPr>
                <w:sz w:val="15"/>
                <w:szCs w:val="15"/>
                <w:color w:val="auto"/>
              </w:rPr>
            </w:pPr>
          </w:p>
        </w:tc>
        <w:tc>
          <w:tcPr>
            <w:tcW w:w="1260" w:type="dxa"/>
            <w:vAlign w:val="bottom"/>
          </w:tcPr>
          <w:p>
            <w:pPr>
              <w:jc w:val="right"/>
              <w:ind w:right="144"/>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5"/>
                <w:szCs w:val="15"/>
                <w:color w:val="auto"/>
              </w:rPr>
            </w:pPr>
          </w:p>
        </w:tc>
        <w:tc>
          <w:tcPr>
            <w:tcW w:w="1140" w:type="dxa"/>
            <w:vAlign w:val="bottom"/>
          </w:tcPr>
          <w:p>
            <w:pPr>
              <w:jc w:val="right"/>
              <w:ind w:right="103"/>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97"/>
        </w:trPr>
        <w:tc>
          <w:tcPr>
            <w:tcW w:w="848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2026</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color w:val="auto"/>
              </w:rPr>
              <w:t>2025</w:t>
            </w:r>
          </w:p>
        </w:tc>
        <w:tc>
          <w:tcPr>
            <w:tcW w:w="0" w:type="dxa"/>
            <w:vAlign w:val="bottom"/>
          </w:tcPr>
          <w:p>
            <w:pPr>
              <w:spacing w:after="0"/>
              <w:rPr>
                <w:sz w:val="1"/>
                <w:szCs w:val="1"/>
                <w:color w:val="auto"/>
              </w:rPr>
            </w:pPr>
          </w:p>
        </w:tc>
      </w:tr>
      <w:tr>
        <w:trPr>
          <w:trHeight w:val="230"/>
        </w:trPr>
        <w:tc>
          <w:tcPr>
            <w:tcW w:w="8480" w:type="dxa"/>
            <w:vAlign w:val="bottom"/>
          </w:tcPr>
          <w:p>
            <w:pPr>
              <w:ind w:left="20"/>
              <w:spacing w:after="0"/>
              <w:rPr>
                <w:sz w:val="20"/>
                <w:szCs w:val="20"/>
                <w:color w:val="auto"/>
              </w:rPr>
            </w:pPr>
            <w:r>
              <w:rPr>
                <w:rFonts w:ascii="Arial" w:cs="Arial" w:eastAsia="Arial" w:hAnsi="Arial"/>
                <w:sz w:val="16"/>
                <w:szCs w:val="16"/>
                <w:color w:val="auto"/>
              </w:rPr>
              <w:t>Receivables from contracts with customers, less estimated credit losses of $26,193 and $23,164</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Pr>
          <w:p>
            <w:pPr>
              <w:jc w:val="right"/>
              <w:ind w:right="24"/>
              <w:spacing w:after="0"/>
              <w:rPr>
                <w:sz w:val="20"/>
                <w:szCs w:val="20"/>
                <w:color w:val="auto"/>
              </w:rPr>
            </w:pPr>
            <w:r>
              <w:rPr>
                <w:rFonts w:ascii="Arial" w:cs="Arial" w:eastAsia="Arial" w:hAnsi="Arial"/>
                <w:sz w:val="16"/>
                <w:szCs w:val="16"/>
                <w:b w:val="1"/>
                <w:bCs w:val="1"/>
                <w:color w:val="auto"/>
              </w:rPr>
              <w:t>492,180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
              <w:spacing w:after="0"/>
              <w:rPr>
                <w:sz w:val="20"/>
                <w:szCs w:val="20"/>
                <w:color w:val="auto"/>
              </w:rPr>
            </w:pPr>
            <w:r>
              <w:rPr>
                <w:rFonts w:ascii="Arial" w:cs="Arial" w:eastAsia="Arial" w:hAnsi="Arial"/>
                <w:sz w:val="16"/>
                <w:szCs w:val="16"/>
                <w:color w:val="auto"/>
              </w:rPr>
              <w:t>519,068</w:t>
            </w:r>
          </w:p>
        </w:tc>
        <w:tc>
          <w:tcPr>
            <w:tcW w:w="0" w:type="dxa"/>
            <w:vAlign w:val="bottom"/>
          </w:tcPr>
          <w:p>
            <w:pPr>
              <w:spacing w:after="0"/>
              <w:rPr>
                <w:sz w:val="1"/>
                <w:szCs w:val="1"/>
                <w:color w:val="auto"/>
              </w:rPr>
            </w:pPr>
          </w:p>
        </w:tc>
      </w:tr>
      <w:tr>
        <w:trPr>
          <w:trHeight w:val="247"/>
        </w:trPr>
        <w:tc>
          <w:tcPr>
            <w:tcW w:w="8480" w:type="dxa"/>
            <w:vAlign w:val="bottom"/>
          </w:tcPr>
          <w:p>
            <w:pPr>
              <w:ind w:left="20"/>
              <w:spacing w:after="0"/>
              <w:rPr>
                <w:sz w:val="20"/>
                <w:szCs w:val="20"/>
                <w:color w:val="auto"/>
              </w:rPr>
            </w:pPr>
            <w:r>
              <w:rPr>
                <w:rFonts w:ascii="Arial" w:cs="Arial" w:eastAsia="Arial" w:hAnsi="Arial"/>
                <w:sz w:val="16"/>
                <w:szCs w:val="16"/>
                <w:color w:val="auto"/>
              </w:rPr>
              <w:t>Other receivables</w:t>
            </w:r>
          </w:p>
        </w:tc>
        <w:tc>
          <w:tcPr>
            <w:tcW w:w="1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b w:val="1"/>
                <w:bCs w:val="1"/>
                <w:color w:val="auto"/>
              </w:rPr>
              <w:t>45,471</w:t>
            </w: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57,686</w:t>
            </w:r>
          </w:p>
        </w:tc>
        <w:tc>
          <w:tcPr>
            <w:tcW w:w="0" w:type="dxa"/>
            <w:vAlign w:val="bottom"/>
          </w:tcPr>
          <w:p>
            <w:pPr>
              <w:spacing w:after="0"/>
              <w:rPr>
                <w:sz w:val="1"/>
                <w:szCs w:val="1"/>
                <w:color w:val="auto"/>
              </w:rPr>
            </w:pPr>
          </w:p>
        </w:tc>
      </w:tr>
      <w:tr>
        <w:trPr>
          <w:trHeight w:val="236"/>
        </w:trPr>
        <w:tc>
          <w:tcPr>
            <w:tcW w:w="848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b w:val="1"/>
                <w:bCs w:val="1"/>
                <w:color w:val="auto"/>
              </w:rPr>
              <w:t>537,651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576,754</w:t>
            </w:r>
          </w:p>
        </w:tc>
        <w:tc>
          <w:tcPr>
            <w:tcW w:w="0" w:type="dxa"/>
            <w:vAlign w:val="bottom"/>
          </w:tcPr>
          <w:p>
            <w:pPr>
              <w:spacing w:after="0"/>
              <w:rPr>
                <w:sz w:val="1"/>
                <w:szCs w:val="1"/>
                <w:color w:val="auto"/>
              </w:rPr>
            </w:pPr>
          </w:p>
        </w:tc>
      </w:tr>
      <w:tr>
        <w:trPr>
          <w:trHeight w:val="24"/>
        </w:trPr>
        <w:tc>
          <w:tcPr>
            <w:tcW w:w="84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5" w:name="page16"/>
    <w:bookmarkEnd w:id="15"/>
    <w:p>
      <w:pPr>
        <w:ind w:right="340"/>
        <w:spacing w:after="0" w:line="271" w:lineRule="auto"/>
        <w:rPr>
          <w:sz w:val="20"/>
          <w:szCs w:val="20"/>
          <w:color w:val="auto"/>
        </w:rPr>
      </w:pPr>
      <w:r>
        <w:rPr>
          <w:rFonts w:ascii="Arial" w:cs="Arial" w:eastAsia="Arial" w:hAnsi="Arial"/>
          <w:sz w:val="18"/>
          <w:szCs w:val="18"/>
          <w:color w:val="auto"/>
        </w:rPr>
        <w:t>Credit loss expense was $1.7 million and $0.8 million for the three months ended September 30, 2026 and 2025, respectively. Credit loss expense was $4.7 million and $2.9 million for the nine months ended September 30, 2026 and 2025, respectively.</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vehicle floor plan payable and accrued liabilities consist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4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848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40" w:type="dxa"/>
            <w:vAlign w:val="bottom"/>
          </w:tcPr>
          <w:p>
            <w:pPr>
              <w:spacing w:after="0"/>
              <w:rPr>
                <w:sz w:val="15"/>
                <w:szCs w:val="15"/>
                <w:color w:val="auto"/>
              </w:rPr>
            </w:pPr>
          </w:p>
        </w:tc>
        <w:tc>
          <w:tcPr>
            <w:tcW w:w="1260" w:type="dxa"/>
            <w:vAlign w:val="bottom"/>
          </w:tcPr>
          <w:p>
            <w:pPr>
              <w:jc w:val="right"/>
              <w:ind w:right="142"/>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5"/>
                <w:szCs w:val="15"/>
                <w:color w:val="auto"/>
              </w:rPr>
            </w:pPr>
          </w:p>
        </w:tc>
        <w:tc>
          <w:tcPr>
            <w:tcW w:w="1140" w:type="dxa"/>
            <w:vAlign w:val="bottom"/>
          </w:tcPr>
          <w:p>
            <w:pPr>
              <w:jc w:val="right"/>
              <w:ind w:right="102"/>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97"/>
        </w:trPr>
        <w:tc>
          <w:tcPr>
            <w:tcW w:w="848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2026</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color w:val="auto"/>
              </w:rPr>
              <w:t>2025</w:t>
            </w:r>
          </w:p>
        </w:tc>
        <w:tc>
          <w:tcPr>
            <w:tcW w:w="0" w:type="dxa"/>
            <w:vAlign w:val="bottom"/>
          </w:tcPr>
          <w:p>
            <w:pPr>
              <w:spacing w:after="0"/>
              <w:rPr>
                <w:sz w:val="1"/>
                <w:szCs w:val="1"/>
                <w:color w:val="auto"/>
              </w:rPr>
            </w:pPr>
          </w:p>
        </w:tc>
      </w:tr>
      <w:tr>
        <w:trPr>
          <w:trHeight w:val="230"/>
        </w:trPr>
        <w:tc>
          <w:tcPr>
            <w:tcW w:w="8480" w:type="dxa"/>
            <w:vAlign w:val="bottom"/>
          </w:tcPr>
          <w:p>
            <w:pPr>
              <w:ind w:left="20"/>
              <w:spacing w:after="0"/>
              <w:rPr>
                <w:sz w:val="20"/>
                <w:szCs w:val="20"/>
                <w:color w:val="auto"/>
              </w:rPr>
            </w:pPr>
            <w:r>
              <w:rPr>
                <w:rFonts w:ascii="Arial" w:cs="Arial" w:eastAsia="Arial" w:hAnsi="Arial"/>
                <w:sz w:val="16"/>
                <w:szCs w:val="16"/>
                <w:color w:val="auto"/>
              </w:rPr>
              <w:t>Accounts payable</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Pr>
          <w:p>
            <w:pPr>
              <w:jc w:val="right"/>
              <w:ind w:right="22"/>
              <w:spacing w:after="0"/>
              <w:rPr>
                <w:sz w:val="20"/>
                <w:szCs w:val="20"/>
                <w:color w:val="auto"/>
              </w:rPr>
            </w:pPr>
            <w:r>
              <w:rPr>
                <w:rFonts w:ascii="Arial" w:cs="Arial" w:eastAsia="Arial" w:hAnsi="Arial"/>
                <w:sz w:val="16"/>
                <w:szCs w:val="16"/>
                <w:b w:val="1"/>
                <w:bCs w:val="1"/>
                <w:color w:val="auto"/>
              </w:rPr>
              <w:t>176,357</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181,009</w:t>
            </w:r>
          </w:p>
        </w:tc>
        <w:tc>
          <w:tcPr>
            <w:tcW w:w="0" w:type="dxa"/>
            <w:vAlign w:val="bottom"/>
          </w:tcPr>
          <w:p>
            <w:pPr>
              <w:spacing w:after="0"/>
              <w:rPr>
                <w:sz w:val="1"/>
                <w:szCs w:val="1"/>
                <w:color w:val="auto"/>
              </w:rPr>
            </w:pPr>
          </w:p>
        </w:tc>
      </w:tr>
      <w:tr>
        <w:trPr>
          <w:trHeight w:val="243"/>
        </w:trPr>
        <w:tc>
          <w:tcPr>
            <w:tcW w:w="8480" w:type="dxa"/>
            <w:vAlign w:val="bottom"/>
          </w:tcPr>
          <w:p>
            <w:pPr>
              <w:ind w:left="20"/>
              <w:spacing w:after="0"/>
              <w:rPr>
                <w:sz w:val="20"/>
                <w:szCs w:val="20"/>
                <w:color w:val="auto"/>
              </w:rPr>
            </w:pPr>
            <w:r>
              <w:rPr>
                <w:rFonts w:ascii="Arial" w:cs="Arial" w:eastAsia="Arial" w:hAnsi="Arial"/>
                <w:sz w:val="16"/>
                <w:szCs w:val="16"/>
                <w:color w:val="auto"/>
              </w:rPr>
              <w:t>Vehicle floor plan payable</w:t>
            </w:r>
          </w:p>
        </w:tc>
        <w:tc>
          <w:tcPr>
            <w:tcW w:w="140" w:type="dxa"/>
            <w:vAlign w:val="bottom"/>
          </w:tcPr>
          <w:p>
            <w:pPr>
              <w:spacing w:after="0"/>
              <w:rPr>
                <w:sz w:val="21"/>
                <w:szCs w:val="21"/>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b w:val="1"/>
                <w:bCs w:val="1"/>
                <w:color w:val="auto"/>
              </w:rPr>
              <w:t>123,822</w:t>
            </w:r>
          </w:p>
        </w:tc>
        <w:tc>
          <w:tcPr>
            <w:tcW w:w="220" w:type="dxa"/>
            <w:vAlign w:val="bottom"/>
          </w:tcPr>
          <w:p>
            <w:pPr>
              <w:spacing w:after="0"/>
              <w:rPr>
                <w:sz w:val="21"/>
                <w:szCs w:val="21"/>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118,959</w:t>
            </w:r>
          </w:p>
        </w:tc>
        <w:tc>
          <w:tcPr>
            <w:tcW w:w="0" w:type="dxa"/>
            <w:vAlign w:val="bottom"/>
          </w:tcPr>
          <w:p>
            <w:pPr>
              <w:spacing w:after="0"/>
              <w:rPr>
                <w:sz w:val="1"/>
                <w:szCs w:val="1"/>
                <w:color w:val="auto"/>
              </w:rPr>
            </w:pPr>
          </w:p>
        </w:tc>
      </w:tr>
      <w:tr>
        <w:trPr>
          <w:trHeight w:val="243"/>
        </w:trPr>
        <w:tc>
          <w:tcPr>
            <w:tcW w:w="8480" w:type="dxa"/>
            <w:vAlign w:val="bottom"/>
          </w:tcPr>
          <w:p>
            <w:pPr>
              <w:ind w:left="20"/>
              <w:spacing w:after="0"/>
              <w:rPr>
                <w:sz w:val="20"/>
                <w:szCs w:val="20"/>
                <w:color w:val="auto"/>
              </w:rPr>
            </w:pPr>
            <w:r>
              <w:rPr>
                <w:rFonts w:ascii="Arial" w:cs="Arial" w:eastAsia="Arial" w:hAnsi="Arial"/>
                <w:sz w:val="16"/>
                <w:szCs w:val="16"/>
                <w:color w:val="auto"/>
              </w:rPr>
              <w:t>Accrued compensation and related benefits</w:t>
            </w:r>
          </w:p>
        </w:tc>
        <w:tc>
          <w:tcPr>
            <w:tcW w:w="140" w:type="dxa"/>
            <w:vAlign w:val="bottom"/>
          </w:tcPr>
          <w:p>
            <w:pPr>
              <w:spacing w:after="0"/>
              <w:rPr>
                <w:sz w:val="21"/>
                <w:szCs w:val="21"/>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b w:val="1"/>
                <w:bCs w:val="1"/>
                <w:color w:val="auto"/>
              </w:rPr>
              <w:t>161,462</w:t>
            </w:r>
          </w:p>
        </w:tc>
        <w:tc>
          <w:tcPr>
            <w:tcW w:w="220" w:type="dxa"/>
            <w:vAlign w:val="bottom"/>
          </w:tcPr>
          <w:p>
            <w:pPr>
              <w:spacing w:after="0"/>
              <w:rPr>
                <w:sz w:val="21"/>
                <w:szCs w:val="21"/>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194,972</w:t>
            </w:r>
          </w:p>
        </w:tc>
        <w:tc>
          <w:tcPr>
            <w:tcW w:w="0" w:type="dxa"/>
            <w:vAlign w:val="bottom"/>
          </w:tcPr>
          <w:p>
            <w:pPr>
              <w:spacing w:after="0"/>
              <w:rPr>
                <w:sz w:val="1"/>
                <w:szCs w:val="1"/>
                <w:color w:val="auto"/>
              </w:rPr>
            </w:pPr>
          </w:p>
        </w:tc>
      </w:tr>
      <w:tr>
        <w:trPr>
          <w:trHeight w:val="247"/>
        </w:trPr>
        <w:tc>
          <w:tcPr>
            <w:tcW w:w="8480" w:type="dxa"/>
            <w:vAlign w:val="bottom"/>
          </w:tcPr>
          <w:p>
            <w:pPr>
              <w:ind w:left="20"/>
              <w:spacing w:after="0"/>
              <w:rPr>
                <w:sz w:val="20"/>
                <w:szCs w:val="20"/>
                <w:color w:val="auto"/>
              </w:rPr>
            </w:pPr>
            <w:r>
              <w:rPr>
                <w:rFonts w:ascii="Arial" w:cs="Arial" w:eastAsia="Arial" w:hAnsi="Arial"/>
                <w:sz w:val="16"/>
                <w:szCs w:val="16"/>
                <w:color w:val="auto"/>
              </w:rPr>
              <w:t>Other accrued liabilities</w:t>
            </w:r>
          </w:p>
        </w:tc>
        <w:tc>
          <w:tcPr>
            <w:tcW w:w="1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229,833</w:t>
            </w: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226,686</w:t>
            </w:r>
          </w:p>
        </w:tc>
        <w:tc>
          <w:tcPr>
            <w:tcW w:w="0" w:type="dxa"/>
            <w:vAlign w:val="bottom"/>
          </w:tcPr>
          <w:p>
            <w:pPr>
              <w:spacing w:after="0"/>
              <w:rPr>
                <w:sz w:val="1"/>
                <w:szCs w:val="1"/>
                <w:color w:val="auto"/>
              </w:rPr>
            </w:pPr>
          </w:p>
        </w:tc>
      </w:tr>
      <w:tr>
        <w:trPr>
          <w:trHeight w:val="237"/>
        </w:trPr>
        <w:tc>
          <w:tcPr>
            <w:tcW w:w="848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691,474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721,626</w:t>
            </w:r>
          </w:p>
        </w:tc>
        <w:tc>
          <w:tcPr>
            <w:tcW w:w="0" w:type="dxa"/>
            <w:vAlign w:val="bottom"/>
          </w:tcPr>
          <w:p>
            <w:pPr>
              <w:spacing w:after="0"/>
              <w:rPr>
                <w:sz w:val="1"/>
                <w:szCs w:val="1"/>
                <w:color w:val="auto"/>
              </w:rPr>
            </w:pPr>
          </w:p>
        </w:tc>
      </w:tr>
      <w:tr>
        <w:trPr>
          <w:trHeight w:val="24"/>
        </w:trPr>
        <w:tc>
          <w:tcPr>
            <w:tcW w:w="84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Cash overdrafts of $2.6 million and $0.6 million are included in accounts payable as of September 30, 2026 and December 31, 2025.</w:t>
      </w:r>
    </w:p>
    <w:p>
      <w:pPr>
        <w:spacing w:after="0" w:line="144"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The Company finances new, used and service loaner vehicle inventory through standardized floor plan facilities with Truist Bank and Toyota Motor Credit Corporation and Ford Motor Credit Company. At September 30, 2026, the floor plan facilities bore interest at variable rates that</w:t>
      </w:r>
    </w:p>
    <w:p>
      <w:pPr>
        <w:spacing w:after="0" w:line="1" w:lineRule="exact"/>
        <w:rPr>
          <w:sz w:val="20"/>
          <w:szCs w:val="20"/>
          <w:color w:val="auto"/>
        </w:rPr>
      </w:pPr>
    </w:p>
    <w:p>
      <w:pPr>
        <w:ind w:right="380"/>
        <w:spacing w:after="0"/>
        <w:rPr>
          <w:sz w:val="20"/>
          <w:szCs w:val="20"/>
          <w:color w:val="auto"/>
        </w:rPr>
      </w:pPr>
      <w:r>
        <w:rPr>
          <w:rFonts w:ascii="Arial" w:cs="Arial" w:eastAsia="Arial" w:hAnsi="Arial"/>
          <w:sz w:val="17"/>
          <w:szCs w:val="17"/>
          <w:color w:val="auto"/>
        </w:rPr>
        <w:t>are based on Secured Overnight Financing Rate (SOFR) and prime-based interest rates. The weighted average interest rate for the floor plan facilities was 5.6% for the three and nine months ended September 30, 2026. The weighted average interest rate for the floor plan</w:t>
      </w:r>
    </w:p>
    <w:p>
      <w:pPr>
        <w:spacing w:after="0" w:line="235" w:lineRule="auto"/>
        <w:rPr>
          <w:sz w:val="20"/>
          <w:szCs w:val="20"/>
          <w:color w:val="auto"/>
        </w:rPr>
      </w:pPr>
      <w:r>
        <w:rPr>
          <w:rFonts w:ascii="Arial" w:cs="Arial" w:eastAsia="Arial" w:hAnsi="Arial"/>
          <w:sz w:val="18"/>
          <w:szCs w:val="18"/>
          <w:color w:val="auto"/>
        </w:rPr>
        <w:t>facilities was 6.2% and 6.3% for the three and nine months ended September 30, 2025, respectively. The Company incurred floor plan</w:t>
      </w:r>
    </w:p>
    <w:p>
      <w:pPr>
        <w:ind w:right="80"/>
        <w:spacing w:after="0" w:line="226" w:lineRule="auto"/>
        <w:rPr>
          <w:sz w:val="20"/>
          <w:szCs w:val="20"/>
          <w:color w:val="auto"/>
        </w:rPr>
      </w:pPr>
      <w:r>
        <w:rPr>
          <w:rFonts w:ascii="Arial" w:cs="Arial" w:eastAsia="Arial" w:hAnsi="Arial"/>
          <w:sz w:val="18"/>
          <w:szCs w:val="18"/>
          <w:color w:val="auto"/>
        </w:rPr>
        <w:t>interest expense of $1.7 million for the three months ended September 30, 2026 and 2025. The Company incurred floor plan interest expense of $5.2 million and $5.8 million for the nine months ended September 30, 2026 and 2025, respectively. Changes in the vehicle floor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plan payable are reported as cash flows from financing activities in the Condensed Consolidated Statements of Cash Flows.</w:t>
      </w:r>
    </w:p>
    <w:p>
      <w:pPr>
        <w:spacing w:after="0" w:line="140"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The floor plan facilities are collateralized by vehicle inventory and other assets of the relevant dealership subsidiary, and contain a number of covenants, including, among others, covenants restricting the dealership subsidiary with respect to the creation of liens and changes in</w:t>
      </w:r>
    </w:p>
    <w:p>
      <w:pPr>
        <w:spacing w:after="0" w:line="1" w:lineRule="exact"/>
        <w:rPr>
          <w:sz w:val="20"/>
          <w:szCs w:val="20"/>
          <w:color w:val="auto"/>
        </w:rPr>
      </w:pPr>
    </w:p>
    <w:p>
      <w:pPr>
        <w:ind w:right="940"/>
        <w:spacing w:after="0" w:line="250" w:lineRule="auto"/>
        <w:rPr>
          <w:sz w:val="20"/>
          <w:szCs w:val="20"/>
          <w:color w:val="auto"/>
        </w:rPr>
      </w:pPr>
      <w:r>
        <w:rPr>
          <w:rFonts w:ascii="Arial" w:cs="Arial" w:eastAsia="Arial" w:hAnsi="Arial"/>
          <w:sz w:val="18"/>
          <w:szCs w:val="18"/>
          <w:color w:val="auto"/>
        </w:rPr>
        <w:t>ownership, officers and key management personnel. The Company was in compliance with all of these restrictive covenants as of September 30, 2026.</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floor plan interest expense related to the vehicle floor plan arrangements is offset by amounts received from manufacturers in the form of</w:t>
      </w:r>
    </w:p>
    <w:p>
      <w:pPr>
        <w:spacing w:after="0" w:line="14" w:lineRule="exact"/>
        <w:rPr>
          <w:sz w:val="20"/>
          <w:szCs w:val="20"/>
          <w:color w:val="auto"/>
        </w:rPr>
      </w:pPr>
    </w:p>
    <w:p>
      <w:pPr>
        <w:ind w:right="260"/>
        <w:spacing w:after="0" w:line="226" w:lineRule="auto"/>
        <w:rPr>
          <w:sz w:val="20"/>
          <w:szCs w:val="20"/>
          <w:color w:val="auto"/>
        </w:rPr>
      </w:pPr>
      <w:r>
        <w:rPr>
          <w:rFonts w:ascii="Arial" w:cs="Arial" w:eastAsia="Arial" w:hAnsi="Arial"/>
          <w:sz w:val="18"/>
          <w:szCs w:val="18"/>
          <w:color w:val="auto"/>
        </w:rPr>
        <w:t>floor plan assistance capitalized in inventory and recorded against cost of goods sold in the Condensed Consolidated Statements of Operations when the associated inventory is sold. For the three months ended September 30, 2026 and 2025, the Company recognized a</w:t>
      </w:r>
    </w:p>
    <w:p>
      <w:pPr>
        <w:spacing w:after="0" w:line="236" w:lineRule="auto"/>
        <w:rPr>
          <w:sz w:val="20"/>
          <w:szCs w:val="20"/>
          <w:color w:val="auto"/>
        </w:rPr>
      </w:pPr>
      <w:r>
        <w:rPr>
          <w:rFonts w:ascii="Arial" w:cs="Arial" w:eastAsia="Arial" w:hAnsi="Arial"/>
          <w:sz w:val="18"/>
          <w:szCs w:val="18"/>
          <w:color w:val="auto"/>
        </w:rPr>
        <w:t>reduction in cost of goods sold of $2.2 million and $2.1 million, respectively, related to manufacturer floor plan assistance. For the nine</w:t>
      </w:r>
    </w:p>
    <w:p>
      <w:pPr>
        <w:spacing w:after="0" w:line="1" w:lineRule="exact"/>
        <w:rPr>
          <w:sz w:val="20"/>
          <w:szCs w:val="20"/>
          <w:color w:val="auto"/>
        </w:rPr>
      </w:pPr>
    </w:p>
    <w:p>
      <w:pPr>
        <w:ind w:right="360"/>
        <w:spacing w:after="0" w:line="237" w:lineRule="auto"/>
        <w:rPr>
          <w:sz w:val="20"/>
          <w:szCs w:val="20"/>
          <w:color w:val="auto"/>
        </w:rPr>
      </w:pPr>
      <w:r>
        <w:rPr>
          <w:rFonts w:ascii="Arial" w:cs="Arial" w:eastAsia="Arial" w:hAnsi="Arial"/>
          <w:sz w:val="18"/>
          <w:szCs w:val="18"/>
          <w:color w:val="auto"/>
        </w:rPr>
        <w:t>months ended September 30, 2026 and 2025, the Company recognized a reduction in cost of goods sold of $6.3 million and $6.1 million, respectively, related to manufacturer floor plan assistance.</w:t>
      </w:r>
    </w:p>
    <w:p>
      <w:pPr>
        <w:spacing w:after="0" w:line="127" w:lineRule="exact"/>
        <w:rPr>
          <w:sz w:val="20"/>
          <w:szCs w:val="20"/>
          <w:color w:val="auto"/>
        </w:rPr>
      </w:pPr>
    </w:p>
    <w:p>
      <w:pPr>
        <w:ind w:right="780"/>
        <w:spacing w:after="0" w:line="271" w:lineRule="auto"/>
        <w:rPr>
          <w:sz w:val="20"/>
          <w:szCs w:val="20"/>
          <w:color w:val="auto"/>
        </w:rPr>
      </w:pPr>
      <w:r>
        <w:rPr>
          <w:rFonts w:ascii="Arial" w:cs="Arial" w:eastAsia="Arial" w:hAnsi="Arial"/>
          <w:sz w:val="18"/>
          <w:szCs w:val="18"/>
          <w:color w:val="auto"/>
        </w:rPr>
        <w:t>As of September 30, 2026 and December 31, 2025, the Company had $109.3 million and $105.9 million, respectively, in obligations outstanding related to floor plan facilities associated with new vehicles.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INVENTORIES AND CONTRACTS IN PROGRESS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Inventories and contracts in progress consist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4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848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40" w:type="dxa"/>
            <w:vAlign w:val="bottom"/>
          </w:tcPr>
          <w:p>
            <w:pPr>
              <w:spacing w:after="0"/>
              <w:rPr>
                <w:sz w:val="14"/>
                <w:szCs w:val="14"/>
                <w:color w:val="auto"/>
              </w:rPr>
            </w:pPr>
          </w:p>
        </w:tc>
        <w:tc>
          <w:tcPr>
            <w:tcW w:w="1260" w:type="dxa"/>
            <w:vAlign w:val="bottom"/>
          </w:tcPr>
          <w:p>
            <w:pPr>
              <w:jc w:val="right"/>
              <w:ind w:right="142"/>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140" w:type="dxa"/>
            <w:vAlign w:val="bottom"/>
          </w:tcPr>
          <w:p>
            <w:pPr>
              <w:jc w:val="right"/>
              <w:ind w:right="102"/>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205"/>
        </w:trPr>
        <w:tc>
          <w:tcPr>
            <w:tcW w:w="848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2026</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color w:val="auto"/>
              </w:rPr>
              <w:t>2025</w:t>
            </w:r>
          </w:p>
        </w:tc>
        <w:tc>
          <w:tcPr>
            <w:tcW w:w="0" w:type="dxa"/>
            <w:vAlign w:val="bottom"/>
          </w:tcPr>
          <w:p>
            <w:pPr>
              <w:spacing w:after="0"/>
              <w:rPr>
                <w:sz w:val="1"/>
                <w:szCs w:val="1"/>
                <w:color w:val="auto"/>
              </w:rPr>
            </w:pPr>
          </w:p>
        </w:tc>
      </w:tr>
      <w:tr>
        <w:trPr>
          <w:trHeight w:val="235"/>
        </w:trPr>
        <w:tc>
          <w:tcPr>
            <w:tcW w:w="8480" w:type="dxa"/>
            <w:vAlign w:val="bottom"/>
          </w:tcPr>
          <w:p>
            <w:pPr>
              <w:ind w:left="20"/>
              <w:spacing w:after="0"/>
              <w:rPr>
                <w:sz w:val="20"/>
                <w:szCs w:val="20"/>
                <w:color w:val="auto"/>
              </w:rPr>
            </w:pPr>
            <w:r>
              <w:rPr>
                <w:rFonts w:ascii="Arial" w:cs="Arial" w:eastAsia="Arial" w:hAnsi="Arial"/>
                <w:sz w:val="16"/>
                <w:szCs w:val="16"/>
                <w:color w:val="auto"/>
              </w:rPr>
              <w:t>Raw materials</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Pr>
          <w:p>
            <w:pPr>
              <w:jc w:val="right"/>
              <w:ind w:right="22"/>
              <w:spacing w:after="0"/>
              <w:rPr>
                <w:sz w:val="20"/>
                <w:szCs w:val="20"/>
                <w:color w:val="auto"/>
              </w:rPr>
            </w:pPr>
            <w:r>
              <w:rPr>
                <w:rFonts w:ascii="Arial" w:cs="Arial" w:eastAsia="Arial" w:hAnsi="Arial"/>
                <w:sz w:val="16"/>
                <w:szCs w:val="16"/>
                <w:b w:val="1"/>
                <w:bCs w:val="1"/>
                <w:color w:val="auto"/>
              </w:rPr>
              <w:t>87,646</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77,977</w:t>
            </w:r>
          </w:p>
        </w:tc>
        <w:tc>
          <w:tcPr>
            <w:tcW w:w="0" w:type="dxa"/>
            <w:vAlign w:val="bottom"/>
          </w:tcPr>
          <w:p>
            <w:pPr>
              <w:spacing w:after="0"/>
              <w:rPr>
                <w:sz w:val="1"/>
                <w:szCs w:val="1"/>
                <w:color w:val="auto"/>
              </w:rPr>
            </w:pPr>
          </w:p>
        </w:tc>
      </w:tr>
      <w:tr>
        <w:trPr>
          <w:trHeight w:val="243"/>
        </w:trPr>
        <w:tc>
          <w:tcPr>
            <w:tcW w:w="8480" w:type="dxa"/>
            <w:vAlign w:val="bottom"/>
          </w:tcPr>
          <w:p>
            <w:pPr>
              <w:ind w:left="20"/>
              <w:spacing w:after="0"/>
              <w:rPr>
                <w:sz w:val="20"/>
                <w:szCs w:val="20"/>
                <w:color w:val="auto"/>
              </w:rPr>
            </w:pPr>
            <w:r>
              <w:rPr>
                <w:rFonts w:ascii="Arial" w:cs="Arial" w:eastAsia="Arial" w:hAnsi="Arial"/>
                <w:sz w:val="16"/>
                <w:szCs w:val="16"/>
                <w:color w:val="auto"/>
              </w:rPr>
              <w:t>Work-in-process</w:t>
            </w:r>
          </w:p>
        </w:tc>
        <w:tc>
          <w:tcPr>
            <w:tcW w:w="140" w:type="dxa"/>
            <w:vAlign w:val="bottom"/>
          </w:tcPr>
          <w:p>
            <w:pPr>
              <w:spacing w:after="0"/>
              <w:rPr>
                <w:sz w:val="21"/>
                <w:szCs w:val="21"/>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b w:val="1"/>
                <w:bCs w:val="1"/>
                <w:color w:val="auto"/>
              </w:rPr>
              <w:t>14,937</w:t>
            </w:r>
          </w:p>
        </w:tc>
        <w:tc>
          <w:tcPr>
            <w:tcW w:w="220" w:type="dxa"/>
            <w:vAlign w:val="bottom"/>
          </w:tcPr>
          <w:p>
            <w:pPr>
              <w:spacing w:after="0"/>
              <w:rPr>
                <w:sz w:val="21"/>
                <w:szCs w:val="21"/>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12,906</w:t>
            </w:r>
          </w:p>
        </w:tc>
        <w:tc>
          <w:tcPr>
            <w:tcW w:w="0" w:type="dxa"/>
            <w:vAlign w:val="bottom"/>
          </w:tcPr>
          <w:p>
            <w:pPr>
              <w:spacing w:after="0"/>
              <w:rPr>
                <w:sz w:val="1"/>
                <w:szCs w:val="1"/>
                <w:color w:val="auto"/>
              </w:rPr>
            </w:pPr>
          </w:p>
        </w:tc>
      </w:tr>
      <w:tr>
        <w:trPr>
          <w:trHeight w:val="243"/>
        </w:trPr>
        <w:tc>
          <w:tcPr>
            <w:tcW w:w="8480" w:type="dxa"/>
            <w:vAlign w:val="bottom"/>
          </w:tcPr>
          <w:p>
            <w:pPr>
              <w:ind w:left="20"/>
              <w:spacing w:after="0"/>
              <w:rPr>
                <w:sz w:val="20"/>
                <w:szCs w:val="20"/>
                <w:color w:val="auto"/>
              </w:rPr>
            </w:pPr>
            <w:r>
              <w:rPr>
                <w:rFonts w:ascii="Arial" w:cs="Arial" w:eastAsia="Arial" w:hAnsi="Arial"/>
                <w:sz w:val="16"/>
                <w:szCs w:val="16"/>
                <w:color w:val="auto"/>
              </w:rPr>
              <w:t>Finished goods</w:t>
            </w:r>
          </w:p>
        </w:tc>
        <w:tc>
          <w:tcPr>
            <w:tcW w:w="140" w:type="dxa"/>
            <w:vAlign w:val="bottom"/>
          </w:tcPr>
          <w:p>
            <w:pPr>
              <w:spacing w:after="0"/>
              <w:rPr>
                <w:sz w:val="21"/>
                <w:szCs w:val="21"/>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b w:val="1"/>
                <w:bCs w:val="1"/>
                <w:color w:val="auto"/>
              </w:rPr>
              <w:t>245,624</w:t>
            </w:r>
          </w:p>
        </w:tc>
        <w:tc>
          <w:tcPr>
            <w:tcW w:w="220" w:type="dxa"/>
            <w:vAlign w:val="bottom"/>
          </w:tcPr>
          <w:p>
            <w:pPr>
              <w:spacing w:after="0"/>
              <w:rPr>
                <w:sz w:val="21"/>
                <w:szCs w:val="21"/>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209,287</w:t>
            </w:r>
          </w:p>
        </w:tc>
        <w:tc>
          <w:tcPr>
            <w:tcW w:w="0" w:type="dxa"/>
            <w:vAlign w:val="bottom"/>
          </w:tcPr>
          <w:p>
            <w:pPr>
              <w:spacing w:after="0"/>
              <w:rPr>
                <w:sz w:val="1"/>
                <w:szCs w:val="1"/>
                <w:color w:val="auto"/>
              </w:rPr>
            </w:pPr>
          </w:p>
        </w:tc>
      </w:tr>
      <w:tr>
        <w:trPr>
          <w:trHeight w:val="247"/>
        </w:trPr>
        <w:tc>
          <w:tcPr>
            <w:tcW w:w="8480" w:type="dxa"/>
            <w:vAlign w:val="bottom"/>
          </w:tcPr>
          <w:p>
            <w:pPr>
              <w:ind w:left="20"/>
              <w:spacing w:after="0"/>
              <w:rPr>
                <w:sz w:val="20"/>
                <w:szCs w:val="20"/>
                <w:color w:val="auto"/>
              </w:rPr>
            </w:pPr>
            <w:r>
              <w:rPr>
                <w:rFonts w:ascii="Arial" w:cs="Arial" w:eastAsia="Arial" w:hAnsi="Arial"/>
                <w:sz w:val="16"/>
                <w:szCs w:val="16"/>
                <w:color w:val="auto"/>
              </w:rPr>
              <w:t>Contracts in progress</w:t>
            </w:r>
          </w:p>
        </w:tc>
        <w:tc>
          <w:tcPr>
            <w:tcW w:w="1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6,250</w:t>
            </w: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3,200</w:t>
            </w:r>
          </w:p>
        </w:tc>
        <w:tc>
          <w:tcPr>
            <w:tcW w:w="0" w:type="dxa"/>
            <w:vAlign w:val="bottom"/>
          </w:tcPr>
          <w:p>
            <w:pPr>
              <w:spacing w:after="0"/>
              <w:rPr>
                <w:sz w:val="1"/>
                <w:szCs w:val="1"/>
                <w:color w:val="auto"/>
              </w:rPr>
            </w:pPr>
          </w:p>
        </w:tc>
      </w:tr>
      <w:tr>
        <w:trPr>
          <w:trHeight w:val="236"/>
        </w:trPr>
        <w:tc>
          <w:tcPr>
            <w:tcW w:w="848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354,457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303,370</w:t>
            </w:r>
          </w:p>
        </w:tc>
        <w:tc>
          <w:tcPr>
            <w:tcW w:w="0" w:type="dxa"/>
            <w:vAlign w:val="bottom"/>
          </w:tcPr>
          <w:p>
            <w:pPr>
              <w:spacing w:after="0"/>
              <w:rPr>
                <w:sz w:val="1"/>
                <w:szCs w:val="1"/>
                <w:color w:val="auto"/>
              </w:rPr>
            </w:pPr>
          </w:p>
        </w:tc>
      </w:tr>
      <w:tr>
        <w:trPr>
          <w:trHeight w:val="24"/>
        </w:trPr>
        <w:tc>
          <w:tcPr>
            <w:tcW w:w="84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 AND OTHER INTANGIBLE ASSETS</w:t>
      </w:r>
    </w:p>
    <w:p>
      <w:pPr>
        <w:spacing w:after="0" w:line="158"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During the first quarter of 2026, in connection with the classification of the KLG disposal group as held for sale, the Company recognized a goodwill impairment charge of $1.0 million at Kaplan International (see Note 2).</w:t>
      </w:r>
    </w:p>
    <w:p>
      <w:pPr>
        <w:spacing w:after="0" w:line="86"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Amortization of intangible assets for the three months ended September 30, 2026 and 2025, was $5.8 million and $9.7 million, respectively. Amortization of intangible assets for the nine months ended September 30, 2026 and</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16" w:name="page17"/>
    <w:bookmarkEnd w:id="16"/>
    <w:p>
      <w:pPr>
        <w:ind w:right="220"/>
        <w:spacing w:after="0" w:line="271" w:lineRule="auto"/>
        <w:rPr>
          <w:sz w:val="20"/>
          <w:szCs w:val="20"/>
          <w:color w:val="auto"/>
        </w:rPr>
      </w:pPr>
      <w:r>
        <w:rPr>
          <w:rFonts w:ascii="Arial" w:cs="Arial" w:eastAsia="Arial" w:hAnsi="Arial"/>
          <w:sz w:val="18"/>
          <w:szCs w:val="18"/>
          <w:color w:val="auto"/>
        </w:rPr>
        <w:t>2025, was $17.8 million and $24.8 million, respectively. Amortization of intangible assets is estimated to be approximately $6 million for the remainder of 2026, $9 million in 2027, $6 million in 2028, $5 million in 2029, $5 million in 2030 and $13 million thereafter.</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segment,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4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14"/>
                <w:szCs w:val="14"/>
                <w:color w:val="auto"/>
              </w:rPr>
            </w:pPr>
          </w:p>
        </w:tc>
        <w:tc>
          <w:tcPr>
            <w:tcW w:w="104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Education</w:t>
            </w:r>
          </w:p>
        </w:tc>
        <w:tc>
          <w:tcPr>
            <w:tcW w:w="200" w:type="dxa"/>
            <w:vAlign w:val="bottom"/>
          </w:tcPr>
          <w:p>
            <w:pPr>
              <w:spacing w:after="0"/>
              <w:rPr>
                <w:sz w:val="14"/>
                <w:szCs w:val="14"/>
                <w:color w:val="auto"/>
              </w:rPr>
            </w:pPr>
          </w:p>
        </w:tc>
        <w:tc>
          <w:tcPr>
            <w:tcW w:w="1140" w:type="dxa"/>
            <w:vAlign w:val="bottom"/>
          </w:tcPr>
          <w:p>
            <w:pPr>
              <w:jc w:val="right"/>
              <w:ind w:right="240"/>
              <w:spacing w:after="0"/>
              <w:rPr>
                <w:sz w:val="20"/>
                <w:szCs w:val="20"/>
                <w:color w:val="auto"/>
              </w:rPr>
            </w:pPr>
            <w:r>
              <w:rPr>
                <w:rFonts w:ascii="Arial" w:cs="Arial" w:eastAsia="Arial" w:hAnsi="Arial"/>
                <w:sz w:val="14"/>
                <w:szCs w:val="14"/>
                <w:b w:val="1"/>
                <w:bCs w:val="1"/>
                <w:color w:val="auto"/>
              </w:rPr>
              <w:t>Television</w:t>
            </w:r>
          </w:p>
        </w:tc>
        <w:tc>
          <w:tcPr>
            <w:tcW w:w="200" w:type="dxa"/>
            <w:vAlign w:val="bottom"/>
          </w:tcPr>
          <w:p>
            <w:pPr>
              <w:spacing w:after="0"/>
              <w:rPr>
                <w:sz w:val="14"/>
                <w:szCs w:val="14"/>
                <w:color w:val="auto"/>
              </w:rPr>
            </w:pPr>
          </w:p>
        </w:tc>
        <w:tc>
          <w:tcPr>
            <w:tcW w:w="94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Healthcare</w:t>
            </w:r>
          </w:p>
        </w:tc>
        <w:tc>
          <w:tcPr>
            <w:tcW w:w="200" w:type="dxa"/>
            <w:vAlign w:val="bottom"/>
          </w:tcPr>
          <w:p>
            <w:pPr>
              <w:spacing w:after="0"/>
              <w:rPr>
                <w:sz w:val="14"/>
                <w:szCs w:val="14"/>
                <w:color w:val="auto"/>
              </w:rPr>
            </w:pPr>
          </w:p>
        </w:tc>
        <w:tc>
          <w:tcPr>
            <w:tcW w:w="124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Manufacturing</w:t>
            </w:r>
          </w:p>
        </w:tc>
        <w:tc>
          <w:tcPr>
            <w:tcW w:w="200" w:type="dxa"/>
            <w:vAlign w:val="bottom"/>
          </w:tcPr>
          <w:p>
            <w:pPr>
              <w:spacing w:after="0"/>
              <w:rPr>
                <w:sz w:val="14"/>
                <w:szCs w:val="14"/>
                <w:color w:val="auto"/>
              </w:rPr>
            </w:pPr>
          </w:p>
        </w:tc>
        <w:tc>
          <w:tcPr>
            <w:tcW w:w="100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Automotive</w:t>
            </w:r>
          </w:p>
        </w:tc>
        <w:tc>
          <w:tcPr>
            <w:tcW w:w="200" w:type="dxa"/>
            <w:vAlign w:val="bottom"/>
          </w:tcPr>
          <w:p>
            <w:pPr>
              <w:spacing w:after="0"/>
              <w:rPr>
                <w:sz w:val="14"/>
                <w:szCs w:val="14"/>
                <w:color w:val="auto"/>
              </w:rPr>
            </w:pPr>
          </w:p>
        </w:tc>
        <w:tc>
          <w:tcPr>
            <w:tcW w:w="1040" w:type="dxa"/>
            <w:vAlign w:val="bottom"/>
          </w:tcPr>
          <w:p>
            <w:pPr>
              <w:jc w:val="right"/>
              <w:ind w:right="360"/>
              <w:spacing w:after="0"/>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14"/>
                <w:szCs w:val="14"/>
                <w:color w:val="auto"/>
              </w:rPr>
            </w:pPr>
          </w:p>
        </w:tc>
        <w:tc>
          <w:tcPr>
            <w:tcW w:w="94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7"/>
        </w:trPr>
        <w:tc>
          <w:tcPr>
            <w:tcW w:w="244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Broadcasting</w:t>
            </w: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Businesses</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440" w:type="dxa"/>
            <w:vAlign w:val="bottom"/>
          </w:tcPr>
          <w:p>
            <w:pPr>
              <w:ind w:left="20"/>
              <w:spacing w:after="0"/>
              <w:rPr>
                <w:sz w:val="20"/>
                <w:szCs w:val="20"/>
                <w:color w:val="auto"/>
              </w:rPr>
            </w:pPr>
            <w:r>
              <w:rPr>
                <w:rFonts w:ascii="Arial" w:cs="Arial" w:eastAsia="Arial" w:hAnsi="Arial"/>
                <w:sz w:val="16"/>
                <w:szCs w:val="16"/>
                <w:color w:val="auto"/>
              </w:rPr>
              <w:t>As of December 31, 2025</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440" w:type="dxa"/>
            <w:vAlign w:val="bottom"/>
          </w:tcPr>
          <w:p>
            <w:pPr>
              <w:ind w:left="220"/>
              <w:spacing w:after="0"/>
              <w:rPr>
                <w:sz w:val="20"/>
                <w:szCs w:val="20"/>
                <w:color w:val="auto"/>
              </w:rPr>
            </w:pPr>
            <w:r>
              <w:rPr>
                <w:rFonts w:ascii="Arial" w:cs="Arial" w:eastAsia="Arial" w:hAnsi="Arial"/>
                <w:sz w:val="16"/>
                <w:szCs w:val="16"/>
                <w:color w:val="auto"/>
              </w:rPr>
              <w:t>Goodwill</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1,181,284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190,815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136,637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272,523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140,832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108,943</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2,031,034</w:t>
            </w:r>
          </w:p>
        </w:tc>
        <w:tc>
          <w:tcPr>
            <w:tcW w:w="0" w:type="dxa"/>
            <w:vAlign w:val="bottom"/>
          </w:tcPr>
          <w:p>
            <w:pPr>
              <w:spacing w:after="0"/>
              <w:rPr>
                <w:sz w:val="1"/>
                <w:szCs w:val="1"/>
                <w:color w:val="auto"/>
              </w:rPr>
            </w:pPr>
          </w:p>
        </w:tc>
      </w:tr>
      <w:tr>
        <w:trPr>
          <w:trHeight w:val="204"/>
        </w:trPr>
        <w:tc>
          <w:tcPr>
            <w:tcW w:w="2440" w:type="dxa"/>
            <w:vAlign w:val="bottom"/>
          </w:tcPr>
          <w:p>
            <w:pPr>
              <w:ind w:left="220"/>
              <w:spacing w:after="0"/>
              <w:rPr>
                <w:sz w:val="20"/>
                <w:szCs w:val="20"/>
                <w:color w:val="auto"/>
              </w:rPr>
            </w:pPr>
            <w:r>
              <w:rPr>
                <w:rFonts w:ascii="Arial" w:cs="Arial" w:eastAsia="Arial" w:hAnsi="Arial"/>
                <w:sz w:val="16"/>
                <w:szCs w:val="16"/>
                <w:color w:val="auto"/>
              </w:rPr>
              <w:t>Accumulated impairment</w:t>
            </w: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440" w:type="dxa"/>
            <w:vAlign w:val="bottom"/>
          </w:tcPr>
          <w:p>
            <w:pPr>
              <w:ind w:left="400"/>
              <w:spacing w:after="0"/>
              <w:rPr>
                <w:sz w:val="20"/>
                <w:szCs w:val="20"/>
                <w:color w:val="auto"/>
              </w:rPr>
            </w:pPr>
            <w:r>
              <w:rPr>
                <w:rFonts w:ascii="Arial" w:cs="Arial" w:eastAsia="Arial" w:hAnsi="Arial"/>
                <w:sz w:val="16"/>
                <w:szCs w:val="16"/>
                <w:color w:val="auto"/>
              </w:rPr>
              <w:t>losses</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(331,151)</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(82,062)</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(32,155)</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(445,368)</w:t>
            </w:r>
          </w:p>
        </w:tc>
        <w:tc>
          <w:tcPr>
            <w:tcW w:w="0" w:type="dxa"/>
            <w:vAlign w:val="bottom"/>
          </w:tcPr>
          <w:p>
            <w:pPr>
              <w:spacing w:after="0"/>
              <w:rPr>
                <w:sz w:val="1"/>
                <w:szCs w:val="1"/>
                <w:color w:val="auto"/>
              </w:rPr>
            </w:pPr>
          </w:p>
        </w:tc>
      </w:tr>
      <w:tr>
        <w:trPr>
          <w:trHeight w:val="227"/>
        </w:trPr>
        <w:tc>
          <w:tcPr>
            <w:tcW w:w="2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850,133</w:t>
            </w:r>
          </w:p>
        </w:tc>
        <w:tc>
          <w:tcPr>
            <w:tcW w:w="200" w:type="dxa"/>
            <w:vAlign w:val="bottom"/>
          </w:tcPr>
          <w:p>
            <w:pPr>
              <w:spacing w:after="0"/>
              <w:rPr>
                <w:sz w:val="19"/>
                <w:szCs w:val="19"/>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190,815</w:t>
            </w:r>
          </w:p>
        </w:tc>
        <w:tc>
          <w:tcPr>
            <w:tcW w:w="2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136,637</w:t>
            </w:r>
          </w:p>
        </w:tc>
        <w:tc>
          <w:tcPr>
            <w:tcW w:w="200" w:type="dxa"/>
            <w:vAlign w:val="bottom"/>
          </w:tcPr>
          <w:p>
            <w:pPr>
              <w:spacing w:after="0"/>
              <w:rPr>
                <w:sz w:val="19"/>
                <w:szCs w:val="19"/>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190,461</w:t>
            </w:r>
          </w:p>
        </w:tc>
        <w:tc>
          <w:tcPr>
            <w:tcW w:w="200" w:type="dxa"/>
            <w:vAlign w:val="bottom"/>
          </w:tcPr>
          <w:p>
            <w:pPr>
              <w:spacing w:after="0"/>
              <w:rPr>
                <w:sz w:val="19"/>
                <w:szCs w:val="19"/>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140,832</w:t>
            </w:r>
          </w:p>
        </w:tc>
        <w:tc>
          <w:tcPr>
            <w:tcW w:w="20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76,788</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1,585,666</w:t>
            </w:r>
          </w:p>
        </w:tc>
        <w:tc>
          <w:tcPr>
            <w:tcW w:w="0" w:type="dxa"/>
            <w:vAlign w:val="bottom"/>
          </w:tcPr>
          <w:p>
            <w:pPr>
              <w:spacing w:after="0"/>
              <w:rPr>
                <w:sz w:val="1"/>
                <w:szCs w:val="1"/>
                <w:color w:val="auto"/>
              </w:rPr>
            </w:pPr>
          </w:p>
        </w:tc>
      </w:tr>
      <w:tr>
        <w:trPr>
          <w:trHeight w:val="251"/>
        </w:trPr>
        <w:tc>
          <w:tcPr>
            <w:tcW w:w="2440" w:type="dxa"/>
            <w:vAlign w:val="bottom"/>
          </w:tcPr>
          <w:p>
            <w:pPr>
              <w:ind w:left="20"/>
              <w:spacing w:after="0"/>
              <w:rPr>
                <w:sz w:val="20"/>
                <w:szCs w:val="20"/>
                <w:color w:val="auto"/>
              </w:rPr>
            </w:pPr>
            <w:r>
              <w:rPr>
                <w:rFonts w:ascii="Arial" w:cs="Arial" w:eastAsia="Arial" w:hAnsi="Arial"/>
                <w:sz w:val="16"/>
                <w:szCs w:val="16"/>
                <w:b w:val="1"/>
                <w:bCs w:val="1"/>
                <w:color w:val="auto"/>
              </w:rPr>
              <w:t>Acquisition</w:t>
            </w:r>
          </w:p>
        </w:tc>
        <w:tc>
          <w:tcPr>
            <w:tcW w:w="160" w:type="dxa"/>
            <w:vAlign w:val="bottom"/>
          </w:tcPr>
          <w:p>
            <w:pPr>
              <w:spacing w:after="0"/>
              <w:rPr>
                <w:sz w:val="21"/>
                <w:szCs w:val="21"/>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21"/>
                <w:szCs w:val="21"/>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21"/>
                <w:szCs w:val="21"/>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18,121</w:t>
            </w:r>
          </w:p>
        </w:tc>
        <w:tc>
          <w:tcPr>
            <w:tcW w:w="200" w:type="dxa"/>
            <w:vAlign w:val="bottom"/>
          </w:tcPr>
          <w:p>
            <w:pPr>
              <w:spacing w:after="0"/>
              <w:rPr>
                <w:sz w:val="21"/>
                <w:szCs w:val="21"/>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21"/>
                <w:szCs w:val="21"/>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21"/>
                <w:szCs w:val="21"/>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18,121</w:t>
            </w:r>
          </w:p>
        </w:tc>
        <w:tc>
          <w:tcPr>
            <w:tcW w:w="0" w:type="dxa"/>
            <w:vAlign w:val="bottom"/>
          </w:tcPr>
          <w:p>
            <w:pPr>
              <w:spacing w:after="0"/>
              <w:rPr>
                <w:sz w:val="1"/>
                <w:szCs w:val="1"/>
                <w:color w:val="auto"/>
              </w:rPr>
            </w:pPr>
          </w:p>
        </w:tc>
      </w:tr>
      <w:tr>
        <w:trPr>
          <w:trHeight w:val="243"/>
        </w:trPr>
        <w:tc>
          <w:tcPr>
            <w:tcW w:w="2440" w:type="dxa"/>
            <w:vAlign w:val="bottom"/>
          </w:tcPr>
          <w:p>
            <w:pPr>
              <w:ind w:left="20"/>
              <w:spacing w:after="0"/>
              <w:rPr>
                <w:sz w:val="20"/>
                <w:szCs w:val="20"/>
                <w:color w:val="auto"/>
              </w:rPr>
            </w:pPr>
            <w:r>
              <w:rPr>
                <w:rFonts w:ascii="Arial" w:cs="Arial" w:eastAsia="Arial" w:hAnsi="Arial"/>
                <w:sz w:val="16"/>
                <w:szCs w:val="16"/>
                <w:b w:val="1"/>
                <w:bCs w:val="1"/>
                <w:color w:val="auto"/>
              </w:rPr>
              <w:t>Impairment</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(976)</w:t>
            </w:r>
          </w:p>
        </w:tc>
        <w:tc>
          <w:tcPr>
            <w:tcW w:w="200" w:type="dxa"/>
            <w:vAlign w:val="bottom"/>
          </w:tcPr>
          <w:p>
            <w:pPr>
              <w:spacing w:after="0"/>
              <w:rPr>
                <w:sz w:val="21"/>
                <w:szCs w:val="21"/>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21"/>
                <w:szCs w:val="21"/>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21"/>
                <w:szCs w:val="21"/>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21"/>
                <w:szCs w:val="21"/>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21"/>
                <w:szCs w:val="21"/>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(976)</w:t>
            </w:r>
          </w:p>
        </w:tc>
        <w:tc>
          <w:tcPr>
            <w:tcW w:w="0" w:type="dxa"/>
            <w:vAlign w:val="bottom"/>
          </w:tcPr>
          <w:p>
            <w:pPr>
              <w:spacing w:after="0"/>
              <w:rPr>
                <w:sz w:val="1"/>
                <w:szCs w:val="1"/>
                <w:color w:val="auto"/>
              </w:rPr>
            </w:pPr>
          </w:p>
        </w:tc>
      </w:tr>
      <w:tr>
        <w:trPr>
          <w:trHeight w:val="243"/>
        </w:trPr>
        <w:tc>
          <w:tcPr>
            <w:tcW w:w="2440" w:type="dxa"/>
            <w:vAlign w:val="bottom"/>
          </w:tcPr>
          <w:p>
            <w:pPr>
              <w:ind w:left="20"/>
              <w:spacing w:after="0"/>
              <w:rPr>
                <w:sz w:val="20"/>
                <w:szCs w:val="20"/>
                <w:color w:val="auto"/>
              </w:rPr>
            </w:pPr>
            <w:r>
              <w:rPr>
                <w:rFonts w:ascii="Arial" w:cs="Arial" w:eastAsia="Arial" w:hAnsi="Arial"/>
                <w:sz w:val="16"/>
                <w:szCs w:val="16"/>
                <w:b w:val="1"/>
                <w:bCs w:val="1"/>
                <w:color w:val="auto"/>
              </w:rPr>
              <w:t>Disposition</w:t>
            </w:r>
          </w:p>
        </w:tc>
        <w:tc>
          <w:tcPr>
            <w:tcW w:w="160" w:type="dxa"/>
            <w:vAlign w:val="bottom"/>
          </w:tcPr>
          <w:p>
            <w:pPr>
              <w:spacing w:after="0"/>
              <w:rPr>
                <w:sz w:val="21"/>
                <w:szCs w:val="21"/>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21"/>
                <w:szCs w:val="21"/>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21"/>
                <w:szCs w:val="21"/>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21"/>
                <w:szCs w:val="21"/>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21"/>
                <w:szCs w:val="21"/>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21"/>
                <w:szCs w:val="21"/>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96"/>
        </w:trPr>
        <w:tc>
          <w:tcPr>
            <w:tcW w:w="2440" w:type="dxa"/>
            <w:vAlign w:val="bottom"/>
          </w:tcPr>
          <w:p>
            <w:pPr>
              <w:ind w:left="20"/>
              <w:spacing w:after="0"/>
              <w:rPr>
                <w:sz w:val="20"/>
                <w:szCs w:val="20"/>
                <w:color w:val="auto"/>
              </w:rPr>
            </w:pPr>
            <w:r>
              <w:rPr>
                <w:rFonts w:ascii="Arial" w:cs="Arial" w:eastAsia="Arial" w:hAnsi="Arial"/>
                <w:sz w:val="16"/>
                <w:szCs w:val="16"/>
                <w:b w:val="1"/>
                <w:bCs w:val="1"/>
                <w:color w:val="auto"/>
              </w:rPr>
              <w:t>Reclassification to assets held</w:t>
            </w:r>
          </w:p>
        </w:tc>
        <w:tc>
          <w:tcPr>
            <w:tcW w:w="16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(51,786)</w:t>
            </w:r>
          </w:p>
        </w:tc>
        <w:tc>
          <w:tcPr>
            <w:tcW w:w="200" w:type="dxa"/>
            <w:vAlign w:val="bottom"/>
          </w:tcPr>
          <w:p>
            <w:pPr>
              <w:spacing w:after="0"/>
              <w:rPr>
                <w:sz w:val="17"/>
                <w:szCs w:val="17"/>
                <w:color w:val="auto"/>
              </w:rPr>
            </w:pPr>
          </w:p>
        </w:tc>
        <w:tc>
          <w:tcPr>
            <w:tcW w:w="114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7"/>
                <w:szCs w:val="17"/>
                <w:color w:val="auto"/>
              </w:rPr>
            </w:pPr>
          </w:p>
        </w:tc>
        <w:tc>
          <w:tcPr>
            <w:tcW w:w="94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7"/>
                <w:szCs w:val="17"/>
                <w:color w:val="auto"/>
              </w:rPr>
            </w:pPr>
          </w:p>
        </w:tc>
        <w:tc>
          <w:tcPr>
            <w:tcW w:w="124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7"/>
                <w:szCs w:val="17"/>
                <w:color w:val="auto"/>
              </w:rPr>
            </w:pPr>
          </w:p>
        </w:tc>
        <w:tc>
          <w:tcPr>
            <w:tcW w:w="100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7"/>
                <w:szCs w:val="17"/>
                <w:color w:val="auto"/>
              </w:rPr>
            </w:pPr>
          </w:p>
        </w:tc>
        <w:tc>
          <w:tcPr>
            <w:tcW w:w="104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(51,786)</w:t>
            </w:r>
          </w:p>
        </w:tc>
        <w:tc>
          <w:tcPr>
            <w:tcW w:w="0" w:type="dxa"/>
            <w:vAlign w:val="bottom"/>
          </w:tcPr>
          <w:p>
            <w:pPr>
              <w:spacing w:after="0"/>
              <w:rPr>
                <w:sz w:val="1"/>
                <w:szCs w:val="1"/>
                <w:color w:val="auto"/>
              </w:rPr>
            </w:pPr>
          </w:p>
        </w:tc>
      </w:tr>
      <w:tr>
        <w:trPr>
          <w:trHeight w:val="223"/>
        </w:trPr>
        <w:tc>
          <w:tcPr>
            <w:tcW w:w="2440" w:type="dxa"/>
            <w:vAlign w:val="bottom"/>
          </w:tcPr>
          <w:p>
            <w:pPr>
              <w:ind w:left="180"/>
              <w:spacing w:after="0"/>
              <w:rPr>
                <w:sz w:val="20"/>
                <w:szCs w:val="20"/>
                <w:color w:val="auto"/>
              </w:rPr>
            </w:pPr>
            <w:r>
              <w:rPr>
                <w:rFonts w:ascii="Arial" w:cs="Arial" w:eastAsia="Arial" w:hAnsi="Arial"/>
                <w:sz w:val="16"/>
                <w:szCs w:val="16"/>
                <w:b w:val="1"/>
                <w:bCs w:val="1"/>
                <w:color w:val="auto"/>
              </w:rPr>
              <w:t>for sale</w:t>
            </w:r>
          </w:p>
        </w:tc>
        <w:tc>
          <w:tcPr>
            <w:tcW w:w="16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440" w:type="dxa"/>
            <w:vAlign w:val="bottom"/>
          </w:tcPr>
          <w:p>
            <w:pPr>
              <w:ind w:left="20"/>
              <w:spacing w:after="0"/>
              <w:rPr>
                <w:sz w:val="20"/>
                <w:szCs w:val="20"/>
                <w:color w:val="auto"/>
              </w:rPr>
            </w:pPr>
            <w:r>
              <w:rPr>
                <w:rFonts w:ascii="Arial" w:cs="Arial" w:eastAsia="Arial" w:hAnsi="Arial"/>
                <w:sz w:val="16"/>
                <w:szCs w:val="16"/>
                <w:b w:val="1"/>
                <w:bCs w:val="1"/>
                <w:color w:val="auto"/>
              </w:rPr>
              <w:t>Foreign currency exchange</w:t>
            </w:r>
          </w:p>
        </w:tc>
        <w:tc>
          <w:tcPr>
            <w:tcW w:w="160" w:type="dxa"/>
            <w:vAlign w:val="bottom"/>
          </w:tcPr>
          <w:p>
            <w:pPr>
              <w:spacing w:after="0"/>
              <w:rPr>
                <w:sz w:val="17"/>
                <w:szCs w:val="17"/>
                <w:color w:val="auto"/>
              </w:rPr>
            </w:pPr>
          </w:p>
        </w:tc>
        <w:tc>
          <w:tcPr>
            <w:tcW w:w="104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368</w:t>
            </w:r>
          </w:p>
        </w:tc>
        <w:tc>
          <w:tcPr>
            <w:tcW w:w="200" w:type="dxa"/>
            <w:vAlign w:val="bottom"/>
          </w:tcPr>
          <w:p>
            <w:pPr>
              <w:spacing w:after="0"/>
              <w:rPr>
                <w:sz w:val="17"/>
                <w:szCs w:val="17"/>
                <w:color w:val="auto"/>
              </w:rPr>
            </w:pPr>
          </w:p>
        </w:tc>
        <w:tc>
          <w:tcPr>
            <w:tcW w:w="114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7"/>
                <w:szCs w:val="17"/>
                <w:color w:val="auto"/>
              </w:rPr>
            </w:pPr>
          </w:p>
        </w:tc>
        <w:tc>
          <w:tcPr>
            <w:tcW w:w="94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7"/>
                <w:szCs w:val="17"/>
                <w:color w:val="auto"/>
              </w:rPr>
            </w:pPr>
          </w:p>
        </w:tc>
        <w:tc>
          <w:tcPr>
            <w:tcW w:w="124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7"/>
                <w:szCs w:val="17"/>
                <w:color w:val="auto"/>
              </w:rPr>
            </w:pPr>
          </w:p>
        </w:tc>
        <w:tc>
          <w:tcPr>
            <w:tcW w:w="100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7"/>
                <w:szCs w:val="17"/>
                <w:color w:val="auto"/>
              </w:rPr>
            </w:pPr>
          </w:p>
        </w:tc>
        <w:tc>
          <w:tcPr>
            <w:tcW w:w="104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368</w:t>
            </w:r>
          </w:p>
        </w:tc>
        <w:tc>
          <w:tcPr>
            <w:tcW w:w="0" w:type="dxa"/>
            <w:vAlign w:val="bottom"/>
          </w:tcPr>
          <w:p>
            <w:pPr>
              <w:spacing w:after="0"/>
              <w:rPr>
                <w:sz w:val="1"/>
                <w:szCs w:val="1"/>
                <w:color w:val="auto"/>
              </w:rPr>
            </w:pPr>
          </w:p>
        </w:tc>
      </w:tr>
      <w:tr>
        <w:trPr>
          <w:trHeight w:val="224"/>
        </w:trPr>
        <w:tc>
          <w:tcPr>
            <w:tcW w:w="2440" w:type="dxa"/>
            <w:vAlign w:val="bottom"/>
          </w:tcPr>
          <w:p>
            <w:pPr>
              <w:ind w:left="180"/>
              <w:spacing w:after="0"/>
              <w:rPr>
                <w:sz w:val="20"/>
                <w:szCs w:val="20"/>
                <w:color w:val="auto"/>
              </w:rPr>
            </w:pPr>
            <w:r>
              <w:rPr>
                <w:rFonts w:ascii="Arial" w:cs="Arial" w:eastAsia="Arial" w:hAnsi="Arial"/>
                <w:sz w:val="16"/>
                <w:szCs w:val="16"/>
                <w:b w:val="1"/>
                <w:bCs w:val="1"/>
                <w:color w:val="auto"/>
              </w:rPr>
              <w:t>rate changes</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440" w:type="dxa"/>
            <w:vAlign w:val="bottom"/>
          </w:tcPr>
          <w:p>
            <w:pPr>
              <w:ind w:left="20"/>
              <w:spacing w:after="0"/>
              <w:rPr>
                <w:sz w:val="20"/>
                <w:szCs w:val="20"/>
                <w:color w:val="auto"/>
              </w:rPr>
            </w:pPr>
            <w:r>
              <w:rPr>
                <w:rFonts w:ascii="Arial" w:cs="Arial" w:eastAsia="Arial" w:hAnsi="Arial"/>
                <w:sz w:val="16"/>
                <w:szCs w:val="16"/>
                <w:b w:val="1"/>
                <w:bCs w:val="1"/>
                <w:color w:val="auto"/>
              </w:rPr>
              <w:t>As of September 30, 2026</w:t>
            </w: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440" w:type="dxa"/>
            <w:vAlign w:val="bottom"/>
          </w:tcPr>
          <w:p>
            <w:pPr>
              <w:ind w:left="220"/>
              <w:spacing w:after="0"/>
              <w:rPr>
                <w:sz w:val="20"/>
                <w:szCs w:val="20"/>
                <w:color w:val="auto"/>
              </w:rPr>
            </w:pPr>
            <w:r>
              <w:rPr>
                <w:rFonts w:ascii="Arial" w:cs="Arial" w:eastAsia="Arial" w:hAnsi="Arial"/>
                <w:sz w:val="16"/>
                <w:szCs w:val="16"/>
                <w:b w:val="1"/>
                <w:bCs w:val="1"/>
                <w:color w:val="auto"/>
              </w:rPr>
              <w:t>Goodwill</w:t>
            </w:r>
          </w:p>
        </w:tc>
        <w:tc>
          <w:tcPr>
            <w:tcW w:w="160" w:type="dxa"/>
            <w:vAlign w:val="bottom"/>
          </w:tcPr>
          <w:p>
            <w:pPr>
              <w:spacing w:after="0"/>
              <w:rPr>
                <w:sz w:val="21"/>
                <w:szCs w:val="21"/>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1,128,890</w:t>
            </w:r>
          </w:p>
        </w:tc>
        <w:tc>
          <w:tcPr>
            <w:tcW w:w="200" w:type="dxa"/>
            <w:vAlign w:val="bottom"/>
          </w:tcPr>
          <w:p>
            <w:pPr>
              <w:spacing w:after="0"/>
              <w:rPr>
                <w:sz w:val="21"/>
                <w:szCs w:val="21"/>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b w:val="1"/>
                <w:bCs w:val="1"/>
                <w:color w:val="auto"/>
              </w:rPr>
              <w:t>190,815</w:t>
            </w:r>
          </w:p>
        </w:tc>
        <w:tc>
          <w:tcPr>
            <w:tcW w:w="200" w:type="dxa"/>
            <w:vAlign w:val="bottom"/>
          </w:tcPr>
          <w:p>
            <w:pPr>
              <w:spacing w:after="0"/>
              <w:rPr>
                <w:sz w:val="21"/>
                <w:szCs w:val="21"/>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154,758</w:t>
            </w:r>
          </w:p>
        </w:tc>
        <w:tc>
          <w:tcPr>
            <w:tcW w:w="200" w:type="dxa"/>
            <w:vAlign w:val="bottom"/>
          </w:tcPr>
          <w:p>
            <w:pPr>
              <w:spacing w:after="0"/>
              <w:rPr>
                <w:sz w:val="21"/>
                <w:szCs w:val="21"/>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b w:val="1"/>
                <w:bCs w:val="1"/>
                <w:color w:val="auto"/>
              </w:rPr>
              <w:t>272,523</w:t>
            </w:r>
          </w:p>
        </w:tc>
        <w:tc>
          <w:tcPr>
            <w:tcW w:w="200" w:type="dxa"/>
            <w:vAlign w:val="bottom"/>
          </w:tcPr>
          <w:p>
            <w:pPr>
              <w:spacing w:after="0"/>
              <w:rPr>
                <w:sz w:val="21"/>
                <w:szCs w:val="21"/>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b w:val="1"/>
                <w:bCs w:val="1"/>
                <w:color w:val="auto"/>
              </w:rPr>
              <w:t>140,832</w:t>
            </w:r>
          </w:p>
        </w:tc>
        <w:tc>
          <w:tcPr>
            <w:tcW w:w="200" w:type="dxa"/>
            <w:vAlign w:val="bottom"/>
          </w:tcPr>
          <w:p>
            <w:pPr>
              <w:spacing w:after="0"/>
              <w:rPr>
                <w:sz w:val="21"/>
                <w:szCs w:val="21"/>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108,943</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1,996,761</w:t>
            </w:r>
          </w:p>
        </w:tc>
        <w:tc>
          <w:tcPr>
            <w:tcW w:w="0" w:type="dxa"/>
            <w:vAlign w:val="bottom"/>
          </w:tcPr>
          <w:p>
            <w:pPr>
              <w:spacing w:after="0"/>
              <w:rPr>
                <w:sz w:val="1"/>
                <w:szCs w:val="1"/>
                <w:color w:val="auto"/>
              </w:rPr>
            </w:pPr>
          </w:p>
        </w:tc>
      </w:tr>
      <w:tr>
        <w:trPr>
          <w:trHeight w:val="196"/>
        </w:trPr>
        <w:tc>
          <w:tcPr>
            <w:tcW w:w="2440" w:type="dxa"/>
            <w:vAlign w:val="bottom"/>
          </w:tcPr>
          <w:p>
            <w:pPr>
              <w:ind w:left="220"/>
              <w:spacing w:after="0"/>
              <w:rPr>
                <w:sz w:val="20"/>
                <w:szCs w:val="20"/>
                <w:color w:val="auto"/>
              </w:rPr>
            </w:pPr>
            <w:r>
              <w:rPr>
                <w:rFonts w:ascii="Arial" w:cs="Arial" w:eastAsia="Arial" w:hAnsi="Arial"/>
                <w:sz w:val="16"/>
                <w:szCs w:val="16"/>
                <w:b w:val="1"/>
                <w:bCs w:val="1"/>
                <w:color w:val="auto"/>
              </w:rPr>
              <w:t>Accumulated impairment</w:t>
            </w:r>
          </w:p>
        </w:tc>
        <w:tc>
          <w:tcPr>
            <w:tcW w:w="16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(331,151)</w:t>
            </w:r>
          </w:p>
        </w:tc>
        <w:tc>
          <w:tcPr>
            <w:tcW w:w="200" w:type="dxa"/>
            <w:vAlign w:val="bottom"/>
          </w:tcPr>
          <w:p>
            <w:pPr>
              <w:spacing w:after="0"/>
              <w:rPr>
                <w:sz w:val="17"/>
                <w:szCs w:val="17"/>
                <w:color w:val="auto"/>
              </w:rPr>
            </w:pPr>
          </w:p>
        </w:tc>
        <w:tc>
          <w:tcPr>
            <w:tcW w:w="114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7"/>
                <w:szCs w:val="17"/>
                <w:color w:val="auto"/>
              </w:rPr>
            </w:pPr>
          </w:p>
        </w:tc>
        <w:tc>
          <w:tcPr>
            <w:tcW w:w="94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(82,062)</w:t>
            </w:r>
          </w:p>
        </w:tc>
        <w:tc>
          <w:tcPr>
            <w:tcW w:w="200" w:type="dxa"/>
            <w:vAlign w:val="bottom"/>
          </w:tcPr>
          <w:p>
            <w:pPr>
              <w:spacing w:after="0"/>
              <w:rPr>
                <w:sz w:val="17"/>
                <w:szCs w:val="17"/>
                <w:color w:val="auto"/>
              </w:rPr>
            </w:pPr>
          </w:p>
        </w:tc>
        <w:tc>
          <w:tcPr>
            <w:tcW w:w="100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(32,155)</w:t>
            </w:r>
          </w:p>
        </w:tc>
        <w:tc>
          <w:tcPr>
            <w:tcW w:w="30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(445,368)</w:t>
            </w:r>
          </w:p>
        </w:tc>
        <w:tc>
          <w:tcPr>
            <w:tcW w:w="0" w:type="dxa"/>
            <w:vAlign w:val="bottom"/>
          </w:tcPr>
          <w:p>
            <w:pPr>
              <w:spacing w:after="0"/>
              <w:rPr>
                <w:sz w:val="1"/>
                <w:szCs w:val="1"/>
                <w:color w:val="auto"/>
              </w:rPr>
            </w:pPr>
          </w:p>
        </w:tc>
      </w:tr>
      <w:tr>
        <w:trPr>
          <w:trHeight w:val="226"/>
        </w:trPr>
        <w:tc>
          <w:tcPr>
            <w:tcW w:w="2440" w:type="dxa"/>
            <w:vAlign w:val="bottom"/>
          </w:tcPr>
          <w:p>
            <w:pPr>
              <w:ind w:left="400"/>
              <w:spacing w:after="0"/>
              <w:rPr>
                <w:sz w:val="20"/>
                <w:szCs w:val="20"/>
                <w:color w:val="auto"/>
              </w:rPr>
            </w:pPr>
            <w:r>
              <w:rPr>
                <w:rFonts w:ascii="Arial" w:cs="Arial" w:eastAsia="Arial" w:hAnsi="Arial"/>
                <w:sz w:val="16"/>
                <w:szCs w:val="16"/>
                <w:b w:val="1"/>
                <w:bCs w:val="1"/>
                <w:color w:val="auto"/>
              </w:rPr>
              <w:t>losses</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44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797,739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190,815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154,758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190,461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140,832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76,788</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1,551,393</w:t>
            </w:r>
          </w:p>
        </w:tc>
        <w:tc>
          <w:tcPr>
            <w:tcW w:w="0" w:type="dxa"/>
            <w:vAlign w:val="bottom"/>
          </w:tcPr>
          <w:p>
            <w:pPr>
              <w:spacing w:after="0"/>
              <w:rPr>
                <w:sz w:val="1"/>
                <w:szCs w:val="1"/>
                <w:color w:val="auto"/>
              </w:rPr>
            </w:pPr>
          </w:p>
        </w:tc>
      </w:tr>
      <w:tr>
        <w:trPr>
          <w:trHeight w:val="24"/>
        </w:trPr>
        <w:tc>
          <w:tcPr>
            <w:tcW w:w="24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carrying amount of goodwill at the Company’s education and healthcare divisions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0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40" w:type="dxa"/>
            <w:vAlign w:val="bottom"/>
          </w:tcPr>
          <w:p>
            <w:pPr>
              <w:spacing w:after="0"/>
              <w:rPr>
                <w:sz w:val="14"/>
                <w:szCs w:val="14"/>
                <w:color w:val="auto"/>
              </w:rPr>
            </w:pPr>
          </w:p>
        </w:tc>
        <w:tc>
          <w:tcPr>
            <w:tcW w:w="1080" w:type="dxa"/>
            <w:vAlign w:val="bottom"/>
          </w:tcPr>
          <w:p>
            <w:pPr>
              <w:jc w:val="right"/>
              <w:ind w:right="320"/>
              <w:spacing w:after="0"/>
              <w:rPr>
                <w:sz w:val="20"/>
                <w:szCs w:val="20"/>
                <w:color w:val="auto"/>
              </w:rPr>
            </w:pPr>
            <w:r>
              <w:rPr>
                <w:rFonts w:ascii="Arial" w:cs="Arial" w:eastAsia="Arial" w:hAnsi="Arial"/>
                <w:sz w:val="14"/>
                <w:szCs w:val="14"/>
                <w:b w:val="1"/>
                <w:bCs w:val="1"/>
                <w:color w:val="auto"/>
              </w:rPr>
              <w:t>Kaplan</w:t>
            </w:r>
          </w:p>
        </w:tc>
        <w:tc>
          <w:tcPr>
            <w:tcW w:w="220" w:type="dxa"/>
            <w:vAlign w:val="bottom"/>
          </w:tcPr>
          <w:p>
            <w:pPr>
              <w:spacing w:after="0"/>
              <w:rPr>
                <w:sz w:val="14"/>
                <w:szCs w:val="14"/>
                <w:color w:val="auto"/>
              </w:rPr>
            </w:pPr>
          </w:p>
        </w:tc>
        <w:tc>
          <w:tcPr>
            <w:tcW w:w="1040" w:type="dxa"/>
            <w:vAlign w:val="bottom"/>
          </w:tcPr>
          <w:p>
            <w:pPr>
              <w:jc w:val="right"/>
              <w:ind w:right="320"/>
              <w:spacing w:after="0"/>
              <w:rPr>
                <w:sz w:val="20"/>
                <w:szCs w:val="20"/>
                <w:color w:val="auto"/>
              </w:rPr>
            </w:pPr>
            <w:r>
              <w:rPr>
                <w:rFonts w:ascii="Arial" w:cs="Arial" w:eastAsia="Arial" w:hAnsi="Arial"/>
                <w:sz w:val="14"/>
                <w:szCs w:val="14"/>
                <w:b w:val="1"/>
                <w:bCs w:val="1"/>
                <w:color w:val="auto"/>
              </w:rPr>
              <w:t>Higher</w:t>
            </w:r>
          </w:p>
        </w:tc>
        <w:tc>
          <w:tcPr>
            <w:tcW w:w="200" w:type="dxa"/>
            <w:vAlign w:val="bottom"/>
          </w:tcPr>
          <w:p>
            <w:pPr>
              <w:spacing w:after="0"/>
              <w:rPr>
                <w:sz w:val="14"/>
                <w:szCs w:val="14"/>
                <w:color w:val="auto"/>
              </w:rPr>
            </w:pPr>
          </w:p>
        </w:tc>
        <w:tc>
          <w:tcPr>
            <w:tcW w:w="1180" w:type="dxa"/>
            <w:vAlign w:val="bottom"/>
          </w:tcPr>
          <w:p>
            <w:pPr>
              <w:jc w:val="right"/>
              <w:ind w:right="140"/>
              <w:spacing w:after="0"/>
              <w:rPr>
                <w:sz w:val="20"/>
                <w:szCs w:val="20"/>
                <w:color w:val="auto"/>
              </w:rPr>
            </w:pPr>
            <w:r>
              <w:rPr>
                <w:rFonts w:ascii="Arial" w:cs="Arial" w:eastAsia="Arial" w:hAnsi="Arial"/>
                <w:sz w:val="14"/>
                <w:szCs w:val="14"/>
                <w:b w:val="1"/>
                <w:bCs w:val="1"/>
                <w:color w:val="auto"/>
              </w:rPr>
              <w:t>Supplemental</w:t>
            </w:r>
          </w:p>
        </w:tc>
        <w:tc>
          <w:tcPr>
            <w:tcW w:w="240" w:type="dxa"/>
            <w:vAlign w:val="bottom"/>
          </w:tcPr>
          <w:p>
            <w:pPr>
              <w:spacing w:after="0"/>
              <w:rPr>
                <w:sz w:val="14"/>
                <w:szCs w:val="14"/>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4"/>
                <w:szCs w:val="14"/>
                <w:color w:val="auto"/>
              </w:rPr>
            </w:pPr>
          </w:p>
        </w:tc>
        <w:tc>
          <w:tcPr>
            <w:tcW w:w="780" w:type="dxa"/>
            <w:vAlign w:val="bottom"/>
            <w:vMerge w:val="restart"/>
          </w:tcPr>
          <w:p>
            <w:pPr>
              <w:jc w:val="right"/>
              <w:ind w:right="319"/>
              <w:spacing w:after="0"/>
              <w:rPr>
                <w:sz w:val="20"/>
                <w:szCs w:val="20"/>
                <w:color w:val="auto"/>
              </w:rPr>
            </w:pPr>
            <w:r>
              <w:rPr>
                <w:rFonts w:ascii="Arial" w:cs="Arial" w:eastAsia="Arial" w:hAnsi="Arial"/>
                <w:sz w:val="14"/>
                <w:szCs w:val="14"/>
                <w:b w:val="1"/>
                <w:bCs w:val="1"/>
                <w:color w:val="auto"/>
              </w:rPr>
              <w:t>CSI</w:t>
            </w:r>
          </w:p>
        </w:tc>
        <w:tc>
          <w:tcPr>
            <w:tcW w:w="200" w:type="dxa"/>
            <w:vAlign w:val="bottom"/>
          </w:tcPr>
          <w:p>
            <w:pPr>
              <w:spacing w:after="0"/>
              <w:rPr>
                <w:sz w:val="14"/>
                <w:szCs w:val="14"/>
                <w:color w:val="auto"/>
              </w:rPr>
            </w:pPr>
          </w:p>
        </w:tc>
        <w:tc>
          <w:tcPr>
            <w:tcW w:w="940" w:type="dxa"/>
            <w:vAlign w:val="bottom"/>
          </w:tcPr>
          <w:p>
            <w:pPr>
              <w:jc w:val="right"/>
              <w:ind w:right="280"/>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4"/>
                <w:szCs w:val="14"/>
                <w:color w:val="auto"/>
              </w:rPr>
            </w:pPr>
          </w:p>
        </w:tc>
        <w:tc>
          <w:tcPr>
            <w:tcW w:w="960" w:type="dxa"/>
            <w:vAlign w:val="bottom"/>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7"/>
        </w:trPr>
        <w:tc>
          <w:tcPr>
            <w:tcW w:w="26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120"/>
              <w:spacing w:after="0"/>
              <w:rPr>
                <w:sz w:val="20"/>
                <w:szCs w:val="20"/>
                <w:color w:val="auto"/>
              </w:rPr>
            </w:pPr>
            <w:r>
              <w:rPr>
                <w:rFonts w:ascii="Arial" w:cs="Arial" w:eastAsia="Arial" w:hAnsi="Arial"/>
                <w:sz w:val="14"/>
                <w:szCs w:val="14"/>
                <w:b w:val="1"/>
                <w:bCs w:val="1"/>
                <w:color w:val="auto"/>
              </w:rPr>
              <w:t>International</w:t>
            </w:r>
          </w:p>
        </w:tc>
        <w:tc>
          <w:tcPr>
            <w:tcW w:w="220" w:type="dxa"/>
            <w:vAlign w:val="bottom"/>
          </w:tcPr>
          <w:p>
            <w:pPr>
              <w:spacing w:after="0"/>
              <w:rPr>
                <w:sz w:val="17"/>
                <w:szCs w:val="17"/>
                <w:color w:val="auto"/>
              </w:rPr>
            </w:pPr>
          </w:p>
        </w:tc>
        <w:tc>
          <w:tcPr>
            <w:tcW w:w="1040" w:type="dxa"/>
            <w:vAlign w:val="bottom"/>
          </w:tcPr>
          <w:p>
            <w:pPr>
              <w:jc w:val="right"/>
              <w:ind w:right="200"/>
              <w:spacing w:after="0"/>
              <w:rPr>
                <w:sz w:val="20"/>
                <w:szCs w:val="20"/>
                <w:color w:val="auto"/>
              </w:rPr>
            </w:pPr>
            <w:r>
              <w:rPr>
                <w:rFonts w:ascii="Arial" w:cs="Arial" w:eastAsia="Arial" w:hAnsi="Arial"/>
                <w:sz w:val="14"/>
                <w:szCs w:val="14"/>
                <w:b w:val="1"/>
                <w:bCs w:val="1"/>
                <w:color w:val="auto"/>
              </w:rPr>
              <w:t>Education</w:t>
            </w:r>
          </w:p>
        </w:tc>
        <w:tc>
          <w:tcPr>
            <w:tcW w:w="200" w:type="dxa"/>
            <w:vAlign w:val="bottom"/>
          </w:tcPr>
          <w:p>
            <w:pPr>
              <w:spacing w:after="0"/>
              <w:rPr>
                <w:sz w:val="17"/>
                <w:szCs w:val="17"/>
                <w:color w:val="auto"/>
              </w:rPr>
            </w:pPr>
          </w:p>
        </w:tc>
        <w:tc>
          <w:tcPr>
            <w:tcW w:w="1180" w:type="dxa"/>
            <w:vAlign w:val="bottom"/>
          </w:tcPr>
          <w:p>
            <w:pPr>
              <w:jc w:val="right"/>
              <w:ind w:right="260"/>
              <w:spacing w:after="0"/>
              <w:rPr>
                <w:sz w:val="20"/>
                <w:szCs w:val="20"/>
                <w:color w:val="auto"/>
              </w:rPr>
            </w:pPr>
            <w:r>
              <w:rPr>
                <w:rFonts w:ascii="Arial" w:cs="Arial" w:eastAsia="Arial" w:hAnsi="Arial"/>
                <w:sz w:val="14"/>
                <w:szCs w:val="14"/>
                <w:b w:val="1"/>
                <w:bCs w:val="1"/>
                <w:color w:val="auto"/>
              </w:rPr>
              <w:t>Education</w:t>
            </w:r>
          </w:p>
        </w:tc>
        <w:tc>
          <w:tcPr>
            <w:tcW w:w="240" w:type="dxa"/>
            <w:vAlign w:val="bottom"/>
          </w:tcPr>
          <w:p>
            <w:pPr>
              <w:spacing w:after="0"/>
              <w:rPr>
                <w:sz w:val="17"/>
                <w:szCs w:val="17"/>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Education</w:t>
            </w:r>
          </w:p>
        </w:tc>
        <w:tc>
          <w:tcPr>
            <w:tcW w:w="2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ind w:right="100"/>
              <w:spacing w:after="0"/>
              <w:rPr>
                <w:sz w:val="20"/>
                <w:szCs w:val="20"/>
                <w:color w:val="auto"/>
              </w:rPr>
            </w:pPr>
            <w:r>
              <w:rPr>
                <w:rFonts w:ascii="Arial" w:cs="Arial" w:eastAsia="Arial" w:hAnsi="Arial"/>
                <w:sz w:val="14"/>
                <w:szCs w:val="14"/>
                <w:b w:val="1"/>
                <w:bCs w:val="1"/>
                <w:color w:val="auto"/>
              </w:rPr>
              <w:t>Healthcare</w:t>
            </w:r>
          </w:p>
        </w:tc>
        <w:tc>
          <w:tcPr>
            <w:tcW w:w="220" w:type="dxa"/>
            <w:vAlign w:val="bottom"/>
          </w:tcPr>
          <w:p>
            <w:pPr>
              <w:spacing w:after="0"/>
              <w:rPr>
                <w:sz w:val="17"/>
                <w:szCs w:val="17"/>
                <w:color w:val="auto"/>
              </w:rPr>
            </w:pPr>
          </w:p>
        </w:tc>
        <w:tc>
          <w:tcPr>
            <w:tcW w:w="960" w:type="dxa"/>
            <w:vAlign w:val="bottom"/>
          </w:tcPr>
          <w:p>
            <w:pPr>
              <w:jc w:val="right"/>
              <w:ind w:right="100"/>
              <w:spacing w:after="0"/>
              <w:rPr>
                <w:sz w:val="20"/>
                <w:szCs w:val="20"/>
                <w:color w:val="auto"/>
              </w:rPr>
            </w:pPr>
            <w:r>
              <w:rPr>
                <w:rFonts w:ascii="Arial" w:cs="Arial" w:eastAsia="Arial" w:hAnsi="Arial"/>
                <w:sz w:val="14"/>
                <w:szCs w:val="14"/>
                <w:b w:val="1"/>
                <w:bCs w:val="1"/>
                <w:color w:val="auto"/>
              </w:rPr>
              <w:t>Healthcare</w:t>
            </w:r>
          </w:p>
        </w:tc>
        <w:tc>
          <w:tcPr>
            <w:tcW w:w="0" w:type="dxa"/>
            <w:vAlign w:val="bottom"/>
          </w:tcPr>
          <w:p>
            <w:pPr>
              <w:spacing w:after="0"/>
              <w:rPr>
                <w:sz w:val="1"/>
                <w:szCs w:val="1"/>
                <w:color w:val="auto"/>
              </w:rPr>
            </w:pPr>
          </w:p>
        </w:tc>
      </w:tr>
      <w:tr>
        <w:trPr>
          <w:trHeight w:val="222"/>
        </w:trPr>
        <w:tc>
          <w:tcPr>
            <w:tcW w:w="26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As of December 31, 2025</w:t>
            </w:r>
          </w:p>
        </w:tc>
        <w:tc>
          <w:tcPr>
            <w:tcW w:w="1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600" w:type="dxa"/>
            <w:vAlign w:val="bottom"/>
          </w:tcPr>
          <w:p>
            <w:pPr>
              <w:ind w:left="220"/>
              <w:spacing w:after="0"/>
              <w:rPr>
                <w:sz w:val="20"/>
                <w:szCs w:val="20"/>
                <w:color w:val="auto"/>
              </w:rPr>
            </w:pPr>
            <w:r>
              <w:rPr>
                <w:rFonts w:ascii="Arial" w:cs="Arial" w:eastAsia="Arial" w:hAnsi="Arial"/>
                <w:sz w:val="16"/>
                <w:szCs w:val="16"/>
                <w:color w:val="auto"/>
              </w:rPr>
              <w:t>Goodwill</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614,096</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174,564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392,624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1,181,284</w:t>
            </w:r>
          </w:p>
        </w:tc>
        <w:tc>
          <w:tcPr>
            <w:tcW w:w="200" w:type="dxa"/>
            <w:vAlign w:val="bottom"/>
          </w:tcPr>
          <w:p>
            <w:pPr>
              <w:spacing w:after="0"/>
              <w:rPr>
                <w:sz w:val="21"/>
                <w:szCs w:val="21"/>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87,140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49,497</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136,637</w:t>
            </w:r>
          </w:p>
        </w:tc>
        <w:tc>
          <w:tcPr>
            <w:tcW w:w="0" w:type="dxa"/>
            <w:vAlign w:val="bottom"/>
          </w:tcPr>
          <w:p>
            <w:pPr>
              <w:spacing w:after="0"/>
              <w:rPr>
                <w:sz w:val="1"/>
                <w:szCs w:val="1"/>
                <w:color w:val="auto"/>
              </w:rPr>
            </w:pPr>
          </w:p>
        </w:tc>
      </w:tr>
      <w:tr>
        <w:trPr>
          <w:trHeight w:val="252"/>
        </w:trPr>
        <w:tc>
          <w:tcPr>
            <w:tcW w:w="2600" w:type="dxa"/>
            <w:vAlign w:val="bottom"/>
          </w:tcPr>
          <w:p>
            <w:pPr>
              <w:ind w:left="220"/>
              <w:spacing w:after="0"/>
              <w:rPr>
                <w:sz w:val="20"/>
                <w:szCs w:val="20"/>
                <w:color w:val="auto"/>
              </w:rPr>
            </w:pPr>
            <w:r>
              <w:rPr>
                <w:rFonts w:ascii="Arial" w:cs="Arial" w:eastAsia="Arial" w:hAnsi="Arial"/>
                <w:sz w:val="16"/>
                <w:szCs w:val="16"/>
                <w:color w:val="auto"/>
              </w:rPr>
              <w:t>Accumulated impairment losses</w:t>
            </w: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(111,324)</w:t>
            </w: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(219,827)</w:t>
            </w: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(331,151)</w:t>
            </w:r>
          </w:p>
        </w:tc>
        <w:tc>
          <w:tcPr>
            <w:tcW w:w="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8"/>
        </w:trPr>
        <w:tc>
          <w:tcPr>
            <w:tcW w:w="2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614,096</w:t>
            </w:r>
          </w:p>
        </w:tc>
        <w:tc>
          <w:tcPr>
            <w:tcW w:w="22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63,240</w:t>
            </w:r>
          </w:p>
        </w:tc>
        <w:tc>
          <w:tcPr>
            <w:tcW w:w="200" w:type="dxa"/>
            <w:vAlign w:val="bottom"/>
          </w:tcPr>
          <w:p>
            <w:pPr>
              <w:spacing w:after="0"/>
              <w:rPr>
                <w:sz w:val="19"/>
                <w:szCs w:val="19"/>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172,797</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850,133</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87,140</w:t>
            </w:r>
          </w:p>
        </w:tc>
        <w:tc>
          <w:tcPr>
            <w:tcW w:w="2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49,497</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136,637</w:t>
            </w:r>
          </w:p>
        </w:tc>
        <w:tc>
          <w:tcPr>
            <w:tcW w:w="0" w:type="dxa"/>
            <w:vAlign w:val="bottom"/>
          </w:tcPr>
          <w:p>
            <w:pPr>
              <w:spacing w:after="0"/>
              <w:rPr>
                <w:sz w:val="1"/>
                <w:szCs w:val="1"/>
                <w:color w:val="auto"/>
              </w:rPr>
            </w:pPr>
          </w:p>
        </w:tc>
      </w:tr>
      <w:tr>
        <w:trPr>
          <w:trHeight w:val="251"/>
        </w:trPr>
        <w:tc>
          <w:tcPr>
            <w:tcW w:w="2600" w:type="dxa"/>
            <w:vAlign w:val="bottom"/>
          </w:tcPr>
          <w:p>
            <w:pPr>
              <w:ind w:left="20"/>
              <w:spacing w:after="0"/>
              <w:rPr>
                <w:sz w:val="20"/>
                <w:szCs w:val="20"/>
                <w:color w:val="auto"/>
              </w:rPr>
            </w:pPr>
            <w:r>
              <w:rPr>
                <w:rFonts w:ascii="Arial" w:cs="Arial" w:eastAsia="Arial" w:hAnsi="Arial"/>
                <w:sz w:val="16"/>
                <w:szCs w:val="16"/>
                <w:b w:val="1"/>
                <w:bCs w:val="1"/>
                <w:color w:val="auto"/>
              </w:rPr>
              <w:t>Acquisition</w:t>
            </w:r>
          </w:p>
        </w:tc>
        <w:tc>
          <w:tcPr>
            <w:tcW w:w="140" w:type="dxa"/>
            <w:vAlign w:val="bottom"/>
          </w:tcPr>
          <w:p>
            <w:pPr>
              <w:spacing w:after="0"/>
              <w:rPr>
                <w:sz w:val="21"/>
                <w:szCs w:val="21"/>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1"/>
                <w:szCs w:val="21"/>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21"/>
                <w:szCs w:val="21"/>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1"/>
                <w:szCs w:val="21"/>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21"/>
                <w:szCs w:val="21"/>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18,121</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18,121</w:t>
            </w:r>
          </w:p>
        </w:tc>
        <w:tc>
          <w:tcPr>
            <w:tcW w:w="0" w:type="dxa"/>
            <w:vAlign w:val="bottom"/>
          </w:tcPr>
          <w:p>
            <w:pPr>
              <w:spacing w:after="0"/>
              <w:rPr>
                <w:sz w:val="1"/>
                <w:szCs w:val="1"/>
                <w:color w:val="auto"/>
              </w:rPr>
            </w:pPr>
          </w:p>
        </w:tc>
      </w:tr>
      <w:tr>
        <w:trPr>
          <w:trHeight w:val="243"/>
        </w:trPr>
        <w:tc>
          <w:tcPr>
            <w:tcW w:w="2600" w:type="dxa"/>
            <w:vAlign w:val="bottom"/>
          </w:tcPr>
          <w:p>
            <w:pPr>
              <w:ind w:left="20"/>
              <w:spacing w:after="0"/>
              <w:rPr>
                <w:sz w:val="20"/>
                <w:szCs w:val="20"/>
                <w:color w:val="auto"/>
              </w:rPr>
            </w:pPr>
            <w:r>
              <w:rPr>
                <w:rFonts w:ascii="Arial" w:cs="Arial" w:eastAsia="Arial" w:hAnsi="Arial"/>
                <w:sz w:val="16"/>
                <w:szCs w:val="16"/>
                <w:b w:val="1"/>
                <w:bCs w:val="1"/>
                <w:color w:val="auto"/>
              </w:rPr>
              <w:t>Impairment</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(976)</w:t>
            </w:r>
          </w:p>
        </w:tc>
        <w:tc>
          <w:tcPr>
            <w:tcW w:w="220" w:type="dxa"/>
            <w:vAlign w:val="bottom"/>
          </w:tcPr>
          <w:p>
            <w:pPr>
              <w:spacing w:after="0"/>
              <w:rPr>
                <w:sz w:val="21"/>
                <w:szCs w:val="21"/>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21"/>
                <w:szCs w:val="21"/>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(976)</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21"/>
                <w:szCs w:val="21"/>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43"/>
        </w:trPr>
        <w:tc>
          <w:tcPr>
            <w:tcW w:w="2600" w:type="dxa"/>
            <w:vAlign w:val="bottom"/>
          </w:tcPr>
          <w:p>
            <w:pPr>
              <w:ind w:left="20"/>
              <w:spacing w:after="0"/>
              <w:rPr>
                <w:sz w:val="20"/>
                <w:szCs w:val="20"/>
                <w:color w:val="auto"/>
              </w:rPr>
            </w:pPr>
            <w:r>
              <w:rPr>
                <w:rFonts w:ascii="Arial" w:cs="Arial" w:eastAsia="Arial" w:hAnsi="Arial"/>
                <w:sz w:val="16"/>
                <w:szCs w:val="16"/>
                <w:b w:val="1"/>
                <w:bCs w:val="1"/>
                <w:color w:val="auto"/>
              </w:rPr>
              <w:t>Disposition</w:t>
            </w:r>
          </w:p>
        </w:tc>
        <w:tc>
          <w:tcPr>
            <w:tcW w:w="140" w:type="dxa"/>
            <w:vAlign w:val="bottom"/>
          </w:tcPr>
          <w:p>
            <w:pPr>
              <w:spacing w:after="0"/>
              <w:rPr>
                <w:sz w:val="21"/>
                <w:szCs w:val="21"/>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1"/>
                <w:szCs w:val="21"/>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21"/>
                <w:szCs w:val="21"/>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1"/>
                <w:szCs w:val="21"/>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21"/>
                <w:szCs w:val="21"/>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96"/>
        </w:trPr>
        <w:tc>
          <w:tcPr>
            <w:tcW w:w="2600" w:type="dxa"/>
            <w:vAlign w:val="bottom"/>
          </w:tcPr>
          <w:p>
            <w:pPr>
              <w:ind w:left="20"/>
              <w:spacing w:after="0"/>
              <w:rPr>
                <w:sz w:val="20"/>
                <w:szCs w:val="20"/>
                <w:color w:val="auto"/>
              </w:rPr>
            </w:pPr>
            <w:r>
              <w:rPr>
                <w:rFonts w:ascii="Arial" w:cs="Arial" w:eastAsia="Arial" w:hAnsi="Arial"/>
                <w:sz w:val="16"/>
                <w:szCs w:val="16"/>
                <w:b w:val="1"/>
                <w:bCs w:val="1"/>
                <w:color w:val="auto"/>
              </w:rPr>
              <w:t>Reclassification to assets held</w:t>
            </w:r>
          </w:p>
        </w:tc>
        <w:tc>
          <w:tcPr>
            <w:tcW w:w="14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(51,786)</w:t>
            </w:r>
          </w:p>
        </w:tc>
        <w:tc>
          <w:tcPr>
            <w:tcW w:w="220" w:type="dxa"/>
            <w:vAlign w:val="bottom"/>
          </w:tcPr>
          <w:p>
            <w:pPr>
              <w:spacing w:after="0"/>
              <w:rPr>
                <w:sz w:val="17"/>
                <w:szCs w:val="17"/>
                <w:color w:val="auto"/>
              </w:rPr>
            </w:pPr>
          </w:p>
        </w:tc>
        <w:tc>
          <w:tcPr>
            <w:tcW w:w="104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7"/>
                <w:szCs w:val="17"/>
                <w:color w:val="auto"/>
              </w:rPr>
            </w:pPr>
          </w:p>
        </w:tc>
        <w:tc>
          <w:tcPr>
            <w:tcW w:w="118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(51,786)</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vMerge w:val="restart"/>
          </w:tcPr>
          <w:p>
            <w:pPr>
              <w:jc w:val="right"/>
              <w:ind w:right="19"/>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940" w:type="dxa"/>
            <w:vAlign w:val="bottom"/>
            <w:vMerge w:val="restart"/>
          </w:tcPr>
          <w:p>
            <w:pPr>
              <w:jc w:val="right"/>
              <w:ind w:right="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600" w:type="dxa"/>
            <w:vAlign w:val="bottom"/>
          </w:tcPr>
          <w:p>
            <w:pPr>
              <w:ind w:left="20"/>
              <w:spacing w:after="0"/>
              <w:rPr>
                <w:sz w:val="20"/>
                <w:szCs w:val="20"/>
                <w:color w:val="auto"/>
              </w:rPr>
            </w:pPr>
            <w:r>
              <w:rPr>
                <w:rFonts w:ascii="Arial" w:cs="Arial" w:eastAsia="Arial" w:hAnsi="Arial"/>
                <w:sz w:val="16"/>
                <w:szCs w:val="16"/>
                <w:b w:val="1"/>
                <w:bCs w:val="1"/>
                <w:color w:val="auto"/>
              </w:rPr>
              <w:t>for sale</w:t>
            </w:r>
          </w:p>
        </w:tc>
        <w:tc>
          <w:tcPr>
            <w:tcW w:w="14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600" w:type="dxa"/>
            <w:vAlign w:val="bottom"/>
          </w:tcPr>
          <w:p>
            <w:pPr>
              <w:ind w:left="20"/>
              <w:spacing w:after="0"/>
              <w:rPr>
                <w:sz w:val="20"/>
                <w:szCs w:val="20"/>
                <w:color w:val="auto"/>
              </w:rPr>
            </w:pPr>
            <w:r>
              <w:rPr>
                <w:rFonts w:ascii="Arial" w:cs="Arial" w:eastAsia="Arial" w:hAnsi="Arial"/>
                <w:sz w:val="16"/>
                <w:szCs w:val="16"/>
                <w:b w:val="1"/>
                <w:bCs w:val="1"/>
                <w:color w:val="auto"/>
              </w:rPr>
              <w:t>Foreign currency exchange rate</w:t>
            </w:r>
          </w:p>
        </w:tc>
        <w:tc>
          <w:tcPr>
            <w:tcW w:w="140" w:type="dxa"/>
            <w:vAlign w:val="bottom"/>
          </w:tcPr>
          <w:p>
            <w:pPr>
              <w:spacing w:after="0"/>
              <w:rPr>
                <w:sz w:val="17"/>
                <w:szCs w:val="17"/>
                <w:color w:val="auto"/>
              </w:rPr>
            </w:pPr>
          </w:p>
        </w:tc>
        <w:tc>
          <w:tcPr>
            <w:tcW w:w="108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431</w:t>
            </w:r>
          </w:p>
        </w:tc>
        <w:tc>
          <w:tcPr>
            <w:tcW w:w="220" w:type="dxa"/>
            <w:vAlign w:val="bottom"/>
          </w:tcPr>
          <w:p>
            <w:pPr>
              <w:spacing w:after="0"/>
              <w:rPr>
                <w:sz w:val="17"/>
                <w:szCs w:val="17"/>
                <w:color w:val="auto"/>
              </w:rPr>
            </w:pPr>
          </w:p>
        </w:tc>
        <w:tc>
          <w:tcPr>
            <w:tcW w:w="104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7"/>
                <w:szCs w:val="17"/>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(63)</w:t>
            </w:r>
          </w:p>
        </w:tc>
        <w:tc>
          <w:tcPr>
            <w:tcW w:w="24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368</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7"/>
                <w:szCs w:val="17"/>
                <w:color w:val="auto"/>
              </w:rPr>
            </w:pPr>
          </w:p>
        </w:tc>
        <w:tc>
          <w:tcPr>
            <w:tcW w:w="94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4"/>
        </w:trPr>
        <w:tc>
          <w:tcPr>
            <w:tcW w:w="2600" w:type="dxa"/>
            <w:vAlign w:val="bottom"/>
          </w:tcPr>
          <w:p>
            <w:pPr>
              <w:ind w:left="180"/>
              <w:spacing w:after="0"/>
              <w:rPr>
                <w:sz w:val="20"/>
                <w:szCs w:val="20"/>
                <w:color w:val="auto"/>
              </w:rPr>
            </w:pPr>
            <w:r>
              <w:rPr>
                <w:rFonts w:ascii="Arial" w:cs="Arial" w:eastAsia="Arial" w:hAnsi="Arial"/>
                <w:sz w:val="16"/>
                <w:szCs w:val="16"/>
                <w:b w:val="1"/>
                <w:bCs w:val="1"/>
                <w:color w:val="auto"/>
              </w:rPr>
              <w:t>changes</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600" w:type="dxa"/>
            <w:vAlign w:val="bottom"/>
          </w:tcPr>
          <w:p>
            <w:pPr>
              <w:ind w:left="20"/>
              <w:spacing w:after="0"/>
              <w:rPr>
                <w:sz w:val="20"/>
                <w:szCs w:val="20"/>
                <w:color w:val="auto"/>
              </w:rPr>
            </w:pPr>
            <w:r>
              <w:rPr>
                <w:rFonts w:ascii="Arial" w:cs="Arial" w:eastAsia="Arial" w:hAnsi="Arial"/>
                <w:sz w:val="16"/>
                <w:szCs w:val="16"/>
                <w:b w:val="1"/>
                <w:bCs w:val="1"/>
                <w:color w:val="auto"/>
              </w:rPr>
              <w:t>As of September 30, 2026</w:t>
            </w: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600" w:type="dxa"/>
            <w:vAlign w:val="bottom"/>
          </w:tcPr>
          <w:p>
            <w:pPr>
              <w:ind w:left="220"/>
              <w:spacing w:after="0"/>
              <w:rPr>
                <w:sz w:val="20"/>
                <w:szCs w:val="20"/>
                <w:color w:val="auto"/>
              </w:rPr>
            </w:pPr>
            <w:r>
              <w:rPr>
                <w:rFonts w:ascii="Arial" w:cs="Arial" w:eastAsia="Arial" w:hAnsi="Arial"/>
                <w:sz w:val="16"/>
                <w:szCs w:val="16"/>
                <w:b w:val="1"/>
                <w:bCs w:val="1"/>
                <w:color w:val="auto"/>
              </w:rPr>
              <w:t>Goodwill</w:t>
            </w:r>
          </w:p>
        </w:tc>
        <w:tc>
          <w:tcPr>
            <w:tcW w:w="140" w:type="dxa"/>
            <w:vAlign w:val="bottom"/>
          </w:tcPr>
          <w:p>
            <w:pPr>
              <w:spacing w:after="0"/>
              <w:rPr>
                <w:sz w:val="21"/>
                <w:szCs w:val="21"/>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b w:val="1"/>
                <w:bCs w:val="1"/>
                <w:color w:val="auto"/>
              </w:rPr>
              <w:t>561,765</w:t>
            </w:r>
          </w:p>
        </w:tc>
        <w:tc>
          <w:tcPr>
            <w:tcW w:w="220" w:type="dxa"/>
            <w:vAlign w:val="bottom"/>
          </w:tcPr>
          <w:p>
            <w:pPr>
              <w:spacing w:after="0"/>
              <w:rPr>
                <w:sz w:val="21"/>
                <w:szCs w:val="21"/>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174,564</w:t>
            </w:r>
          </w:p>
        </w:tc>
        <w:tc>
          <w:tcPr>
            <w:tcW w:w="200" w:type="dxa"/>
            <w:vAlign w:val="bottom"/>
          </w:tcPr>
          <w:p>
            <w:pPr>
              <w:spacing w:after="0"/>
              <w:rPr>
                <w:sz w:val="21"/>
                <w:szCs w:val="21"/>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b w:val="1"/>
                <w:bCs w:val="1"/>
                <w:color w:val="auto"/>
              </w:rPr>
              <w:t>392,561</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1,128,890</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b w:val="1"/>
                <w:bCs w:val="1"/>
                <w:color w:val="auto"/>
              </w:rPr>
              <w:t>87,140</w:t>
            </w:r>
          </w:p>
        </w:tc>
        <w:tc>
          <w:tcPr>
            <w:tcW w:w="200" w:type="dxa"/>
            <w:vAlign w:val="bottom"/>
          </w:tcPr>
          <w:p>
            <w:pPr>
              <w:spacing w:after="0"/>
              <w:rPr>
                <w:sz w:val="21"/>
                <w:szCs w:val="21"/>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67,618</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154,758</w:t>
            </w:r>
          </w:p>
        </w:tc>
        <w:tc>
          <w:tcPr>
            <w:tcW w:w="0" w:type="dxa"/>
            <w:vAlign w:val="bottom"/>
          </w:tcPr>
          <w:p>
            <w:pPr>
              <w:spacing w:after="0"/>
              <w:rPr>
                <w:sz w:val="1"/>
                <w:szCs w:val="1"/>
                <w:color w:val="auto"/>
              </w:rPr>
            </w:pPr>
          </w:p>
        </w:tc>
      </w:tr>
      <w:tr>
        <w:trPr>
          <w:trHeight w:val="196"/>
        </w:trPr>
        <w:tc>
          <w:tcPr>
            <w:tcW w:w="2600" w:type="dxa"/>
            <w:vAlign w:val="bottom"/>
          </w:tcPr>
          <w:p>
            <w:pPr>
              <w:ind w:left="220"/>
              <w:spacing w:after="0"/>
              <w:rPr>
                <w:sz w:val="20"/>
                <w:szCs w:val="20"/>
                <w:color w:val="auto"/>
              </w:rPr>
            </w:pPr>
            <w:r>
              <w:rPr>
                <w:rFonts w:ascii="Arial" w:cs="Arial" w:eastAsia="Arial" w:hAnsi="Arial"/>
                <w:sz w:val="16"/>
                <w:szCs w:val="16"/>
                <w:b w:val="1"/>
                <w:bCs w:val="1"/>
                <w:color w:val="auto"/>
              </w:rPr>
              <w:t>Accumulated impairment</w:t>
            </w:r>
          </w:p>
        </w:tc>
        <w:tc>
          <w:tcPr>
            <w:tcW w:w="140" w:type="dxa"/>
            <w:vAlign w:val="bottom"/>
          </w:tcPr>
          <w:p>
            <w:pPr>
              <w:spacing w:after="0"/>
              <w:rPr>
                <w:sz w:val="17"/>
                <w:szCs w:val="17"/>
                <w:color w:val="auto"/>
              </w:rPr>
            </w:pPr>
          </w:p>
        </w:tc>
        <w:tc>
          <w:tcPr>
            <w:tcW w:w="108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(111,324)</w:t>
            </w:r>
          </w:p>
        </w:tc>
        <w:tc>
          <w:tcPr>
            <w:tcW w:w="200" w:type="dxa"/>
            <w:vAlign w:val="bottom"/>
          </w:tcPr>
          <w:p>
            <w:pPr>
              <w:spacing w:after="0"/>
              <w:rPr>
                <w:sz w:val="17"/>
                <w:szCs w:val="17"/>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(219,827)</w:t>
            </w:r>
          </w:p>
        </w:tc>
        <w:tc>
          <w:tcPr>
            <w:tcW w:w="24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(331,151)</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7"/>
                <w:szCs w:val="17"/>
                <w:color w:val="auto"/>
              </w:rPr>
            </w:pPr>
          </w:p>
        </w:tc>
        <w:tc>
          <w:tcPr>
            <w:tcW w:w="94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6"/>
        </w:trPr>
        <w:tc>
          <w:tcPr>
            <w:tcW w:w="2600" w:type="dxa"/>
            <w:vAlign w:val="bottom"/>
          </w:tcPr>
          <w:p>
            <w:pPr>
              <w:ind w:left="400"/>
              <w:spacing w:after="0"/>
              <w:rPr>
                <w:sz w:val="20"/>
                <w:szCs w:val="20"/>
                <w:color w:val="auto"/>
              </w:rPr>
            </w:pPr>
            <w:r>
              <w:rPr>
                <w:rFonts w:ascii="Arial" w:cs="Arial" w:eastAsia="Arial" w:hAnsi="Arial"/>
                <w:sz w:val="16"/>
                <w:szCs w:val="16"/>
                <w:b w:val="1"/>
                <w:bCs w:val="1"/>
                <w:color w:val="auto"/>
              </w:rPr>
              <w:t>losses</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6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561,765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63,240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172,734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797,739</w:t>
            </w:r>
          </w:p>
        </w:tc>
        <w:tc>
          <w:tcPr>
            <w:tcW w:w="200" w:type="dxa"/>
            <w:vAlign w:val="bottom"/>
          </w:tcPr>
          <w:p>
            <w:pPr>
              <w:spacing w:after="0"/>
              <w:rPr>
                <w:sz w:val="20"/>
                <w:szCs w:val="20"/>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87,140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67,618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154,758</w:t>
            </w:r>
          </w:p>
        </w:tc>
        <w:tc>
          <w:tcPr>
            <w:tcW w:w="0" w:type="dxa"/>
            <w:vAlign w:val="bottom"/>
          </w:tcPr>
          <w:p>
            <w:pPr>
              <w:spacing w:after="0"/>
              <w:rPr>
                <w:sz w:val="1"/>
                <w:szCs w:val="1"/>
                <w:color w:val="auto"/>
              </w:rPr>
            </w:pPr>
          </w:p>
        </w:tc>
      </w:tr>
      <w:tr>
        <w:trPr>
          <w:trHeight w:val="24"/>
        </w:trPr>
        <w:tc>
          <w:tcPr>
            <w:tcW w:w="26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61"/>
        </w:trPr>
        <w:tc>
          <w:tcPr>
            <w:tcW w:w="2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right"/>
              <w:ind w:right="660"/>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2600" w:type="dxa"/>
            <w:vAlign w:val="bottom"/>
            <w:tcBorders>
              <w:bottom w:val="single" w:sz="8" w:color="9A9A9A"/>
            </w:tcBorders>
          </w:tcPr>
          <w:p>
            <w:pPr>
              <w:spacing w:after="0"/>
              <w:rPr>
                <w:sz w:val="23"/>
                <w:szCs w:val="23"/>
                <w:color w:val="auto"/>
              </w:rPr>
            </w:pPr>
          </w:p>
        </w:tc>
        <w:tc>
          <w:tcPr>
            <w:tcW w:w="140" w:type="dxa"/>
            <w:vAlign w:val="bottom"/>
            <w:tcBorders>
              <w:bottom w:val="single" w:sz="8" w:color="9A9A9A"/>
            </w:tcBorders>
          </w:tcPr>
          <w:p>
            <w:pPr>
              <w:spacing w:after="0"/>
              <w:rPr>
                <w:sz w:val="23"/>
                <w:szCs w:val="23"/>
                <w:color w:val="auto"/>
              </w:rPr>
            </w:pPr>
          </w:p>
        </w:tc>
        <w:tc>
          <w:tcPr>
            <w:tcW w:w="1080" w:type="dxa"/>
            <w:vAlign w:val="bottom"/>
            <w:tcBorders>
              <w:bottom w:val="single" w:sz="8" w:color="9A9A9A"/>
            </w:tcBorders>
          </w:tcPr>
          <w:p>
            <w:pPr>
              <w:spacing w:after="0"/>
              <w:rPr>
                <w:sz w:val="23"/>
                <w:szCs w:val="23"/>
                <w:color w:val="auto"/>
              </w:rPr>
            </w:pPr>
          </w:p>
        </w:tc>
        <w:tc>
          <w:tcPr>
            <w:tcW w:w="220" w:type="dxa"/>
            <w:vAlign w:val="bottom"/>
            <w:tcBorders>
              <w:bottom w:val="single" w:sz="8" w:color="9A9A9A"/>
            </w:tcBorders>
          </w:tcPr>
          <w:p>
            <w:pPr>
              <w:spacing w:after="0"/>
              <w:rPr>
                <w:sz w:val="23"/>
                <w:szCs w:val="23"/>
                <w:color w:val="auto"/>
              </w:rPr>
            </w:pPr>
          </w:p>
        </w:tc>
        <w:tc>
          <w:tcPr>
            <w:tcW w:w="1040" w:type="dxa"/>
            <w:vAlign w:val="bottom"/>
            <w:tcBorders>
              <w:bottom w:val="single" w:sz="8" w:color="9A9A9A"/>
            </w:tcBorders>
          </w:tcPr>
          <w:p>
            <w:pPr>
              <w:spacing w:after="0"/>
              <w:rPr>
                <w:sz w:val="23"/>
                <w:szCs w:val="23"/>
                <w:color w:val="auto"/>
              </w:rPr>
            </w:pPr>
          </w:p>
        </w:tc>
        <w:tc>
          <w:tcPr>
            <w:tcW w:w="200" w:type="dxa"/>
            <w:vAlign w:val="bottom"/>
            <w:tcBorders>
              <w:bottom w:val="single" w:sz="8" w:color="9A9A9A"/>
            </w:tcBorders>
          </w:tcPr>
          <w:p>
            <w:pPr>
              <w:spacing w:after="0"/>
              <w:rPr>
                <w:sz w:val="23"/>
                <w:szCs w:val="23"/>
                <w:color w:val="auto"/>
              </w:rPr>
            </w:pPr>
          </w:p>
        </w:tc>
        <w:tc>
          <w:tcPr>
            <w:tcW w:w="1180" w:type="dxa"/>
            <w:vAlign w:val="bottom"/>
            <w:tcBorders>
              <w:bottom w:val="single" w:sz="8" w:color="9A9A9A"/>
            </w:tcBorders>
          </w:tcPr>
          <w:p>
            <w:pPr>
              <w:spacing w:after="0"/>
              <w:rPr>
                <w:sz w:val="23"/>
                <w:szCs w:val="23"/>
                <w:color w:val="auto"/>
              </w:rPr>
            </w:pPr>
          </w:p>
        </w:tc>
        <w:tc>
          <w:tcPr>
            <w:tcW w:w="240" w:type="dxa"/>
            <w:vAlign w:val="bottom"/>
            <w:tcBorders>
              <w:bottom w:val="single" w:sz="8" w:color="9A9A9A"/>
            </w:tcBorders>
          </w:tcPr>
          <w:p>
            <w:pPr>
              <w:spacing w:after="0"/>
              <w:rPr>
                <w:sz w:val="23"/>
                <w:szCs w:val="23"/>
                <w:color w:val="auto"/>
              </w:rPr>
            </w:pPr>
          </w:p>
        </w:tc>
        <w:tc>
          <w:tcPr>
            <w:tcW w:w="1000" w:type="dxa"/>
            <w:vAlign w:val="bottom"/>
            <w:tcBorders>
              <w:bottom w:val="single" w:sz="8" w:color="9A9A9A"/>
            </w:tcBorders>
          </w:tcPr>
          <w:p>
            <w:pPr>
              <w:spacing w:after="0"/>
              <w:rPr>
                <w:sz w:val="23"/>
                <w:szCs w:val="23"/>
                <w:color w:val="auto"/>
              </w:rPr>
            </w:pPr>
          </w:p>
        </w:tc>
        <w:tc>
          <w:tcPr>
            <w:tcW w:w="200" w:type="dxa"/>
            <w:vAlign w:val="bottom"/>
            <w:tcBorders>
              <w:bottom w:val="single" w:sz="8" w:color="9A9A9A"/>
            </w:tcBorders>
          </w:tcPr>
          <w:p>
            <w:pPr>
              <w:spacing w:after="0"/>
              <w:rPr>
                <w:sz w:val="23"/>
                <w:szCs w:val="23"/>
                <w:color w:val="auto"/>
              </w:rPr>
            </w:pPr>
          </w:p>
        </w:tc>
        <w:tc>
          <w:tcPr>
            <w:tcW w:w="240" w:type="dxa"/>
            <w:vAlign w:val="bottom"/>
            <w:tcBorders>
              <w:bottom w:val="single" w:sz="8" w:color="9A9A9A"/>
            </w:tcBorders>
          </w:tcPr>
          <w:p>
            <w:pPr>
              <w:spacing w:after="0"/>
              <w:rPr>
                <w:sz w:val="23"/>
                <w:szCs w:val="23"/>
                <w:color w:val="auto"/>
              </w:rPr>
            </w:pPr>
          </w:p>
        </w:tc>
        <w:tc>
          <w:tcPr>
            <w:tcW w:w="780" w:type="dxa"/>
            <w:vAlign w:val="bottom"/>
            <w:tcBorders>
              <w:bottom w:val="single" w:sz="8" w:color="9A9A9A"/>
            </w:tcBorders>
          </w:tcPr>
          <w:p>
            <w:pPr>
              <w:spacing w:after="0"/>
              <w:rPr>
                <w:sz w:val="23"/>
                <w:szCs w:val="23"/>
                <w:color w:val="auto"/>
              </w:rPr>
            </w:pPr>
          </w:p>
        </w:tc>
        <w:tc>
          <w:tcPr>
            <w:tcW w:w="200" w:type="dxa"/>
            <w:vAlign w:val="bottom"/>
            <w:tcBorders>
              <w:bottom w:val="single" w:sz="8" w:color="9A9A9A"/>
            </w:tcBorders>
          </w:tcPr>
          <w:p>
            <w:pPr>
              <w:spacing w:after="0"/>
              <w:rPr>
                <w:sz w:val="23"/>
                <w:szCs w:val="23"/>
                <w:color w:val="auto"/>
              </w:rPr>
            </w:pPr>
          </w:p>
        </w:tc>
        <w:tc>
          <w:tcPr>
            <w:tcW w:w="940" w:type="dxa"/>
            <w:vAlign w:val="bottom"/>
            <w:tcBorders>
              <w:bottom w:val="single" w:sz="8" w:color="9A9A9A"/>
            </w:tcBorders>
          </w:tcPr>
          <w:p>
            <w:pPr>
              <w:spacing w:after="0"/>
              <w:rPr>
                <w:sz w:val="23"/>
                <w:szCs w:val="23"/>
                <w:color w:val="auto"/>
              </w:rPr>
            </w:pPr>
          </w:p>
        </w:tc>
        <w:tc>
          <w:tcPr>
            <w:tcW w:w="220" w:type="dxa"/>
            <w:vAlign w:val="bottom"/>
            <w:tcBorders>
              <w:bottom w:val="single" w:sz="8" w:color="9A9A9A"/>
            </w:tcBorders>
          </w:tcPr>
          <w:p>
            <w:pPr>
              <w:spacing w:after="0"/>
              <w:rPr>
                <w:sz w:val="23"/>
                <w:szCs w:val="23"/>
                <w:color w:val="auto"/>
              </w:rPr>
            </w:pPr>
          </w:p>
        </w:tc>
        <w:tc>
          <w:tcPr>
            <w:tcW w:w="960" w:type="dxa"/>
            <w:vAlign w:val="bottom"/>
            <w:tcBorders>
              <w:bottom w:val="single" w:sz="8" w:color="9A9A9A"/>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Other intangible assets consist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9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4"/>
          </w:tcPr>
          <w:p>
            <w:pPr>
              <w:jc w:val="center"/>
              <w:ind w:left="581"/>
              <w:spacing w:after="0"/>
              <w:rPr>
                <w:sz w:val="20"/>
                <w:szCs w:val="20"/>
                <w:color w:val="auto"/>
              </w:rPr>
            </w:pPr>
            <w:r>
              <w:rPr>
                <w:rFonts w:ascii="Arial" w:cs="Arial" w:eastAsia="Arial" w:hAnsi="Arial"/>
                <w:sz w:val="14"/>
                <w:szCs w:val="14"/>
                <w:b w:val="1"/>
                <w:bCs w:val="1"/>
                <w:color w:val="auto"/>
              </w:rPr>
              <w:t>As of September 30, 2026</w:t>
            </w:r>
          </w:p>
        </w:tc>
        <w:tc>
          <w:tcPr>
            <w:tcW w:w="9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4"/>
          </w:tcPr>
          <w:p>
            <w:pPr>
              <w:jc w:val="center"/>
              <w:ind w:left="581"/>
              <w:spacing w:after="0"/>
              <w:rPr>
                <w:sz w:val="20"/>
                <w:szCs w:val="20"/>
                <w:color w:val="auto"/>
              </w:rPr>
            </w:pPr>
            <w:r>
              <w:rPr>
                <w:rFonts w:ascii="Arial" w:cs="Arial" w:eastAsia="Arial" w:hAnsi="Arial"/>
                <w:sz w:val="14"/>
                <w:szCs w:val="14"/>
                <w:color w:val="auto"/>
              </w:rPr>
              <w:t>As of December 31, 2025</w:t>
            </w: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9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center"/>
              <w:ind w:right="101"/>
              <w:spacing w:after="0"/>
              <w:rPr>
                <w:sz w:val="20"/>
                <w:szCs w:val="20"/>
                <w:color w:val="auto"/>
              </w:rPr>
            </w:pPr>
            <w:r>
              <w:rPr>
                <w:rFonts w:ascii="Arial" w:cs="Arial" w:eastAsia="Arial" w:hAnsi="Arial"/>
                <w:sz w:val="14"/>
                <w:szCs w:val="14"/>
                <w:b w:val="1"/>
                <w:bCs w:val="1"/>
                <w:color w:val="auto"/>
                <w:w w:val="98"/>
              </w:rPr>
              <w:t>Gross</w:t>
            </w: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center"/>
              <w:ind w:right="121"/>
              <w:spacing w:after="0"/>
              <w:rPr>
                <w:sz w:val="20"/>
                <w:szCs w:val="20"/>
                <w:color w:val="auto"/>
              </w:rPr>
            </w:pPr>
            <w:r>
              <w:rPr>
                <w:rFonts w:ascii="Arial" w:cs="Arial" w:eastAsia="Arial" w:hAnsi="Arial"/>
                <w:sz w:val="14"/>
                <w:szCs w:val="14"/>
                <w:color w:val="auto"/>
              </w:rPr>
              <w:t>Gross</w:t>
            </w: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center"/>
              <w:ind w:right="122"/>
              <w:spacing w:after="0"/>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62"/>
        </w:trPr>
        <w:tc>
          <w:tcPr>
            <w:tcW w:w="290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460" w:type="dxa"/>
            <w:vAlign w:val="bottom"/>
          </w:tcPr>
          <w:p>
            <w:pPr>
              <w:jc w:val="center"/>
              <w:ind w:right="162"/>
              <w:spacing w:after="0"/>
              <w:rPr>
                <w:sz w:val="20"/>
                <w:szCs w:val="20"/>
                <w:color w:val="auto"/>
              </w:rPr>
            </w:pPr>
            <w:r>
              <w:rPr>
                <w:rFonts w:ascii="Arial" w:cs="Arial" w:eastAsia="Arial" w:hAnsi="Arial"/>
                <w:sz w:val="14"/>
                <w:szCs w:val="14"/>
                <w:b w:val="1"/>
                <w:bCs w:val="1"/>
                <w:color w:val="auto"/>
              </w:rPr>
              <w:t>Useful Life</w:t>
            </w:r>
          </w:p>
        </w:tc>
        <w:tc>
          <w:tcPr>
            <w:tcW w:w="140" w:type="dxa"/>
            <w:vAlign w:val="bottom"/>
          </w:tcPr>
          <w:p>
            <w:pPr>
              <w:spacing w:after="0"/>
              <w:rPr>
                <w:sz w:val="14"/>
                <w:szCs w:val="14"/>
                <w:color w:val="auto"/>
              </w:rPr>
            </w:pPr>
          </w:p>
        </w:tc>
        <w:tc>
          <w:tcPr>
            <w:tcW w:w="820" w:type="dxa"/>
            <w:vAlign w:val="bottom"/>
          </w:tcPr>
          <w:p>
            <w:pPr>
              <w:jc w:val="center"/>
              <w:ind w:right="101"/>
              <w:spacing w:after="0"/>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4"/>
                <w:szCs w:val="14"/>
                <w:color w:val="auto"/>
              </w:rPr>
            </w:pPr>
          </w:p>
        </w:tc>
        <w:tc>
          <w:tcPr>
            <w:tcW w:w="1160" w:type="dxa"/>
            <w:vAlign w:val="bottom"/>
          </w:tcPr>
          <w:p>
            <w:pPr>
              <w:jc w:val="center"/>
              <w:ind w:right="101"/>
              <w:spacing w:after="0"/>
              <w:rPr>
                <w:sz w:val="20"/>
                <w:szCs w:val="20"/>
                <w:color w:val="auto"/>
              </w:rPr>
            </w:pPr>
            <w:r>
              <w:rPr>
                <w:rFonts w:ascii="Arial" w:cs="Arial" w:eastAsia="Arial" w:hAnsi="Arial"/>
                <w:sz w:val="14"/>
                <w:szCs w:val="14"/>
                <w:b w:val="1"/>
                <w:bCs w:val="1"/>
                <w:color w:val="auto"/>
              </w:rPr>
              <w:t>Accumulated</w:t>
            </w: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Net Carrying</w:t>
            </w:r>
          </w:p>
        </w:tc>
        <w:tc>
          <w:tcPr>
            <w:tcW w:w="160" w:type="dxa"/>
            <w:vAlign w:val="bottom"/>
          </w:tcPr>
          <w:p>
            <w:pPr>
              <w:spacing w:after="0"/>
              <w:rPr>
                <w:sz w:val="14"/>
                <w:szCs w:val="14"/>
                <w:color w:val="auto"/>
              </w:rPr>
            </w:pPr>
          </w:p>
        </w:tc>
        <w:tc>
          <w:tcPr>
            <w:tcW w:w="820" w:type="dxa"/>
            <w:vAlign w:val="bottom"/>
          </w:tcPr>
          <w:p>
            <w:pPr>
              <w:jc w:val="center"/>
              <w:ind w:right="121"/>
              <w:spacing w:after="0"/>
              <w:rPr>
                <w:sz w:val="20"/>
                <w:szCs w:val="20"/>
                <w:color w:val="auto"/>
              </w:rPr>
            </w:pPr>
            <w:r>
              <w:rPr>
                <w:rFonts w:ascii="Arial" w:cs="Arial" w:eastAsia="Arial" w:hAnsi="Arial"/>
                <w:sz w:val="14"/>
                <w:szCs w:val="14"/>
                <w:color w:val="auto"/>
              </w:rPr>
              <w:t>Carrying</w:t>
            </w:r>
          </w:p>
        </w:tc>
        <w:tc>
          <w:tcPr>
            <w:tcW w:w="240" w:type="dxa"/>
            <w:vAlign w:val="bottom"/>
          </w:tcPr>
          <w:p>
            <w:pPr>
              <w:spacing w:after="0"/>
              <w:rPr>
                <w:sz w:val="14"/>
                <w:szCs w:val="14"/>
                <w:color w:val="auto"/>
              </w:rPr>
            </w:pPr>
          </w:p>
        </w:tc>
        <w:tc>
          <w:tcPr>
            <w:tcW w:w="1080" w:type="dxa"/>
            <w:vAlign w:val="bottom"/>
          </w:tcPr>
          <w:p>
            <w:pPr>
              <w:jc w:val="center"/>
              <w:ind w:right="121"/>
              <w:spacing w:after="0"/>
              <w:rPr>
                <w:sz w:val="20"/>
                <w:szCs w:val="20"/>
                <w:color w:val="auto"/>
              </w:rPr>
            </w:pPr>
            <w:r>
              <w:rPr>
                <w:rFonts w:ascii="Arial" w:cs="Arial" w:eastAsia="Arial" w:hAnsi="Arial"/>
                <w:sz w:val="14"/>
                <w:szCs w:val="14"/>
                <w:color w:val="auto"/>
              </w:rPr>
              <w:t>Accumulated</w:t>
            </w:r>
          </w:p>
        </w:tc>
        <w:tc>
          <w:tcPr>
            <w:tcW w:w="240" w:type="dxa"/>
            <w:vAlign w:val="bottom"/>
          </w:tcPr>
          <w:p>
            <w:pPr>
              <w:spacing w:after="0"/>
              <w:rPr>
                <w:sz w:val="14"/>
                <w:szCs w:val="14"/>
                <w:color w:val="auto"/>
              </w:rPr>
            </w:pPr>
          </w:p>
        </w:tc>
        <w:tc>
          <w:tcPr>
            <w:tcW w:w="820" w:type="dxa"/>
            <w:vAlign w:val="bottom"/>
          </w:tcPr>
          <w:p>
            <w:pPr>
              <w:jc w:val="center"/>
              <w:ind w:right="82"/>
              <w:spacing w:after="0"/>
              <w:rPr>
                <w:sz w:val="20"/>
                <w:szCs w:val="20"/>
                <w:color w:val="auto"/>
              </w:rPr>
            </w:pPr>
            <w:r>
              <w:rPr>
                <w:rFonts w:ascii="Arial" w:cs="Arial" w:eastAsia="Arial" w:hAnsi="Arial"/>
                <w:sz w:val="14"/>
                <w:szCs w:val="14"/>
                <w:color w:val="auto"/>
              </w:rPr>
              <w:t>Carrying</w:t>
            </w:r>
          </w:p>
        </w:tc>
        <w:tc>
          <w:tcPr>
            <w:tcW w:w="0" w:type="dxa"/>
            <w:vAlign w:val="bottom"/>
          </w:tcPr>
          <w:p>
            <w:pPr>
              <w:spacing w:after="0"/>
              <w:rPr>
                <w:sz w:val="1"/>
                <w:szCs w:val="1"/>
                <w:color w:val="auto"/>
              </w:rPr>
            </w:pPr>
          </w:p>
        </w:tc>
      </w:tr>
      <w:tr>
        <w:trPr>
          <w:trHeight w:val="205"/>
        </w:trPr>
        <w:tc>
          <w:tcPr>
            <w:tcW w:w="2900" w:type="dxa"/>
            <w:vAlign w:val="bottom"/>
            <w:tcBorders>
              <w:bottom w:val="single" w:sz="8" w:color="auto"/>
            </w:tcBorders>
            <w:vMerge w:val="continue"/>
          </w:tcPr>
          <w:p>
            <w:pPr>
              <w:spacing w:after="0"/>
              <w:rPr>
                <w:sz w:val="17"/>
                <w:szCs w:val="17"/>
                <w:color w:val="auto"/>
              </w:rPr>
            </w:pPr>
          </w:p>
        </w:tc>
        <w:tc>
          <w:tcPr>
            <w:tcW w:w="146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Range</w:t>
            </w: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rPr>
              <w:t>Amount</w:t>
            </w: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color w:val="auto"/>
              </w:rPr>
              <w:t>Amount</w:t>
            </w: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color w:val="auto"/>
              </w:rPr>
              <w:t>Amortization</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color w:val="auto"/>
              </w:rPr>
              <w:t>Amount</w:t>
            </w:r>
          </w:p>
        </w:tc>
        <w:tc>
          <w:tcPr>
            <w:tcW w:w="0" w:type="dxa"/>
            <w:vAlign w:val="bottom"/>
          </w:tcPr>
          <w:p>
            <w:pPr>
              <w:spacing w:after="0"/>
              <w:rPr>
                <w:sz w:val="1"/>
                <w:szCs w:val="1"/>
                <w:color w:val="auto"/>
              </w:rPr>
            </w:pPr>
          </w:p>
        </w:tc>
      </w:tr>
      <w:tr>
        <w:trPr>
          <w:trHeight w:val="236"/>
        </w:trPr>
        <w:tc>
          <w:tcPr>
            <w:tcW w:w="2900" w:type="dxa"/>
            <w:vAlign w:val="bottom"/>
          </w:tcPr>
          <w:p>
            <w:pPr>
              <w:ind w:left="20"/>
              <w:spacing w:after="0"/>
              <w:rPr>
                <w:sz w:val="20"/>
                <w:szCs w:val="20"/>
                <w:color w:val="auto"/>
              </w:rPr>
            </w:pPr>
            <w:r>
              <w:rPr>
                <w:rFonts w:ascii="Arial" w:cs="Arial" w:eastAsia="Arial" w:hAnsi="Arial"/>
                <w:sz w:val="16"/>
                <w:szCs w:val="16"/>
                <w:b w:val="1"/>
                <w:bCs w:val="1"/>
                <w:color w:val="auto"/>
              </w:rPr>
              <w:t>Amortized Intangible Assets</w:t>
            </w:r>
          </w:p>
        </w:tc>
        <w:tc>
          <w:tcPr>
            <w:tcW w:w="1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900" w:type="dxa"/>
            <w:vAlign w:val="bottom"/>
          </w:tcPr>
          <w:p>
            <w:pPr>
              <w:ind w:left="140"/>
              <w:spacing w:after="0"/>
              <w:rPr>
                <w:sz w:val="20"/>
                <w:szCs w:val="20"/>
                <w:color w:val="auto"/>
              </w:rPr>
            </w:pPr>
            <w:r>
              <w:rPr>
                <w:rFonts w:ascii="Arial" w:cs="Arial" w:eastAsia="Arial" w:hAnsi="Arial"/>
                <w:sz w:val="16"/>
                <w:szCs w:val="16"/>
                <w:color w:val="auto"/>
              </w:rPr>
              <w:t>Student and customer relationships</w:t>
            </w:r>
          </w:p>
        </w:tc>
        <w:tc>
          <w:tcPr>
            <w:tcW w:w="1460" w:type="dxa"/>
            <w:vAlign w:val="bottom"/>
          </w:tcPr>
          <w:p>
            <w:pPr>
              <w:jc w:val="center"/>
              <w:ind w:right="122"/>
              <w:spacing w:after="0"/>
              <w:rPr>
                <w:sz w:val="20"/>
                <w:szCs w:val="20"/>
                <w:color w:val="auto"/>
              </w:rPr>
            </w:pPr>
            <w:r>
              <w:rPr>
                <w:rFonts w:ascii="Arial" w:cs="Arial" w:eastAsia="Arial" w:hAnsi="Arial"/>
                <w:sz w:val="16"/>
                <w:szCs w:val="16"/>
                <w:b w:val="1"/>
                <w:bCs w:val="1"/>
                <w:color w:val="auto"/>
              </w:rPr>
              <w:t>2–10 years</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286,235</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Pr>
          <w:p>
            <w:pPr>
              <w:jc w:val="right"/>
              <w:ind w:right="21"/>
              <w:spacing w:after="0"/>
              <w:rPr>
                <w:sz w:val="20"/>
                <w:szCs w:val="20"/>
                <w:color w:val="auto"/>
              </w:rPr>
            </w:pPr>
            <w:r>
              <w:rPr>
                <w:rFonts w:ascii="Arial" w:cs="Arial" w:eastAsia="Arial" w:hAnsi="Arial"/>
                <w:sz w:val="16"/>
                <w:szCs w:val="16"/>
                <w:b w:val="1"/>
                <w:bCs w:val="1"/>
                <w:color w:val="auto"/>
              </w:rPr>
              <w:t>257,124</w:t>
            </w:r>
          </w:p>
        </w:tc>
        <w:tc>
          <w:tcPr>
            <w:tcW w:w="260" w:type="dxa"/>
            <w:vAlign w:val="bottom"/>
          </w:tcPr>
          <w:p>
            <w:pPr>
              <w:ind w:left="100"/>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100"/>
              <w:spacing w:after="0"/>
              <w:rPr>
                <w:sz w:val="20"/>
                <w:szCs w:val="20"/>
                <w:color w:val="auto"/>
              </w:rPr>
            </w:pPr>
            <w:r>
              <w:rPr>
                <w:rFonts w:ascii="Arial" w:cs="Arial" w:eastAsia="Arial" w:hAnsi="Arial"/>
                <w:sz w:val="16"/>
                <w:szCs w:val="16"/>
                <w:b w:val="1"/>
                <w:bCs w:val="1"/>
                <w:color w:val="auto"/>
              </w:rPr>
              <w:t>29,111</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307,312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266,453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40,859</w:t>
            </w:r>
          </w:p>
        </w:tc>
        <w:tc>
          <w:tcPr>
            <w:tcW w:w="0" w:type="dxa"/>
            <w:vAlign w:val="bottom"/>
          </w:tcPr>
          <w:p>
            <w:pPr>
              <w:spacing w:after="0"/>
              <w:rPr>
                <w:sz w:val="1"/>
                <w:szCs w:val="1"/>
                <w:color w:val="auto"/>
              </w:rPr>
            </w:pPr>
          </w:p>
        </w:tc>
      </w:tr>
      <w:tr>
        <w:trPr>
          <w:trHeight w:val="243"/>
        </w:trPr>
        <w:tc>
          <w:tcPr>
            <w:tcW w:w="2900" w:type="dxa"/>
            <w:vAlign w:val="bottom"/>
          </w:tcPr>
          <w:p>
            <w:pPr>
              <w:ind w:left="140"/>
              <w:spacing w:after="0"/>
              <w:rPr>
                <w:sz w:val="20"/>
                <w:szCs w:val="20"/>
                <w:color w:val="auto"/>
              </w:rPr>
            </w:pPr>
            <w:r>
              <w:rPr>
                <w:rFonts w:ascii="Arial" w:cs="Arial" w:eastAsia="Arial" w:hAnsi="Arial"/>
                <w:sz w:val="16"/>
                <w:szCs w:val="16"/>
                <w:color w:val="auto"/>
              </w:rPr>
              <w:t>Trade names and trademarks</w:t>
            </w:r>
          </w:p>
        </w:tc>
        <w:tc>
          <w:tcPr>
            <w:tcW w:w="1460" w:type="dxa"/>
            <w:vAlign w:val="bottom"/>
          </w:tcPr>
          <w:p>
            <w:pPr>
              <w:jc w:val="center"/>
              <w:ind w:right="122"/>
              <w:spacing w:after="0"/>
              <w:rPr>
                <w:sz w:val="20"/>
                <w:szCs w:val="20"/>
                <w:color w:val="auto"/>
              </w:rPr>
            </w:pPr>
            <w:r>
              <w:rPr>
                <w:rFonts w:ascii="Arial" w:cs="Arial" w:eastAsia="Arial" w:hAnsi="Arial"/>
                <w:sz w:val="16"/>
                <w:szCs w:val="16"/>
                <w:b w:val="1"/>
                <w:bCs w:val="1"/>
                <w:color w:val="auto"/>
              </w:rPr>
              <w:t>2–10 years</w:t>
            </w: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107,338</w:t>
            </w:r>
          </w:p>
        </w:tc>
        <w:tc>
          <w:tcPr>
            <w:tcW w:w="240" w:type="dxa"/>
            <w:vAlign w:val="bottom"/>
          </w:tcPr>
          <w:p>
            <w:pPr>
              <w:spacing w:after="0"/>
              <w:rPr>
                <w:sz w:val="21"/>
                <w:szCs w:val="21"/>
                <w:color w:val="auto"/>
              </w:rPr>
            </w:pPr>
          </w:p>
        </w:tc>
        <w:tc>
          <w:tcPr>
            <w:tcW w:w="1160" w:type="dxa"/>
            <w:vAlign w:val="bottom"/>
          </w:tcPr>
          <w:p>
            <w:pPr>
              <w:jc w:val="right"/>
              <w:ind w:right="21"/>
              <w:spacing w:after="0"/>
              <w:rPr>
                <w:sz w:val="20"/>
                <w:szCs w:val="20"/>
                <w:color w:val="auto"/>
              </w:rPr>
            </w:pPr>
            <w:r>
              <w:rPr>
                <w:rFonts w:ascii="Arial" w:cs="Arial" w:eastAsia="Arial" w:hAnsi="Arial"/>
                <w:sz w:val="16"/>
                <w:szCs w:val="16"/>
                <w:b w:val="1"/>
                <w:bCs w:val="1"/>
                <w:color w:val="auto"/>
              </w:rPr>
              <w:t>95,613</w:t>
            </w:r>
          </w:p>
        </w:tc>
        <w:tc>
          <w:tcPr>
            <w:tcW w:w="260" w:type="dxa"/>
            <w:vAlign w:val="bottom"/>
          </w:tcPr>
          <w:p>
            <w:pPr>
              <w:spacing w:after="0"/>
              <w:rPr>
                <w:sz w:val="21"/>
                <w:szCs w:val="21"/>
                <w:color w:val="auto"/>
              </w:rPr>
            </w:pPr>
          </w:p>
        </w:tc>
        <w:tc>
          <w:tcPr>
            <w:tcW w:w="900" w:type="dxa"/>
            <w:vAlign w:val="bottom"/>
          </w:tcPr>
          <w:p>
            <w:pPr>
              <w:jc w:val="right"/>
              <w:ind w:right="100"/>
              <w:spacing w:after="0"/>
              <w:rPr>
                <w:sz w:val="20"/>
                <w:szCs w:val="20"/>
                <w:color w:val="auto"/>
              </w:rPr>
            </w:pPr>
            <w:r>
              <w:rPr>
                <w:rFonts w:ascii="Arial" w:cs="Arial" w:eastAsia="Arial" w:hAnsi="Arial"/>
                <w:sz w:val="16"/>
                <w:szCs w:val="16"/>
                <w:b w:val="1"/>
                <w:bCs w:val="1"/>
                <w:color w:val="auto"/>
              </w:rPr>
              <w:t>11,725</w:t>
            </w: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114,227</w:t>
            </w:r>
          </w:p>
        </w:tc>
        <w:tc>
          <w:tcPr>
            <w:tcW w:w="240" w:type="dxa"/>
            <w:vAlign w:val="bottom"/>
          </w:tcPr>
          <w:p>
            <w:pPr>
              <w:spacing w:after="0"/>
              <w:rPr>
                <w:sz w:val="21"/>
                <w:szCs w:val="21"/>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98,147</w:t>
            </w:r>
          </w:p>
        </w:tc>
        <w:tc>
          <w:tcPr>
            <w:tcW w:w="240" w:type="dxa"/>
            <w:vAlign w:val="bottom"/>
          </w:tcPr>
          <w:p>
            <w:pPr>
              <w:spacing w:after="0"/>
              <w:rPr>
                <w:sz w:val="21"/>
                <w:szCs w:val="21"/>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16,080</w:t>
            </w:r>
          </w:p>
        </w:tc>
        <w:tc>
          <w:tcPr>
            <w:tcW w:w="0" w:type="dxa"/>
            <w:vAlign w:val="bottom"/>
          </w:tcPr>
          <w:p>
            <w:pPr>
              <w:spacing w:after="0"/>
              <w:rPr>
                <w:sz w:val="1"/>
                <w:szCs w:val="1"/>
                <w:color w:val="auto"/>
              </w:rPr>
            </w:pPr>
          </w:p>
        </w:tc>
      </w:tr>
      <w:tr>
        <w:trPr>
          <w:trHeight w:val="243"/>
        </w:trPr>
        <w:tc>
          <w:tcPr>
            <w:tcW w:w="2900" w:type="dxa"/>
            <w:vAlign w:val="bottom"/>
          </w:tcPr>
          <w:p>
            <w:pPr>
              <w:ind w:left="140"/>
              <w:spacing w:after="0"/>
              <w:rPr>
                <w:sz w:val="20"/>
                <w:szCs w:val="20"/>
                <w:color w:val="auto"/>
              </w:rPr>
            </w:pPr>
            <w:r>
              <w:rPr>
                <w:rFonts w:ascii="Arial" w:cs="Arial" w:eastAsia="Arial" w:hAnsi="Arial"/>
                <w:sz w:val="16"/>
                <w:szCs w:val="16"/>
                <w:color w:val="auto"/>
              </w:rPr>
              <w:t>Network affiliation agreements</w:t>
            </w:r>
          </w:p>
        </w:tc>
        <w:tc>
          <w:tcPr>
            <w:tcW w:w="1460" w:type="dxa"/>
            <w:vAlign w:val="bottom"/>
          </w:tcPr>
          <w:p>
            <w:pPr>
              <w:jc w:val="center"/>
              <w:ind w:right="122"/>
              <w:spacing w:after="0"/>
              <w:rPr>
                <w:sz w:val="20"/>
                <w:szCs w:val="20"/>
                <w:color w:val="auto"/>
              </w:rPr>
            </w:pPr>
            <w:r>
              <w:rPr>
                <w:rFonts w:ascii="Arial" w:cs="Arial" w:eastAsia="Arial" w:hAnsi="Arial"/>
                <w:sz w:val="16"/>
                <w:szCs w:val="16"/>
                <w:b w:val="1"/>
                <w:bCs w:val="1"/>
                <w:color w:val="auto"/>
              </w:rPr>
              <w:t>10 years</w:t>
            </w: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17,400</w:t>
            </w:r>
          </w:p>
        </w:tc>
        <w:tc>
          <w:tcPr>
            <w:tcW w:w="240" w:type="dxa"/>
            <w:vAlign w:val="bottom"/>
          </w:tcPr>
          <w:p>
            <w:pPr>
              <w:spacing w:after="0"/>
              <w:rPr>
                <w:sz w:val="21"/>
                <w:szCs w:val="21"/>
                <w:color w:val="auto"/>
              </w:rPr>
            </w:pPr>
          </w:p>
        </w:tc>
        <w:tc>
          <w:tcPr>
            <w:tcW w:w="1160" w:type="dxa"/>
            <w:vAlign w:val="bottom"/>
          </w:tcPr>
          <w:p>
            <w:pPr>
              <w:jc w:val="right"/>
              <w:ind w:right="21"/>
              <w:spacing w:after="0"/>
              <w:rPr>
                <w:sz w:val="20"/>
                <w:szCs w:val="20"/>
                <w:color w:val="auto"/>
              </w:rPr>
            </w:pPr>
            <w:r>
              <w:rPr>
                <w:rFonts w:ascii="Arial" w:cs="Arial" w:eastAsia="Arial" w:hAnsi="Arial"/>
                <w:sz w:val="16"/>
                <w:szCs w:val="16"/>
                <w:b w:val="1"/>
                <w:bCs w:val="1"/>
                <w:color w:val="auto"/>
              </w:rPr>
              <w:t>16,893</w:t>
            </w:r>
          </w:p>
        </w:tc>
        <w:tc>
          <w:tcPr>
            <w:tcW w:w="260" w:type="dxa"/>
            <w:vAlign w:val="bottom"/>
          </w:tcPr>
          <w:p>
            <w:pPr>
              <w:spacing w:after="0"/>
              <w:rPr>
                <w:sz w:val="21"/>
                <w:szCs w:val="21"/>
                <w:color w:val="auto"/>
              </w:rPr>
            </w:pPr>
          </w:p>
        </w:tc>
        <w:tc>
          <w:tcPr>
            <w:tcW w:w="900" w:type="dxa"/>
            <w:vAlign w:val="bottom"/>
          </w:tcPr>
          <w:p>
            <w:pPr>
              <w:jc w:val="right"/>
              <w:ind w:right="100"/>
              <w:spacing w:after="0"/>
              <w:rPr>
                <w:sz w:val="20"/>
                <w:szCs w:val="20"/>
                <w:color w:val="auto"/>
              </w:rPr>
            </w:pPr>
            <w:r>
              <w:rPr>
                <w:rFonts w:ascii="Arial" w:cs="Arial" w:eastAsia="Arial" w:hAnsi="Arial"/>
                <w:sz w:val="16"/>
                <w:szCs w:val="16"/>
                <w:b w:val="1"/>
                <w:bCs w:val="1"/>
                <w:color w:val="auto"/>
              </w:rPr>
              <w:t>507</w:t>
            </w: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17,400</w:t>
            </w:r>
          </w:p>
        </w:tc>
        <w:tc>
          <w:tcPr>
            <w:tcW w:w="240" w:type="dxa"/>
            <w:vAlign w:val="bottom"/>
          </w:tcPr>
          <w:p>
            <w:pPr>
              <w:spacing w:after="0"/>
              <w:rPr>
                <w:sz w:val="21"/>
                <w:szCs w:val="21"/>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15,588</w:t>
            </w:r>
          </w:p>
        </w:tc>
        <w:tc>
          <w:tcPr>
            <w:tcW w:w="240" w:type="dxa"/>
            <w:vAlign w:val="bottom"/>
          </w:tcPr>
          <w:p>
            <w:pPr>
              <w:spacing w:after="0"/>
              <w:rPr>
                <w:sz w:val="21"/>
                <w:szCs w:val="21"/>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1,812</w:t>
            </w:r>
          </w:p>
        </w:tc>
        <w:tc>
          <w:tcPr>
            <w:tcW w:w="0" w:type="dxa"/>
            <w:vAlign w:val="bottom"/>
          </w:tcPr>
          <w:p>
            <w:pPr>
              <w:spacing w:after="0"/>
              <w:rPr>
                <w:sz w:val="1"/>
                <w:szCs w:val="1"/>
                <w:color w:val="auto"/>
              </w:rPr>
            </w:pPr>
          </w:p>
        </w:tc>
      </w:tr>
      <w:tr>
        <w:trPr>
          <w:trHeight w:val="243"/>
        </w:trPr>
        <w:tc>
          <w:tcPr>
            <w:tcW w:w="2900" w:type="dxa"/>
            <w:vAlign w:val="bottom"/>
          </w:tcPr>
          <w:p>
            <w:pPr>
              <w:ind w:left="140"/>
              <w:spacing w:after="0"/>
              <w:rPr>
                <w:sz w:val="20"/>
                <w:szCs w:val="20"/>
                <w:color w:val="auto"/>
              </w:rPr>
            </w:pPr>
            <w:r>
              <w:rPr>
                <w:rFonts w:ascii="Arial" w:cs="Arial" w:eastAsia="Arial" w:hAnsi="Arial"/>
                <w:sz w:val="16"/>
                <w:szCs w:val="16"/>
                <w:color w:val="auto"/>
              </w:rPr>
              <w:t>Databases and technology</w:t>
            </w:r>
          </w:p>
        </w:tc>
        <w:tc>
          <w:tcPr>
            <w:tcW w:w="1460" w:type="dxa"/>
            <w:vAlign w:val="bottom"/>
          </w:tcPr>
          <w:p>
            <w:pPr>
              <w:jc w:val="center"/>
              <w:ind w:right="122"/>
              <w:spacing w:after="0"/>
              <w:rPr>
                <w:sz w:val="20"/>
                <w:szCs w:val="20"/>
                <w:color w:val="auto"/>
              </w:rPr>
            </w:pPr>
            <w:r>
              <w:rPr>
                <w:rFonts w:ascii="Arial" w:cs="Arial" w:eastAsia="Arial" w:hAnsi="Arial"/>
                <w:sz w:val="16"/>
                <w:szCs w:val="16"/>
                <w:b w:val="1"/>
                <w:bCs w:val="1"/>
                <w:color w:val="auto"/>
              </w:rPr>
              <w:t>3–6 years</w:t>
            </w: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30,496</w:t>
            </w:r>
          </w:p>
        </w:tc>
        <w:tc>
          <w:tcPr>
            <w:tcW w:w="240" w:type="dxa"/>
            <w:vAlign w:val="bottom"/>
          </w:tcPr>
          <w:p>
            <w:pPr>
              <w:spacing w:after="0"/>
              <w:rPr>
                <w:sz w:val="21"/>
                <w:szCs w:val="21"/>
                <w:color w:val="auto"/>
              </w:rPr>
            </w:pPr>
          </w:p>
        </w:tc>
        <w:tc>
          <w:tcPr>
            <w:tcW w:w="1160" w:type="dxa"/>
            <w:vAlign w:val="bottom"/>
          </w:tcPr>
          <w:p>
            <w:pPr>
              <w:jc w:val="right"/>
              <w:ind w:right="21"/>
              <w:spacing w:after="0"/>
              <w:rPr>
                <w:sz w:val="20"/>
                <w:szCs w:val="20"/>
                <w:color w:val="auto"/>
              </w:rPr>
            </w:pPr>
            <w:r>
              <w:rPr>
                <w:rFonts w:ascii="Arial" w:cs="Arial" w:eastAsia="Arial" w:hAnsi="Arial"/>
                <w:sz w:val="16"/>
                <w:szCs w:val="16"/>
                <w:b w:val="1"/>
                <w:bCs w:val="1"/>
                <w:color w:val="auto"/>
              </w:rPr>
              <w:t>28,811</w:t>
            </w:r>
          </w:p>
        </w:tc>
        <w:tc>
          <w:tcPr>
            <w:tcW w:w="260" w:type="dxa"/>
            <w:vAlign w:val="bottom"/>
          </w:tcPr>
          <w:p>
            <w:pPr>
              <w:spacing w:after="0"/>
              <w:rPr>
                <w:sz w:val="21"/>
                <w:szCs w:val="21"/>
                <w:color w:val="auto"/>
              </w:rPr>
            </w:pPr>
          </w:p>
        </w:tc>
        <w:tc>
          <w:tcPr>
            <w:tcW w:w="900" w:type="dxa"/>
            <w:vAlign w:val="bottom"/>
          </w:tcPr>
          <w:p>
            <w:pPr>
              <w:jc w:val="right"/>
              <w:ind w:right="100"/>
              <w:spacing w:after="0"/>
              <w:rPr>
                <w:sz w:val="20"/>
                <w:szCs w:val="20"/>
                <w:color w:val="auto"/>
              </w:rPr>
            </w:pPr>
            <w:r>
              <w:rPr>
                <w:rFonts w:ascii="Arial" w:cs="Arial" w:eastAsia="Arial" w:hAnsi="Arial"/>
                <w:sz w:val="16"/>
                <w:szCs w:val="16"/>
                <w:b w:val="1"/>
                <w:bCs w:val="1"/>
                <w:color w:val="auto"/>
              </w:rPr>
              <w:t>1,685</w:t>
            </w: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32,376</w:t>
            </w:r>
          </w:p>
        </w:tc>
        <w:tc>
          <w:tcPr>
            <w:tcW w:w="240" w:type="dxa"/>
            <w:vAlign w:val="bottom"/>
          </w:tcPr>
          <w:p>
            <w:pPr>
              <w:spacing w:after="0"/>
              <w:rPr>
                <w:sz w:val="21"/>
                <w:szCs w:val="21"/>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30,293</w:t>
            </w:r>
          </w:p>
        </w:tc>
        <w:tc>
          <w:tcPr>
            <w:tcW w:w="240" w:type="dxa"/>
            <w:vAlign w:val="bottom"/>
          </w:tcPr>
          <w:p>
            <w:pPr>
              <w:spacing w:after="0"/>
              <w:rPr>
                <w:sz w:val="21"/>
                <w:szCs w:val="21"/>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2,083</w:t>
            </w:r>
          </w:p>
        </w:tc>
        <w:tc>
          <w:tcPr>
            <w:tcW w:w="0" w:type="dxa"/>
            <w:vAlign w:val="bottom"/>
          </w:tcPr>
          <w:p>
            <w:pPr>
              <w:spacing w:after="0"/>
              <w:rPr>
                <w:sz w:val="1"/>
                <w:szCs w:val="1"/>
                <w:color w:val="auto"/>
              </w:rPr>
            </w:pPr>
          </w:p>
        </w:tc>
      </w:tr>
      <w:tr>
        <w:trPr>
          <w:trHeight w:val="247"/>
        </w:trPr>
        <w:tc>
          <w:tcPr>
            <w:tcW w:w="2900" w:type="dxa"/>
            <w:vAlign w:val="bottom"/>
          </w:tcPr>
          <w:p>
            <w:pPr>
              <w:ind w:left="140"/>
              <w:spacing w:after="0"/>
              <w:rPr>
                <w:sz w:val="20"/>
                <w:szCs w:val="20"/>
                <w:color w:val="auto"/>
              </w:rPr>
            </w:pPr>
            <w:r>
              <w:rPr>
                <w:rFonts w:ascii="Arial" w:cs="Arial" w:eastAsia="Arial" w:hAnsi="Arial"/>
                <w:sz w:val="16"/>
                <w:szCs w:val="16"/>
                <w:color w:val="auto"/>
              </w:rPr>
              <w:t>Other</w:t>
            </w:r>
          </w:p>
        </w:tc>
        <w:tc>
          <w:tcPr>
            <w:tcW w:w="1460" w:type="dxa"/>
            <w:vAlign w:val="bottom"/>
          </w:tcPr>
          <w:p>
            <w:pPr>
              <w:jc w:val="center"/>
              <w:ind w:right="122"/>
              <w:spacing w:after="0"/>
              <w:rPr>
                <w:sz w:val="20"/>
                <w:szCs w:val="20"/>
                <w:color w:val="auto"/>
              </w:rPr>
            </w:pPr>
            <w:r>
              <w:rPr>
                <w:rFonts w:ascii="Arial" w:cs="Arial" w:eastAsia="Arial" w:hAnsi="Arial"/>
                <w:sz w:val="16"/>
                <w:szCs w:val="16"/>
                <w:b w:val="1"/>
                <w:bCs w:val="1"/>
                <w:color w:val="auto"/>
              </w:rPr>
              <w:t>1–8 years</w:t>
            </w:r>
          </w:p>
        </w:tc>
        <w:tc>
          <w:tcPr>
            <w:tcW w:w="1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37,863</w:t>
            </w: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37,256</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607</w:t>
            </w:r>
          </w:p>
        </w:tc>
        <w:tc>
          <w:tcPr>
            <w:tcW w:w="1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38,063</w:t>
            </w: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37,266</w:t>
            </w: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797</w:t>
            </w:r>
          </w:p>
        </w:tc>
        <w:tc>
          <w:tcPr>
            <w:tcW w:w="0" w:type="dxa"/>
            <w:vAlign w:val="bottom"/>
          </w:tcPr>
          <w:p>
            <w:pPr>
              <w:spacing w:after="0"/>
              <w:rPr>
                <w:sz w:val="1"/>
                <w:szCs w:val="1"/>
                <w:color w:val="auto"/>
              </w:rPr>
            </w:pPr>
          </w:p>
        </w:tc>
      </w:tr>
      <w:tr>
        <w:trPr>
          <w:trHeight w:val="234"/>
        </w:trPr>
        <w:tc>
          <w:tcPr>
            <w:tcW w:w="29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479,332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435,697</w:t>
            </w:r>
          </w:p>
        </w:tc>
        <w:tc>
          <w:tcPr>
            <w:tcW w:w="26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43,635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509,378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447,747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61,631</w:t>
            </w:r>
          </w:p>
        </w:tc>
        <w:tc>
          <w:tcPr>
            <w:tcW w:w="0" w:type="dxa"/>
            <w:vAlign w:val="bottom"/>
          </w:tcPr>
          <w:p>
            <w:pPr>
              <w:spacing w:after="0"/>
              <w:rPr>
                <w:sz w:val="1"/>
                <w:szCs w:val="1"/>
                <w:color w:val="auto"/>
              </w:rPr>
            </w:pPr>
          </w:p>
        </w:tc>
      </w:tr>
      <w:tr>
        <w:trPr>
          <w:trHeight w:val="27"/>
        </w:trPr>
        <w:tc>
          <w:tcPr>
            <w:tcW w:w="29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Indefinite-Lived Intangible Assets</w:t>
            </w:r>
          </w:p>
        </w:tc>
        <w:tc>
          <w:tcPr>
            <w:tcW w:w="14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2900" w:type="dxa"/>
            <w:vAlign w:val="bottom"/>
            <w:vMerge w:val="continue"/>
          </w:tcPr>
          <w:p>
            <w:pPr>
              <w:spacing w:after="0"/>
              <w:rPr>
                <w:sz w:val="19"/>
                <w:szCs w:val="19"/>
                <w:color w:val="auto"/>
              </w:rPr>
            </w:pPr>
          </w:p>
        </w:tc>
        <w:tc>
          <w:tcPr>
            <w:tcW w:w="1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900" w:type="dxa"/>
            <w:vAlign w:val="bottom"/>
          </w:tcPr>
          <w:p>
            <w:pPr>
              <w:ind w:left="140"/>
              <w:spacing w:after="0"/>
              <w:rPr>
                <w:sz w:val="20"/>
                <w:szCs w:val="20"/>
                <w:color w:val="auto"/>
              </w:rPr>
            </w:pPr>
            <w:r>
              <w:rPr>
                <w:rFonts w:ascii="Arial" w:cs="Arial" w:eastAsia="Arial" w:hAnsi="Arial"/>
                <w:sz w:val="16"/>
                <w:szCs w:val="16"/>
                <w:color w:val="auto"/>
              </w:rPr>
              <w:t>Franchise agreements</w:t>
            </w:r>
          </w:p>
        </w:tc>
        <w:tc>
          <w:tcPr>
            <w:tcW w:w="146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97,002</w:t>
            </w: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97,002</w:t>
            </w: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00" w:type="dxa"/>
            <w:vAlign w:val="bottom"/>
          </w:tcPr>
          <w:p>
            <w:pPr>
              <w:ind w:left="140"/>
              <w:spacing w:after="0"/>
              <w:rPr>
                <w:sz w:val="20"/>
                <w:szCs w:val="20"/>
                <w:color w:val="auto"/>
              </w:rPr>
            </w:pPr>
            <w:r>
              <w:rPr>
                <w:rFonts w:ascii="Arial" w:cs="Arial" w:eastAsia="Arial" w:hAnsi="Arial"/>
                <w:sz w:val="16"/>
                <w:szCs w:val="16"/>
                <w:color w:val="auto"/>
              </w:rPr>
              <w:t>Trade names and trademarks</w:t>
            </w:r>
          </w:p>
        </w:tc>
        <w:tc>
          <w:tcPr>
            <w:tcW w:w="1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62,187</w:t>
            </w: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62,653</w:t>
            </w: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00" w:type="dxa"/>
            <w:vAlign w:val="bottom"/>
          </w:tcPr>
          <w:p>
            <w:pPr>
              <w:ind w:left="140"/>
              <w:spacing w:after="0"/>
              <w:rPr>
                <w:sz w:val="20"/>
                <w:szCs w:val="20"/>
                <w:color w:val="auto"/>
              </w:rPr>
            </w:pPr>
            <w:r>
              <w:rPr>
                <w:rFonts w:ascii="Arial" w:cs="Arial" w:eastAsia="Arial" w:hAnsi="Arial"/>
                <w:sz w:val="16"/>
                <w:szCs w:val="16"/>
                <w:color w:val="auto"/>
              </w:rPr>
              <w:t>FCC licenses</w:t>
            </w:r>
          </w:p>
        </w:tc>
        <w:tc>
          <w:tcPr>
            <w:tcW w:w="1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11,000</w:t>
            </w: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11,000</w:t>
            </w: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2900" w:type="dxa"/>
            <w:vAlign w:val="bottom"/>
          </w:tcPr>
          <w:p>
            <w:pPr>
              <w:ind w:left="140"/>
              <w:spacing w:after="0"/>
              <w:rPr>
                <w:sz w:val="20"/>
                <w:szCs w:val="20"/>
                <w:color w:val="auto"/>
              </w:rPr>
            </w:pPr>
            <w:r>
              <w:rPr>
                <w:rFonts w:ascii="Arial" w:cs="Arial" w:eastAsia="Arial" w:hAnsi="Arial"/>
                <w:sz w:val="16"/>
                <w:szCs w:val="16"/>
                <w:color w:val="auto"/>
              </w:rPr>
              <w:t>Other</w:t>
            </w:r>
          </w:p>
        </w:tc>
        <w:tc>
          <w:tcPr>
            <w:tcW w:w="14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150</w:t>
            </w: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w:t>
            </w: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9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170,339</w:t>
            </w: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170,805</w:t>
            </w: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29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Company’s borrowings consist of the following:</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5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As of</w:t>
            </w:r>
          </w:p>
        </w:tc>
        <w:tc>
          <w:tcPr>
            <w:tcW w:w="13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58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940" w:type="dxa"/>
            <w:vAlign w:val="bottom"/>
            <w:vMerge w:val="restart"/>
          </w:tcPr>
          <w:p>
            <w:pPr>
              <w:ind w:left="940"/>
              <w:spacing w:after="0"/>
              <w:rPr>
                <w:sz w:val="20"/>
                <w:szCs w:val="20"/>
                <w:color w:val="auto"/>
              </w:rPr>
            </w:pPr>
            <w:r>
              <w:rPr>
                <w:rFonts w:ascii="Arial" w:cs="Arial" w:eastAsia="Arial" w:hAnsi="Arial"/>
                <w:sz w:val="14"/>
                <w:szCs w:val="14"/>
                <w:b w:val="1"/>
                <w:bCs w:val="1"/>
                <w:color w:val="auto"/>
              </w:rPr>
              <w:t>Maturities</w:t>
            </w:r>
          </w:p>
        </w:tc>
        <w:tc>
          <w:tcPr>
            <w:tcW w:w="168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Stated Interest Rate</w:t>
            </w:r>
          </w:p>
        </w:tc>
        <w:tc>
          <w:tcPr>
            <w:tcW w:w="17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Effective Interest Rate</w:t>
            </w:r>
          </w:p>
        </w:tc>
        <w:tc>
          <w:tcPr>
            <w:tcW w:w="200" w:type="dxa"/>
            <w:vAlign w:val="bottom"/>
          </w:tcPr>
          <w:p>
            <w:pPr>
              <w:spacing w:after="0"/>
              <w:rPr>
                <w:sz w:val="14"/>
                <w:szCs w:val="14"/>
                <w:color w:val="auto"/>
              </w:rPr>
            </w:pPr>
          </w:p>
        </w:tc>
        <w:tc>
          <w:tcPr>
            <w:tcW w:w="1420" w:type="dxa"/>
            <w:vAlign w:val="bottom"/>
          </w:tcPr>
          <w:p>
            <w:pPr>
              <w:jc w:val="right"/>
              <w:ind w:right="261"/>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4"/>
                <w:szCs w:val="14"/>
                <w:color w:val="auto"/>
              </w:rPr>
            </w:pPr>
          </w:p>
        </w:tc>
        <w:tc>
          <w:tcPr>
            <w:tcW w:w="1340" w:type="dxa"/>
            <w:vAlign w:val="bottom"/>
          </w:tcPr>
          <w:p>
            <w:pPr>
              <w:jc w:val="right"/>
              <w:ind w:right="261"/>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205"/>
        </w:trPr>
        <w:tc>
          <w:tcPr>
            <w:tcW w:w="2580" w:type="dxa"/>
            <w:vAlign w:val="bottom"/>
            <w:tcBorders>
              <w:bottom w:val="single" w:sz="8" w:color="auto"/>
            </w:tcBorders>
            <w:vMerge w:val="continue"/>
          </w:tcPr>
          <w:p>
            <w:pPr>
              <w:spacing w:after="0"/>
              <w:rPr>
                <w:sz w:val="17"/>
                <w:szCs w:val="17"/>
                <w:color w:val="auto"/>
              </w:rPr>
            </w:pPr>
          </w:p>
        </w:tc>
        <w:tc>
          <w:tcPr>
            <w:tcW w:w="1940" w:type="dxa"/>
            <w:vAlign w:val="bottom"/>
            <w:tcBorders>
              <w:bottom w:val="single" w:sz="8" w:color="auto"/>
            </w:tcBorders>
            <w:vMerge w:val="continue"/>
          </w:tcPr>
          <w:p>
            <w:pPr>
              <w:spacing w:after="0"/>
              <w:rPr>
                <w:sz w:val="17"/>
                <w:szCs w:val="17"/>
                <w:color w:val="auto"/>
              </w:rPr>
            </w:pPr>
          </w:p>
        </w:tc>
        <w:tc>
          <w:tcPr>
            <w:tcW w:w="1680" w:type="dxa"/>
            <w:vAlign w:val="bottom"/>
            <w:tcBorders>
              <w:bottom w:val="single" w:sz="8" w:color="auto"/>
            </w:tcBorders>
            <w:vMerge w:val="continue"/>
          </w:tcPr>
          <w:p>
            <w:pPr>
              <w:spacing w:after="0"/>
              <w:rPr>
                <w:sz w:val="17"/>
                <w:szCs w:val="17"/>
                <w:color w:val="auto"/>
              </w:rPr>
            </w:pPr>
          </w:p>
        </w:tc>
        <w:tc>
          <w:tcPr>
            <w:tcW w:w="178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2026</w:t>
            </w:r>
          </w:p>
        </w:tc>
        <w:tc>
          <w:tcPr>
            <w:tcW w:w="3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color w:val="auto"/>
              </w:rPr>
              <w:t>2025</w:t>
            </w:r>
          </w:p>
        </w:tc>
        <w:tc>
          <w:tcPr>
            <w:tcW w:w="0" w:type="dxa"/>
            <w:vAlign w:val="bottom"/>
          </w:tcPr>
          <w:p>
            <w:pPr>
              <w:spacing w:after="0"/>
              <w:rPr>
                <w:sz w:val="1"/>
                <w:szCs w:val="1"/>
                <w:color w:val="auto"/>
              </w:rPr>
            </w:pPr>
          </w:p>
        </w:tc>
      </w:tr>
      <w:tr>
        <w:trPr>
          <w:trHeight w:val="256"/>
        </w:trPr>
        <w:tc>
          <w:tcPr>
            <w:tcW w:w="2580" w:type="dxa"/>
            <w:vAlign w:val="bottom"/>
          </w:tcPr>
          <w:p>
            <w:pPr>
              <w:ind w:left="20"/>
              <w:spacing w:after="0"/>
              <w:rPr>
                <w:sz w:val="20"/>
                <w:szCs w:val="20"/>
                <w:color w:val="auto"/>
              </w:rPr>
            </w:pPr>
            <w:r>
              <w:rPr>
                <w:rFonts w:ascii="Arial" w:cs="Arial" w:eastAsia="Arial" w:hAnsi="Arial"/>
                <w:sz w:val="16"/>
                <w:szCs w:val="16"/>
                <w:color w:val="auto"/>
              </w:rPr>
              <w:t xml:space="preserve">Unsecured notes </w:t>
            </w:r>
            <w:r>
              <w:rPr>
                <w:rFonts w:ascii="Arial" w:cs="Arial" w:eastAsia="Arial" w:hAnsi="Arial"/>
                <w:sz w:val="21"/>
                <w:szCs w:val="21"/>
                <w:color w:val="auto"/>
                <w:vertAlign w:val="superscript"/>
              </w:rPr>
              <w:t>(1)</w:t>
            </w:r>
          </w:p>
        </w:tc>
        <w:tc>
          <w:tcPr>
            <w:tcW w:w="1940" w:type="dxa"/>
            <w:vAlign w:val="bottom"/>
          </w:tcPr>
          <w:p>
            <w:pPr>
              <w:jc w:val="center"/>
              <w:ind w:left="541"/>
              <w:spacing w:after="0"/>
              <w:rPr>
                <w:sz w:val="20"/>
                <w:szCs w:val="20"/>
                <w:color w:val="auto"/>
              </w:rPr>
            </w:pPr>
            <w:r>
              <w:rPr>
                <w:rFonts w:ascii="Arial" w:cs="Arial" w:eastAsia="Arial" w:hAnsi="Arial"/>
                <w:sz w:val="16"/>
                <w:szCs w:val="16"/>
                <w:color w:val="auto"/>
              </w:rPr>
              <w:t>2033</w:t>
            </w:r>
          </w:p>
        </w:tc>
        <w:tc>
          <w:tcPr>
            <w:tcW w:w="1680" w:type="dxa"/>
            <w:vAlign w:val="bottom"/>
          </w:tcPr>
          <w:p>
            <w:pPr>
              <w:jc w:val="center"/>
              <w:ind w:left="21"/>
              <w:spacing w:after="0"/>
              <w:rPr>
                <w:sz w:val="20"/>
                <w:szCs w:val="20"/>
                <w:color w:val="auto"/>
              </w:rPr>
            </w:pPr>
            <w:r>
              <w:rPr>
                <w:rFonts w:ascii="Arial" w:cs="Arial" w:eastAsia="Arial" w:hAnsi="Arial"/>
                <w:sz w:val="16"/>
                <w:szCs w:val="16"/>
                <w:color w:val="auto"/>
                <w:w w:val="99"/>
              </w:rPr>
              <w:t>5.625%</w:t>
            </w:r>
          </w:p>
        </w:tc>
        <w:tc>
          <w:tcPr>
            <w:tcW w:w="1780" w:type="dxa"/>
            <w:vAlign w:val="bottom"/>
          </w:tcPr>
          <w:p>
            <w:pPr>
              <w:jc w:val="center"/>
              <w:spacing w:after="0"/>
              <w:rPr>
                <w:sz w:val="20"/>
                <w:szCs w:val="20"/>
                <w:color w:val="auto"/>
              </w:rPr>
            </w:pPr>
            <w:r>
              <w:rPr>
                <w:rFonts w:ascii="Arial" w:cs="Arial" w:eastAsia="Arial" w:hAnsi="Arial"/>
                <w:sz w:val="16"/>
                <w:szCs w:val="16"/>
                <w:color w:val="auto"/>
              </w:rPr>
              <w:t>5.625%</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420" w:type="dxa"/>
            <w:vAlign w:val="bottom"/>
          </w:tcPr>
          <w:p>
            <w:pPr>
              <w:jc w:val="right"/>
              <w:ind w:right="41"/>
              <w:spacing w:after="0"/>
              <w:rPr>
                <w:sz w:val="20"/>
                <w:szCs w:val="20"/>
                <w:color w:val="auto"/>
              </w:rPr>
            </w:pPr>
            <w:r>
              <w:rPr>
                <w:rFonts w:ascii="Arial" w:cs="Arial" w:eastAsia="Arial" w:hAnsi="Arial"/>
                <w:sz w:val="16"/>
                <w:szCs w:val="16"/>
                <w:b w:val="1"/>
                <w:bCs w:val="1"/>
                <w:color w:val="auto"/>
              </w:rPr>
              <w:t>493,971</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493,625</w:t>
            </w:r>
          </w:p>
        </w:tc>
        <w:tc>
          <w:tcPr>
            <w:tcW w:w="0" w:type="dxa"/>
            <w:vAlign w:val="bottom"/>
          </w:tcPr>
          <w:p>
            <w:pPr>
              <w:spacing w:after="0"/>
              <w:rPr>
                <w:sz w:val="1"/>
                <w:szCs w:val="1"/>
                <w:color w:val="auto"/>
              </w:rPr>
            </w:pPr>
          </w:p>
        </w:tc>
      </w:tr>
      <w:tr>
        <w:trPr>
          <w:trHeight w:val="223"/>
        </w:trPr>
        <w:tc>
          <w:tcPr>
            <w:tcW w:w="2580" w:type="dxa"/>
            <w:vAlign w:val="bottom"/>
          </w:tcPr>
          <w:p>
            <w:pPr>
              <w:ind w:left="20"/>
              <w:spacing w:after="0"/>
              <w:rPr>
                <w:sz w:val="20"/>
                <w:szCs w:val="20"/>
                <w:color w:val="auto"/>
              </w:rPr>
            </w:pPr>
            <w:r>
              <w:rPr>
                <w:rFonts w:ascii="Arial" w:cs="Arial" w:eastAsia="Arial" w:hAnsi="Arial"/>
                <w:sz w:val="16"/>
                <w:szCs w:val="16"/>
                <w:color w:val="auto"/>
              </w:rPr>
              <w:t>Revolving credit facility</w:t>
            </w:r>
          </w:p>
        </w:tc>
        <w:tc>
          <w:tcPr>
            <w:tcW w:w="1940" w:type="dxa"/>
            <w:vAlign w:val="bottom"/>
          </w:tcPr>
          <w:p>
            <w:pPr>
              <w:jc w:val="center"/>
              <w:ind w:left="541"/>
              <w:spacing w:after="0"/>
              <w:rPr>
                <w:sz w:val="20"/>
                <w:szCs w:val="20"/>
                <w:color w:val="auto"/>
              </w:rPr>
            </w:pPr>
            <w:r>
              <w:rPr>
                <w:rFonts w:ascii="Arial" w:cs="Arial" w:eastAsia="Arial" w:hAnsi="Arial"/>
                <w:sz w:val="16"/>
                <w:szCs w:val="16"/>
                <w:color w:val="auto"/>
              </w:rPr>
              <w:t>2030</w:t>
            </w:r>
          </w:p>
        </w:tc>
        <w:tc>
          <w:tcPr>
            <w:tcW w:w="1680" w:type="dxa"/>
            <w:vAlign w:val="bottom"/>
          </w:tcPr>
          <w:p>
            <w:pPr>
              <w:jc w:val="center"/>
              <w:ind w:left="21"/>
              <w:spacing w:after="0"/>
              <w:rPr>
                <w:sz w:val="20"/>
                <w:szCs w:val="20"/>
                <w:color w:val="auto"/>
              </w:rPr>
            </w:pPr>
            <w:r>
              <w:rPr>
                <w:rFonts w:ascii="Arial" w:cs="Arial" w:eastAsia="Arial" w:hAnsi="Arial"/>
                <w:sz w:val="16"/>
                <w:szCs w:val="16"/>
                <w:color w:val="auto"/>
              </w:rPr>
              <w:t>5.00% - 7.13%</w:t>
            </w:r>
          </w:p>
        </w:tc>
        <w:tc>
          <w:tcPr>
            <w:tcW w:w="1780" w:type="dxa"/>
            <w:vAlign w:val="bottom"/>
          </w:tcPr>
          <w:p>
            <w:pPr>
              <w:jc w:val="center"/>
              <w:spacing w:after="0"/>
              <w:rPr>
                <w:sz w:val="20"/>
                <w:szCs w:val="20"/>
                <w:color w:val="auto"/>
              </w:rPr>
            </w:pPr>
            <w:r>
              <w:rPr>
                <w:rFonts w:ascii="Arial" w:cs="Arial" w:eastAsia="Arial" w:hAnsi="Arial"/>
                <w:sz w:val="16"/>
                <w:szCs w:val="16"/>
                <w:color w:val="auto"/>
              </w:rPr>
              <w:t>5.12%</w:t>
            </w:r>
          </w:p>
        </w:tc>
        <w:tc>
          <w:tcPr>
            <w:tcW w:w="200" w:type="dxa"/>
            <w:vAlign w:val="bottom"/>
          </w:tcPr>
          <w:p>
            <w:pPr>
              <w:spacing w:after="0"/>
              <w:rPr>
                <w:sz w:val="19"/>
                <w:szCs w:val="19"/>
                <w:color w:val="auto"/>
              </w:rPr>
            </w:pPr>
          </w:p>
        </w:tc>
        <w:tc>
          <w:tcPr>
            <w:tcW w:w="1420" w:type="dxa"/>
            <w:vAlign w:val="bottom"/>
          </w:tcPr>
          <w:p>
            <w:pPr>
              <w:jc w:val="right"/>
              <w:ind w:right="41"/>
              <w:spacing w:after="0"/>
              <w:rPr>
                <w:sz w:val="20"/>
                <w:szCs w:val="20"/>
                <w:color w:val="auto"/>
              </w:rPr>
            </w:pPr>
            <w:r>
              <w:rPr>
                <w:rFonts w:ascii="Arial" w:cs="Arial" w:eastAsia="Arial" w:hAnsi="Arial"/>
                <w:sz w:val="16"/>
                <w:szCs w:val="16"/>
                <w:b w:val="1"/>
                <w:bCs w:val="1"/>
                <w:color w:val="auto"/>
              </w:rPr>
              <w:t>186,165</w:t>
            </w:r>
          </w:p>
        </w:tc>
        <w:tc>
          <w:tcPr>
            <w:tcW w:w="300" w:type="dxa"/>
            <w:vAlign w:val="bottom"/>
          </w:tcPr>
          <w:p>
            <w:pPr>
              <w:spacing w:after="0"/>
              <w:rPr>
                <w:sz w:val="19"/>
                <w:szCs w:val="19"/>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222,466</w:t>
            </w:r>
          </w:p>
        </w:tc>
        <w:tc>
          <w:tcPr>
            <w:tcW w:w="0" w:type="dxa"/>
            <w:vAlign w:val="bottom"/>
          </w:tcPr>
          <w:p>
            <w:pPr>
              <w:spacing w:after="0"/>
              <w:rPr>
                <w:sz w:val="1"/>
                <w:szCs w:val="1"/>
                <w:color w:val="auto"/>
              </w:rPr>
            </w:pPr>
          </w:p>
        </w:tc>
      </w:tr>
      <w:tr>
        <w:trPr>
          <w:trHeight w:val="253"/>
        </w:trPr>
        <w:tc>
          <w:tcPr>
            <w:tcW w:w="2580" w:type="dxa"/>
            <w:vAlign w:val="bottom"/>
          </w:tcPr>
          <w:p>
            <w:pPr>
              <w:ind w:left="20"/>
              <w:spacing w:after="0"/>
              <w:rPr>
                <w:sz w:val="20"/>
                <w:szCs w:val="20"/>
                <w:color w:val="auto"/>
              </w:rPr>
            </w:pPr>
            <w:r>
              <w:rPr>
                <w:rFonts w:ascii="Arial" w:cs="Arial" w:eastAsia="Arial" w:hAnsi="Arial"/>
                <w:sz w:val="16"/>
                <w:szCs w:val="16"/>
                <w:color w:val="auto"/>
              </w:rPr>
              <w:t xml:space="preserve">Real estate term loan </w:t>
            </w:r>
            <w:r>
              <w:rPr>
                <w:rFonts w:ascii="Arial" w:cs="Arial" w:eastAsia="Arial" w:hAnsi="Arial"/>
                <w:sz w:val="21"/>
                <w:szCs w:val="21"/>
                <w:color w:val="auto"/>
                <w:vertAlign w:val="superscript"/>
              </w:rPr>
              <w:t>(2)</w:t>
            </w:r>
          </w:p>
        </w:tc>
        <w:tc>
          <w:tcPr>
            <w:tcW w:w="1940" w:type="dxa"/>
            <w:vAlign w:val="bottom"/>
          </w:tcPr>
          <w:p>
            <w:pPr>
              <w:jc w:val="center"/>
              <w:ind w:left="541"/>
              <w:spacing w:after="0"/>
              <w:rPr>
                <w:sz w:val="20"/>
                <w:szCs w:val="20"/>
                <w:color w:val="auto"/>
              </w:rPr>
            </w:pPr>
            <w:r>
              <w:rPr>
                <w:rFonts w:ascii="Arial" w:cs="Arial" w:eastAsia="Arial" w:hAnsi="Arial"/>
                <w:sz w:val="16"/>
                <w:szCs w:val="16"/>
                <w:color w:val="auto"/>
              </w:rPr>
              <w:t>2028</w:t>
            </w:r>
          </w:p>
        </w:tc>
        <w:tc>
          <w:tcPr>
            <w:tcW w:w="1680" w:type="dxa"/>
            <w:vAlign w:val="bottom"/>
          </w:tcPr>
          <w:p>
            <w:pPr>
              <w:jc w:val="center"/>
              <w:ind w:left="21"/>
              <w:spacing w:after="0"/>
              <w:rPr>
                <w:sz w:val="20"/>
                <w:szCs w:val="20"/>
                <w:color w:val="auto"/>
              </w:rPr>
            </w:pPr>
            <w:r>
              <w:rPr>
                <w:rFonts w:ascii="Arial" w:cs="Arial" w:eastAsia="Arial" w:hAnsi="Arial"/>
                <w:sz w:val="16"/>
                <w:szCs w:val="16"/>
                <w:color w:val="auto"/>
              </w:rPr>
              <w:t>5.37% - 5.46%</w:t>
            </w:r>
          </w:p>
        </w:tc>
        <w:tc>
          <w:tcPr>
            <w:tcW w:w="1780" w:type="dxa"/>
            <w:vAlign w:val="bottom"/>
          </w:tcPr>
          <w:p>
            <w:pPr>
              <w:jc w:val="center"/>
              <w:spacing w:after="0"/>
              <w:rPr>
                <w:sz w:val="20"/>
                <w:szCs w:val="20"/>
                <w:color w:val="auto"/>
              </w:rPr>
            </w:pPr>
            <w:r>
              <w:rPr>
                <w:rFonts w:ascii="Arial" w:cs="Arial" w:eastAsia="Arial" w:hAnsi="Arial"/>
                <w:sz w:val="16"/>
                <w:szCs w:val="16"/>
                <w:color w:val="auto"/>
              </w:rPr>
              <w:t>5.48%</w:t>
            </w:r>
          </w:p>
        </w:tc>
        <w:tc>
          <w:tcPr>
            <w:tcW w:w="200" w:type="dxa"/>
            <w:vAlign w:val="bottom"/>
          </w:tcPr>
          <w:p>
            <w:pPr>
              <w:spacing w:after="0"/>
              <w:rPr>
                <w:sz w:val="22"/>
                <w:szCs w:val="22"/>
                <w:color w:val="auto"/>
              </w:rPr>
            </w:pPr>
          </w:p>
        </w:tc>
        <w:tc>
          <w:tcPr>
            <w:tcW w:w="1420" w:type="dxa"/>
            <w:vAlign w:val="bottom"/>
          </w:tcPr>
          <w:p>
            <w:pPr>
              <w:jc w:val="right"/>
              <w:ind w:right="41"/>
              <w:spacing w:after="0"/>
              <w:rPr>
                <w:sz w:val="20"/>
                <w:szCs w:val="20"/>
                <w:color w:val="auto"/>
              </w:rPr>
            </w:pPr>
            <w:r>
              <w:rPr>
                <w:rFonts w:ascii="Arial" w:cs="Arial" w:eastAsia="Arial" w:hAnsi="Arial"/>
                <w:sz w:val="16"/>
                <w:szCs w:val="16"/>
                <w:b w:val="1"/>
                <w:bCs w:val="1"/>
                <w:color w:val="auto"/>
              </w:rPr>
              <w:t>88,116</w:t>
            </w:r>
          </w:p>
        </w:tc>
        <w:tc>
          <w:tcPr>
            <w:tcW w:w="300" w:type="dxa"/>
            <w:vAlign w:val="bottom"/>
          </w:tcPr>
          <w:p>
            <w:pPr>
              <w:spacing w:after="0"/>
              <w:rPr>
                <w:sz w:val="22"/>
                <w:szCs w:val="22"/>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91,836</w:t>
            </w:r>
          </w:p>
        </w:tc>
        <w:tc>
          <w:tcPr>
            <w:tcW w:w="0" w:type="dxa"/>
            <w:vAlign w:val="bottom"/>
          </w:tcPr>
          <w:p>
            <w:pPr>
              <w:spacing w:after="0"/>
              <w:rPr>
                <w:sz w:val="1"/>
                <w:szCs w:val="1"/>
                <w:color w:val="auto"/>
              </w:rPr>
            </w:pPr>
          </w:p>
        </w:tc>
      </w:tr>
      <w:tr>
        <w:trPr>
          <w:trHeight w:val="253"/>
        </w:trPr>
        <w:tc>
          <w:tcPr>
            <w:tcW w:w="2580" w:type="dxa"/>
            <w:vAlign w:val="bottom"/>
          </w:tcPr>
          <w:p>
            <w:pPr>
              <w:ind w:left="20"/>
              <w:spacing w:after="0"/>
              <w:rPr>
                <w:sz w:val="20"/>
                <w:szCs w:val="20"/>
                <w:color w:val="auto"/>
              </w:rPr>
            </w:pPr>
            <w:r>
              <w:rPr>
                <w:rFonts w:ascii="Arial" w:cs="Arial" w:eastAsia="Arial" w:hAnsi="Arial"/>
                <w:sz w:val="16"/>
                <w:szCs w:val="16"/>
                <w:color w:val="auto"/>
              </w:rPr>
              <w:t xml:space="preserve">Capital term loan </w:t>
            </w:r>
            <w:r>
              <w:rPr>
                <w:rFonts w:ascii="Arial" w:cs="Arial" w:eastAsia="Arial" w:hAnsi="Arial"/>
                <w:sz w:val="21"/>
                <w:szCs w:val="21"/>
                <w:color w:val="auto"/>
                <w:vertAlign w:val="superscript"/>
              </w:rPr>
              <w:t>(3)</w:t>
            </w:r>
          </w:p>
        </w:tc>
        <w:tc>
          <w:tcPr>
            <w:tcW w:w="1940" w:type="dxa"/>
            <w:vAlign w:val="bottom"/>
          </w:tcPr>
          <w:p>
            <w:pPr>
              <w:jc w:val="center"/>
              <w:ind w:left="541"/>
              <w:spacing w:after="0"/>
              <w:rPr>
                <w:sz w:val="20"/>
                <w:szCs w:val="20"/>
                <w:color w:val="auto"/>
              </w:rPr>
            </w:pPr>
            <w:r>
              <w:rPr>
                <w:rFonts w:ascii="Arial" w:cs="Arial" w:eastAsia="Arial" w:hAnsi="Arial"/>
                <w:sz w:val="16"/>
                <w:szCs w:val="16"/>
                <w:color w:val="auto"/>
              </w:rPr>
              <w:t>2028</w:t>
            </w:r>
          </w:p>
        </w:tc>
        <w:tc>
          <w:tcPr>
            <w:tcW w:w="1680" w:type="dxa"/>
            <w:vAlign w:val="bottom"/>
          </w:tcPr>
          <w:p>
            <w:pPr>
              <w:jc w:val="center"/>
              <w:ind w:left="21"/>
              <w:spacing w:after="0"/>
              <w:rPr>
                <w:sz w:val="20"/>
                <w:szCs w:val="20"/>
                <w:color w:val="auto"/>
              </w:rPr>
            </w:pPr>
            <w:r>
              <w:rPr>
                <w:rFonts w:ascii="Arial" w:cs="Arial" w:eastAsia="Arial" w:hAnsi="Arial"/>
                <w:sz w:val="16"/>
                <w:szCs w:val="16"/>
                <w:color w:val="auto"/>
              </w:rPr>
              <w:t>6.12% - 6.21%</w:t>
            </w:r>
          </w:p>
        </w:tc>
        <w:tc>
          <w:tcPr>
            <w:tcW w:w="1780" w:type="dxa"/>
            <w:vAlign w:val="bottom"/>
          </w:tcPr>
          <w:p>
            <w:pPr>
              <w:jc w:val="center"/>
              <w:spacing w:after="0"/>
              <w:rPr>
                <w:sz w:val="20"/>
                <w:szCs w:val="20"/>
                <w:color w:val="auto"/>
              </w:rPr>
            </w:pPr>
            <w:r>
              <w:rPr>
                <w:rFonts w:ascii="Arial" w:cs="Arial" w:eastAsia="Arial" w:hAnsi="Arial"/>
                <w:sz w:val="16"/>
                <w:szCs w:val="16"/>
                <w:color w:val="auto"/>
              </w:rPr>
              <w:t>6.22%</w:t>
            </w:r>
          </w:p>
        </w:tc>
        <w:tc>
          <w:tcPr>
            <w:tcW w:w="200" w:type="dxa"/>
            <w:vAlign w:val="bottom"/>
          </w:tcPr>
          <w:p>
            <w:pPr>
              <w:spacing w:after="0"/>
              <w:rPr>
                <w:sz w:val="22"/>
                <w:szCs w:val="22"/>
                <w:color w:val="auto"/>
              </w:rPr>
            </w:pPr>
          </w:p>
        </w:tc>
        <w:tc>
          <w:tcPr>
            <w:tcW w:w="1420" w:type="dxa"/>
            <w:vAlign w:val="bottom"/>
          </w:tcPr>
          <w:p>
            <w:pPr>
              <w:jc w:val="right"/>
              <w:ind w:right="41"/>
              <w:spacing w:after="0"/>
              <w:rPr>
                <w:sz w:val="20"/>
                <w:szCs w:val="20"/>
                <w:color w:val="auto"/>
              </w:rPr>
            </w:pPr>
            <w:r>
              <w:rPr>
                <w:rFonts w:ascii="Arial" w:cs="Arial" w:eastAsia="Arial" w:hAnsi="Arial"/>
                <w:sz w:val="16"/>
                <w:szCs w:val="16"/>
                <w:b w:val="1"/>
                <w:bCs w:val="1"/>
                <w:color w:val="auto"/>
              </w:rPr>
              <w:t>58,302</w:t>
            </w:r>
          </w:p>
        </w:tc>
        <w:tc>
          <w:tcPr>
            <w:tcW w:w="300" w:type="dxa"/>
            <w:vAlign w:val="bottom"/>
          </w:tcPr>
          <w:p>
            <w:pPr>
              <w:spacing w:after="0"/>
              <w:rPr>
                <w:sz w:val="22"/>
                <w:szCs w:val="22"/>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64,079</w:t>
            </w:r>
          </w:p>
        </w:tc>
        <w:tc>
          <w:tcPr>
            <w:tcW w:w="0" w:type="dxa"/>
            <w:vAlign w:val="bottom"/>
          </w:tcPr>
          <w:p>
            <w:pPr>
              <w:spacing w:after="0"/>
              <w:rPr>
                <w:sz w:val="1"/>
                <w:szCs w:val="1"/>
                <w:color w:val="auto"/>
              </w:rPr>
            </w:pPr>
          </w:p>
        </w:tc>
      </w:tr>
      <w:tr>
        <w:trPr>
          <w:trHeight w:val="224"/>
        </w:trPr>
        <w:tc>
          <w:tcPr>
            <w:tcW w:w="2580" w:type="dxa"/>
            <w:vAlign w:val="bottom"/>
          </w:tcPr>
          <w:p>
            <w:pPr>
              <w:ind w:left="20"/>
              <w:spacing w:after="0"/>
              <w:rPr>
                <w:sz w:val="20"/>
                <w:szCs w:val="20"/>
                <w:color w:val="auto"/>
              </w:rPr>
            </w:pPr>
            <w:r>
              <w:rPr>
                <w:rFonts w:ascii="Arial" w:cs="Arial" w:eastAsia="Arial" w:hAnsi="Arial"/>
                <w:sz w:val="16"/>
                <w:szCs w:val="16"/>
                <w:color w:val="auto"/>
              </w:rPr>
              <w:t>Other indebtedness</w:t>
            </w:r>
          </w:p>
        </w:tc>
        <w:tc>
          <w:tcPr>
            <w:tcW w:w="1940" w:type="dxa"/>
            <w:vAlign w:val="bottom"/>
          </w:tcPr>
          <w:p>
            <w:pPr>
              <w:jc w:val="center"/>
              <w:ind w:left="521"/>
              <w:spacing w:after="0"/>
              <w:rPr>
                <w:sz w:val="20"/>
                <w:szCs w:val="20"/>
                <w:color w:val="auto"/>
              </w:rPr>
            </w:pPr>
            <w:r>
              <w:rPr>
                <w:rFonts w:ascii="Arial" w:cs="Arial" w:eastAsia="Arial" w:hAnsi="Arial"/>
                <w:sz w:val="16"/>
                <w:szCs w:val="16"/>
                <w:color w:val="auto"/>
              </w:rPr>
              <w:t>2028 - 2030</w:t>
            </w:r>
          </w:p>
        </w:tc>
        <w:tc>
          <w:tcPr>
            <w:tcW w:w="1680" w:type="dxa"/>
            <w:vAlign w:val="bottom"/>
          </w:tcPr>
          <w:p>
            <w:pPr>
              <w:jc w:val="center"/>
              <w:ind w:left="21"/>
              <w:spacing w:after="0"/>
              <w:rPr>
                <w:sz w:val="20"/>
                <w:szCs w:val="20"/>
                <w:color w:val="auto"/>
              </w:rPr>
            </w:pPr>
            <w:r>
              <w:rPr>
                <w:rFonts w:ascii="Arial" w:cs="Arial" w:eastAsia="Arial" w:hAnsi="Arial"/>
                <w:sz w:val="16"/>
                <w:szCs w:val="16"/>
                <w:color w:val="auto"/>
              </w:rPr>
              <w:t>5.50% - 8.00%</w:t>
            </w:r>
          </w:p>
        </w:tc>
        <w:tc>
          <w:tcPr>
            <w:tcW w:w="17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26,880</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8,750</w:t>
            </w:r>
          </w:p>
        </w:tc>
        <w:tc>
          <w:tcPr>
            <w:tcW w:w="0" w:type="dxa"/>
            <w:vAlign w:val="bottom"/>
          </w:tcPr>
          <w:p>
            <w:pPr>
              <w:spacing w:after="0"/>
              <w:rPr>
                <w:sz w:val="1"/>
                <w:szCs w:val="1"/>
                <w:color w:val="auto"/>
              </w:rPr>
            </w:pPr>
          </w:p>
        </w:tc>
      </w:tr>
      <w:tr>
        <w:trPr>
          <w:trHeight w:val="235"/>
        </w:trPr>
        <w:tc>
          <w:tcPr>
            <w:tcW w:w="2580" w:type="dxa"/>
            <w:vAlign w:val="bottom"/>
          </w:tcPr>
          <w:p>
            <w:pPr>
              <w:ind w:left="20"/>
              <w:spacing w:after="0"/>
              <w:rPr>
                <w:sz w:val="20"/>
                <w:szCs w:val="20"/>
                <w:color w:val="auto"/>
              </w:rPr>
            </w:pPr>
            <w:r>
              <w:rPr>
                <w:rFonts w:ascii="Arial" w:cs="Arial" w:eastAsia="Arial" w:hAnsi="Arial"/>
                <w:sz w:val="16"/>
                <w:szCs w:val="16"/>
                <w:b w:val="1"/>
                <w:bCs w:val="1"/>
                <w:color w:val="auto"/>
              </w:rPr>
              <w:t>Total Debt</w:t>
            </w:r>
          </w:p>
        </w:tc>
        <w:tc>
          <w:tcPr>
            <w:tcW w:w="19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jc w:val="right"/>
              <w:ind w:right="41"/>
              <w:spacing w:after="0"/>
              <w:rPr>
                <w:sz w:val="20"/>
                <w:szCs w:val="20"/>
                <w:color w:val="auto"/>
              </w:rPr>
            </w:pPr>
            <w:r>
              <w:rPr>
                <w:rFonts w:ascii="Arial" w:cs="Arial" w:eastAsia="Arial" w:hAnsi="Arial"/>
                <w:sz w:val="16"/>
                <w:szCs w:val="16"/>
                <w:b w:val="1"/>
                <w:bCs w:val="1"/>
                <w:color w:val="auto"/>
              </w:rPr>
              <w:t>853,434</w:t>
            </w:r>
          </w:p>
        </w:tc>
        <w:tc>
          <w:tcPr>
            <w:tcW w:w="300" w:type="dxa"/>
            <w:vAlign w:val="bottom"/>
          </w:tcPr>
          <w:p>
            <w:pPr>
              <w:spacing w:after="0"/>
              <w:rPr>
                <w:sz w:val="20"/>
                <w:szCs w:val="20"/>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880,756</w:t>
            </w:r>
          </w:p>
        </w:tc>
        <w:tc>
          <w:tcPr>
            <w:tcW w:w="0" w:type="dxa"/>
            <w:vAlign w:val="bottom"/>
          </w:tcPr>
          <w:p>
            <w:pPr>
              <w:spacing w:after="0"/>
              <w:rPr>
                <w:sz w:val="1"/>
                <w:szCs w:val="1"/>
                <w:color w:val="auto"/>
              </w:rPr>
            </w:pPr>
          </w:p>
        </w:tc>
      </w:tr>
      <w:tr>
        <w:trPr>
          <w:trHeight w:val="247"/>
        </w:trPr>
        <w:tc>
          <w:tcPr>
            <w:tcW w:w="2580" w:type="dxa"/>
            <w:vAlign w:val="bottom"/>
          </w:tcPr>
          <w:p>
            <w:pPr>
              <w:ind w:left="20"/>
              <w:spacing w:after="0"/>
              <w:rPr>
                <w:sz w:val="20"/>
                <w:szCs w:val="20"/>
                <w:color w:val="auto"/>
              </w:rPr>
            </w:pPr>
            <w:r>
              <w:rPr>
                <w:rFonts w:ascii="Arial" w:cs="Arial" w:eastAsia="Arial" w:hAnsi="Arial"/>
                <w:sz w:val="16"/>
                <w:szCs w:val="16"/>
                <w:color w:val="auto"/>
              </w:rPr>
              <w:t>Less: current portion</w:t>
            </w:r>
          </w:p>
        </w:tc>
        <w:tc>
          <w:tcPr>
            <w:tcW w:w="19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(148,075)</w:t>
            </w:r>
          </w:p>
        </w:tc>
        <w:tc>
          <w:tcPr>
            <w:tcW w:w="3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(175,138)</w:t>
            </w:r>
          </w:p>
        </w:tc>
        <w:tc>
          <w:tcPr>
            <w:tcW w:w="0" w:type="dxa"/>
            <w:vAlign w:val="bottom"/>
          </w:tcPr>
          <w:p>
            <w:pPr>
              <w:spacing w:after="0"/>
              <w:rPr>
                <w:sz w:val="1"/>
                <w:szCs w:val="1"/>
                <w:color w:val="auto"/>
              </w:rPr>
            </w:pPr>
          </w:p>
        </w:tc>
      </w:tr>
      <w:tr>
        <w:trPr>
          <w:trHeight w:val="240"/>
        </w:trPr>
        <w:tc>
          <w:tcPr>
            <w:tcW w:w="2580" w:type="dxa"/>
            <w:vAlign w:val="bottom"/>
          </w:tcPr>
          <w:p>
            <w:pPr>
              <w:ind w:left="20"/>
              <w:spacing w:after="0"/>
              <w:rPr>
                <w:sz w:val="20"/>
                <w:szCs w:val="20"/>
                <w:color w:val="auto"/>
              </w:rPr>
            </w:pPr>
            <w:r>
              <w:rPr>
                <w:rFonts w:ascii="Arial" w:cs="Arial" w:eastAsia="Arial" w:hAnsi="Arial"/>
                <w:sz w:val="16"/>
                <w:szCs w:val="16"/>
                <w:b w:val="1"/>
                <w:bCs w:val="1"/>
                <w:color w:val="auto"/>
              </w:rPr>
              <w:t>Total Long-Term Debt</w:t>
            </w:r>
          </w:p>
        </w:tc>
        <w:tc>
          <w:tcPr>
            <w:tcW w:w="19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4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705,359</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705,618</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Arial" w:cs="Arial" w:eastAsia="Arial" w:hAnsi="Arial"/>
          <w:sz w:val="14"/>
          <w:szCs w:val="14"/>
          <w:color w:val="auto"/>
        </w:rPr>
        <w:t>___________</w:t>
      </w:r>
    </w:p>
    <w:p>
      <w:pPr>
        <w:spacing w:after="0" w:line="109" w:lineRule="exact"/>
        <w:rPr>
          <w:sz w:val="20"/>
          <w:szCs w:val="20"/>
          <w:color w:val="auto"/>
        </w:rPr>
      </w:pPr>
    </w:p>
    <w:p>
      <w:pPr>
        <w:ind w:left="380" w:hanging="372"/>
        <w:spacing w:after="0"/>
        <w:tabs>
          <w:tab w:leader="none" w:pos="38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carrying value is net of $6.0 million and $6.4 million of unamortized debt issuance costs as of September 30, 2026 and December 31, 2025, respectively.</w:t>
      </w:r>
    </w:p>
    <w:p>
      <w:pPr>
        <w:spacing w:after="0" w:line="41" w:lineRule="exact"/>
        <w:rPr>
          <w:rFonts w:ascii="Arial" w:cs="Arial" w:eastAsia="Arial" w:hAnsi="Arial"/>
          <w:sz w:val="14"/>
          <w:szCs w:val="14"/>
          <w:color w:val="auto"/>
        </w:rPr>
      </w:pPr>
    </w:p>
    <w:p>
      <w:pPr>
        <w:ind w:left="380" w:hanging="372"/>
        <w:spacing w:after="0"/>
        <w:tabs>
          <w:tab w:leader="none" w:pos="38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carrying value is net of $0.1 million of unamortized debt issuance costs as of September 30, 2026 and December 31, 2025.</w:t>
      </w:r>
    </w:p>
    <w:p>
      <w:pPr>
        <w:spacing w:after="0" w:line="41" w:lineRule="exact"/>
        <w:rPr>
          <w:rFonts w:ascii="Arial" w:cs="Arial" w:eastAsia="Arial" w:hAnsi="Arial"/>
          <w:sz w:val="14"/>
          <w:szCs w:val="14"/>
          <w:color w:val="auto"/>
        </w:rPr>
      </w:pPr>
    </w:p>
    <w:p>
      <w:pPr>
        <w:ind w:left="380" w:hanging="372"/>
        <w:spacing w:after="0"/>
        <w:tabs>
          <w:tab w:leader="none" w:pos="38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carrying value is net of $0.3 million and $0.5 million of unamortized debt issuance costs as of September 30, 2026 and December 31, 2025, respectively.</w:t>
      </w:r>
    </w:p>
    <w:p>
      <w:pPr>
        <w:spacing w:after="0" w:line="153"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On November 24, 2025, the Company issued $500 million of 5.625% unsecured eight-year fixed-rate notes due December 1, 2033 (the Notes). Interest is paid semi-annually on June 1 and December 1. Also on November 24, 2025, the Company used the net proceeds from the</w:t>
      </w:r>
    </w:p>
    <w:p>
      <w:pPr>
        <w:spacing w:after="0" w:line="235" w:lineRule="auto"/>
        <w:rPr>
          <w:sz w:val="20"/>
          <w:szCs w:val="20"/>
          <w:color w:val="auto"/>
        </w:rPr>
      </w:pPr>
      <w:r>
        <w:rPr>
          <w:rFonts w:ascii="Arial" w:cs="Arial" w:eastAsia="Arial" w:hAnsi="Arial"/>
          <w:sz w:val="18"/>
          <w:szCs w:val="18"/>
          <w:color w:val="auto"/>
        </w:rPr>
        <w:t>sale of the Notes, together with the borrowings under the revolving credit agreement, to (i) redeem the $400 million of 5.75% unsecured</w:t>
      </w:r>
    </w:p>
    <w:p>
      <w:pPr>
        <w:ind w:right="300"/>
        <w:spacing w:after="0"/>
        <w:rPr>
          <w:sz w:val="20"/>
          <w:szCs w:val="20"/>
          <w:color w:val="auto"/>
        </w:rPr>
      </w:pPr>
      <w:r>
        <w:rPr>
          <w:rFonts w:ascii="Arial" w:cs="Arial" w:eastAsia="Arial" w:hAnsi="Arial"/>
          <w:sz w:val="17"/>
          <w:szCs w:val="17"/>
          <w:color w:val="auto"/>
        </w:rPr>
        <w:t>notes due June 1, 2026, (ii) refinance outstanding revolving loans under the existing revolving credit facility, and (iii) repay all amounts outstanding under the Company’s existing $150 million term loan. On October 21, 2025, the automotive subsidiary borrowed $38.7 million</w:t>
      </w:r>
    </w:p>
    <w:p>
      <w:pPr>
        <w:spacing w:after="0" w:line="1" w:lineRule="exact"/>
        <w:rPr>
          <w:sz w:val="20"/>
          <w:szCs w:val="20"/>
          <w:color w:val="auto"/>
        </w:rPr>
      </w:pPr>
    </w:p>
    <w:p>
      <w:pPr>
        <w:ind w:right="160"/>
        <w:spacing w:after="0" w:line="250" w:lineRule="auto"/>
        <w:rPr>
          <w:sz w:val="20"/>
          <w:szCs w:val="20"/>
          <w:color w:val="auto"/>
        </w:rPr>
      </w:pPr>
      <w:r>
        <w:rPr>
          <w:rFonts w:ascii="Arial" w:cs="Arial" w:eastAsia="Arial" w:hAnsi="Arial"/>
          <w:sz w:val="18"/>
          <w:szCs w:val="18"/>
          <w:color w:val="auto"/>
        </w:rPr>
        <w:t>under the delayed draw term loan to finance the acquisition of a Honda automotive dealership, including the real property for the dealership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In combination with the issuance of the Notes, the Company amended and restated the Second Amended and Restated Five Year Credit</w:t>
      </w:r>
    </w:p>
    <w:p>
      <w:pPr>
        <w:spacing w:after="0" w:line="14" w:lineRule="exact"/>
        <w:rPr>
          <w:sz w:val="20"/>
          <w:szCs w:val="20"/>
          <w:color w:val="auto"/>
        </w:rPr>
      </w:pPr>
    </w:p>
    <w:p>
      <w:pPr>
        <w:ind w:right="380"/>
        <w:spacing w:after="0"/>
        <w:rPr>
          <w:sz w:val="20"/>
          <w:szCs w:val="20"/>
          <w:color w:val="auto"/>
        </w:rPr>
      </w:pPr>
      <w:r>
        <w:rPr>
          <w:rFonts w:ascii="Arial" w:cs="Arial" w:eastAsia="Arial" w:hAnsi="Arial"/>
          <w:sz w:val="17"/>
          <w:szCs w:val="17"/>
          <w:color w:val="auto"/>
        </w:rPr>
        <w:t>Agreement, dated as of May 3, 2022, to, among other things, (i) increase the Company’s borrowing capacity by replacing the existing revolving commitments with a new revolving credit facility in the aggregate principal amount of $400 million, (ii) extend the maturity of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facility to November 24, 2030, and (iii) increase the letter of credit sublimit to $40 million.</w:t>
      </w:r>
    </w:p>
    <w:p>
      <w:pPr>
        <w:spacing w:after="0" w:line="140"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At September 30, 2026 and December 31, 2025, the fair value of the Company’s 5.625% unsecured notes, based on quoted market prices (Level 2 fair value assessment), totaled $470.3 million and $504.0 million, respectively.</w:t>
      </w:r>
    </w:p>
    <w:p>
      <w:pPr>
        <w:spacing w:after="0" w:line="112"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color w:val="auto"/>
        </w:rPr>
        <w:t>The outstanding balance on the Company’s $400 million unsecured revolving credit facility was $186.2 million as of September 30, 2026, consisting of U.S. dollar borrowings of $120.0 million with interest payable at SOFR plus</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color w:val="auto"/>
        </w:rPr>
        <w:t>1.375%, and British Pound borrowings of £50 million with interest payable at Daily Sterling Overnight Index Average (SONIA) plus 1.375%.</w:t>
      </w:r>
    </w:p>
    <w:p>
      <w:pPr>
        <w:spacing w:after="0" w:line="158"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The fair value of the Company’s other debt, which is based on Level 2 inputs, approximates its carrying value as of September 30, 2026 and December 31, 2025. The Company is in compliance with all financial covenants of the revolving credit facility and term loans as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2026.</w:t>
      </w:r>
    </w:p>
    <w:p>
      <w:pPr>
        <w:spacing w:after="0" w:line="140"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During the three months ended September 30, 2026 and 2025, the Company had average borrowings outstanding of approximately $930.4 million and $856.8 million, respectively, at average annual interest rates of approximately 5.9% and 6.0%, respectively. During the three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months ended September 30, 2026 and 2025, the Company incurred net interest expense of $14.2 million and $15.7 million, respectively.</w:t>
      </w:r>
    </w:p>
    <w:p>
      <w:pPr>
        <w:spacing w:after="0" w:line="140"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During the nine months ended September 30, 2026 and 2025, the Company had average borrowings outstanding of approximately $906.7 million and $835.2 million, respectively, at average annual interest rates of approximately 5.8% and 6.0%, respectively. During the nine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months ended September 30, 2026 and 2025, the Company incurred net interest expense of $43.2 million and $111.3 million, respectively.</w:t>
      </w:r>
    </w:p>
    <w:p>
      <w:pPr>
        <w:spacing w:after="0" w:line="140" w:lineRule="exact"/>
        <w:rPr>
          <w:sz w:val="20"/>
          <w:szCs w:val="20"/>
          <w:color w:val="auto"/>
        </w:rPr>
      </w:pPr>
    </w:p>
    <w:p>
      <w:pPr>
        <w:ind w:right="340"/>
        <w:spacing w:after="0" w:line="251" w:lineRule="auto"/>
        <w:rPr>
          <w:sz w:val="20"/>
          <w:szCs w:val="20"/>
          <w:color w:val="auto"/>
        </w:rPr>
      </w:pPr>
      <w:r>
        <w:rPr>
          <w:rFonts w:ascii="Arial" w:cs="Arial" w:eastAsia="Arial" w:hAnsi="Arial"/>
          <w:sz w:val="17"/>
          <w:szCs w:val="17"/>
          <w:color w:val="auto"/>
        </w:rPr>
        <w:t>During the three and nine months ended September 30, 2026, the Company recorded a reduction in interest expense of $0.1 million and $1.0 million, respectively, to adjust the fair value of the mandatorily redeemable noncontrolling interest. During the three and nine months</w:t>
      </w:r>
    </w:p>
    <w:p>
      <w:pPr>
        <w:spacing w:after="0" w:line="235" w:lineRule="auto"/>
        <w:rPr>
          <w:sz w:val="20"/>
          <w:szCs w:val="20"/>
          <w:color w:val="auto"/>
        </w:rPr>
      </w:pPr>
      <w:r>
        <w:rPr>
          <w:rFonts w:ascii="Arial" w:cs="Arial" w:eastAsia="Arial" w:hAnsi="Arial"/>
          <w:sz w:val="18"/>
          <w:szCs w:val="18"/>
          <w:color w:val="auto"/>
        </w:rPr>
        <w:t>ended September 30, 2025, the Company recorded interest expense of $0.7 million and $68.3 million, respectively, to adjust the fair value of</w:t>
      </w:r>
    </w:p>
    <w:p>
      <w:pPr>
        <w:ind w:right="220"/>
        <w:spacing w:after="0" w:line="226" w:lineRule="auto"/>
        <w:rPr>
          <w:sz w:val="20"/>
          <w:szCs w:val="20"/>
          <w:color w:val="auto"/>
        </w:rPr>
      </w:pPr>
      <w:r>
        <w:rPr>
          <w:rFonts w:ascii="Arial" w:cs="Arial" w:eastAsia="Arial" w:hAnsi="Arial"/>
          <w:sz w:val="18"/>
          <w:szCs w:val="18"/>
          <w:color w:val="auto"/>
        </w:rPr>
        <w:t>the mandatorily redeemable noncontrolling interest. The fair value of the mandatorily redeemable noncontrolling interest was based on the fair value of the underlying subsidiaries owned by GHC One and GHC Two, after taking into account any debt and other noncontrolling</w:t>
      </w:r>
    </w:p>
    <w:p>
      <w:pPr>
        <w:spacing w:after="0" w:line="2"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interests of its subsidiary investments. The fair value of the owned subsidiaries is determined by reference to either a discounted cash flow or EBITDA multiple, which approximates fair value (Level 3 fair value assessment) (See Note 2 and 8).</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8. FAIR VALUE MEASUREMENTS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financial assets and liabilities measured at fair value on a recurring basis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3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As of September 30, 2026</w:t>
            </w: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3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Level 1</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Level 2</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Level 3</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6"/>
        </w:trPr>
        <w:tc>
          <w:tcPr>
            <w:tcW w:w="634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6340" w:type="dxa"/>
            <w:vAlign w:val="bottom"/>
          </w:tcPr>
          <w:p>
            <w:pPr>
              <w:ind w:left="20"/>
              <w:spacing w:after="0"/>
              <w:rPr>
                <w:sz w:val="20"/>
                <w:szCs w:val="20"/>
                <w:color w:val="auto"/>
              </w:rPr>
            </w:pPr>
            <w:r>
              <w:rPr>
                <w:rFonts w:ascii="Arial" w:cs="Arial" w:eastAsia="Arial" w:hAnsi="Arial"/>
                <w:sz w:val="16"/>
                <w:szCs w:val="16"/>
                <w:b w:val="1"/>
                <w:bCs w:val="1"/>
                <w:color w:val="auto"/>
              </w:rPr>
              <w:t xml:space="preserve">Money market investments </w:t>
            </w:r>
            <w:r>
              <w:rPr>
                <w:rFonts w:ascii="Arial" w:cs="Arial" w:eastAsia="Arial" w:hAnsi="Arial"/>
                <w:sz w:val="21"/>
                <w:szCs w:val="21"/>
                <w:b w:val="1"/>
                <w:bCs w:val="1"/>
                <w:color w:val="auto"/>
                <w:vertAlign w:val="superscript"/>
              </w:rPr>
              <w:t>(1)</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21"/>
              <w:spacing w:after="0"/>
              <w:rPr>
                <w:sz w:val="20"/>
                <w:szCs w:val="20"/>
                <w:color w:val="auto"/>
              </w:rPr>
            </w:pPr>
            <w:r>
              <w:rPr>
                <w:rFonts w:ascii="Arial" w:cs="Arial" w:eastAsia="Arial" w:hAnsi="Arial"/>
                <w:sz w:val="16"/>
                <w:szCs w:val="16"/>
                <w:b w:val="1"/>
                <w:bCs w:val="1"/>
                <w:color w:val="auto"/>
              </w:rPr>
              <w:t>7,913</w:t>
            </w:r>
          </w:p>
        </w:tc>
        <w:tc>
          <w:tcPr>
            <w:tcW w:w="30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7,913</w:t>
            </w:r>
          </w:p>
        </w:tc>
        <w:tc>
          <w:tcPr>
            <w:tcW w:w="0" w:type="dxa"/>
            <w:vAlign w:val="bottom"/>
          </w:tcPr>
          <w:p>
            <w:pPr>
              <w:spacing w:after="0"/>
              <w:rPr>
                <w:sz w:val="1"/>
                <w:szCs w:val="1"/>
                <w:color w:val="auto"/>
              </w:rPr>
            </w:pPr>
          </w:p>
        </w:tc>
      </w:tr>
      <w:tr>
        <w:trPr>
          <w:trHeight w:val="243"/>
        </w:trPr>
        <w:tc>
          <w:tcPr>
            <w:tcW w:w="6340" w:type="dxa"/>
            <w:vAlign w:val="bottom"/>
          </w:tcPr>
          <w:p>
            <w:pPr>
              <w:ind w:left="20"/>
              <w:spacing w:after="0"/>
              <w:rPr>
                <w:sz w:val="20"/>
                <w:szCs w:val="20"/>
                <w:color w:val="auto"/>
              </w:rPr>
            </w:pPr>
            <w:r>
              <w:rPr>
                <w:rFonts w:ascii="Arial" w:cs="Arial" w:eastAsia="Arial" w:hAnsi="Arial"/>
                <w:sz w:val="16"/>
                <w:szCs w:val="16"/>
                <w:b w:val="1"/>
                <w:bCs w:val="1"/>
                <w:color w:val="auto"/>
              </w:rPr>
              <w:t xml:space="preserve">Marketable equity securities </w:t>
            </w:r>
            <w:r>
              <w:rPr>
                <w:rFonts w:ascii="Arial" w:cs="Arial" w:eastAsia="Arial" w:hAnsi="Arial"/>
                <w:sz w:val="21"/>
                <w:szCs w:val="21"/>
                <w:b w:val="1"/>
                <w:bCs w:val="1"/>
                <w:color w:val="auto"/>
                <w:vertAlign w:val="superscript"/>
              </w:rPr>
              <w:t>(2)</w:t>
            </w:r>
          </w:p>
        </w:tc>
        <w:tc>
          <w:tcPr>
            <w:tcW w:w="220" w:type="dxa"/>
            <w:vAlign w:val="bottom"/>
          </w:tcPr>
          <w:p>
            <w:pPr>
              <w:spacing w:after="0"/>
              <w:rPr>
                <w:sz w:val="21"/>
                <w:szCs w:val="21"/>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1,069,741</w:t>
            </w:r>
          </w:p>
        </w:tc>
        <w:tc>
          <w:tcPr>
            <w:tcW w:w="280" w:type="dxa"/>
            <w:vAlign w:val="bottom"/>
          </w:tcPr>
          <w:p>
            <w:pPr>
              <w:spacing w:after="0"/>
              <w:rPr>
                <w:sz w:val="21"/>
                <w:szCs w:val="21"/>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1"/>
                <w:szCs w:val="21"/>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1,069,741</w:t>
            </w:r>
          </w:p>
        </w:tc>
        <w:tc>
          <w:tcPr>
            <w:tcW w:w="0" w:type="dxa"/>
            <w:vAlign w:val="bottom"/>
          </w:tcPr>
          <w:p>
            <w:pPr>
              <w:spacing w:after="0"/>
              <w:rPr>
                <w:sz w:val="1"/>
                <w:szCs w:val="1"/>
                <w:color w:val="auto"/>
              </w:rPr>
            </w:pPr>
          </w:p>
        </w:tc>
      </w:tr>
      <w:tr>
        <w:trPr>
          <w:trHeight w:val="230"/>
        </w:trPr>
        <w:tc>
          <w:tcPr>
            <w:tcW w:w="6340" w:type="dxa"/>
            <w:vAlign w:val="bottom"/>
          </w:tcPr>
          <w:p>
            <w:pPr>
              <w:ind w:left="20"/>
              <w:spacing w:after="0" w:line="230" w:lineRule="exact"/>
              <w:rPr>
                <w:sz w:val="20"/>
                <w:szCs w:val="20"/>
                <w:color w:val="auto"/>
              </w:rPr>
            </w:pPr>
            <w:r>
              <w:rPr>
                <w:rFonts w:ascii="Arial" w:cs="Arial" w:eastAsia="Arial" w:hAnsi="Arial"/>
                <w:sz w:val="16"/>
                <w:szCs w:val="16"/>
                <w:b w:val="1"/>
                <w:bCs w:val="1"/>
                <w:color w:val="auto"/>
              </w:rPr>
              <w:t xml:space="preserve">Other current investments </w:t>
            </w:r>
            <w:r>
              <w:rPr>
                <w:rFonts w:ascii="Arial" w:cs="Arial" w:eastAsia="Arial" w:hAnsi="Arial"/>
                <w:sz w:val="21"/>
                <w:szCs w:val="21"/>
                <w:b w:val="1"/>
                <w:bCs w:val="1"/>
                <w:color w:val="auto"/>
                <w:vertAlign w:val="superscript"/>
              </w:rPr>
              <w:t>(3)</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4,330</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4,330</w:t>
            </w:r>
          </w:p>
        </w:tc>
        <w:tc>
          <w:tcPr>
            <w:tcW w:w="0" w:type="dxa"/>
            <w:vAlign w:val="bottom"/>
          </w:tcPr>
          <w:p>
            <w:pPr>
              <w:spacing w:after="0"/>
              <w:rPr>
                <w:sz w:val="1"/>
                <w:szCs w:val="1"/>
                <w:color w:val="auto"/>
              </w:rPr>
            </w:pPr>
          </w:p>
        </w:tc>
      </w:tr>
      <w:tr>
        <w:trPr>
          <w:trHeight w:val="237"/>
        </w:trPr>
        <w:tc>
          <w:tcPr>
            <w:tcW w:w="6340" w:type="dxa"/>
            <w:vAlign w:val="bottom"/>
          </w:tcPr>
          <w:p>
            <w:pPr>
              <w:ind w:left="220"/>
              <w:spacing w:after="0"/>
              <w:rPr>
                <w:sz w:val="20"/>
                <w:szCs w:val="20"/>
                <w:color w:val="auto"/>
              </w:rPr>
            </w:pPr>
            <w:r>
              <w:rPr>
                <w:rFonts w:ascii="Arial" w:cs="Arial" w:eastAsia="Arial" w:hAnsi="Arial"/>
                <w:sz w:val="16"/>
                <w:szCs w:val="16"/>
                <w:b w:val="1"/>
                <w:bCs w:val="1"/>
                <w:color w:val="auto"/>
              </w:rPr>
              <w:t>Total Financial Assets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1,069,741</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12,243</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1,081,984</w:t>
            </w:r>
          </w:p>
        </w:tc>
        <w:tc>
          <w:tcPr>
            <w:tcW w:w="0" w:type="dxa"/>
            <w:vAlign w:val="bottom"/>
          </w:tcPr>
          <w:p>
            <w:pPr>
              <w:spacing w:after="0"/>
              <w:rPr>
                <w:sz w:val="1"/>
                <w:szCs w:val="1"/>
                <w:color w:val="auto"/>
              </w:rPr>
            </w:pPr>
          </w:p>
        </w:tc>
      </w:tr>
      <w:tr>
        <w:trPr>
          <w:trHeight w:val="21"/>
        </w:trPr>
        <w:tc>
          <w:tcPr>
            <w:tcW w:w="63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Liabilities</w:t>
            </w: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63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340" w:type="dxa"/>
            <w:vAlign w:val="bottom"/>
          </w:tcPr>
          <w:p>
            <w:pPr>
              <w:ind w:left="20"/>
              <w:spacing w:after="0"/>
              <w:rPr>
                <w:sz w:val="20"/>
                <w:szCs w:val="20"/>
                <w:color w:val="auto"/>
              </w:rPr>
            </w:pPr>
            <w:r>
              <w:rPr>
                <w:rFonts w:ascii="Arial" w:cs="Arial" w:eastAsia="Arial" w:hAnsi="Arial"/>
                <w:sz w:val="16"/>
                <w:szCs w:val="16"/>
                <w:b w:val="1"/>
                <w:bCs w:val="1"/>
                <w:color w:val="auto"/>
              </w:rPr>
              <w:t xml:space="preserve">Interest rate swaps </w:t>
            </w:r>
            <w:r>
              <w:rPr>
                <w:rFonts w:ascii="Arial" w:cs="Arial" w:eastAsia="Arial" w:hAnsi="Arial"/>
                <w:sz w:val="21"/>
                <w:szCs w:val="21"/>
                <w:b w:val="1"/>
                <w:bCs w:val="1"/>
                <w:color w:val="auto"/>
                <w:vertAlign w:val="superscript"/>
              </w:rPr>
              <w:t>(4)</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21"/>
              <w:spacing w:after="0"/>
              <w:rPr>
                <w:sz w:val="20"/>
                <w:szCs w:val="20"/>
                <w:color w:val="auto"/>
              </w:rPr>
            </w:pPr>
            <w:r>
              <w:rPr>
                <w:rFonts w:ascii="Arial" w:cs="Arial" w:eastAsia="Arial" w:hAnsi="Arial"/>
                <w:sz w:val="16"/>
                <w:szCs w:val="16"/>
                <w:b w:val="1"/>
                <w:bCs w:val="1"/>
                <w:color w:val="auto"/>
              </w:rPr>
              <w:t>60</w:t>
            </w:r>
          </w:p>
        </w:tc>
        <w:tc>
          <w:tcPr>
            <w:tcW w:w="30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60</w:t>
            </w:r>
          </w:p>
        </w:tc>
        <w:tc>
          <w:tcPr>
            <w:tcW w:w="0" w:type="dxa"/>
            <w:vAlign w:val="bottom"/>
          </w:tcPr>
          <w:p>
            <w:pPr>
              <w:spacing w:after="0"/>
              <w:rPr>
                <w:sz w:val="1"/>
                <w:szCs w:val="1"/>
                <w:color w:val="auto"/>
              </w:rPr>
            </w:pPr>
          </w:p>
        </w:tc>
      </w:tr>
      <w:tr>
        <w:trPr>
          <w:trHeight w:val="230"/>
        </w:trPr>
        <w:tc>
          <w:tcPr>
            <w:tcW w:w="6340" w:type="dxa"/>
            <w:vAlign w:val="bottom"/>
          </w:tcPr>
          <w:p>
            <w:pPr>
              <w:ind w:left="20"/>
              <w:spacing w:after="0" w:line="230" w:lineRule="exact"/>
              <w:rPr>
                <w:sz w:val="20"/>
                <w:szCs w:val="20"/>
                <w:color w:val="auto"/>
              </w:rPr>
            </w:pPr>
            <w:r>
              <w:rPr>
                <w:rFonts w:ascii="Arial" w:cs="Arial" w:eastAsia="Arial" w:hAnsi="Arial"/>
                <w:sz w:val="16"/>
                <w:szCs w:val="16"/>
                <w:b w:val="1"/>
                <w:bCs w:val="1"/>
                <w:color w:val="auto"/>
              </w:rPr>
              <w:t xml:space="preserve">Mandatorily redeemable noncontrolling interest </w:t>
            </w:r>
            <w:r>
              <w:rPr>
                <w:rFonts w:ascii="Arial" w:cs="Arial" w:eastAsia="Arial" w:hAnsi="Arial"/>
                <w:sz w:val="21"/>
                <w:szCs w:val="21"/>
                <w:b w:val="1"/>
                <w:bCs w:val="1"/>
                <w:color w:val="auto"/>
                <w:vertAlign w:val="superscript"/>
              </w:rPr>
              <w:t>(5)</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7,273</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7,273</w:t>
            </w:r>
          </w:p>
        </w:tc>
        <w:tc>
          <w:tcPr>
            <w:tcW w:w="0" w:type="dxa"/>
            <w:vAlign w:val="bottom"/>
          </w:tcPr>
          <w:p>
            <w:pPr>
              <w:spacing w:after="0"/>
              <w:rPr>
                <w:sz w:val="1"/>
                <w:szCs w:val="1"/>
                <w:color w:val="auto"/>
              </w:rPr>
            </w:pPr>
          </w:p>
        </w:tc>
      </w:tr>
      <w:tr>
        <w:trPr>
          <w:trHeight w:val="236"/>
        </w:trPr>
        <w:tc>
          <w:tcPr>
            <w:tcW w:w="6340" w:type="dxa"/>
            <w:vAlign w:val="bottom"/>
          </w:tcPr>
          <w:p>
            <w:pPr>
              <w:ind w:left="220"/>
              <w:spacing w:after="0"/>
              <w:rPr>
                <w:sz w:val="20"/>
                <w:szCs w:val="20"/>
                <w:color w:val="auto"/>
              </w:rPr>
            </w:pPr>
            <w:r>
              <w:rPr>
                <w:rFonts w:ascii="Arial" w:cs="Arial" w:eastAsia="Arial" w:hAnsi="Arial"/>
                <w:sz w:val="16"/>
                <w:szCs w:val="16"/>
                <w:b w:val="1"/>
                <w:bCs w:val="1"/>
                <w:color w:val="auto"/>
              </w:rPr>
              <w:t>Total Financial Liabilities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60</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7,273</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7,333</w:t>
            </w:r>
          </w:p>
        </w:tc>
        <w:tc>
          <w:tcPr>
            <w:tcW w:w="0" w:type="dxa"/>
            <w:vAlign w:val="bottom"/>
          </w:tcPr>
          <w:p>
            <w:pPr>
              <w:spacing w:after="0"/>
              <w:rPr>
                <w:sz w:val="1"/>
                <w:szCs w:val="1"/>
                <w:color w:val="auto"/>
              </w:rPr>
            </w:pPr>
          </w:p>
        </w:tc>
      </w:tr>
      <w:tr>
        <w:trPr>
          <w:trHeight w:val="21"/>
        </w:trPr>
        <w:tc>
          <w:tcPr>
            <w:tcW w:w="6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gridSpan w:val="3"/>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1"/>
        </w:trPr>
        <w:tc>
          <w:tcPr>
            <w:tcW w:w="63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rPr>
              <w:t>As of December 31, 2025</w:t>
            </w: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3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Level 1</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Level 2</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Level 3</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6"/>
        </w:trPr>
        <w:tc>
          <w:tcPr>
            <w:tcW w:w="634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6340" w:type="dxa"/>
            <w:vAlign w:val="bottom"/>
          </w:tcPr>
          <w:p>
            <w:pPr>
              <w:ind w:left="20"/>
              <w:spacing w:after="0"/>
              <w:rPr>
                <w:sz w:val="20"/>
                <w:szCs w:val="20"/>
                <w:color w:val="auto"/>
              </w:rPr>
            </w:pPr>
            <w:r>
              <w:rPr>
                <w:rFonts w:ascii="Arial" w:cs="Arial" w:eastAsia="Arial" w:hAnsi="Arial"/>
                <w:sz w:val="16"/>
                <w:szCs w:val="16"/>
                <w:color w:val="auto"/>
              </w:rPr>
              <w:t xml:space="preserve">Money market investments </w:t>
            </w:r>
            <w:r>
              <w:rPr>
                <w:rFonts w:ascii="Arial" w:cs="Arial" w:eastAsia="Arial" w:hAnsi="Arial"/>
                <w:sz w:val="21"/>
                <w:szCs w:val="21"/>
                <w:color w:val="auto"/>
                <w:vertAlign w:val="superscript"/>
              </w:rPr>
              <w:t>(1)</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5,251</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5,251</w:t>
            </w:r>
          </w:p>
        </w:tc>
        <w:tc>
          <w:tcPr>
            <w:tcW w:w="0" w:type="dxa"/>
            <w:vAlign w:val="bottom"/>
          </w:tcPr>
          <w:p>
            <w:pPr>
              <w:spacing w:after="0"/>
              <w:rPr>
                <w:sz w:val="1"/>
                <w:szCs w:val="1"/>
                <w:color w:val="auto"/>
              </w:rPr>
            </w:pPr>
          </w:p>
        </w:tc>
      </w:tr>
      <w:tr>
        <w:trPr>
          <w:trHeight w:val="243"/>
        </w:trPr>
        <w:tc>
          <w:tcPr>
            <w:tcW w:w="6340" w:type="dxa"/>
            <w:vAlign w:val="bottom"/>
          </w:tcPr>
          <w:p>
            <w:pPr>
              <w:ind w:left="20"/>
              <w:spacing w:after="0"/>
              <w:rPr>
                <w:sz w:val="20"/>
                <w:szCs w:val="20"/>
                <w:color w:val="auto"/>
              </w:rPr>
            </w:pPr>
            <w:r>
              <w:rPr>
                <w:rFonts w:ascii="Arial" w:cs="Arial" w:eastAsia="Arial" w:hAnsi="Arial"/>
                <w:sz w:val="16"/>
                <w:szCs w:val="16"/>
                <w:color w:val="auto"/>
              </w:rPr>
              <w:t xml:space="preserve">Marketable equity securities </w:t>
            </w:r>
            <w:r>
              <w:rPr>
                <w:rFonts w:ascii="Arial" w:cs="Arial" w:eastAsia="Arial" w:hAnsi="Arial"/>
                <w:sz w:val="21"/>
                <w:szCs w:val="21"/>
                <w:color w:val="auto"/>
                <w:vertAlign w:val="superscript"/>
              </w:rPr>
              <w:t>(2)</w:t>
            </w:r>
          </w:p>
        </w:tc>
        <w:tc>
          <w:tcPr>
            <w:tcW w:w="220" w:type="dxa"/>
            <w:vAlign w:val="bottom"/>
          </w:tcPr>
          <w:p>
            <w:pPr>
              <w:spacing w:after="0"/>
              <w:rPr>
                <w:sz w:val="21"/>
                <w:szCs w:val="21"/>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1,081,938</w:t>
            </w:r>
          </w:p>
        </w:tc>
        <w:tc>
          <w:tcPr>
            <w:tcW w:w="280" w:type="dxa"/>
            <w:vAlign w:val="bottom"/>
          </w:tcPr>
          <w:p>
            <w:pPr>
              <w:spacing w:after="0"/>
              <w:rPr>
                <w:sz w:val="21"/>
                <w:szCs w:val="21"/>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1"/>
                <w:szCs w:val="21"/>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1,081,938</w:t>
            </w:r>
          </w:p>
        </w:tc>
        <w:tc>
          <w:tcPr>
            <w:tcW w:w="0" w:type="dxa"/>
            <w:vAlign w:val="bottom"/>
          </w:tcPr>
          <w:p>
            <w:pPr>
              <w:spacing w:after="0"/>
              <w:rPr>
                <w:sz w:val="1"/>
                <w:szCs w:val="1"/>
                <w:color w:val="auto"/>
              </w:rPr>
            </w:pPr>
          </w:p>
        </w:tc>
      </w:tr>
      <w:tr>
        <w:trPr>
          <w:trHeight w:val="230"/>
        </w:trPr>
        <w:tc>
          <w:tcPr>
            <w:tcW w:w="634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Other current investments </w:t>
            </w:r>
            <w:r>
              <w:rPr>
                <w:rFonts w:ascii="Arial" w:cs="Arial" w:eastAsia="Arial" w:hAnsi="Arial"/>
                <w:sz w:val="21"/>
                <w:szCs w:val="21"/>
                <w:color w:val="auto"/>
                <w:vertAlign w:val="superscript"/>
              </w:rPr>
              <w:t>(3)</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7,032</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7,032</w:t>
            </w:r>
          </w:p>
        </w:tc>
        <w:tc>
          <w:tcPr>
            <w:tcW w:w="0" w:type="dxa"/>
            <w:vAlign w:val="bottom"/>
          </w:tcPr>
          <w:p>
            <w:pPr>
              <w:spacing w:after="0"/>
              <w:rPr>
                <w:sz w:val="1"/>
                <w:szCs w:val="1"/>
                <w:color w:val="auto"/>
              </w:rPr>
            </w:pPr>
          </w:p>
        </w:tc>
      </w:tr>
      <w:tr>
        <w:trPr>
          <w:trHeight w:val="237"/>
        </w:trPr>
        <w:tc>
          <w:tcPr>
            <w:tcW w:w="6340" w:type="dxa"/>
            <w:vAlign w:val="bottom"/>
          </w:tcPr>
          <w:p>
            <w:pPr>
              <w:ind w:left="220"/>
              <w:spacing w:after="0"/>
              <w:rPr>
                <w:sz w:val="20"/>
                <w:szCs w:val="20"/>
                <w:color w:val="auto"/>
              </w:rPr>
            </w:pPr>
            <w:r>
              <w:rPr>
                <w:rFonts w:ascii="Arial" w:cs="Arial" w:eastAsia="Arial" w:hAnsi="Arial"/>
                <w:sz w:val="16"/>
                <w:szCs w:val="16"/>
                <w:b w:val="1"/>
                <w:bCs w:val="1"/>
                <w:color w:val="auto"/>
              </w:rPr>
              <w:t>Total Financial Assets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1,081,938</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12,283</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1,094,221</w:t>
            </w:r>
          </w:p>
        </w:tc>
        <w:tc>
          <w:tcPr>
            <w:tcW w:w="0" w:type="dxa"/>
            <w:vAlign w:val="bottom"/>
          </w:tcPr>
          <w:p>
            <w:pPr>
              <w:spacing w:after="0"/>
              <w:rPr>
                <w:sz w:val="1"/>
                <w:szCs w:val="1"/>
                <w:color w:val="auto"/>
              </w:rPr>
            </w:pPr>
          </w:p>
        </w:tc>
      </w:tr>
      <w:tr>
        <w:trPr>
          <w:trHeight w:val="20"/>
        </w:trPr>
        <w:tc>
          <w:tcPr>
            <w:tcW w:w="63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Liabilities</w:t>
            </w: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63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340" w:type="dxa"/>
            <w:vAlign w:val="bottom"/>
          </w:tcPr>
          <w:p>
            <w:pPr>
              <w:ind w:left="20"/>
              <w:spacing w:after="0"/>
              <w:rPr>
                <w:sz w:val="20"/>
                <w:szCs w:val="20"/>
                <w:color w:val="auto"/>
              </w:rPr>
            </w:pPr>
            <w:r>
              <w:rPr>
                <w:rFonts w:ascii="Arial" w:cs="Arial" w:eastAsia="Arial" w:hAnsi="Arial"/>
                <w:sz w:val="16"/>
                <w:szCs w:val="16"/>
                <w:color w:val="auto"/>
              </w:rPr>
              <w:t xml:space="preserve">Contingent consideration liabilities </w:t>
            </w:r>
            <w:r>
              <w:rPr>
                <w:rFonts w:ascii="Arial" w:cs="Arial" w:eastAsia="Arial" w:hAnsi="Arial"/>
                <w:sz w:val="21"/>
                <w:szCs w:val="21"/>
                <w:color w:val="auto"/>
                <w:vertAlign w:val="superscript"/>
              </w:rPr>
              <w:t>(6)</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1,526</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1,526</w:t>
            </w:r>
          </w:p>
        </w:tc>
        <w:tc>
          <w:tcPr>
            <w:tcW w:w="0" w:type="dxa"/>
            <w:vAlign w:val="bottom"/>
          </w:tcPr>
          <w:p>
            <w:pPr>
              <w:spacing w:after="0"/>
              <w:rPr>
                <w:sz w:val="1"/>
                <w:szCs w:val="1"/>
                <w:color w:val="auto"/>
              </w:rPr>
            </w:pPr>
          </w:p>
        </w:tc>
      </w:tr>
      <w:tr>
        <w:trPr>
          <w:trHeight w:val="243"/>
        </w:trPr>
        <w:tc>
          <w:tcPr>
            <w:tcW w:w="6340" w:type="dxa"/>
            <w:vAlign w:val="bottom"/>
          </w:tcPr>
          <w:p>
            <w:pPr>
              <w:ind w:left="20"/>
              <w:spacing w:after="0"/>
              <w:rPr>
                <w:sz w:val="20"/>
                <w:szCs w:val="20"/>
                <w:color w:val="auto"/>
              </w:rPr>
            </w:pPr>
            <w:r>
              <w:rPr>
                <w:rFonts w:ascii="Arial" w:cs="Arial" w:eastAsia="Arial" w:hAnsi="Arial"/>
                <w:sz w:val="16"/>
                <w:szCs w:val="16"/>
                <w:color w:val="auto"/>
              </w:rPr>
              <w:t xml:space="preserve">Interest rate swaps </w:t>
            </w:r>
            <w:r>
              <w:rPr>
                <w:rFonts w:ascii="Arial" w:cs="Arial" w:eastAsia="Arial" w:hAnsi="Arial"/>
                <w:sz w:val="21"/>
                <w:szCs w:val="21"/>
                <w:color w:val="auto"/>
                <w:vertAlign w:val="superscript"/>
              </w:rPr>
              <w:t>(4)</w:t>
            </w:r>
          </w:p>
        </w:tc>
        <w:tc>
          <w:tcPr>
            <w:tcW w:w="220" w:type="dxa"/>
            <w:vAlign w:val="bottom"/>
          </w:tcPr>
          <w:p>
            <w:pPr>
              <w:spacing w:after="0"/>
              <w:rPr>
                <w:sz w:val="21"/>
                <w:szCs w:val="21"/>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2,289</w:t>
            </w:r>
          </w:p>
        </w:tc>
        <w:tc>
          <w:tcPr>
            <w:tcW w:w="300" w:type="dxa"/>
            <w:vAlign w:val="bottom"/>
          </w:tcPr>
          <w:p>
            <w:pPr>
              <w:spacing w:after="0"/>
              <w:rPr>
                <w:sz w:val="21"/>
                <w:szCs w:val="21"/>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2,289</w:t>
            </w:r>
          </w:p>
        </w:tc>
        <w:tc>
          <w:tcPr>
            <w:tcW w:w="0" w:type="dxa"/>
            <w:vAlign w:val="bottom"/>
          </w:tcPr>
          <w:p>
            <w:pPr>
              <w:spacing w:after="0"/>
              <w:rPr>
                <w:sz w:val="1"/>
                <w:szCs w:val="1"/>
                <w:color w:val="auto"/>
              </w:rPr>
            </w:pPr>
          </w:p>
        </w:tc>
      </w:tr>
      <w:tr>
        <w:trPr>
          <w:trHeight w:val="230"/>
        </w:trPr>
        <w:tc>
          <w:tcPr>
            <w:tcW w:w="634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Mandatorily redeemable noncontrolling interest </w:t>
            </w:r>
            <w:r>
              <w:rPr>
                <w:rFonts w:ascii="Arial" w:cs="Arial" w:eastAsia="Arial" w:hAnsi="Arial"/>
                <w:sz w:val="21"/>
                <w:szCs w:val="21"/>
                <w:color w:val="auto"/>
                <w:vertAlign w:val="superscript"/>
              </w:rPr>
              <w:t>(5)</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8,401</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8,401</w:t>
            </w:r>
          </w:p>
        </w:tc>
        <w:tc>
          <w:tcPr>
            <w:tcW w:w="0" w:type="dxa"/>
            <w:vAlign w:val="bottom"/>
          </w:tcPr>
          <w:p>
            <w:pPr>
              <w:spacing w:after="0"/>
              <w:rPr>
                <w:sz w:val="1"/>
                <w:szCs w:val="1"/>
                <w:color w:val="auto"/>
              </w:rPr>
            </w:pPr>
          </w:p>
        </w:tc>
      </w:tr>
      <w:tr>
        <w:trPr>
          <w:trHeight w:val="236"/>
        </w:trPr>
        <w:tc>
          <w:tcPr>
            <w:tcW w:w="6340" w:type="dxa"/>
            <w:vAlign w:val="bottom"/>
          </w:tcPr>
          <w:p>
            <w:pPr>
              <w:ind w:left="220"/>
              <w:spacing w:after="0"/>
              <w:rPr>
                <w:sz w:val="20"/>
                <w:szCs w:val="20"/>
                <w:color w:val="auto"/>
              </w:rPr>
            </w:pPr>
            <w:r>
              <w:rPr>
                <w:rFonts w:ascii="Arial" w:cs="Arial" w:eastAsia="Arial" w:hAnsi="Arial"/>
                <w:sz w:val="16"/>
                <w:szCs w:val="16"/>
                <w:b w:val="1"/>
                <w:bCs w:val="1"/>
                <w:color w:val="auto"/>
              </w:rPr>
              <w:t>Total Financial Liabilities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2,289</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9,927</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12,216</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123" w:lineRule="exact"/>
        <w:rPr>
          <w:sz w:val="20"/>
          <w:szCs w:val="20"/>
          <w:color w:val="auto"/>
        </w:rPr>
      </w:pPr>
    </w:p>
    <w:p>
      <w:pPr>
        <w:ind w:left="480" w:hanging="454"/>
        <w:spacing w:after="0"/>
        <w:tabs>
          <w:tab w:leader="none" w:pos="48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Company’s money market investments are included in cash and cash equivalents and the value considers the liquidity of the counterparty.</w:t>
      </w:r>
    </w:p>
    <w:p>
      <w:pPr>
        <w:spacing w:after="0" w:line="55" w:lineRule="exact"/>
        <w:rPr>
          <w:rFonts w:ascii="Arial" w:cs="Arial" w:eastAsia="Arial" w:hAnsi="Arial"/>
          <w:sz w:val="14"/>
          <w:szCs w:val="14"/>
          <w:color w:val="auto"/>
        </w:rPr>
      </w:pPr>
    </w:p>
    <w:p>
      <w:pPr>
        <w:ind w:left="480" w:right="100" w:hanging="454"/>
        <w:spacing w:after="0" w:line="264" w:lineRule="auto"/>
        <w:tabs>
          <w:tab w:leader="none" w:pos="48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Company’s investments in marketable equity securities are held in common shares of U.S. and non-U.S. corporations that are actively traded on U.S. and non-U.S. stock exchanges. Price quotes for these shares are readily available.</w:t>
      </w:r>
    </w:p>
    <w:p>
      <w:pPr>
        <w:spacing w:after="0" w:line="10" w:lineRule="exact"/>
        <w:rPr>
          <w:rFonts w:ascii="Arial" w:cs="Arial" w:eastAsia="Arial" w:hAnsi="Arial"/>
          <w:sz w:val="14"/>
          <w:szCs w:val="14"/>
          <w:color w:val="auto"/>
        </w:rPr>
      </w:pPr>
    </w:p>
    <w:p>
      <w:pPr>
        <w:ind w:left="480" w:right="440" w:hanging="454"/>
        <w:spacing w:after="0" w:line="264" w:lineRule="auto"/>
        <w:tabs>
          <w:tab w:leader="none" w:pos="48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mutual funds, which are valued using a market approach based on the quoted market prices of the security or inputs that include quoted market prices for similar instruments.</w:t>
      </w:r>
    </w:p>
    <w:p>
      <w:pPr>
        <w:spacing w:after="0" w:line="23" w:lineRule="exact"/>
        <w:rPr>
          <w:rFonts w:ascii="Arial" w:cs="Arial" w:eastAsia="Arial" w:hAnsi="Arial"/>
          <w:sz w:val="14"/>
          <w:szCs w:val="14"/>
          <w:color w:val="auto"/>
        </w:rPr>
      </w:pPr>
    </w:p>
    <w:p>
      <w:pPr>
        <w:ind w:left="480" w:right="160" w:hanging="454"/>
        <w:spacing w:after="0" w:line="264" w:lineRule="auto"/>
        <w:tabs>
          <w:tab w:leader="none" w:pos="48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Included in Other Liabilities. The Company utilized a market approach model using the notional amount of the interest rate swaps multiplied by the observable inputs of time to maturity and market interest rates.</w:t>
      </w:r>
    </w:p>
    <w:p>
      <w:pPr>
        <w:spacing w:after="0" w:line="23" w:lineRule="exact"/>
        <w:rPr>
          <w:rFonts w:ascii="Arial" w:cs="Arial" w:eastAsia="Arial" w:hAnsi="Arial"/>
          <w:sz w:val="14"/>
          <w:szCs w:val="14"/>
          <w:color w:val="auto"/>
        </w:rPr>
      </w:pPr>
    </w:p>
    <w:p>
      <w:pPr>
        <w:ind w:left="480" w:right="280" w:hanging="454"/>
        <w:spacing w:after="0" w:line="253" w:lineRule="auto"/>
        <w:tabs>
          <w:tab w:leader="none" w:pos="48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fair value of the mandatorily redeemable noncontrolling interest is based on the fair value of the underlying subsidiaries owned by GHC One and GHC Two, after taking into account any debt and other noncontrolling interests of its subsidiary investments. The fair value of the owned subsidiaries is determined using enterprise value analyses which include an equal weighing between guideline public company and discounted cash flow analyses.</w:t>
      </w:r>
    </w:p>
    <w:p>
      <w:pPr>
        <w:spacing w:after="0" w:line="30" w:lineRule="exact"/>
        <w:rPr>
          <w:rFonts w:ascii="Arial" w:cs="Arial" w:eastAsia="Arial" w:hAnsi="Arial"/>
          <w:sz w:val="14"/>
          <w:szCs w:val="14"/>
          <w:color w:val="auto"/>
        </w:rPr>
      </w:pPr>
    </w:p>
    <w:p>
      <w:pPr>
        <w:ind w:left="480" w:right="400" w:hanging="454"/>
        <w:spacing w:after="0" w:line="249" w:lineRule="auto"/>
        <w:tabs>
          <w:tab w:leader="none" w:pos="48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Included in Accounts payable, vehicle floor plan payable and accrued liabilities and Other Liabilities. The Company determined the fair value of the contingent consideration liabilities using either a Monte Carlo simulation, Black-Scholes model, or probability-weighted analysis depending on the type of target included in the contingent consideration requirements (revenue, EBITDA, client retention). All analyses included estimated financial projections for the acquired businesses and acquisition-specific discount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0" w:name="page21"/>
    <w:bookmarkEnd w:id="20"/>
    <w:p>
      <w:pPr>
        <w:ind w:right="440"/>
        <w:spacing w:after="0" w:line="271" w:lineRule="auto"/>
        <w:rPr>
          <w:sz w:val="20"/>
          <w:szCs w:val="20"/>
          <w:color w:val="auto"/>
        </w:rPr>
      </w:pPr>
      <w:r>
        <w:rPr>
          <w:rFonts w:ascii="Arial" w:cs="Arial" w:eastAsia="Arial" w:hAnsi="Arial"/>
          <w:sz w:val="18"/>
          <w:szCs w:val="18"/>
          <w:color w:val="auto"/>
        </w:rPr>
        <w:t>The following tables provide a reconciliation of changes in the Company’s financial liabilities measured at fair value on a recurring basis, using Level 3 inputs:</w:t>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386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5040" w:type="dxa"/>
            <w:vAlign w:val="bottom"/>
          </w:tcPr>
          <w:p>
            <w:pPr>
              <w:jc w:val="center"/>
              <w:ind w:left="2508"/>
              <w:spacing w:after="0"/>
              <w:rPr>
                <w:sz w:val="20"/>
                <w:szCs w:val="20"/>
                <w:color w:val="auto"/>
              </w:rPr>
            </w:pPr>
            <w:r>
              <w:rPr>
                <w:rFonts w:ascii="Arial" w:cs="Arial" w:eastAsia="Arial" w:hAnsi="Arial"/>
                <w:sz w:val="14"/>
                <w:szCs w:val="14"/>
                <w:b w:val="1"/>
                <w:bCs w:val="1"/>
                <w:color w:val="auto"/>
              </w:rPr>
              <w:t>Contingent consideration</w:t>
            </w:r>
          </w:p>
        </w:tc>
        <w:tc>
          <w:tcPr>
            <w:tcW w:w="2000" w:type="dxa"/>
            <w:vAlign w:val="bottom"/>
          </w:tcPr>
          <w:p>
            <w:pPr>
              <w:jc w:val="center"/>
              <w:ind w:left="268"/>
              <w:spacing w:after="0"/>
              <w:rPr>
                <w:sz w:val="20"/>
                <w:szCs w:val="20"/>
                <w:color w:val="auto"/>
              </w:rPr>
            </w:pPr>
            <w:r>
              <w:rPr>
                <w:rFonts w:ascii="Arial" w:cs="Arial" w:eastAsia="Arial" w:hAnsi="Arial"/>
                <w:sz w:val="14"/>
                <w:szCs w:val="14"/>
                <w:b w:val="1"/>
                <w:bCs w:val="1"/>
                <w:color w:val="auto"/>
              </w:rPr>
              <w:t>Mandatorily redeemable</w:t>
            </w:r>
          </w:p>
        </w:tc>
        <w:tc>
          <w:tcPr>
            <w:tcW w:w="0" w:type="dxa"/>
            <w:vAlign w:val="bottom"/>
          </w:tcPr>
          <w:p>
            <w:pPr>
              <w:spacing w:after="0"/>
              <w:rPr>
                <w:sz w:val="1"/>
                <w:szCs w:val="1"/>
                <w:color w:val="auto"/>
              </w:rPr>
            </w:pPr>
          </w:p>
        </w:tc>
      </w:tr>
      <w:tr>
        <w:trPr>
          <w:trHeight w:val="196"/>
        </w:trPr>
        <w:tc>
          <w:tcPr>
            <w:tcW w:w="3860" w:type="dxa"/>
            <w:vAlign w:val="bottom"/>
            <w:vMerge w:val="continue"/>
          </w:tcPr>
          <w:p>
            <w:pPr>
              <w:spacing w:after="0"/>
              <w:rPr>
                <w:sz w:val="17"/>
                <w:szCs w:val="17"/>
                <w:color w:val="auto"/>
              </w:rPr>
            </w:pPr>
          </w:p>
        </w:tc>
        <w:tc>
          <w:tcPr>
            <w:tcW w:w="5040" w:type="dxa"/>
            <w:vAlign w:val="bottom"/>
          </w:tcPr>
          <w:p>
            <w:pPr>
              <w:jc w:val="center"/>
              <w:ind w:left="2508"/>
              <w:spacing w:after="0"/>
              <w:rPr>
                <w:sz w:val="20"/>
                <w:szCs w:val="20"/>
                <w:color w:val="auto"/>
              </w:rPr>
            </w:pPr>
            <w:r>
              <w:rPr>
                <w:rFonts w:ascii="Arial" w:cs="Arial" w:eastAsia="Arial" w:hAnsi="Arial"/>
                <w:sz w:val="14"/>
                <w:szCs w:val="14"/>
                <w:b w:val="1"/>
                <w:bCs w:val="1"/>
                <w:color w:val="auto"/>
              </w:rPr>
              <w:t>liabilities</w:t>
            </w:r>
          </w:p>
        </w:tc>
        <w:tc>
          <w:tcPr>
            <w:tcW w:w="2000" w:type="dxa"/>
            <w:vAlign w:val="bottom"/>
          </w:tcPr>
          <w:p>
            <w:pPr>
              <w:jc w:val="center"/>
              <w:ind w:left="268"/>
              <w:spacing w:after="0"/>
              <w:rPr>
                <w:sz w:val="20"/>
                <w:szCs w:val="20"/>
                <w:color w:val="auto"/>
              </w:rPr>
            </w:pPr>
            <w:r>
              <w:rPr>
                <w:rFonts w:ascii="Arial" w:cs="Arial" w:eastAsia="Arial" w:hAnsi="Arial"/>
                <w:sz w:val="14"/>
                <w:szCs w:val="14"/>
                <w:b w:val="1"/>
                <w:bCs w:val="1"/>
                <w:color w:val="auto"/>
              </w:rPr>
              <w:t>noncontrolling interest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p>
      <w:pPr>
        <w:spacing w:after="0" w:line="28" w:lineRule="exact"/>
        <w:rPr>
          <w:sz w:val="20"/>
          <w:szCs w:val="20"/>
          <w:color w:val="auto"/>
        </w:rPr>
      </w:pPr>
    </w:p>
    <w:p>
      <w:pPr>
        <w:ind w:left="20"/>
        <w:spacing w:after="0"/>
        <w:rPr>
          <w:sz w:val="20"/>
          <w:szCs w:val="20"/>
          <w:color w:val="auto"/>
        </w:rPr>
      </w:pPr>
      <w:r>
        <w:rPr>
          <w:rFonts w:ascii="Arial" w:cs="Arial" w:eastAsia="Arial" w:hAnsi="Arial"/>
          <w:sz w:val="16"/>
          <w:szCs w:val="16"/>
          <w:color w:val="auto"/>
        </w:rPr>
        <w:t>As of December 31, 2025</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Changes in fair value </w:t>
      </w:r>
      <w:r>
        <w:rPr>
          <w:rFonts w:ascii="Arial" w:cs="Arial" w:eastAsia="Arial" w:hAnsi="Arial"/>
          <w:sz w:val="21"/>
          <w:szCs w:val="21"/>
          <w:b w:val="1"/>
          <w:bCs w:val="1"/>
          <w:color w:val="auto"/>
          <w:vertAlign w:val="superscript"/>
        </w:rPr>
        <w:t>(1)</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Capital contributions</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 xml:space="preserve">Accretion of value included in net income </w:t>
      </w:r>
      <w:r>
        <w:rPr>
          <w:rFonts w:ascii="Arial" w:cs="Arial" w:eastAsia="Arial" w:hAnsi="Arial"/>
          <w:sz w:val="20"/>
          <w:szCs w:val="20"/>
          <w:b w:val="1"/>
          <w:bCs w:val="1"/>
          <w:color w:val="auto"/>
          <w:vertAlign w:val="superscript"/>
        </w:rPr>
        <w:t>(1)</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Settlements or distributions</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Foreign currency exchange rate changes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Disposition of business</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As of September 30, 2026</w:t>
      </w:r>
    </w:p>
    <w:p>
      <w:pPr>
        <w:spacing w:after="0" w:line="200" w:lineRule="exact"/>
        <w:rPr>
          <w:sz w:val="20"/>
          <w:szCs w:val="20"/>
          <w:color w:val="auto"/>
        </w:rPr>
      </w:pPr>
    </w:p>
    <w:p>
      <w:pPr>
        <w:spacing w:after="0" w:line="323"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 thousands)</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2140" w:type="dxa"/>
            <w:vAlign w:val="bottom"/>
          </w:tcPr>
          <w:p>
            <w:pPr>
              <w:jc w:val="right"/>
              <w:ind w:right="41"/>
              <w:spacing w:after="0"/>
              <w:rPr>
                <w:sz w:val="20"/>
                <w:szCs w:val="20"/>
                <w:color w:val="auto"/>
              </w:rPr>
            </w:pPr>
            <w:r>
              <w:rPr>
                <w:rFonts w:ascii="Arial" w:cs="Arial" w:eastAsia="Arial" w:hAnsi="Arial"/>
                <w:sz w:val="16"/>
                <w:szCs w:val="16"/>
                <w:color w:val="auto"/>
              </w:rPr>
              <w:t>1,526</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80" w:type="dxa"/>
            <w:vAlign w:val="bottom"/>
          </w:tcPr>
          <w:p>
            <w:pPr>
              <w:jc w:val="right"/>
              <w:ind w:right="1"/>
              <w:spacing w:after="0"/>
              <w:rPr>
                <w:sz w:val="20"/>
                <w:szCs w:val="20"/>
                <w:color w:val="auto"/>
              </w:rPr>
            </w:pPr>
            <w:r>
              <w:rPr>
                <w:rFonts w:ascii="Arial" w:cs="Arial" w:eastAsia="Arial" w:hAnsi="Arial"/>
                <w:sz w:val="16"/>
                <w:szCs w:val="16"/>
                <w:color w:val="auto"/>
              </w:rPr>
              <w:t>8,401</w:t>
            </w:r>
          </w:p>
        </w:tc>
      </w:tr>
      <w:tr>
        <w:trPr>
          <w:trHeight w:val="251"/>
        </w:trPr>
        <w:tc>
          <w:tcPr>
            <w:tcW w:w="200" w:type="dxa"/>
            <w:vAlign w:val="bottom"/>
          </w:tcPr>
          <w:p>
            <w:pPr>
              <w:spacing w:after="0"/>
              <w:rPr>
                <w:sz w:val="21"/>
                <w:szCs w:val="21"/>
                <w:color w:val="auto"/>
              </w:rPr>
            </w:pPr>
          </w:p>
        </w:tc>
        <w:tc>
          <w:tcPr>
            <w:tcW w:w="214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6"/>
                <w:szCs w:val="16"/>
                <w:b w:val="1"/>
                <w:bCs w:val="1"/>
                <w:color w:val="auto"/>
              </w:rPr>
              <w:t>(1,007)</w:t>
            </w:r>
          </w:p>
        </w:tc>
      </w:tr>
      <w:tr>
        <w:trPr>
          <w:trHeight w:val="243"/>
        </w:trPr>
        <w:tc>
          <w:tcPr>
            <w:tcW w:w="200" w:type="dxa"/>
            <w:vAlign w:val="bottom"/>
          </w:tcPr>
          <w:p>
            <w:pPr>
              <w:spacing w:after="0"/>
              <w:rPr>
                <w:sz w:val="21"/>
                <w:szCs w:val="21"/>
                <w:color w:val="auto"/>
              </w:rPr>
            </w:pPr>
          </w:p>
        </w:tc>
        <w:tc>
          <w:tcPr>
            <w:tcW w:w="214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1"/>
                <w:szCs w:val="21"/>
                <w:color w:val="auto"/>
              </w:rPr>
            </w:pPr>
          </w:p>
        </w:tc>
        <w:tc>
          <w:tcPr>
            <w:tcW w:w="2080" w:type="dxa"/>
            <w:vAlign w:val="bottom"/>
          </w:tcPr>
          <w:p>
            <w:pPr>
              <w:jc w:val="right"/>
              <w:ind w:right="1"/>
              <w:spacing w:after="0"/>
              <w:rPr>
                <w:sz w:val="20"/>
                <w:szCs w:val="20"/>
                <w:color w:val="auto"/>
              </w:rPr>
            </w:pPr>
            <w:r>
              <w:rPr>
                <w:rFonts w:ascii="Arial" w:cs="Arial" w:eastAsia="Arial" w:hAnsi="Arial"/>
                <w:sz w:val="16"/>
                <w:szCs w:val="16"/>
                <w:b w:val="1"/>
                <w:bCs w:val="1"/>
                <w:color w:val="auto"/>
              </w:rPr>
              <w:t>4</w:t>
            </w:r>
          </w:p>
        </w:tc>
      </w:tr>
      <w:tr>
        <w:trPr>
          <w:trHeight w:val="243"/>
        </w:trPr>
        <w:tc>
          <w:tcPr>
            <w:tcW w:w="200" w:type="dxa"/>
            <w:vAlign w:val="bottom"/>
          </w:tcPr>
          <w:p>
            <w:pPr>
              <w:spacing w:after="0"/>
              <w:rPr>
                <w:sz w:val="21"/>
                <w:szCs w:val="21"/>
                <w:color w:val="auto"/>
              </w:rPr>
            </w:pPr>
          </w:p>
        </w:tc>
        <w:tc>
          <w:tcPr>
            <w:tcW w:w="2140" w:type="dxa"/>
            <w:vAlign w:val="bottom"/>
          </w:tcPr>
          <w:p>
            <w:pPr>
              <w:jc w:val="right"/>
              <w:ind w:right="41"/>
              <w:spacing w:after="0"/>
              <w:rPr>
                <w:sz w:val="20"/>
                <w:szCs w:val="20"/>
                <w:color w:val="auto"/>
              </w:rPr>
            </w:pPr>
            <w:r>
              <w:rPr>
                <w:rFonts w:ascii="Arial" w:cs="Arial" w:eastAsia="Arial" w:hAnsi="Arial"/>
                <w:sz w:val="16"/>
                <w:szCs w:val="16"/>
                <w:b w:val="1"/>
                <w:bCs w:val="1"/>
                <w:color w:val="auto"/>
              </w:rPr>
              <w:t>28</w:t>
            </w:r>
          </w:p>
        </w:tc>
        <w:tc>
          <w:tcPr>
            <w:tcW w:w="280" w:type="dxa"/>
            <w:vAlign w:val="bottom"/>
          </w:tcPr>
          <w:p>
            <w:pPr>
              <w:spacing w:after="0"/>
              <w:rPr>
                <w:sz w:val="21"/>
                <w:szCs w:val="21"/>
                <w:color w:val="auto"/>
              </w:rPr>
            </w:pPr>
          </w:p>
        </w:tc>
        <w:tc>
          <w:tcPr>
            <w:tcW w:w="208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r>
      <w:tr>
        <w:trPr>
          <w:trHeight w:val="243"/>
        </w:trPr>
        <w:tc>
          <w:tcPr>
            <w:tcW w:w="200" w:type="dxa"/>
            <w:vAlign w:val="bottom"/>
          </w:tcPr>
          <w:p>
            <w:pPr>
              <w:spacing w:after="0"/>
              <w:rPr>
                <w:sz w:val="21"/>
                <w:szCs w:val="21"/>
                <w:color w:val="auto"/>
              </w:rPr>
            </w:pPr>
          </w:p>
        </w:tc>
        <w:tc>
          <w:tcPr>
            <w:tcW w:w="2140" w:type="dxa"/>
            <w:vAlign w:val="bottom"/>
          </w:tcPr>
          <w:p>
            <w:pPr>
              <w:jc w:val="right"/>
              <w:spacing w:after="0"/>
              <w:rPr>
                <w:sz w:val="20"/>
                <w:szCs w:val="20"/>
                <w:color w:val="auto"/>
              </w:rPr>
            </w:pPr>
            <w:r>
              <w:rPr>
                <w:rFonts w:ascii="Arial" w:cs="Arial" w:eastAsia="Arial" w:hAnsi="Arial"/>
                <w:sz w:val="16"/>
                <w:szCs w:val="16"/>
                <w:b w:val="1"/>
                <w:bCs w:val="1"/>
                <w:color w:val="auto"/>
              </w:rPr>
              <w:t>(299)</w:t>
            </w:r>
          </w:p>
        </w:tc>
        <w:tc>
          <w:tcPr>
            <w:tcW w:w="28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6"/>
                <w:szCs w:val="16"/>
                <w:b w:val="1"/>
                <w:bCs w:val="1"/>
                <w:color w:val="auto"/>
              </w:rPr>
              <w:t>(125)</w:t>
            </w:r>
          </w:p>
        </w:tc>
      </w:tr>
      <w:tr>
        <w:trPr>
          <w:trHeight w:val="243"/>
        </w:trPr>
        <w:tc>
          <w:tcPr>
            <w:tcW w:w="200" w:type="dxa"/>
            <w:vAlign w:val="bottom"/>
          </w:tcPr>
          <w:p>
            <w:pPr>
              <w:spacing w:after="0"/>
              <w:rPr>
                <w:sz w:val="21"/>
                <w:szCs w:val="21"/>
                <w:color w:val="auto"/>
              </w:rPr>
            </w:pPr>
          </w:p>
        </w:tc>
        <w:tc>
          <w:tcPr>
            <w:tcW w:w="214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280" w:type="dxa"/>
            <w:vAlign w:val="bottom"/>
          </w:tcPr>
          <w:p>
            <w:pPr>
              <w:spacing w:after="0"/>
              <w:rPr>
                <w:sz w:val="21"/>
                <w:szCs w:val="21"/>
                <w:color w:val="auto"/>
              </w:rPr>
            </w:pPr>
          </w:p>
        </w:tc>
        <w:tc>
          <w:tcPr>
            <w:tcW w:w="208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r>
      <w:tr>
        <w:trPr>
          <w:trHeight w:val="247"/>
        </w:trPr>
        <w:tc>
          <w:tcPr>
            <w:tcW w:w="20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(1,253)</w:t>
            </w:r>
          </w:p>
        </w:tc>
        <w:tc>
          <w:tcPr>
            <w:tcW w:w="28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w:t>
            </w:r>
          </w:p>
        </w:tc>
      </w:tr>
      <w:tr>
        <w:trPr>
          <w:trHeight w:val="237"/>
        </w:trPr>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2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7,273</w:t>
            </w:r>
          </w:p>
        </w:tc>
      </w:tr>
      <w:tr>
        <w:trPr>
          <w:trHeight w:val="24"/>
        </w:trPr>
        <w:tc>
          <w:tcPr>
            <w:tcW w:w="2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457"/>
        </w:trPr>
        <w:tc>
          <w:tcPr>
            <w:tcW w:w="200" w:type="dxa"/>
            <w:vAlign w:val="bottom"/>
          </w:tcPr>
          <w:p>
            <w:pPr>
              <w:spacing w:after="0"/>
              <w:rPr>
                <w:sz w:val="24"/>
                <w:szCs w:val="24"/>
                <w:color w:val="auto"/>
              </w:rPr>
            </w:pPr>
          </w:p>
        </w:tc>
        <w:tc>
          <w:tcPr>
            <w:tcW w:w="2140" w:type="dxa"/>
            <w:vAlign w:val="bottom"/>
          </w:tcPr>
          <w:p>
            <w:pPr>
              <w:jc w:val="right"/>
              <w:ind w:right="241"/>
              <w:spacing w:after="0"/>
              <w:rPr>
                <w:sz w:val="20"/>
                <w:szCs w:val="20"/>
                <w:color w:val="auto"/>
              </w:rPr>
            </w:pPr>
            <w:r>
              <w:rPr>
                <w:rFonts w:ascii="Arial" w:cs="Arial" w:eastAsia="Arial" w:hAnsi="Arial"/>
                <w:sz w:val="14"/>
                <w:szCs w:val="14"/>
                <w:b w:val="1"/>
                <w:bCs w:val="1"/>
                <w:color w:val="auto"/>
              </w:rPr>
              <w:t>Contingent consideration</w:t>
            </w:r>
          </w:p>
        </w:tc>
        <w:tc>
          <w:tcPr>
            <w:tcW w:w="280" w:type="dxa"/>
            <w:vAlign w:val="bottom"/>
          </w:tcPr>
          <w:p>
            <w:pPr>
              <w:spacing w:after="0"/>
              <w:rPr>
                <w:sz w:val="24"/>
                <w:szCs w:val="24"/>
                <w:color w:val="auto"/>
              </w:rPr>
            </w:pPr>
          </w:p>
        </w:tc>
        <w:tc>
          <w:tcPr>
            <w:tcW w:w="2080" w:type="dxa"/>
            <w:vAlign w:val="bottom"/>
          </w:tcPr>
          <w:p>
            <w:pPr>
              <w:jc w:val="right"/>
              <w:ind w:right="241"/>
              <w:spacing w:after="0"/>
              <w:rPr>
                <w:sz w:val="20"/>
                <w:szCs w:val="20"/>
                <w:color w:val="auto"/>
              </w:rPr>
            </w:pPr>
            <w:r>
              <w:rPr>
                <w:rFonts w:ascii="Arial" w:cs="Arial" w:eastAsia="Arial" w:hAnsi="Arial"/>
                <w:sz w:val="14"/>
                <w:szCs w:val="14"/>
                <w:b w:val="1"/>
                <w:bCs w:val="1"/>
                <w:color w:val="auto"/>
              </w:rPr>
              <w:t>Mandatorily redeemable</w:t>
            </w:r>
          </w:p>
        </w:tc>
      </w:tr>
      <w:tr>
        <w:trPr>
          <w:trHeight w:val="196"/>
        </w:trPr>
        <w:tc>
          <w:tcPr>
            <w:tcW w:w="200" w:type="dxa"/>
            <w:vAlign w:val="bottom"/>
          </w:tcPr>
          <w:p>
            <w:pPr>
              <w:spacing w:after="0"/>
              <w:rPr>
                <w:sz w:val="17"/>
                <w:szCs w:val="17"/>
                <w:color w:val="auto"/>
              </w:rPr>
            </w:pPr>
          </w:p>
        </w:tc>
        <w:tc>
          <w:tcPr>
            <w:tcW w:w="2140" w:type="dxa"/>
            <w:vAlign w:val="bottom"/>
          </w:tcPr>
          <w:p>
            <w:pPr>
              <w:jc w:val="right"/>
              <w:ind w:right="801"/>
              <w:spacing w:after="0"/>
              <w:rPr>
                <w:sz w:val="20"/>
                <w:szCs w:val="20"/>
                <w:color w:val="auto"/>
              </w:rPr>
            </w:pPr>
            <w:r>
              <w:rPr>
                <w:rFonts w:ascii="Arial" w:cs="Arial" w:eastAsia="Arial" w:hAnsi="Arial"/>
                <w:sz w:val="14"/>
                <w:szCs w:val="14"/>
                <w:b w:val="1"/>
                <w:bCs w:val="1"/>
                <w:color w:val="auto"/>
              </w:rPr>
              <w:t>liabilities</w:t>
            </w:r>
          </w:p>
        </w:tc>
        <w:tc>
          <w:tcPr>
            <w:tcW w:w="280" w:type="dxa"/>
            <w:vAlign w:val="bottom"/>
          </w:tcPr>
          <w:p>
            <w:pPr>
              <w:spacing w:after="0"/>
              <w:rPr>
                <w:sz w:val="17"/>
                <w:szCs w:val="17"/>
                <w:color w:val="auto"/>
              </w:rPr>
            </w:pPr>
          </w:p>
        </w:tc>
        <w:tc>
          <w:tcPr>
            <w:tcW w:w="2080" w:type="dxa"/>
            <w:vAlign w:val="bottom"/>
          </w:tcPr>
          <w:p>
            <w:pPr>
              <w:jc w:val="right"/>
              <w:ind w:right="281"/>
              <w:spacing w:after="0"/>
              <w:rPr>
                <w:sz w:val="20"/>
                <w:szCs w:val="20"/>
                <w:color w:val="auto"/>
              </w:rPr>
            </w:pPr>
            <w:r>
              <w:rPr>
                <w:rFonts w:ascii="Arial" w:cs="Arial" w:eastAsia="Arial" w:hAnsi="Arial"/>
                <w:sz w:val="14"/>
                <w:szCs w:val="14"/>
                <w:b w:val="1"/>
                <w:bCs w:val="1"/>
                <w:color w:val="auto"/>
              </w:rPr>
              <w:t>noncontrolling interest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1270</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8" w:lineRule="exact"/>
        <w:rPr>
          <w:sz w:val="20"/>
          <w:szCs w:val="20"/>
          <w:color w:val="auto"/>
        </w:rPr>
      </w:pPr>
    </w:p>
    <w:p>
      <w:pPr>
        <w:sectPr>
          <w:pgSz w:w="11900" w:h="16838" w:orient="portrait"/>
          <w:cols w:equalWidth="0" w:num="2">
            <w:col w:w="5820" w:space="720"/>
            <w:col w:w="4700"/>
          </w:cols>
          <w:pgMar w:left="320" w:top="931" w:right="339" w:bottom="1440" w:gutter="0" w:footer="0" w:header="0"/>
          <w:type w:val="continuous"/>
        </w:sectPr>
      </w:pPr>
    </w:p>
    <w:tbl>
      <w:tblPr>
        <w:tblLayout w:type="fixed"/>
        <w:tblInd w:w="20" w:type="dxa"/>
        <w:tblCellMar>
          <w:top w:w="0" w:type="dxa"/>
          <w:left w:w="0" w:type="dxa"/>
          <w:bottom w:w="0" w:type="dxa"/>
          <w:right w:w="0" w:type="dxa"/>
        </w:tblCellMar>
      </w:tblPr>
      <w:tr>
        <w:trPr>
          <w:trHeight w:val="215"/>
        </w:trPr>
        <w:tc>
          <w:tcPr>
            <w:tcW w:w="6520" w:type="dxa"/>
            <w:vAlign w:val="bottom"/>
          </w:tcPr>
          <w:p>
            <w:pPr>
              <w:spacing w:after="0"/>
              <w:rPr>
                <w:sz w:val="20"/>
                <w:szCs w:val="20"/>
                <w:color w:val="auto"/>
              </w:rPr>
            </w:pPr>
            <w:r>
              <w:rPr>
                <w:rFonts w:ascii="Arial" w:cs="Arial" w:eastAsia="Arial" w:hAnsi="Arial"/>
                <w:sz w:val="16"/>
                <w:szCs w:val="16"/>
                <w:color w:val="auto"/>
              </w:rPr>
              <w:t>As of December 31, 2024</w:t>
            </w:r>
          </w:p>
        </w:tc>
        <w:tc>
          <w:tcPr>
            <w:tcW w:w="960" w:type="dxa"/>
            <w:vAlign w:val="bottom"/>
          </w:tcPr>
          <w:p>
            <w:pPr>
              <w:jc w:val="right"/>
              <w:ind w:right="75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1,419</w:t>
            </w:r>
          </w:p>
        </w:tc>
        <w:tc>
          <w:tcPr>
            <w:tcW w:w="900" w:type="dxa"/>
            <w:vAlign w:val="bottom"/>
          </w:tcPr>
          <w:p>
            <w:pPr>
              <w:jc w:val="right"/>
              <w:ind w:right="639"/>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159,548</w:t>
            </w:r>
          </w:p>
        </w:tc>
      </w:tr>
      <w:tr>
        <w:trPr>
          <w:trHeight w:val="271"/>
        </w:trPr>
        <w:tc>
          <w:tcPr>
            <w:tcW w:w="6520" w:type="dxa"/>
            <w:vAlign w:val="bottom"/>
          </w:tcPr>
          <w:p>
            <w:pPr>
              <w:spacing w:after="0"/>
              <w:rPr>
                <w:sz w:val="20"/>
                <w:szCs w:val="20"/>
                <w:color w:val="auto"/>
              </w:rPr>
            </w:pPr>
            <w:r>
              <w:rPr>
                <w:rFonts w:ascii="Arial" w:cs="Arial" w:eastAsia="Arial" w:hAnsi="Arial"/>
                <w:sz w:val="16"/>
                <w:szCs w:val="16"/>
                <w:color w:val="auto"/>
              </w:rPr>
              <w:t xml:space="preserve">Changes in fair value </w:t>
            </w:r>
            <w:r>
              <w:rPr>
                <w:rFonts w:ascii="Arial" w:cs="Arial" w:eastAsia="Arial" w:hAnsi="Arial"/>
                <w:sz w:val="21"/>
                <w:szCs w:val="21"/>
                <w:color w:val="auto"/>
                <w:vertAlign w:val="superscript"/>
              </w:rPr>
              <w:t>(1)</w:t>
            </w:r>
          </w:p>
        </w:tc>
        <w:tc>
          <w:tcPr>
            <w:tcW w:w="960" w:type="dxa"/>
            <w:vAlign w:val="bottom"/>
          </w:tcPr>
          <w:p>
            <w:pPr>
              <w:spacing w:after="0"/>
              <w:rPr>
                <w:sz w:val="23"/>
                <w:szCs w:val="23"/>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68,278</w:t>
            </w:r>
          </w:p>
        </w:tc>
      </w:tr>
      <w:tr>
        <w:trPr>
          <w:trHeight w:val="215"/>
        </w:trPr>
        <w:tc>
          <w:tcPr>
            <w:tcW w:w="6520" w:type="dxa"/>
            <w:vAlign w:val="bottom"/>
          </w:tcPr>
          <w:p>
            <w:pPr>
              <w:spacing w:after="0"/>
              <w:rPr>
                <w:sz w:val="20"/>
                <w:szCs w:val="20"/>
                <w:color w:val="auto"/>
              </w:rPr>
            </w:pPr>
            <w:r>
              <w:rPr>
                <w:rFonts w:ascii="Arial" w:cs="Arial" w:eastAsia="Arial" w:hAnsi="Arial"/>
                <w:sz w:val="16"/>
                <w:szCs w:val="16"/>
                <w:color w:val="auto"/>
              </w:rPr>
              <w:t>Capital contributions</w:t>
            </w:r>
          </w:p>
        </w:tc>
        <w:tc>
          <w:tcPr>
            <w:tcW w:w="960" w:type="dxa"/>
            <w:vAlign w:val="bottom"/>
          </w:tcPr>
          <w:p>
            <w:pPr>
              <w:spacing w:after="0"/>
              <w:rPr>
                <w:sz w:val="18"/>
                <w:szCs w:val="18"/>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271"/>
        </w:trPr>
        <w:tc>
          <w:tcPr>
            <w:tcW w:w="6520" w:type="dxa"/>
            <w:vAlign w:val="bottom"/>
          </w:tcPr>
          <w:p>
            <w:pPr>
              <w:spacing w:after="0"/>
              <w:rPr>
                <w:sz w:val="20"/>
                <w:szCs w:val="20"/>
                <w:color w:val="auto"/>
              </w:rPr>
            </w:pPr>
            <w:r>
              <w:rPr>
                <w:rFonts w:ascii="Arial" w:cs="Arial" w:eastAsia="Arial" w:hAnsi="Arial"/>
                <w:sz w:val="16"/>
                <w:szCs w:val="16"/>
                <w:color w:val="auto"/>
              </w:rPr>
              <w:t xml:space="preserve">Accretion of value included in net income </w:t>
            </w:r>
            <w:r>
              <w:rPr>
                <w:rFonts w:ascii="Arial" w:cs="Arial" w:eastAsia="Arial" w:hAnsi="Arial"/>
                <w:sz w:val="21"/>
                <w:szCs w:val="21"/>
                <w:color w:val="auto"/>
                <w:vertAlign w:val="superscript"/>
              </w:rPr>
              <w:t>(1)</w:t>
            </w:r>
          </w:p>
        </w:tc>
        <w:tc>
          <w:tcPr>
            <w:tcW w:w="960" w:type="dxa"/>
            <w:vAlign w:val="bottom"/>
          </w:tcPr>
          <w:p>
            <w:pPr>
              <w:spacing w:after="0"/>
              <w:rPr>
                <w:sz w:val="23"/>
                <w:szCs w:val="23"/>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163</w:t>
            </w:r>
          </w:p>
        </w:tc>
        <w:tc>
          <w:tcPr>
            <w:tcW w:w="90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6520" w:type="dxa"/>
            <w:vAlign w:val="bottom"/>
          </w:tcPr>
          <w:p>
            <w:pPr>
              <w:spacing w:after="0"/>
              <w:rPr>
                <w:sz w:val="20"/>
                <w:szCs w:val="20"/>
                <w:color w:val="auto"/>
              </w:rPr>
            </w:pPr>
            <w:r>
              <w:rPr>
                <w:rFonts w:ascii="Arial" w:cs="Arial" w:eastAsia="Arial" w:hAnsi="Arial"/>
                <w:sz w:val="16"/>
                <w:szCs w:val="16"/>
                <w:color w:val="auto"/>
              </w:rPr>
              <w:t>Settlements or distributions</w:t>
            </w:r>
          </w:p>
        </w:tc>
        <w:tc>
          <w:tcPr>
            <w:tcW w:w="9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(317)</w:t>
            </w:r>
          </w:p>
        </w:tc>
        <w:tc>
          <w:tcPr>
            <w:tcW w:w="9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(205,719)</w:t>
            </w:r>
          </w:p>
        </w:tc>
      </w:tr>
      <w:tr>
        <w:trPr>
          <w:trHeight w:val="252"/>
        </w:trPr>
        <w:tc>
          <w:tcPr>
            <w:tcW w:w="6520" w:type="dxa"/>
            <w:vAlign w:val="bottom"/>
          </w:tcPr>
          <w:p>
            <w:pPr>
              <w:spacing w:after="0"/>
              <w:rPr>
                <w:sz w:val="20"/>
                <w:szCs w:val="20"/>
                <w:color w:val="auto"/>
              </w:rPr>
            </w:pPr>
            <w:r>
              <w:rPr>
                <w:rFonts w:ascii="Arial" w:cs="Arial" w:eastAsia="Arial" w:hAnsi="Arial"/>
                <w:sz w:val="16"/>
                <w:szCs w:val="16"/>
                <w:color w:val="auto"/>
              </w:rPr>
              <w:t>Foreign currency exchange rate changes</w:t>
            </w:r>
          </w:p>
        </w:tc>
        <w:tc>
          <w:tcPr>
            <w:tcW w:w="9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186</w:t>
            </w:r>
          </w:p>
        </w:tc>
        <w:tc>
          <w:tcPr>
            <w:tcW w:w="9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6520" w:type="dxa"/>
            <w:vAlign w:val="bottom"/>
          </w:tcPr>
          <w:p>
            <w:pPr>
              <w:spacing w:after="0"/>
              <w:rPr>
                <w:sz w:val="20"/>
                <w:szCs w:val="20"/>
                <w:color w:val="auto"/>
              </w:rPr>
            </w:pPr>
            <w:r>
              <w:rPr>
                <w:rFonts w:ascii="Arial" w:cs="Arial" w:eastAsia="Arial" w:hAnsi="Arial"/>
                <w:sz w:val="16"/>
                <w:szCs w:val="16"/>
                <w:color w:val="auto"/>
              </w:rPr>
              <w:t>As of September 30, 2025</w:t>
            </w:r>
          </w:p>
        </w:tc>
        <w:tc>
          <w:tcPr>
            <w:tcW w:w="96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1,451</w:t>
            </w:r>
          </w:p>
        </w:tc>
        <w:tc>
          <w:tcPr>
            <w:tcW w:w="90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22,187</w:t>
            </w:r>
          </w:p>
        </w:tc>
      </w:tr>
      <w:tr>
        <w:trPr>
          <w:trHeight w:val="21"/>
        </w:trPr>
        <w:tc>
          <w:tcPr>
            <w:tcW w:w="65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109" w:lineRule="exact"/>
        <w:rPr>
          <w:sz w:val="20"/>
          <w:szCs w:val="20"/>
          <w:color w:val="auto"/>
        </w:rPr>
      </w:pPr>
    </w:p>
    <w:p>
      <w:pPr>
        <w:ind w:left="360" w:right="360" w:hanging="334"/>
        <w:spacing w:after="0" w:line="285" w:lineRule="auto"/>
        <w:tabs>
          <w:tab w:leader="none" w:pos="360" w:val="left"/>
        </w:tabs>
        <w:numPr>
          <w:ilvl w:val="0"/>
          <w:numId w:val="6"/>
        </w:numPr>
        <w:rPr>
          <w:rFonts w:ascii="Arial" w:cs="Arial" w:eastAsia="Arial" w:hAnsi="Arial"/>
          <w:sz w:val="14"/>
          <w:szCs w:val="14"/>
          <w:color w:val="auto"/>
        </w:rPr>
      </w:pPr>
      <w:r>
        <w:rPr>
          <w:rFonts w:ascii="Arial" w:cs="Arial" w:eastAsia="Arial" w:hAnsi="Arial"/>
          <w:sz w:val="14"/>
          <w:szCs w:val="14"/>
          <w:color w:val="auto"/>
        </w:rPr>
        <w:t>Changes in fair value and accretion of value of contingent consideration liabilities are included in Selling, general and administrative expenses and the changes in fair value of mandatorily redeemable noncontrolling interest is included in Interest expense in the Company’s Condensed Consolidated Statements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Mandatorily Redeemable Noncontrolling Interest. </w:t>
      </w:r>
      <w:r>
        <w:rPr>
          <w:rFonts w:ascii="Arial" w:cs="Arial" w:eastAsia="Arial" w:hAnsi="Arial"/>
          <w:sz w:val="18"/>
          <w:szCs w:val="18"/>
          <w:color w:val="auto"/>
        </w:rPr>
        <w:t>The mandatorily redeemable noncontrolling interest represents the ownership portion of</w:t>
      </w:r>
    </w:p>
    <w:p>
      <w:pPr>
        <w:spacing w:after="0" w:line="14" w:lineRule="exact"/>
        <w:rPr>
          <w:sz w:val="20"/>
          <w:szCs w:val="20"/>
          <w:color w:val="auto"/>
        </w:rPr>
      </w:pPr>
    </w:p>
    <w:p>
      <w:pPr>
        <w:ind w:right="180"/>
        <w:spacing w:after="0" w:line="226" w:lineRule="auto"/>
        <w:rPr>
          <w:sz w:val="20"/>
          <w:szCs w:val="20"/>
          <w:color w:val="auto"/>
        </w:rPr>
      </w:pPr>
      <w:r>
        <w:rPr>
          <w:rFonts w:ascii="Arial" w:cs="Arial" w:eastAsia="Arial" w:hAnsi="Arial"/>
          <w:sz w:val="18"/>
          <w:szCs w:val="18"/>
          <w:color w:val="auto"/>
        </w:rPr>
        <w:t>a group of minority shareholders, consisting of a group of current and former senior managers of the healthcare business, in subsidiaries of GHG. The Company established GHC One and GHC Two as vehicles to invest in a portfolio of healthcare businesses together with the</w:t>
      </w:r>
    </w:p>
    <w:p>
      <w:pPr>
        <w:spacing w:after="0" w:line="236" w:lineRule="auto"/>
        <w:rPr>
          <w:sz w:val="20"/>
          <w:szCs w:val="20"/>
          <w:color w:val="auto"/>
        </w:rPr>
      </w:pPr>
      <w:r>
        <w:rPr>
          <w:rFonts w:ascii="Arial" w:cs="Arial" w:eastAsia="Arial" w:hAnsi="Arial"/>
          <w:sz w:val="18"/>
          <w:szCs w:val="18"/>
          <w:color w:val="auto"/>
        </w:rPr>
        <w:t>group of senior managers of GHG. As the holder of preferred units, the Company is obligated to contribute 95% of the capital required for the</w:t>
      </w:r>
    </w:p>
    <w:p>
      <w:pPr>
        <w:spacing w:after="0" w:line="1" w:lineRule="exact"/>
        <w:rPr>
          <w:sz w:val="20"/>
          <w:szCs w:val="20"/>
          <w:color w:val="auto"/>
        </w:rPr>
      </w:pPr>
    </w:p>
    <w:p>
      <w:pPr>
        <w:ind w:right="80"/>
        <w:spacing w:after="0"/>
        <w:rPr>
          <w:sz w:val="20"/>
          <w:szCs w:val="20"/>
          <w:color w:val="auto"/>
        </w:rPr>
      </w:pPr>
      <w:r>
        <w:rPr>
          <w:rFonts w:ascii="Arial" w:cs="Arial" w:eastAsia="Arial" w:hAnsi="Arial"/>
          <w:sz w:val="17"/>
          <w:szCs w:val="17"/>
          <w:color w:val="auto"/>
        </w:rPr>
        <w:t>acquisition of portfolio investments with the remaining 5% of the capital coming from the group of senior managers. The operating agreements of GHC One and GHC Two require the dissolution of the entities on March 31, 2026, and March 31, 2029, respectively, at which</w:t>
      </w:r>
    </w:p>
    <w:p>
      <w:pPr>
        <w:spacing w:after="0" w:line="235" w:lineRule="auto"/>
        <w:rPr>
          <w:sz w:val="20"/>
          <w:szCs w:val="20"/>
          <w:color w:val="auto"/>
        </w:rPr>
      </w:pPr>
      <w:r>
        <w:rPr>
          <w:rFonts w:ascii="Arial" w:cs="Arial" w:eastAsia="Arial" w:hAnsi="Arial"/>
          <w:sz w:val="18"/>
          <w:szCs w:val="18"/>
          <w:color w:val="auto"/>
        </w:rPr>
        <w:t>time the net assets will be distributed to its members. As a preferred unit holder, the Company will receive an amount up to its contributed</w:t>
      </w:r>
    </w:p>
    <w:p>
      <w:pPr>
        <w:ind w:right="80"/>
        <w:spacing w:after="0"/>
        <w:rPr>
          <w:sz w:val="20"/>
          <w:szCs w:val="20"/>
          <w:color w:val="auto"/>
        </w:rPr>
      </w:pPr>
      <w:r>
        <w:rPr>
          <w:rFonts w:ascii="Arial" w:cs="Arial" w:eastAsia="Arial" w:hAnsi="Arial"/>
          <w:sz w:val="17"/>
          <w:szCs w:val="17"/>
          <w:color w:val="auto"/>
        </w:rPr>
        <w:t>capital plus a preferred annual return of 8% (guaranteed return) after the group of senior managers has received the redemption of their 5% interest in net assets (manager return). All distributions in excess of the manager and guaranteed return will be paid to common unit holders,</w:t>
      </w:r>
    </w:p>
    <w:p>
      <w:pPr>
        <w:spacing w:after="0" w:line="235" w:lineRule="auto"/>
        <w:rPr>
          <w:sz w:val="20"/>
          <w:szCs w:val="20"/>
          <w:color w:val="auto"/>
        </w:rPr>
      </w:pPr>
      <w:r>
        <w:rPr>
          <w:rFonts w:ascii="Arial" w:cs="Arial" w:eastAsia="Arial" w:hAnsi="Arial"/>
          <w:sz w:val="18"/>
          <w:szCs w:val="18"/>
          <w:color w:val="auto"/>
        </w:rPr>
        <w:t>which currently comprise the group of senior managers of GHG. The Company may convert its preferred units to common units at any time</w:t>
      </w:r>
    </w:p>
    <w:p>
      <w:pPr>
        <w:ind w:right="80"/>
        <w:spacing w:after="0" w:line="226" w:lineRule="auto"/>
        <w:rPr>
          <w:sz w:val="20"/>
          <w:szCs w:val="20"/>
          <w:color w:val="auto"/>
        </w:rPr>
      </w:pPr>
      <w:r>
        <w:rPr>
          <w:rFonts w:ascii="Arial" w:cs="Arial" w:eastAsia="Arial" w:hAnsi="Arial"/>
          <w:sz w:val="18"/>
          <w:szCs w:val="18"/>
          <w:color w:val="auto"/>
        </w:rPr>
        <w:t>after which it will receive 80% of all distributions in excess of the manager return, with the remaining 20% of excess distributions going to the group of senior managers as holders of the other common units. The mandatorily redeemable noncontrolling interest related to GHC One is</w:t>
      </w:r>
    </w:p>
    <w:p>
      <w:pPr>
        <w:spacing w:after="0" w:line="236" w:lineRule="auto"/>
        <w:rPr>
          <w:sz w:val="20"/>
          <w:szCs w:val="20"/>
          <w:color w:val="auto"/>
        </w:rPr>
      </w:pPr>
      <w:r>
        <w:rPr>
          <w:rFonts w:ascii="Arial" w:cs="Arial" w:eastAsia="Arial" w:hAnsi="Arial"/>
          <w:sz w:val="18"/>
          <w:szCs w:val="18"/>
          <w:color w:val="auto"/>
        </w:rPr>
        <w:t>reported as a current liability at September 30, 2026 and December 31, 2025 in the Condensed Consolidated Balance Sheets. The</w:t>
      </w:r>
    </w:p>
    <w:p>
      <w:pPr>
        <w:spacing w:after="0" w:line="1" w:lineRule="exact"/>
        <w:rPr>
          <w:sz w:val="20"/>
          <w:szCs w:val="20"/>
          <w:color w:val="auto"/>
        </w:rPr>
      </w:pPr>
    </w:p>
    <w:p>
      <w:pPr>
        <w:ind w:right="840"/>
        <w:spacing w:after="0" w:line="237" w:lineRule="auto"/>
        <w:rPr>
          <w:sz w:val="20"/>
          <w:szCs w:val="20"/>
          <w:color w:val="auto"/>
        </w:rPr>
      </w:pPr>
      <w:r>
        <w:rPr>
          <w:rFonts w:ascii="Arial" w:cs="Arial" w:eastAsia="Arial" w:hAnsi="Arial"/>
          <w:sz w:val="18"/>
          <w:szCs w:val="18"/>
          <w:color w:val="auto"/>
        </w:rPr>
        <w:t>mandatorily redeemable noncontrolling interest related to GHC Two is reported as a noncurrent liability at September 30, 2026 and December 31, 2025 in the Condensed Consolidated Balance Sheets.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color w:val="auto"/>
        </w:rPr>
        <w:t>During the nine months ended September 30, 2026, in connection with the sale of the KLG disposal group, the Company recognized</w:t>
      </w:r>
    </w:p>
    <w:p>
      <w:pPr>
        <w:spacing w:after="0" w:line="14" w:lineRule="exact"/>
        <w:rPr>
          <w:sz w:val="20"/>
          <w:szCs w:val="20"/>
          <w:color w:val="auto"/>
        </w:rPr>
      </w:pPr>
    </w:p>
    <w:p>
      <w:pPr>
        <w:jc w:val="both"/>
        <w:ind w:right="300"/>
        <w:spacing w:after="0" w:line="237" w:lineRule="auto"/>
        <w:rPr>
          <w:sz w:val="20"/>
          <w:szCs w:val="20"/>
          <w:color w:val="auto"/>
        </w:rPr>
      </w:pPr>
      <w:r>
        <w:rPr>
          <w:rFonts w:ascii="Arial" w:cs="Arial" w:eastAsia="Arial" w:hAnsi="Arial"/>
          <w:sz w:val="18"/>
          <w:szCs w:val="18"/>
          <w:color w:val="auto"/>
        </w:rPr>
        <w:t>total impairment charges of $19.0 million, consisting of a $1.0 million goodwill impairment charge and an $18.0 million impairment charge related to the disposal group. The Company used a market approach to estimate the fair value of KLG disposal group (see Note 2 and 6).</w:t>
      </w:r>
    </w:p>
    <w:p>
      <w:pPr>
        <w:spacing w:after="0" w:line="127"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During the three and nine months ended September 30, 2025, the Company recorded intangible and other long-lived asset impairment charges of $2.2 million. The remeasurement of other long-lived assets is classified as a Level 3 fair value assessment due to the significance</w:t>
      </w:r>
    </w:p>
    <w:p>
      <w:pPr>
        <w:spacing w:after="0" w:line="235" w:lineRule="auto"/>
        <w:rPr>
          <w:sz w:val="20"/>
          <w:szCs w:val="20"/>
          <w:color w:val="auto"/>
        </w:rPr>
      </w:pPr>
      <w:r>
        <w:rPr>
          <w:rFonts w:ascii="Arial" w:cs="Arial" w:eastAsia="Arial" w:hAnsi="Arial"/>
          <w:sz w:val="18"/>
          <w:szCs w:val="18"/>
          <w:color w:val="auto"/>
        </w:rPr>
        <w:t>of unobservable inputs developed in the determination of the fair value. The Company used a discounted cash flow model to determine the</w:t>
      </w:r>
    </w:p>
    <w:p>
      <w:pPr>
        <w:spacing w:after="0" w:line="1" w:lineRule="exact"/>
        <w:rPr>
          <w:sz w:val="20"/>
          <w:szCs w:val="20"/>
          <w:color w:val="auto"/>
        </w:rPr>
      </w:pPr>
    </w:p>
    <w:p>
      <w:pPr>
        <w:ind w:right="380"/>
        <w:spacing w:after="0" w:line="237" w:lineRule="auto"/>
        <w:rPr>
          <w:sz w:val="20"/>
          <w:szCs w:val="20"/>
          <w:color w:val="auto"/>
        </w:rPr>
      </w:pPr>
      <w:r>
        <w:rPr>
          <w:rFonts w:ascii="Arial" w:cs="Arial" w:eastAsia="Arial" w:hAnsi="Arial"/>
          <w:sz w:val="18"/>
          <w:szCs w:val="18"/>
          <w:color w:val="auto"/>
        </w:rPr>
        <w:t>estimated fair value of the other long-lived assets. The Company made estimates and assumptions regarding future cash flows, discount rates and long-term growth rates.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and nine months ended September 30, 2026, the Company recorded impairment charges of $0.5 million and $6.3 million on</w:t>
      </w:r>
    </w:p>
    <w:p>
      <w:pPr>
        <w:spacing w:after="0" w:line="14" w:lineRule="exact"/>
        <w:rPr>
          <w:sz w:val="20"/>
          <w:szCs w:val="20"/>
          <w:color w:val="auto"/>
        </w:rPr>
      </w:pPr>
    </w:p>
    <w:p>
      <w:pPr>
        <w:ind w:right="380"/>
        <w:spacing w:after="0" w:line="237" w:lineRule="auto"/>
        <w:rPr>
          <w:sz w:val="20"/>
          <w:szCs w:val="20"/>
          <w:color w:val="auto"/>
        </w:rPr>
      </w:pPr>
      <w:r>
        <w:rPr>
          <w:rFonts w:ascii="Arial" w:cs="Arial" w:eastAsia="Arial" w:hAnsi="Arial"/>
          <w:sz w:val="18"/>
          <w:szCs w:val="18"/>
          <w:color w:val="auto"/>
        </w:rPr>
        <w:t>its investments in affiliates (see Note 3). The Company used a market approach to determine the estimated fair value of its investment in affiliates.</w:t>
      </w:r>
    </w:p>
    <w:p>
      <w:pPr>
        <w:sectPr>
          <w:pgSz w:w="11900" w:h="16838" w:orient="portrait"/>
          <w:cols w:equalWidth="0" w:num="1">
            <w:col w:w="11240"/>
          </w:cols>
          <w:pgMar w:left="320" w:top="931" w:right="339" w:bottom="1440" w:gutter="0" w:footer="0" w:header="0"/>
          <w:type w:val="continuous"/>
        </w:sect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color w:val="auto"/>
        </w:rPr>
        <w:t>During the three and nine months ended September 30, 2026, the Company recorded impairment losses of $0.1 million, to equity securities</w:t>
      </w:r>
    </w:p>
    <w:p>
      <w:pPr>
        <w:spacing w:after="0" w:line="14"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that are accounted for as cost method investments. During the three and nine months ended September 30, 2025, the Company recorded impairment losses of $1.5 million and $14.2 million, respectively, to equity securities that are accounted for as cost method investments.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158" w:lineRule="exact"/>
        <w:rPr>
          <w:sz w:val="20"/>
          <w:szCs w:val="20"/>
          <w:color w:val="auto"/>
        </w:rPr>
      </w:pPr>
    </w:p>
    <w:p>
      <w:pPr>
        <w:ind w:right="160"/>
        <w:spacing w:after="0" w:line="251" w:lineRule="auto"/>
        <w:rPr>
          <w:sz w:val="20"/>
          <w:szCs w:val="20"/>
          <w:color w:val="auto"/>
        </w:rPr>
      </w:pPr>
      <w:r>
        <w:rPr>
          <w:rFonts w:ascii="Arial" w:cs="Arial" w:eastAsia="Arial" w:hAnsi="Arial"/>
          <w:sz w:val="17"/>
          <w:szCs w:val="17"/>
          <w:color w:val="auto"/>
        </w:rPr>
        <w:t>The Company recognized a U.S. income tax benefit of $68.1 million for the nine months ended September 30, 2026, in connection with the restructuring and sale of the KLG business. No corresponding tax benefit was recognized in any other jurisdiction. The Company continues</w:t>
      </w:r>
    </w:p>
    <w:p>
      <w:pPr>
        <w:spacing w:after="0" w:line="1"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to monitor relevant developments, including any forthcoming Internal Revenue Service guidance, that could affect the ultimate realization of this benefit.</w:t>
      </w:r>
    </w:p>
    <w:p>
      <w:pPr>
        <w:spacing w:after="0" w:line="104" w:lineRule="exact"/>
        <w:rPr>
          <w:sz w:val="20"/>
          <w:szCs w:val="20"/>
          <w:color w:val="auto"/>
        </w:rPr>
      </w:pPr>
    </w:p>
    <w:p>
      <w:pPr>
        <w:ind w:right="240"/>
        <w:spacing w:after="0" w:line="259" w:lineRule="auto"/>
        <w:rPr>
          <w:sz w:val="20"/>
          <w:szCs w:val="20"/>
          <w:color w:val="auto"/>
        </w:rPr>
      </w:pPr>
      <w:r>
        <w:rPr>
          <w:rFonts w:ascii="Arial" w:cs="Arial" w:eastAsia="Arial" w:hAnsi="Arial"/>
          <w:sz w:val="17"/>
          <w:szCs w:val="17"/>
          <w:color w:val="auto"/>
        </w:rPr>
        <w:t>As a result of the significant U.S. income tax benefit recorded related to the KLG business, the Company has recorded a Pillar Two top-up income tax accrual and expense of $15.3 million for the nine months ended September 30, 2026. In January 2026, the Organization for</w:t>
      </w:r>
    </w:p>
    <w:p>
      <w:pPr>
        <w:spacing w:after="0" w:line="1" w:lineRule="exact"/>
        <w:rPr>
          <w:sz w:val="20"/>
          <w:szCs w:val="20"/>
          <w:color w:val="auto"/>
        </w:rPr>
      </w:pPr>
    </w:p>
    <w:p>
      <w:pPr>
        <w:ind w:right="260"/>
        <w:spacing w:after="0"/>
        <w:rPr>
          <w:sz w:val="20"/>
          <w:szCs w:val="20"/>
          <w:color w:val="auto"/>
        </w:rPr>
      </w:pPr>
      <w:r>
        <w:rPr>
          <w:rFonts w:ascii="Arial" w:cs="Arial" w:eastAsia="Arial" w:hAnsi="Arial"/>
          <w:sz w:val="17"/>
          <w:szCs w:val="17"/>
          <w:color w:val="auto"/>
        </w:rPr>
        <w:t>Economic Co-operation and Development (OECD) published administrative guidance introducing a Side-by-Side (SbS) Safe Harbor that would effectively exempt U.S. parent multinational groups from Pillar Two top-up tax on their U.S. source income. The SbS Safe Harbor is</w:t>
      </w:r>
    </w:p>
    <w:p>
      <w:pPr>
        <w:spacing w:after="0" w:line="235" w:lineRule="auto"/>
        <w:rPr>
          <w:sz w:val="20"/>
          <w:szCs w:val="20"/>
          <w:color w:val="auto"/>
        </w:rPr>
      </w:pPr>
      <w:r>
        <w:rPr>
          <w:rFonts w:ascii="Arial" w:cs="Arial" w:eastAsia="Arial" w:hAnsi="Arial"/>
          <w:sz w:val="18"/>
          <w:szCs w:val="18"/>
          <w:color w:val="auto"/>
        </w:rPr>
        <w:t>only effective to the extent participating countries have enacted legislation adopting the guidance. The Company has assessed current law</w:t>
      </w:r>
    </w:p>
    <w:p>
      <w:pPr>
        <w:ind w:right="140"/>
        <w:spacing w:after="0"/>
        <w:rPr>
          <w:sz w:val="20"/>
          <w:szCs w:val="20"/>
          <w:color w:val="auto"/>
        </w:rPr>
      </w:pPr>
      <w:r>
        <w:rPr>
          <w:rFonts w:ascii="Arial" w:cs="Arial" w:eastAsia="Arial" w:hAnsi="Arial"/>
          <w:sz w:val="17"/>
          <w:szCs w:val="17"/>
          <w:color w:val="auto"/>
        </w:rPr>
        <w:t>and administrative guidance in relevant non-U.S. jurisdictions. Currently, not all participating countries have enacted legislation to adopt the SbS Safe Harbor, including the U.K. The Company will continue to monitor local implementation and guidance as non-U.S. countries adopt</w:t>
      </w:r>
    </w:p>
    <w:p>
      <w:pPr>
        <w:spacing w:after="0" w:line="1" w:lineRule="exact"/>
        <w:rPr>
          <w:sz w:val="20"/>
          <w:szCs w:val="20"/>
          <w:color w:val="auto"/>
        </w:rPr>
      </w:pPr>
    </w:p>
    <w:p>
      <w:pPr>
        <w:jc w:val="both"/>
        <w:ind w:right="120"/>
        <w:spacing w:after="0" w:line="279" w:lineRule="auto"/>
        <w:rPr>
          <w:sz w:val="20"/>
          <w:szCs w:val="20"/>
          <w:color w:val="auto"/>
        </w:rPr>
      </w:pPr>
      <w:r>
        <w:rPr>
          <w:rFonts w:ascii="Arial" w:cs="Arial" w:eastAsia="Arial" w:hAnsi="Arial"/>
          <w:sz w:val="17"/>
          <w:szCs w:val="17"/>
          <w:color w:val="auto"/>
        </w:rPr>
        <w:t>the SbS Safe Harbor into domestic law. The enactment of such legislation in the U.K. and other jurisdictions would have a favorable impact on the Pillar Two top-up tax accrued for 2026, and could result in a complete reversal of the $15.3 million accrued amount without payment.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The Company's effective tax rate for the first nine months of 2026 and 2025 was 14.6% and 30.6%,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REVENUE FROM CONTRACTS WITH CUSTOMERS</w:t>
      </w:r>
    </w:p>
    <w:p>
      <w:pPr>
        <w:spacing w:after="0" w:line="144" w:lineRule="exact"/>
        <w:rPr>
          <w:sz w:val="20"/>
          <w:szCs w:val="20"/>
          <w:color w:val="auto"/>
        </w:rPr>
      </w:pPr>
    </w:p>
    <w:p>
      <w:pPr>
        <w:ind w:right="160"/>
        <w:spacing w:after="0" w:line="245" w:lineRule="auto"/>
        <w:rPr>
          <w:sz w:val="20"/>
          <w:szCs w:val="20"/>
          <w:color w:val="auto"/>
        </w:rPr>
      </w:pPr>
      <w:r>
        <w:rPr>
          <w:rFonts w:ascii="Arial" w:cs="Arial" w:eastAsia="Arial" w:hAnsi="Arial"/>
          <w:sz w:val="18"/>
          <w:szCs w:val="18"/>
          <w:color w:val="auto"/>
        </w:rPr>
        <w:t>The Company generated 83% and 81% of its revenue from U.S. domestic sales for the three and nine months ended September 30, 2026, respectively. The remaining 17% and 19% of revenue was generated from non-U.S. sales for the three and nine months ended</w:t>
      </w:r>
    </w:p>
    <w:p>
      <w:pPr>
        <w:ind w:right="200"/>
        <w:spacing w:after="0" w:line="237" w:lineRule="auto"/>
        <w:rPr>
          <w:sz w:val="20"/>
          <w:szCs w:val="20"/>
          <w:color w:val="auto"/>
        </w:rPr>
      </w:pPr>
      <w:r>
        <w:rPr>
          <w:rFonts w:ascii="Arial" w:cs="Arial" w:eastAsia="Arial" w:hAnsi="Arial"/>
          <w:sz w:val="18"/>
          <w:szCs w:val="18"/>
          <w:color w:val="auto"/>
        </w:rPr>
        <w:t>September 30, 2026, respectively. For the three and nine months ended September 30, 2025, 79% and 78% of revenue, respectively, was from U.S. domestic sales and the remaining 21% and 22% of revenue was generated from non-U.S. sales.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For the three and nine months ended September 30, 2026, the Company recognized 47% and 51%, respectively, of its revenue over time as</w:t>
      </w:r>
    </w:p>
    <w:p>
      <w:pPr>
        <w:spacing w:after="0" w:line="14"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control of the services and goods transferred to the customer, and the remaining 53% and 49% at a point in time, when the customer obtained control of the promised goods. For the three and nine months ended September 30, 2025, the Company recognized 51% and 53%</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of its revenue, respectively, over time, and the remaining 49% and 47% at a point in time.</w:t>
      </w:r>
    </w:p>
    <w:p>
      <w:pPr>
        <w:spacing w:after="0" w:line="140"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b w:val="1"/>
          <w:bCs w:val="1"/>
          <w:color w:val="auto"/>
        </w:rPr>
        <w:t xml:space="preserve">Contract Assets. </w:t>
      </w:r>
      <w:r>
        <w:rPr>
          <w:rFonts w:ascii="Arial" w:cs="Arial" w:eastAsia="Arial" w:hAnsi="Arial"/>
          <w:sz w:val="18"/>
          <w:szCs w:val="18"/>
          <w:color w:val="auto"/>
        </w:rPr>
        <w:t>As of September 30, 2026, the Company recognized a contract asset of $29.0 million related to a contract at a Kaplan</w:t>
      </w:r>
      <w:r>
        <w:rPr>
          <w:rFonts w:ascii="Arial" w:cs="Arial" w:eastAsia="Arial" w:hAnsi="Arial"/>
          <w:sz w:val="18"/>
          <w:szCs w:val="18"/>
          <w:b w:val="1"/>
          <w:bCs w:val="1"/>
          <w:color w:val="auto"/>
        </w:rPr>
        <w:t xml:space="preserve"> </w:t>
      </w:r>
      <w:r>
        <w:rPr>
          <w:rFonts w:ascii="Arial" w:cs="Arial" w:eastAsia="Arial" w:hAnsi="Arial"/>
          <w:sz w:val="18"/>
          <w:szCs w:val="18"/>
          <w:color w:val="auto"/>
        </w:rPr>
        <w:t>International business, of which $5.8 million is included in Other current assets and $23.2 million is included in Deferred Charges and Other</w:t>
      </w:r>
    </w:p>
    <w:p>
      <w:pPr>
        <w:spacing w:after="0" w:line="235" w:lineRule="auto"/>
        <w:rPr>
          <w:sz w:val="20"/>
          <w:szCs w:val="20"/>
          <w:color w:val="auto"/>
        </w:rPr>
      </w:pPr>
      <w:r>
        <w:rPr>
          <w:rFonts w:ascii="Arial" w:cs="Arial" w:eastAsia="Arial" w:hAnsi="Arial"/>
          <w:sz w:val="18"/>
          <w:szCs w:val="18"/>
          <w:color w:val="auto"/>
        </w:rPr>
        <w:t>Assets. The Company expects to recognize an additional $186.7 million related to the remaining performance obligation in the contract over</w:t>
      </w:r>
    </w:p>
    <w:p>
      <w:pPr>
        <w:spacing w:after="0" w:line="1" w:lineRule="exact"/>
        <w:rPr>
          <w:sz w:val="20"/>
          <w:szCs w:val="20"/>
          <w:color w:val="auto"/>
        </w:rPr>
      </w:pPr>
    </w:p>
    <w:p>
      <w:pPr>
        <w:ind w:right="140"/>
        <w:spacing w:after="0"/>
        <w:rPr>
          <w:sz w:val="20"/>
          <w:szCs w:val="20"/>
          <w:color w:val="auto"/>
        </w:rPr>
      </w:pPr>
      <w:r>
        <w:rPr>
          <w:rFonts w:ascii="Arial" w:cs="Arial" w:eastAsia="Arial" w:hAnsi="Arial"/>
          <w:sz w:val="17"/>
          <w:szCs w:val="17"/>
          <w:color w:val="auto"/>
        </w:rPr>
        <w:t>the next three years. As of December 31, 2025, the contract asset was $36.5 million, of which $4.4 million was included in Other current assets and $32.1 million was included in Deferred Charges and Other Assets. Additional contract assets of $4.0 million and $3.0 million are</w:t>
      </w:r>
    </w:p>
    <w:p>
      <w:pPr>
        <w:spacing w:after="0" w:line="1"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included in Other current assets on the Company’s Condensed Consolidated Balance Sheets as of September 30, 2026 and December 31, 2025, respectively.</w:t>
      </w:r>
    </w:p>
    <w:p>
      <w:pPr>
        <w:spacing w:after="0" w:line="104" w:lineRule="exact"/>
        <w:rPr>
          <w:sz w:val="20"/>
          <w:szCs w:val="20"/>
          <w:color w:val="auto"/>
        </w:rPr>
      </w:pPr>
    </w:p>
    <w:p>
      <w:pPr>
        <w:ind w:right="120"/>
        <w:spacing w:after="0" w:line="245" w:lineRule="auto"/>
        <w:rPr>
          <w:sz w:val="20"/>
          <w:szCs w:val="20"/>
          <w:color w:val="auto"/>
        </w:rPr>
      </w:pPr>
      <w:r>
        <w:rPr>
          <w:rFonts w:ascii="Arial" w:cs="Arial" w:eastAsia="Arial" w:hAnsi="Arial"/>
          <w:sz w:val="18"/>
          <w:szCs w:val="18"/>
          <w:b w:val="1"/>
          <w:bCs w:val="1"/>
          <w:color w:val="auto"/>
        </w:rPr>
        <w:t xml:space="preserve">Deferred Revenue. </w:t>
      </w:r>
      <w:r>
        <w:rPr>
          <w:rFonts w:ascii="Arial" w:cs="Arial" w:eastAsia="Arial" w:hAnsi="Arial"/>
          <w:sz w:val="18"/>
          <w:szCs w:val="18"/>
          <w:color w:val="auto"/>
        </w:rPr>
        <w:t>The Company records deferred revenue when cash payments are received or due in advance of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which includes some payments that are refundable due to the contractual right of the customer to cancel the agreement. As of</w:t>
      </w:r>
    </w:p>
    <w:p>
      <w:pPr>
        <w:spacing w:after="0" w:line="237" w:lineRule="auto"/>
        <w:rPr>
          <w:sz w:val="20"/>
          <w:szCs w:val="20"/>
          <w:color w:val="auto"/>
        </w:rPr>
      </w:pPr>
      <w:r>
        <w:rPr>
          <w:rFonts w:ascii="Arial" w:cs="Arial" w:eastAsia="Arial" w:hAnsi="Arial"/>
          <w:sz w:val="18"/>
          <w:szCs w:val="18"/>
          <w:color w:val="auto"/>
        </w:rPr>
        <w:t>September 30, 2026 and December 31, 2025, 17% and 22%, respectively, of the Company’s deferred revenue consisted of prepaid amounts which are refundable. The following table presents the change in the Company’s deferred revenue balance: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0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180" w:type="dxa"/>
            <w:vAlign w:val="bottom"/>
            <w:tcBorders>
              <w:bottom w:val="single" w:sz="8" w:color="auto"/>
            </w:tcBorders>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7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vMerge w:val="restart"/>
          </w:tcPr>
          <w:p>
            <w:pPr>
              <w:jc w:val="center"/>
              <w:ind w:right="86"/>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6"/>
                <w:szCs w:val="16"/>
                <w:color w:val="auto"/>
              </w:rPr>
            </w:pPr>
          </w:p>
        </w:tc>
        <w:tc>
          <w:tcPr>
            <w:tcW w:w="1180" w:type="dxa"/>
            <w:vAlign w:val="bottom"/>
            <w:vMerge w:val="restart"/>
          </w:tcPr>
          <w:p>
            <w:pPr>
              <w:jc w:val="center"/>
              <w:ind w:right="105"/>
              <w:spacing w:after="0"/>
              <w:rPr>
                <w:sz w:val="20"/>
                <w:szCs w:val="20"/>
                <w:color w:val="auto"/>
              </w:rPr>
            </w:pPr>
            <w:r>
              <w:rPr>
                <w:rFonts w:ascii="Arial" w:cs="Arial" w:eastAsia="Arial" w:hAnsi="Arial"/>
                <w:sz w:val="14"/>
                <w:szCs w:val="14"/>
                <w:color w:val="auto"/>
              </w:rPr>
              <w:t>December 31,</w:t>
            </w:r>
          </w:p>
        </w:tc>
        <w:tc>
          <w:tcPr>
            <w:tcW w:w="1320" w:type="dxa"/>
            <w:vAlign w:val="bottom"/>
          </w:tcPr>
          <w:p>
            <w:pPr>
              <w:jc w:val="right"/>
              <w:ind w:right="525"/>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3"/>
        </w:trPr>
        <w:tc>
          <w:tcPr>
            <w:tcW w:w="706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4"/>
                <w:szCs w:val="4"/>
                <w:color w:val="auto"/>
              </w:rPr>
            </w:pPr>
          </w:p>
        </w:tc>
        <w:tc>
          <w:tcPr>
            <w:tcW w:w="122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1320" w:type="dxa"/>
            <w:vAlign w:val="bottom"/>
            <w:vMerge w:val="restart"/>
          </w:tcPr>
          <w:p>
            <w:pPr>
              <w:ind w:left="40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97"/>
        </w:trPr>
        <w:tc>
          <w:tcPr>
            <w:tcW w:w="706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66"/>
              <w:spacing w:after="0"/>
              <w:rPr>
                <w:sz w:val="20"/>
                <w:szCs w:val="20"/>
                <w:color w:val="auto"/>
              </w:rPr>
            </w:pPr>
            <w:r>
              <w:rPr>
                <w:rFonts w:ascii="Arial" w:cs="Arial" w:eastAsia="Arial" w:hAnsi="Arial"/>
                <w:sz w:val="14"/>
                <w:szCs w:val="14"/>
                <w:b w:val="1"/>
                <w:bCs w:val="1"/>
                <w:color w:val="auto"/>
              </w:rPr>
              <w:t>2026</w:t>
            </w: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45"/>
              <w:spacing w:after="0"/>
              <w:rPr>
                <w:sz w:val="20"/>
                <w:szCs w:val="20"/>
                <w:color w:val="auto"/>
              </w:rPr>
            </w:pPr>
            <w:r>
              <w:rPr>
                <w:rFonts w:ascii="Arial" w:cs="Arial" w:eastAsia="Arial" w:hAnsi="Arial"/>
                <w:sz w:val="14"/>
                <w:szCs w:val="14"/>
                <w:color w:val="auto"/>
              </w:rPr>
              <w:t>2025</w:t>
            </w:r>
          </w:p>
        </w:tc>
        <w:tc>
          <w:tcPr>
            <w:tcW w:w="13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60" w:type="dxa"/>
            <w:vAlign w:val="bottom"/>
          </w:tcPr>
          <w:p>
            <w:pPr>
              <w:ind w:left="20"/>
              <w:spacing w:after="0"/>
              <w:rPr>
                <w:sz w:val="20"/>
                <w:szCs w:val="20"/>
                <w:color w:val="auto"/>
              </w:rPr>
            </w:pPr>
            <w:r>
              <w:rPr>
                <w:rFonts w:ascii="Arial" w:cs="Arial" w:eastAsia="Arial" w:hAnsi="Arial"/>
                <w:sz w:val="16"/>
                <w:szCs w:val="16"/>
                <w:color w:val="auto"/>
              </w:rPr>
              <w:t>Deferred revenue</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Pr>
          <w:p>
            <w:pPr>
              <w:jc w:val="right"/>
              <w:ind w:right="26"/>
              <w:spacing w:after="0"/>
              <w:rPr>
                <w:sz w:val="20"/>
                <w:szCs w:val="20"/>
                <w:color w:val="auto"/>
              </w:rPr>
            </w:pPr>
            <w:r>
              <w:rPr>
                <w:rFonts w:ascii="Arial" w:cs="Arial" w:eastAsia="Arial" w:hAnsi="Arial"/>
                <w:sz w:val="16"/>
                <w:szCs w:val="16"/>
                <w:b w:val="1"/>
                <w:bCs w:val="1"/>
                <w:color w:val="auto"/>
              </w:rPr>
              <w:t>359,038</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5"/>
              <w:spacing w:after="0"/>
              <w:rPr>
                <w:sz w:val="20"/>
                <w:szCs w:val="20"/>
                <w:color w:val="auto"/>
              </w:rPr>
            </w:pPr>
            <w:r>
              <w:rPr>
                <w:rFonts w:ascii="Arial" w:cs="Arial" w:eastAsia="Arial" w:hAnsi="Arial"/>
                <w:sz w:val="16"/>
                <w:szCs w:val="16"/>
                <w:color w:val="auto"/>
              </w:rPr>
              <w:t>418,090</w:t>
            </w:r>
          </w:p>
        </w:tc>
        <w:tc>
          <w:tcPr>
            <w:tcW w:w="1320" w:type="dxa"/>
            <w:vAlign w:val="bottom"/>
          </w:tcPr>
          <w:p>
            <w:pPr>
              <w:jc w:val="right"/>
              <w:ind w:right="445"/>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bl>
    <w:p>
      <w:pPr>
        <w:spacing w:after="0" w:line="232"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The majority of the change in the deferred revenue balance is related to the cyclical nature of services in the Kaplan International division, the reclassification of deferred revenue included in the DBS disposal group and the derecognition of deferred revenue associated with the</w:t>
      </w:r>
    </w:p>
    <w:p>
      <w:pPr>
        <w:spacing w:after="0" w:line="1"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sale of the KLG businesses in May 2026 (see Note 2). During the nine months ended September 30, 2026, the Company recognized $348.7 million related to the Company’s</w:t>
      </w: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31" w:right="37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deferred revenue balance as of December 31, 2025, including $67.1 million of prepaid amounts which were refundable at the prior year-end.</w:t>
      </w:r>
    </w:p>
    <w:p>
      <w:pPr>
        <w:spacing w:after="0" w:line="158"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Revenue allocated to remaining performance obligations represents deferred revenue amounts that will be recognized as revenue in future periods. As of September 30, 2026, the deferred revenue balance related to certain medical and nursing qualifications with an original</w:t>
      </w:r>
    </w:p>
    <w:p>
      <w:pPr>
        <w:spacing w:after="0" w:line="1"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contract length greater than twelve months at Kaplan Supplemental Education was $4.3 million. Kaplan Supplemental Education expects to recognize 57% of this revenue over the next twelve months and the remainder thereafter.</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Costs to Obtain a Contract. </w:t>
      </w:r>
      <w:r>
        <w:rPr>
          <w:rFonts w:ascii="Arial" w:cs="Arial" w:eastAsia="Arial" w:hAnsi="Arial"/>
          <w:sz w:val="18"/>
          <w:szCs w:val="18"/>
          <w:color w:val="auto"/>
        </w:rPr>
        <w:t>The following table presents changes in the Company’s costs to obtain a contract asset: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center"/>
              <w:ind w:right="126"/>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960" w:type="dxa"/>
            <w:vAlign w:val="bottom"/>
          </w:tcPr>
          <w:p>
            <w:pPr>
              <w:jc w:val="center"/>
              <w:ind w:right="126"/>
              <w:spacing w:after="0" w:line="149" w:lineRule="exact"/>
              <w:rPr>
                <w:sz w:val="20"/>
                <w:szCs w:val="20"/>
                <w:color w:val="auto"/>
              </w:rPr>
            </w:pPr>
            <w:r>
              <w:rPr>
                <w:rFonts w:ascii="Arial" w:cs="Arial" w:eastAsia="Arial" w:hAnsi="Arial"/>
                <w:sz w:val="14"/>
                <w:szCs w:val="14"/>
                <w:b w:val="1"/>
                <w:bCs w:val="1"/>
                <w:color w:val="auto"/>
              </w:rPr>
              <w:t>Balance at</w:t>
            </w:r>
          </w:p>
        </w:tc>
        <w:tc>
          <w:tcPr>
            <w:tcW w:w="320" w:type="dxa"/>
            <w:vAlign w:val="bottom"/>
          </w:tcPr>
          <w:p>
            <w:pPr>
              <w:spacing w:after="0"/>
              <w:rPr>
                <w:sz w:val="12"/>
                <w:szCs w:val="12"/>
                <w:color w:val="auto"/>
              </w:rPr>
            </w:pPr>
          </w:p>
        </w:tc>
        <w:tc>
          <w:tcPr>
            <w:tcW w:w="940" w:type="dxa"/>
            <w:vAlign w:val="bottom"/>
          </w:tcPr>
          <w:p>
            <w:pPr>
              <w:jc w:val="center"/>
              <w:ind w:right="184"/>
              <w:spacing w:after="0" w:line="149" w:lineRule="exact"/>
              <w:rPr>
                <w:sz w:val="20"/>
                <w:szCs w:val="20"/>
                <w:color w:val="auto"/>
              </w:rPr>
            </w:pPr>
            <w:r>
              <w:rPr>
                <w:rFonts w:ascii="Arial" w:cs="Arial" w:eastAsia="Arial" w:hAnsi="Arial"/>
                <w:sz w:val="14"/>
                <w:szCs w:val="14"/>
                <w:b w:val="1"/>
                <w:bCs w:val="1"/>
                <w:color w:val="auto"/>
              </w:rPr>
              <w:t>Costs</w:t>
            </w:r>
          </w:p>
        </w:tc>
        <w:tc>
          <w:tcPr>
            <w:tcW w:w="240" w:type="dxa"/>
            <w:vAlign w:val="bottom"/>
          </w:tcPr>
          <w:p>
            <w:pPr>
              <w:spacing w:after="0"/>
              <w:rPr>
                <w:sz w:val="12"/>
                <w:szCs w:val="12"/>
                <w:color w:val="auto"/>
              </w:rPr>
            </w:pPr>
          </w:p>
        </w:tc>
        <w:tc>
          <w:tcPr>
            <w:tcW w:w="1140" w:type="dxa"/>
            <w:vAlign w:val="bottom"/>
          </w:tcPr>
          <w:p>
            <w:pPr>
              <w:jc w:val="center"/>
              <w:ind w:right="165"/>
              <w:spacing w:after="0" w:line="149" w:lineRule="exact"/>
              <w:rPr>
                <w:sz w:val="20"/>
                <w:szCs w:val="20"/>
                <w:color w:val="auto"/>
              </w:rPr>
            </w:pPr>
            <w:r>
              <w:rPr>
                <w:rFonts w:ascii="Arial" w:cs="Arial" w:eastAsia="Arial" w:hAnsi="Arial"/>
                <w:sz w:val="14"/>
                <w:szCs w:val="14"/>
                <w:b w:val="1"/>
                <w:bCs w:val="1"/>
                <w:color w:val="auto"/>
              </w:rPr>
              <w:t>Less: Costs</w:t>
            </w: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center"/>
              <w:ind w:right="126"/>
              <w:spacing w:after="0" w:line="149" w:lineRule="exact"/>
              <w:rPr>
                <w:sz w:val="20"/>
                <w:szCs w:val="20"/>
                <w:color w:val="auto"/>
              </w:rPr>
            </w:pPr>
            <w:r>
              <w:rPr>
                <w:rFonts w:ascii="Arial" w:cs="Arial" w:eastAsia="Arial" w:hAnsi="Arial"/>
                <w:sz w:val="14"/>
                <w:szCs w:val="14"/>
                <w:b w:val="1"/>
                <w:bCs w:val="1"/>
                <w:color w:val="auto"/>
              </w:rPr>
              <w:t>at</w:t>
            </w:r>
          </w:p>
        </w:tc>
        <w:tc>
          <w:tcPr>
            <w:tcW w:w="0" w:type="dxa"/>
            <w:vAlign w:val="bottom"/>
          </w:tcPr>
          <w:p>
            <w:pPr>
              <w:spacing w:after="0"/>
              <w:rPr>
                <w:sz w:val="1"/>
                <w:szCs w:val="1"/>
                <w:color w:val="auto"/>
              </w:rPr>
            </w:pPr>
          </w:p>
        </w:tc>
      </w:tr>
      <w:tr>
        <w:trPr>
          <w:trHeight w:val="162"/>
        </w:trPr>
        <w:tc>
          <w:tcPr>
            <w:tcW w:w="308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280" w:type="dxa"/>
            <w:vAlign w:val="bottom"/>
          </w:tcPr>
          <w:p>
            <w:pPr>
              <w:spacing w:after="0"/>
              <w:rPr>
                <w:sz w:val="14"/>
                <w:szCs w:val="14"/>
                <w:color w:val="auto"/>
              </w:rPr>
            </w:pPr>
          </w:p>
        </w:tc>
        <w:tc>
          <w:tcPr>
            <w:tcW w:w="960" w:type="dxa"/>
            <w:vAlign w:val="bottom"/>
          </w:tcPr>
          <w:p>
            <w:pPr>
              <w:jc w:val="center"/>
              <w:ind w:right="126"/>
              <w:spacing w:after="0"/>
              <w:rPr>
                <w:sz w:val="20"/>
                <w:szCs w:val="20"/>
                <w:color w:val="auto"/>
              </w:rPr>
            </w:pPr>
            <w:r>
              <w:rPr>
                <w:rFonts w:ascii="Arial" w:cs="Arial" w:eastAsia="Arial" w:hAnsi="Arial"/>
                <w:sz w:val="14"/>
                <w:szCs w:val="14"/>
                <w:b w:val="1"/>
                <w:bCs w:val="1"/>
                <w:color w:val="auto"/>
              </w:rPr>
              <w:t>Beginning</w:t>
            </w: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auto"/>
              </w:rPr>
              <w:t>associated with</w:t>
            </w:r>
          </w:p>
        </w:tc>
        <w:tc>
          <w:tcPr>
            <w:tcW w:w="1380" w:type="dxa"/>
            <w:vAlign w:val="bottom"/>
            <w:gridSpan w:val="2"/>
          </w:tcPr>
          <w:p>
            <w:pPr>
              <w:jc w:val="center"/>
              <w:spacing w:after="0"/>
              <w:rPr>
                <w:sz w:val="20"/>
                <w:szCs w:val="20"/>
                <w:color w:val="auto"/>
              </w:rPr>
            </w:pPr>
            <w:r>
              <w:rPr>
                <w:rFonts w:ascii="Arial" w:cs="Arial" w:eastAsia="Arial" w:hAnsi="Arial"/>
                <w:sz w:val="14"/>
                <w:szCs w:val="14"/>
                <w:b w:val="1"/>
                <w:bCs w:val="1"/>
                <w:color w:val="auto"/>
              </w:rPr>
              <w:t>amortized during</w:t>
            </w:r>
          </w:p>
        </w:tc>
        <w:tc>
          <w:tcPr>
            <w:tcW w:w="260" w:type="dxa"/>
            <w:vAlign w:val="bottom"/>
          </w:tcPr>
          <w:p>
            <w:pPr>
              <w:spacing w:after="0"/>
              <w:rPr>
                <w:sz w:val="14"/>
                <w:szCs w:val="14"/>
                <w:color w:val="auto"/>
              </w:rPr>
            </w:pPr>
          </w:p>
        </w:tc>
        <w:tc>
          <w:tcPr>
            <w:tcW w:w="820" w:type="dxa"/>
            <w:vAlign w:val="bottom"/>
            <w:vMerge w:val="restart"/>
          </w:tcPr>
          <w:p>
            <w:pPr>
              <w:jc w:val="right"/>
              <w:ind w:right="264"/>
              <w:spacing w:after="0"/>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4"/>
                <w:szCs w:val="14"/>
                <w:color w:val="auto"/>
              </w:rPr>
            </w:pPr>
          </w:p>
        </w:tc>
        <w:tc>
          <w:tcPr>
            <w:tcW w:w="900" w:type="dxa"/>
            <w:vAlign w:val="bottom"/>
          </w:tcPr>
          <w:p>
            <w:pPr>
              <w:jc w:val="center"/>
              <w:ind w:right="146"/>
              <w:spacing w:after="0"/>
              <w:rPr>
                <w:sz w:val="20"/>
                <w:szCs w:val="20"/>
                <w:color w:val="auto"/>
              </w:rPr>
            </w:pPr>
            <w:r>
              <w:rPr>
                <w:rFonts w:ascii="Arial" w:cs="Arial" w:eastAsia="Arial" w:hAnsi="Arial"/>
                <w:sz w:val="14"/>
                <w:szCs w:val="14"/>
                <w:b w:val="1"/>
                <w:bCs w:val="1"/>
                <w:color w:val="auto"/>
              </w:rPr>
              <w:t>End of</w:t>
            </w:r>
          </w:p>
        </w:tc>
        <w:tc>
          <w:tcPr>
            <w:tcW w:w="0" w:type="dxa"/>
            <w:vAlign w:val="bottom"/>
          </w:tcPr>
          <w:p>
            <w:pPr>
              <w:spacing w:after="0"/>
              <w:rPr>
                <w:sz w:val="1"/>
                <w:szCs w:val="1"/>
                <w:color w:val="auto"/>
              </w:rPr>
            </w:pPr>
          </w:p>
        </w:tc>
      </w:tr>
      <w:tr>
        <w:trPr>
          <w:trHeight w:val="205"/>
        </w:trPr>
        <w:tc>
          <w:tcPr>
            <w:tcW w:w="3080" w:type="dxa"/>
            <w:vAlign w:val="bottom"/>
            <w:tcBorders>
              <w:bottom w:val="single" w:sz="8" w:color="auto"/>
            </w:tcBorders>
            <w:vMerge w:val="continue"/>
          </w:tcPr>
          <w:p>
            <w:pPr>
              <w:spacing w:after="0"/>
              <w:rPr>
                <w:sz w:val="17"/>
                <w:szCs w:val="17"/>
                <w:color w:val="auto"/>
              </w:rPr>
            </w:pPr>
          </w:p>
        </w:tc>
        <w:tc>
          <w:tcPr>
            <w:tcW w:w="2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86"/>
              <w:spacing w:after="0"/>
              <w:rPr>
                <w:sz w:val="20"/>
                <w:szCs w:val="20"/>
                <w:color w:val="auto"/>
              </w:rPr>
            </w:pPr>
            <w:r>
              <w:rPr>
                <w:rFonts w:ascii="Arial" w:cs="Arial" w:eastAsia="Arial" w:hAnsi="Arial"/>
                <w:sz w:val="14"/>
                <w:szCs w:val="14"/>
                <w:b w:val="1"/>
                <w:bCs w:val="1"/>
                <w:color w:val="auto"/>
              </w:rPr>
              <w:t>of Period</w:t>
            </w: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new contracts</w:t>
            </w: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165"/>
              <w:spacing w:after="0"/>
              <w:rPr>
                <w:sz w:val="20"/>
                <w:szCs w:val="20"/>
                <w:color w:val="auto"/>
              </w:rPr>
            </w:pPr>
            <w:r>
              <w:rPr>
                <w:rFonts w:ascii="Arial" w:cs="Arial" w:eastAsia="Arial" w:hAnsi="Arial"/>
                <w:sz w:val="14"/>
                <w:szCs w:val="14"/>
                <w:b w:val="1"/>
                <w:bCs w:val="1"/>
                <w:color w:val="auto"/>
              </w:rPr>
              <w:t>the period</w:t>
            </w: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86"/>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236"/>
        </w:trPr>
        <w:tc>
          <w:tcPr>
            <w:tcW w:w="3080" w:type="dxa"/>
            <w:vAlign w:val="bottom"/>
          </w:tcPr>
          <w:p>
            <w:pPr>
              <w:ind w:left="20"/>
              <w:spacing w:after="0"/>
              <w:rPr>
                <w:sz w:val="20"/>
                <w:szCs w:val="20"/>
                <w:color w:val="auto"/>
              </w:rPr>
            </w:pPr>
            <w:r>
              <w:rPr>
                <w:rFonts w:ascii="Arial" w:cs="Arial" w:eastAsia="Arial" w:hAnsi="Arial"/>
                <w:sz w:val="16"/>
                <w:szCs w:val="16"/>
                <w:b w:val="1"/>
                <w:bCs w:val="1"/>
                <w:color w:val="auto"/>
              </w:rPr>
              <w:t>2026</w:t>
            </w:r>
          </w:p>
        </w:tc>
        <w:tc>
          <w:tcPr>
            <w:tcW w:w="22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26"/>
              <w:spacing w:after="0"/>
              <w:rPr>
                <w:sz w:val="20"/>
                <w:szCs w:val="20"/>
                <w:color w:val="auto"/>
              </w:rPr>
            </w:pPr>
            <w:r>
              <w:rPr>
                <w:rFonts w:ascii="Arial" w:cs="Arial" w:eastAsia="Arial" w:hAnsi="Arial"/>
                <w:sz w:val="16"/>
                <w:szCs w:val="16"/>
                <w:b w:val="1"/>
                <w:bCs w:val="1"/>
                <w:color w:val="auto"/>
              </w:rPr>
              <w:t>42,404</w:t>
            </w:r>
          </w:p>
        </w:tc>
        <w:tc>
          <w:tcPr>
            <w:tcW w:w="320" w:type="dxa"/>
            <w:vAlign w:val="bottom"/>
          </w:tcPr>
          <w:p>
            <w:pPr>
              <w:jc w:val="right"/>
              <w:ind w:right="45"/>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44"/>
              <w:spacing w:after="0"/>
              <w:rPr>
                <w:sz w:val="20"/>
                <w:szCs w:val="20"/>
                <w:color w:val="auto"/>
              </w:rPr>
            </w:pPr>
            <w:r>
              <w:rPr>
                <w:rFonts w:ascii="Arial" w:cs="Arial" w:eastAsia="Arial" w:hAnsi="Arial"/>
                <w:sz w:val="16"/>
                <w:szCs w:val="16"/>
                <w:b w:val="1"/>
                <w:bCs w:val="1"/>
                <w:color w:val="auto"/>
              </w:rPr>
              <w:t>57,187</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5"/>
              <w:spacing w:after="0"/>
              <w:rPr>
                <w:sz w:val="20"/>
                <w:szCs w:val="20"/>
                <w:color w:val="auto"/>
              </w:rPr>
            </w:pPr>
            <w:r>
              <w:rPr>
                <w:rFonts w:ascii="Arial" w:cs="Arial" w:eastAsia="Arial" w:hAnsi="Arial"/>
                <w:sz w:val="16"/>
                <w:szCs w:val="16"/>
                <w:b w:val="1"/>
                <w:bCs w:val="1"/>
                <w:color w:val="auto"/>
              </w:rPr>
              <w:t>(67,312)</w:t>
            </w:r>
          </w:p>
        </w:tc>
        <w:tc>
          <w:tcPr>
            <w:tcW w:w="26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(4,852)</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27,427</w:t>
            </w:r>
          </w:p>
        </w:tc>
        <w:tc>
          <w:tcPr>
            <w:tcW w:w="0" w:type="dxa"/>
            <w:vAlign w:val="bottom"/>
          </w:tcPr>
          <w:p>
            <w:pPr>
              <w:spacing w:after="0"/>
              <w:rPr>
                <w:sz w:val="1"/>
                <w:szCs w:val="1"/>
                <w:color w:val="auto"/>
              </w:rPr>
            </w:pPr>
          </w:p>
        </w:tc>
      </w:tr>
    </w:tbl>
    <w:p>
      <w:pPr>
        <w:spacing w:after="0" w:line="232" w:lineRule="exact"/>
        <w:rPr>
          <w:sz w:val="20"/>
          <w:szCs w:val="20"/>
          <w:color w:val="auto"/>
        </w:rPr>
      </w:pPr>
    </w:p>
    <w:p>
      <w:pPr>
        <w:ind w:right="360"/>
        <w:spacing w:after="0" w:line="251" w:lineRule="auto"/>
        <w:rPr>
          <w:sz w:val="20"/>
          <w:szCs w:val="20"/>
          <w:color w:val="auto"/>
        </w:rPr>
      </w:pPr>
      <w:r>
        <w:rPr>
          <w:rFonts w:ascii="Arial" w:cs="Arial" w:eastAsia="Arial" w:hAnsi="Arial"/>
          <w:sz w:val="17"/>
          <w:szCs w:val="17"/>
          <w:color w:val="auto"/>
        </w:rPr>
        <w:t>The majority of other activity was related to the reclassification of costs to obtain contract assets included in the DBS disposal group, the derecognition of costs to obtain contract assets associated with the sale of the KLG business in May 2026 (see Note 2) and currency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translation adjustments for the nine months ended September 30, 2026.</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EARNINGS PER SHARE</w:t>
      </w:r>
    </w:p>
    <w:p>
      <w:pPr>
        <w:spacing w:after="0" w:line="144" w:lineRule="exact"/>
        <w:rPr>
          <w:sz w:val="20"/>
          <w:szCs w:val="20"/>
          <w:color w:val="auto"/>
        </w:rPr>
      </w:pPr>
    </w:p>
    <w:p>
      <w:pPr>
        <w:ind w:right="140"/>
        <w:spacing w:after="0" w:line="245" w:lineRule="auto"/>
        <w:rPr>
          <w:sz w:val="20"/>
          <w:szCs w:val="20"/>
          <w:color w:val="auto"/>
        </w:rPr>
      </w:pPr>
      <w:r>
        <w:rPr>
          <w:rFonts w:ascii="Arial" w:cs="Arial" w:eastAsia="Arial" w:hAnsi="Arial"/>
          <w:sz w:val="18"/>
          <w:szCs w:val="18"/>
          <w:color w:val="auto"/>
        </w:rPr>
        <w:t>The Company’s unvested restricted stock awards contain nonforfeitable rights to dividends and, therefore, are considered participating securities for purposes of computing earnings per share pursuant to the two-class method. The diluted earnings per share computed under</w:t>
      </w:r>
    </w:p>
    <w:p>
      <w:pPr>
        <w:spacing w:after="0" w:line="226" w:lineRule="auto"/>
        <w:rPr>
          <w:sz w:val="20"/>
          <w:szCs w:val="20"/>
          <w:color w:val="auto"/>
        </w:rPr>
      </w:pPr>
      <w:r>
        <w:rPr>
          <w:rFonts w:ascii="Arial" w:cs="Arial" w:eastAsia="Arial" w:hAnsi="Arial"/>
          <w:sz w:val="18"/>
          <w:szCs w:val="18"/>
          <w:color w:val="auto"/>
        </w:rPr>
        <w:t>the two-class method is lower than the diluted earnings per share computed under the treasury stock method, resulting in the presentation of the lower amount in diluted earnings per share. The computation of the earnings per share under the two-class method excludes the income</w:t>
      </w:r>
    </w:p>
    <w:p>
      <w:pPr>
        <w:spacing w:after="0" w:line="2"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attributable to the unvested restricted stock awards from the numerator and excludes the dilutive impact of those underlying shares from the denominator.</w:t>
      </w:r>
    </w:p>
    <w:p>
      <w:pPr>
        <w:spacing w:after="0" w:line="200" w:lineRule="exact"/>
        <w:rPr>
          <w:sz w:val="20"/>
          <w:szCs w:val="20"/>
          <w:color w:val="auto"/>
        </w:rPr>
      </w:pPr>
    </w:p>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31" w:right="399" w:bottom="1440" w:gutter="0" w:footer="0" w:header="0"/>
        </w:sectPr>
      </w:pPr>
    </w:p>
    <w:bookmarkStart w:id="23" w:name="page24"/>
    <w:bookmarkEnd w:id="23"/>
    <w:p>
      <w:pPr>
        <w:ind w:right="340"/>
        <w:spacing w:after="0" w:line="271" w:lineRule="auto"/>
        <w:rPr>
          <w:sz w:val="20"/>
          <w:szCs w:val="20"/>
          <w:color w:val="auto"/>
        </w:rPr>
      </w:pPr>
      <w:r>
        <w:rPr>
          <w:rFonts w:ascii="Arial" w:cs="Arial" w:eastAsia="Arial" w:hAnsi="Arial"/>
          <w:sz w:val="18"/>
          <w:szCs w:val="18"/>
          <w:color w:val="auto"/>
        </w:rPr>
        <w:t>The following reflects the Company’s net income and share data used in the basic and diluted earnings per share computations using the two-class method: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80" w:type="dxa"/>
            <w:vAlign w:val="bottom"/>
            <w:gridSpan w:val="3"/>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254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7"/>
        </w:trPr>
        <w:tc>
          <w:tcPr>
            <w:tcW w:w="54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54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per share amounts)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2026</w:t>
            </w:r>
          </w:p>
        </w:tc>
        <w:tc>
          <w:tcPr>
            <w:tcW w:w="5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color w:val="auto"/>
              </w:rPr>
              <w:t>2025</w:t>
            </w: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2026</w:t>
            </w:r>
          </w:p>
        </w:tc>
        <w:tc>
          <w:tcPr>
            <w:tcW w:w="5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2025</w:t>
            </w:r>
          </w:p>
        </w:tc>
        <w:tc>
          <w:tcPr>
            <w:tcW w:w="0" w:type="dxa"/>
            <w:vAlign w:val="bottom"/>
          </w:tcPr>
          <w:p>
            <w:pPr>
              <w:spacing w:after="0"/>
              <w:rPr>
                <w:sz w:val="1"/>
                <w:szCs w:val="1"/>
                <w:color w:val="auto"/>
              </w:rPr>
            </w:pPr>
          </w:p>
        </w:tc>
      </w:tr>
      <w:tr>
        <w:trPr>
          <w:trHeight w:val="235"/>
        </w:trPr>
        <w:tc>
          <w:tcPr>
            <w:tcW w:w="5420" w:type="dxa"/>
            <w:vAlign w:val="bottom"/>
          </w:tcPr>
          <w:p>
            <w:pPr>
              <w:ind w:left="20"/>
              <w:spacing w:after="0"/>
              <w:rPr>
                <w:sz w:val="20"/>
                <w:szCs w:val="20"/>
                <w:color w:val="auto"/>
              </w:rPr>
            </w:pPr>
            <w:r>
              <w:rPr>
                <w:rFonts w:ascii="Arial" w:cs="Arial" w:eastAsia="Arial" w:hAnsi="Arial"/>
                <w:sz w:val="16"/>
                <w:szCs w:val="16"/>
                <w:b w:val="1"/>
                <w:bCs w:val="1"/>
                <w:color w:val="auto"/>
              </w:rPr>
              <w:t>Numerator:</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420" w:type="dxa"/>
            <w:vAlign w:val="bottom"/>
          </w:tcPr>
          <w:p>
            <w:pPr>
              <w:ind w:left="140"/>
              <w:spacing w:after="0"/>
              <w:rPr>
                <w:sz w:val="20"/>
                <w:szCs w:val="20"/>
                <w:color w:val="auto"/>
              </w:rPr>
            </w:pPr>
            <w:r>
              <w:rPr>
                <w:rFonts w:ascii="Arial" w:cs="Arial" w:eastAsia="Arial" w:hAnsi="Arial"/>
                <w:sz w:val="16"/>
                <w:szCs w:val="16"/>
                <w:b w:val="1"/>
                <w:bCs w:val="1"/>
                <w:color w:val="auto"/>
              </w:rPr>
              <w:t>Numerator for basic earnings per share:</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5420" w:type="dxa"/>
            <w:vAlign w:val="bottom"/>
          </w:tcPr>
          <w:p>
            <w:pPr>
              <w:ind w:left="220"/>
              <w:spacing w:after="0"/>
              <w:rPr>
                <w:sz w:val="20"/>
                <w:szCs w:val="20"/>
                <w:color w:val="auto"/>
              </w:rPr>
            </w:pPr>
            <w:r>
              <w:rPr>
                <w:rFonts w:ascii="Arial" w:cs="Arial" w:eastAsia="Arial" w:hAnsi="Arial"/>
                <w:sz w:val="16"/>
                <w:szCs w:val="16"/>
                <w:color w:val="auto"/>
              </w:rPr>
              <w:t>Net income attributable to Graham Holdings Company common</w:t>
            </w:r>
          </w:p>
        </w:tc>
        <w:tc>
          <w:tcPr>
            <w:tcW w:w="32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00" w:type="dxa"/>
            <w:vAlign w:val="bottom"/>
            <w:vMerge w:val="restart"/>
          </w:tcPr>
          <w:p>
            <w:pPr>
              <w:jc w:val="right"/>
              <w:ind w:right="181"/>
              <w:spacing w:after="0"/>
              <w:rPr>
                <w:sz w:val="20"/>
                <w:szCs w:val="20"/>
                <w:color w:val="auto"/>
              </w:rPr>
            </w:pPr>
            <w:r>
              <w:rPr>
                <w:rFonts w:ascii="Arial" w:cs="Arial" w:eastAsia="Arial" w:hAnsi="Arial"/>
                <w:sz w:val="16"/>
                <w:szCs w:val="16"/>
                <w:b w:val="1"/>
                <w:bCs w:val="1"/>
                <w:color w:val="auto"/>
              </w:rPr>
              <w:t>75,110</w:t>
            </w:r>
          </w:p>
        </w:tc>
        <w:tc>
          <w:tcPr>
            <w:tcW w:w="540" w:type="dxa"/>
            <w:vAlign w:val="bottom"/>
            <w:vMerge w:val="restart"/>
          </w:tcPr>
          <w:p>
            <w:pPr>
              <w:jc w:val="right"/>
              <w:ind w:right="299"/>
              <w:spacing w:after="0"/>
              <w:rPr>
                <w:sz w:val="20"/>
                <w:szCs w:val="20"/>
                <w:color w:val="auto"/>
              </w:rPr>
            </w:pPr>
            <w:r>
              <w:rPr>
                <w:rFonts w:ascii="Arial" w:cs="Arial" w:eastAsia="Arial" w:hAnsi="Arial"/>
                <w:sz w:val="16"/>
                <w:szCs w:val="16"/>
                <w:color w:val="auto"/>
              </w:rPr>
              <w:t>$</w:t>
            </w:r>
          </w:p>
        </w:tc>
        <w:tc>
          <w:tcPr>
            <w:tcW w:w="940" w:type="dxa"/>
            <w:vAlign w:val="bottom"/>
            <w:vMerge w:val="restart"/>
          </w:tcPr>
          <w:p>
            <w:pPr>
              <w:jc w:val="right"/>
              <w:ind w:right="180"/>
              <w:spacing w:after="0"/>
              <w:rPr>
                <w:sz w:val="20"/>
                <w:szCs w:val="20"/>
                <w:color w:val="auto"/>
              </w:rPr>
            </w:pPr>
            <w:r>
              <w:rPr>
                <w:rFonts w:ascii="Arial" w:cs="Arial" w:eastAsia="Arial" w:hAnsi="Arial"/>
                <w:sz w:val="16"/>
                <w:szCs w:val="16"/>
                <w:color w:val="auto"/>
              </w:rPr>
              <w:t>122,925</w:t>
            </w:r>
          </w:p>
        </w:tc>
        <w:tc>
          <w:tcPr>
            <w:tcW w:w="38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rPr>
              <w:t>$</w:t>
            </w:r>
          </w:p>
        </w:tc>
        <w:tc>
          <w:tcPr>
            <w:tcW w:w="1100" w:type="dxa"/>
            <w:vAlign w:val="bottom"/>
            <w:vMerge w:val="restart"/>
          </w:tcPr>
          <w:p>
            <w:pPr>
              <w:jc w:val="right"/>
              <w:ind w:right="181"/>
              <w:spacing w:after="0"/>
              <w:rPr>
                <w:sz w:val="20"/>
                <w:szCs w:val="20"/>
                <w:color w:val="auto"/>
              </w:rPr>
            </w:pPr>
            <w:r>
              <w:rPr>
                <w:rFonts w:ascii="Arial" w:cs="Arial" w:eastAsia="Arial" w:hAnsi="Arial"/>
                <w:sz w:val="16"/>
                <w:szCs w:val="16"/>
                <w:b w:val="1"/>
                <w:bCs w:val="1"/>
                <w:color w:val="auto"/>
              </w:rPr>
              <w:t>385,319</w:t>
            </w:r>
          </w:p>
        </w:tc>
        <w:tc>
          <w:tcPr>
            <w:tcW w:w="540" w:type="dxa"/>
            <w:vAlign w:val="bottom"/>
            <w:vMerge w:val="restart"/>
          </w:tcPr>
          <w:p>
            <w:pPr>
              <w:jc w:val="right"/>
              <w:ind w:right="279"/>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ind w:right="120"/>
              <w:spacing w:after="0"/>
              <w:rPr>
                <w:sz w:val="20"/>
                <w:szCs w:val="20"/>
                <w:color w:val="auto"/>
              </w:rPr>
            </w:pPr>
            <w:r>
              <w:rPr>
                <w:rFonts w:ascii="Arial" w:cs="Arial" w:eastAsia="Arial" w:hAnsi="Arial"/>
                <w:sz w:val="16"/>
                <w:szCs w:val="16"/>
                <w:color w:val="auto"/>
              </w:rPr>
              <w:t>183,568</w:t>
            </w:r>
          </w:p>
        </w:tc>
        <w:tc>
          <w:tcPr>
            <w:tcW w:w="0" w:type="dxa"/>
            <w:vAlign w:val="bottom"/>
          </w:tcPr>
          <w:p>
            <w:pPr>
              <w:spacing w:after="0"/>
              <w:rPr>
                <w:sz w:val="1"/>
                <w:szCs w:val="1"/>
                <w:color w:val="auto"/>
              </w:rPr>
            </w:pPr>
          </w:p>
        </w:tc>
      </w:tr>
      <w:tr>
        <w:trPr>
          <w:trHeight w:val="215"/>
        </w:trPr>
        <w:tc>
          <w:tcPr>
            <w:tcW w:w="5420" w:type="dxa"/>
            <w:vAlign w:val="bottom"/>
          </w:tcPr>
          <w:p>
            <w:pPr>
              <w:ind w:left="400"/>
              <w:spacing w:after="0"/>
              <w:rPr>
                <w:sz w:val="20"/>
                <w:szCs w:val="20"/>
                <w:color w:val="auto"/>
              </w:rPr>
            </w:pPr>
            <w:r>
              <w:rPr>
                <w:rFonts w:ascii="Arial" w:cs="Arial" w:eastAsia="Arial" w:hAnsi="Arial"/>
                <w:sz w:val="16"/>
                <w:szCs w:val="16"/>
                <w:color w:val="auto"/>
              </w:rPr>
              <w:t>stockholders</w:t>
            </w:r>
          </w:p>
        </w:tc>
        <w:tc>
          <w:tcPr>
            <w:tcW w:w="32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38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420" w:type="dxa"/>
            <w:vAlign w:val="bottom"/>
          </w:tcPr>
          <w:p>
            <w:pPr>
              <w:ind w:left="220"/>
              <w:spacing w:after="0"/>
              <w:rPr>
                <w:sz w:val="20"/>
                <w:szCs w:val="20"/>
                <w:color w:val="auto"/>
              </w:rPr>
            </w:pPr>
            <w:r>
              <w:rPr>
                <w:rFonts w:ascii="Arial" w:cs="Arial" w:eastAsia="Arial" w:hAnsi="Arial"/>
                <w:sz w:val="16"/>
                <w:szCs w:val="16"/>
                <w:color w:val="auto"/>
              </w:rPr>
              <w:t>Less: Dividends paid-common stock outstanding and unvested</w:t>
            </w:r>
          </w:p>
        </w:tc>
        <w:tc>
          <w:tcPr>
            <w:tcW w:w="320" w:type="dxa"/>
            <w:vAlign w:val="bottom"/>
          </w:tcPr>
          <w:p>
            <w:pPr>
              <w:spacing w:after="0"/>
              <w:rPr>
                <w:sz w:val="17"/>
                <w:szCs w:val="17"/>
                <w:color w:val="auto"/>
              </w:rPr>
            </w:pPr>
          </w:p>
        </w:tc>
        <w:tc>
          <w:tcPr>
            <w:tcW w:w="1100" w:type="dxa"/>
            <w:vAlign w:val="bottom"/>
            <w:vMerge w:val="restart"/>
          </w:tcPr>
          <w:p>
            <w:pPr>
              <w:ind w:left="360"/>
              <w:spacing w:after="0"/>
              <w:rPr>
                <w:sz w:val="20"/>
                <w:szCs w:val="20"/>
                <w:color w:val="auto"/>
              </w:rPr>
            </w:pPr>
            <w:r>
              <w:rPr>
                <w:rFonts w:ascii="Arial" w:cs="Arial" w:eastAsia="Arial" w:hAnsi="Arial"/>
                <w:sz w:val="16"/>
                <w:szCs w:val="16"/>
                <w:b w:val="1"/>
                <w:bCs w:val="1"/>
                <w:color w:val="auto"/>
              </w:rPr>
              <w:t>(7,803)</w:t>
            </w:r>
          </w:p>
        </w:tc>
        <w:tc>
          <w:tcPr>
            <w:tcW w:w="540" w:type="dxa"/>
            <w:vAlign w:val="bottom"/>
          </w:tcPr>
          <w:p>
            <w:pPr>
              <w:spacing w:after="0"/>
              <w:rPr>
                <w:sz w:val="17"/>
                <w:szCs w:val="17"/>
                <w:color w:val="auto"/>
              </w:rPr>
            </w:pPr>
          </w:p>
        </w:tc>
        <w:tc>
          <w:tcPr>
            <w:tcW w:w="940" w:type="dxa"/>
            <w:vAlign w:val="bottom"/>
            <w:vMerge w:val="restart"/>
          </w:tcPr>
          <w:p>
            <w:pPr>
              <w:jc w:val="right"/>
              <w:ind w:right="140"/>
              <w:spacing w:after="0"/>
              <w:rPr>
                <w:sz w:val="20"/>
                <w:szCs w:val="20"/>
                <w:color w:val="auto"/>
              </w:rPr>
            </w:pPr>
            <w:r>
              <w:rPr>
                <w:rFonts w:ascii="Arial" w:cs="Arial" w:eastAsia="Arial" w:hAnsi="Arial"/>
                <w:sz w:val="16"/>
                <w:szCs w:val="16"/>
                <w:color w:val="auto"/>
              </w:rPr>
              <w:t>(7,852)</w:t>
            </w:r>
          </w:p>
        </w:tc>
        <w:tc>
          <w:tcPr>
            <w:tcW w:w="380" w:type="dxa"/>
            <w:vAlign w:val="bottom"/>
          </w:tcPr>
          <w:p>
            <w:pPr>
              <w:spacing w:after="0"/>
              <w:rPr>
                <w:sz w:val="17"/>
                <w:szCs w:val="17"/>
                <w:color w:val="auto"/>
              </w:rPr>
            </w:pPr>
          </w:p>
        </w:tc>
        <w:tc>
          <w:tcPr>
            <w:tcW w:w="1100" w:type="dxa"/>
            <w:vAlign w:val="bottom"/>
            <w:vMerge w:val="restart"/>
          </w:tcPr>
          <w:p>
            <w:pPr>
              <w:jc w:val="right"/>
              <w:ind w:right="121"/>
              <w:spacing w:after="0"/>
              <w:rPr>
                <w:sz w:val="20"/>
                <w:szCs w:val="20"/>
                <w:color w:val="auto"/>
              </w:rPr>
            </w:pPr>
            <w:r>
              <w:rPr>
                <w:rFonts w:ascii="Arial" w:cs="Arial" w:eastAsia="Arial" w:hAnsi="Arial"/>
                <w:sz w:val="16"/>
                <w:szCs w:val="16"/>
                <w:b w:val="1"/>
                <w:bCs w:val="1"/>
                <w:color w:val="auto"/>
              </w:rPr>
              <w:t>(32,154)</w:t>
            </w:r>
          </w:p>
        </w:tc>
        <w:tc>
          <w:tcPr>
            <w:tcW w:w="540" w:type="dxa"/>
            <w:vAlign w:val="bottom"/>
          </w:tcPr>
          <w:p>
            <w:pPr>
              <w:spacing w:after="0"/>
              <w:rPr>
                <w:sz w:val="17"/>
                <w:szCs w:val="17"/>
                <w:color w:val="auto"/>
              </w:rPr>
            </w:pPr>
          </w:p>
        </w:tc>
        <w:tc>
          <w:tcPr>
            <w:tcW w:w="900" w:type="dxa"/>
            <w:vAlign w:val="bottom"/>
            <w:vMerge w:val="restart"/>
          </w:tcPr>
          <w:p>
            <w:pPr>
              <w:jc w:val="right"/>
              <w:ind w:right="80"/>
              <w:spacing w:after="0"/>
              <w:rPr>
                <w:sz w:val="20"/>
                <w:szCs w:val="20"/>
                <w:color w:val="auto"/>
              </w:rPr>
            </w:pPr>
            <w:r>
              <w:rPr>
                <w:rFonts w:ascii="Arial" w:cs="Arial" w:eastAsia="Arial" w:hAnsi="Arial"/>
                <w:sz w:val="16"/>
                <w:szCs w:val="16"/>
                <w:color w:val="auto"/>
              </w:rPr>
              <w:t>(31,360)</w:t>
            </w:r>
          </w:p>
        </w:tc>
        <w:tc>
          <w:tcPr>
            <w:tcW w:w="0" w:type="dxa"/>
            <w:vAlign w:val="bottom"/>
          </w:tcPr>
          <w:p>
            <w:pPr>
              <w:spacing w:after="0"/>
              <w:rPr>
                <w:sz w:val="1"/>
                <w:szCs w:val="1"/>
                <w:color w:val="auto"/>
              </w:rPr>
            </w:pPr>
          </w:p>
        </w:tc>
      </w:tr>
      <w:tr>
        <w:trPr>
          <w:trHeight w:val="216"/>
        </w:trPr>
        <w:tc>
          <w:tcPr>
            <w:tcW w:w="5420" w:type="dxa"/>
            <w:vAlign w:val="bottom"/>
          </w:tcPr>
          <w:p>
            <w:pPr>
              <w:ind w:left="400"/>
              <w:spacing w:after="0"/>
              <w:rPr>
                <w:sz w:val="20"/>
                <w:szCs w:val="20"/>
                <w:color w:val="auto"/>
              </w:rPr>
            </w:pPr>
            <w:r>
              <w:rPr>
                <w:rFonts w:ascii="Arial" w:cs="Arial" w:eastAsia="Arial" w:hAnsi="Arial"/>
                <w:sz w:val="16"/>
                <w:szCs w:val="16"/>
                <w:color w:val="auto"/>
              </w:rPr>
              <w:t>restricted shares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20" w:type="dxa"/>
            <w:vAlign w:val="bottom"/>
          </w:tcPr>
          <w:p>
            <w:pPr>
              <w:ind w:left="220"/>
              <w:spacing w:after="0"/>
              <w:rPr>
                <w:sz w:val="20"/>
                <w:szCs w:val="20"/>
                <w:color w:val="auto"/>
              </w:rPr>
            </w:pPr>
            <w:r>
              <w:rPr>
                <w:rFonts w:ascii="Arial" w:cs="Arial" w:eastAsia="Arial" w:hAnsi="Arial"/>
                <w:sz w:val="16"/>
                <w:szCs w:val="16"/>
                <w:color w:val="auto"/>
              </w:rPr>
              <w:t>Undistributed earnings</w:t>
            </w:r>
          </w:p>
        </w:tc>
        <w:tc>
          <w:tcPr>
            <w:tcW w:w="320" w:type="dxa"/>
            <w:vAlign w:val="bottom"/>
          </w:tcPr>
          <w:p>
            <w:pPr>
              <w:spacing w:after="0"/>
              <w:rPr>
                <w:sz w:val="20"/>
                <w:szCs w:val="20"/>
                <w:color w:val="auto"/>
              </w:rPr>
            </w:pPr>
          </w:p>
        </w:tc>
        <w:tc>
          <w:tcPr>
            <w:tcW w:w="1100" w:type="dxa"/>
            <w:vAlign w:val="bottom"/>
          </w:tcPr>
          <w:p>
            <w:pPr>
              <w:jc w:val="right"/>
              <w:ind w:right="181"/>
              <w:spacing w:after="0"/>
              <w:rPr>
                <w:sz w:val="20"/>
                <w:szCs w:val="20"/>
                <w:color w:val="auto"/>
              </w:rPr>
            </w:pPr>
            <w:r>
              <w:rPr>
                <w:rFonts w:ascii="Arial" w:cs="Arial" w:eastAsia="Arial" w:hAnsi="Arial"/>
                <w:sz w:val="16"/>
                <w:szCs w:val="16"/>
                <w:b w:val="1"/>
                <w:bCs w:val="1"/>
                <w:color w:val="auto"/>
              </w:rPr>
              <w:t>67,307</w:t>
            </w:r>
          </w:p>
        </w:tc>
        <w:tc>
          <w:tcPr>
            <w:tcW w:w="540" w:type="dxa"/>
            <w:vAlign w:val="bottom"/>
          </w:tcPr>
          <w:p>
            <w:pPr>
              <w:spacing w:after="0"/>
              <w:rPr>
                <w:sz w:val="20"/>
                <w:szCs w:val="20"/>
                <w:color w:val="auto"/>
              </w:rPr>
            </w:pPr>
          </w:p>
        </w:tc>
        <w:tc>
          <w:tcPr>
            <w:tcW w:w="940" w:type="dxa"/>
            <w:vAlign w:val="bottom"/>
          </w:tcPr>
          <w:p>
            <w:pPr>
              <w:jc w:val="right"/>
              <w:ind w:right="180"/>
              <w:spacing w:after="0"/>
              <w:rPr>
                <w:sz w:val="20"/>
                <w:szCs w:val="20"/>
                <w:color w:val="auto"/>
              </w:rPr>
            </w:pPr>
            <w:r>
              <w:rPr>
                <w:rFonts w:ascii="Arial" w:cs="Arial" w:eastAsia="Arial" w:hAnsi="Arial"/>
                <w:sz w:val="16"/>
                <w:szCs w:val="16"/>
                <w:color w:val="auto"/>
              </w:rPr>
              <w:t>115,073</w:t>
            </w:r>
          </w:p>
        </w:tc>
        <w:tc>
          <w:tcPr>
            <w:tcW w:w="380" w:type="dxa"/>
            <w:vAlign w:val="bottom"/>
          </w:tcPr>
          <w:p>
            <w:pPr>
              <w:spacing w:after="0"/>
              <w:rPr>
                <w:sz w:val="20"/>
                <w:szCs w:val="20"/>
                <w:color w:val="auto"/>
              </w:rPr>
            </w:pPr>
          </w:p>
        </w:tc>
        <w:tc>
          <w:tcPr>
            <w:tcW w:w="1100" w:type="dxa"/>
            <w:vAlign w:val="bottom"/>
          </w:tcPr>
          <w:p>
            <w:pPr>
              <w:jc w:val="right"/>
              <w:ind w:right="181"/>
              <w:spacing w:after="0"/>
              <w:rPr>
                <w:sz w:val="20"/>
                <w:szCs w:val="20"/>
                <w:color w:val="auto"/>
              </w:rPr>
            </w:pPr>
            <w:r>
              <w:rPr>
                <w:rFonts w:ascii="Arial" w:cs="Arial" w:eastAsia="Arial" w:hAnsi="Arial"/>
                <w:sz w:val="16"/>
                <w:szCs w:val="16"/>
                <w:b w:val="1"/>
                <w:bCs w:val="1"/>
                <w:color w:val="auto"/>
              </w:rPr>
              <w:t>353,165</w:t>
            </w:r>
          </w:p>
        </w:tc>
        <w:tc>
          <w:tcPr>
            <w:tcW w:w="540" w:type="dxa"/>
            <w:vAlign w:val="bottom"/>
          </w:tcPr>
          <w:p>
            <w:pPr>
              <w:spacing w:after="0"/>
              <w:rPr>
                <w:sz w:val="20"/>
                <w:szCs w:val="20"/>
                <w:color w:val="auto"/>
              </w:rPr>
            </w:pPr>
          </w:p>
        </w:tc>
        <w:tc>
          <w:tcPr>
            <w:tcW w:w="900" w:type="dxa"/>
            <w:vAlign w:val="bottom"/>
          </w:tcPr>
          <w:p>
            <w:pPr>
              <w:jc w:val="right"/>
              <w:ind w:right="120"/>
              <w:spacing w:after="0"/>
              <w:rPr>
                <w:sz w:val="20"/>
                <w:szCs w:val="20"/>
                <w:color w:val="auto"/>
              </w:rPr>
            </w:pPr>
            <w:r>
              <w:rPr>
                <w:rFonts w:ascii="Arial" w:cs="Arial" w:eastAsia="Arial" w:hAnsi="Arial"/>
                <w:sz w:val="16"/>
                <w:szCs w:val="16"/>
                <w:color w:val="auto"/>
              </w:rPr>
              <w:t>152,208</w:t>
            </w:r>
          </w:p>
        </w:tc>
        <w:tc>
          <w:tcPr>
            <w:tcW w:w="0" w:type="dxa"/>
            <w:vAlign w:val="bottom"/>
          </w:tcPr>
          <w:p>
            <w:pPr>
              <w:spacing w:after="0"/>
              <w:rPr>
                <w:sz w:val="1"/>
                <w:szCs w:val="1"/>
                <w:color w:val="auto"/>
              </w:rPr>
            </w:pPr>
          </w:p>
        </w:tc>
      </w:tr>
      <w:tr>
        <w:trPr>
          <w:trHeight w:val="250"/>
        </w:trPr>
        <w:tc>
          <w:tcPr>
            <w:tcW w:w="5420" w:type="dxa"/>
            <w:vAlign w:val="bottom"/>
          </w:tcPr>
          <w:p>
            <w:pPr>
              <w:ind w:left="220"/>
              <w:spacing w:after="0"/>
              <w:rPr>
                <w:sz w:val="20"/>
                <w:szCs w:val="20"/>
                <w:color w:val="auto"/>
              </w:rPr>
            </w:pPr>
            <w:r>
              <w:rPr>
                <w:rFonts w:ascii="Arial" w:cs="Arial" w:eastAsia="Arial" w:hAnsi="Arial"/>
                <w:sz w:val="16"/>
                <w:szCs w:val="16"/>
                <w:color w:val="auto"/>
              </w:rPr>
              <w:t>Percent allocated to common stockholders</w:t>
            </w: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99.43 %</w:t>
            </w:r>
          </w:p>
        </w:tc>
        <w:tc>
          <w:tcPr>
            <w:tcW w:w="5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99.39 %</w:t>
            </w:r>
          </w:p>
        </w:tc>
        <w:tc>
          <w:tcPr>
            <w:tcW w:w="3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99.43 %</w:t>
            </w:r>
          </w:p>
        </w:tc>
        <w:tc>
          <w:tcPr>
            <w:tcW w:w="5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99.39 %</w:t>
            </w:r>
          </w:p>
        </w:tc>
        <w:tc>
          <w:tcPr>
            <w:tcW w:w="0" w:type="dxa"/>
            <w:vAlign w:val="bottom"/>
          </w:tcPr>
          <w:p>
            <w:pPr>
              <w:spacing w:after="0"/>
              <w:rPr>
                <w:sz w:val="1"/>
                <w:szCs w:val="1"/>
                <w:color w:val="auto"/>
              </w:rPr>
            </w:pPr>
          </w:p>
        </w:tc>
      </w:tr>
      <w:tr>
        <w:trPr>
          <w:trHeight w:val="230"/>
        </w:trPr>
        <w:tc>
          <w:tcPr>
            <w:tcW w:w="5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181"/>
              <w:spacing w:after="0"/>
              <w:rPr>
                <w:sz w:val="20"/>
                <w:szCs w:val="20"/>
                <w:color w:val="auto"/>
              </w:rPr>
            </w:pPr>
            <w:r>
              <w:rPr>
                <w:rFonts w:ascii="Arial" w:cs="Arial" w:eastAsia="Arial" w:hAnsi="Arial"/>
                <w:sz w:val="16"/>
                <w:szCs w:val="16"/>
                <w:b w:val="1"/>
                <w:bCs w:val="1"/>
                <w:color w:val="auto"/>
              </w:rPr>
              <w:t>66,921</w:t>
            </w:r>
          </w:p>
        </w:tc>
        <w:tc>
          <w:tcPr>
            <w:tcW w:w="540" w:type="dxa"/>
            <w:vAlign w:val="bottom"/>
          </w:tcPr>
          <w:p>
            <w:pPr>
              <w:spacing w:after="0"/>
              <w:rPr>
                <w:sz w:val="20"/>
                <w:szCs w:val="20"/>
                <w:color w:val="auto"/>
              </w:rPr>
            </w:pPr>
          </w:p>
        </w:tc>
        <w:tc>
          <w:tcPr>
            <w:tcW w:w="940" w:type="dxa"/>
            <w:vAlign w:val="bottom"/>
          </w:tcPr>
          <w:p>
            <w:pPr>
              <w:jc w:val="right"/>
              <w:ind w:right="180"/>
              <w:spacing w:after="0"/>
              <w:rPr>
                <w:sz w:val="20"/>
                <w:szCs w:val="20"/>
                <w:color w:val="auto"/>
              </w:rPr>
            </w:pPr>
            <w:r>
              <w:rPr>
                <w:rFonts w:ascii="Arial" w:cs="Arial" w:eastAsia="Arial" w:hAnsi="Arial"/>
                <w:sz w:val="16"/>
                <w:szCs w:val="16"/>
                <w:color w:val="auto"/>
              </w:rPr>
              <w:t>114,372</w:t>
            </w:r>
          </w:p>
        </w:tc>
        <w:tc>
          <w:tcPr>
            <w:tcW w:w="380" w:type="dxa"/>
            <w:vAlign w:val="bottom"/>
          </w:tcPr>
          <w:p>
            <w:pPr>
              <w:spacing w:after="0"/>
              <w:rPr>
                <w:sz w:val="20"/>
                <w:szCs w:val="20"/>
                <w:color w:val="auto"/>
              </w:rPr>
            </w:pPr>
          </w:p>
        </w:tc>
        <w:tc>
          <w:tcPr>
            <w:tcW w:w="1100" w:type="dxa"/>
            <w:vAlign w:val="bottom"/>
          </w:tcPr>
          <w:p>
            <w:pPr>
              <w:jc w:val="right"/>
              <w:ind w:right="181"/>
              <w:spacing w:after="0"/>
              <w:rPr>
                <w:sz w:val="20"/>
                <w:szCs w:val="20"/>
                <w:color w:val="auto"/>
              </w:rPr>
            </w:pPr>
            <w:r>
              <w:rPr>
                <w:rFonts w:ascii="Arial" w:cs="Arial" w:eastAsia="Arial" w:hAnsi="Arial"/>
                <w:sz w:val="16"/>
                <w:szCs w:val="16"/>
                <w:b w:val="1"/>
                <w:bCs w:val="1"/>
                <w:color w:val="auto"/>
              </w:rPr>
              <w:t>351,139</w:t>
            </w:r>
          </w:p>
        </w:tc>
        <w:tc>
          <w:tcPr>
            <w:tcW w:w="540" w:type="dxa"/>
            <w:vAlign w:val="bottom"/>
          </w:tcPr>
          <w:p>
            <w:pPr>
              <w:spacing w:after="0"/>
              <w:rPr>
                <w:sz w:val="20"/>
                <w:szCs w:val="20"/>
                <w:color w:val="auto"/>
              </w:rPr>
            </w:pPr>
          </w:p>
        </w:tc>
        <w:tc>
          <w:tcPr>
            <w:tcW w:w="900" w:type="dxa"/>
            <w:vAlign w:val="bottom"/>
          </w:tcPr>
          <w:p>
            <w:pPr>
              <w:jc w:val="right"/>
              <w:ind w:right="120"/>
              <w:spacing w:after="0"/>
              <w:rPr>
                <w:sz w:val="20"/>
                <w:szCs w:val="20"/>
                <w:color w:val="auto"/>
              </w:rPr>
            </w:pPr>
            <w:r>
              <w:rPr>
                <w:rFonts w:ascii="Arial" w:cs="Arial" w:eastAsia="Arial" w:hAnsi="Arial"/>
                <w:sz w:val="16"/>
                <w:szCs w:val="16"/>
                <w:color w:val="auto"/>
              </w:rPr>
              <w:t>151,280</w:t>
            </w:r>
          </w:p>
        </w:tc>
        <w:tc>
          <w:tcPr>
            <w:tcW w:w="0" w:type="dxa"/>
            <w:vAlign w:val="bottom"/>
          </w:tcPr>
          <w:p>
            <w:pPr>
              <w:spacing w:after="0"/>
              <w:rPr>
                <w:sz w:val="1"/>
                <w:szCs w:val="1"/>
                <w:color w:val="auto"/>
              </w:rPr>
            </w:pPr>
          </w:p>
        </w:tc>
      </w:tr>
      <w:tr>
        <w:trPr>
          <w:trHeight w:val="247"/>
        </w:trPr>
        <w:tc>
          <w:tcPr>
            <w:tcW w:w="5420" w:type="dxa"/>
            <w:vAlign w:val="bottom"/>
          </w:tcPr>
          <w:p>
            <w:pPr>
              <w:ind w:left="220"/>
              <w:spacing w:after="0"/>
              <w:rPr>
                <w:sz w:val="20"/>
                <w:szCs w:val="20"/>
                <w:color w:val="auto"/>
              </w:rPr>
            </w:pPr>
            <w:r>
              <w:rPr>
                <w:rFonts w:ascii="Arial" w:cs="Arial" w:eastAsia="Arial" w:hAnsi="Arial"/>
                <w:sz w:val="16"/>
                <w:szCs w:val="16"/>
                <w:color w:val="auto"/>
              </w:rPr>
              <w:t>Add: Dividends paid-common stock outstanding</w:t>
            </w: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7,758</w:t>
            </w:r>
          </w:p>
        </w:tc>
        <w:tc>
          <w:tcPr>
            <w:tcW w:w="5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7,803</w:t>
            </w:r>
          </w:p>
        </w:tc>
        <w:tc>
          <w:tcPr>
            <w:tcW w:w="3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31,974</w:t>
            </w:r>
          </w:p>
        </w:tc>
        <w:tc>
          <w:tcPr>
            <w:tcW w:w="5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31,168</w:t>
            </w:r>
          </w:p>
        </w:tc>
        <w:tc>
          <w:tcPr>
            <w:tcW w:w="0" w:type="dxa"/>
            <w:vAlign w:val="bottom"/>
          </w:tcPr>
          <w:p>
            <w:pPr>
              <w:spacing w:after="0"/>
              <w:rPr>
                <w:sz w:val="1"/>
                <w:szCs w:val="1"/>
                <w:color w:val="auto"/>
              </w:rPr>
            </w:pPr>
          </w:p>
        </w:tc>
      </w:tr>
      <w:tr>
        <w:trPr>
          <w:trHeight w:val="240"/>
        </w:trPr>
        <w:tc>
          <w:tcPr>
            <w:tcW w:w="5420" w:type="dxa"/>
            <w:vAlign w:val="bottom"/>
          </w:tcPr>
          <w:p>
            <w:pPr>
              <w:ind w:left="220"/>
              <w:spacing w:after="0"/>
              <w:rPr>
                <w:sz w:val="20"/>
                <w:szCs w:val="20"/>
                <w:color w:val="auto"/>
              </w:rPr>
            </w:pPr>
            <w:r>
              <w:rPr>
                <w:rFonts w:ascii="Arial" w:cs="Arial" w:eastAsia="Arial" w:hAnsi="Arial"/>
                <w:sz w:val="16"/>
                <w:szCs w:val="16"/>
                <w:b w:val="1"/>
                <w:bCs w:val="1"/>
                <w:color w:val="auto"/>
              </w:rPr>
              <w:t>Numerator for basic earnings per share</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74,679</w:t>
            </w:r>
          </w:p>
        </w:tc>
        <w:tc>
          <w:tcPr>
            <w:tcW w:w="5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122,175</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383,113</w:t>
            </w:r>
          </w:p>
        </w:tc>
        <w:tc>
          <w:tcPr>
            <w:tcW w:w="5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182,448</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3"/>
        </w:trPr>
        <w:tc>
          <w:tcPr>
            <w:tcW w:w="5420" w:type="dxa"/>
            <w:vAlign w:val="bottom"/>
          </w:tcPr>
          <w:p>
            <w:pPr>
              <w:ind w:left="220"/>
              <w:spacing w:after="0"/>
              <w:rPr>
                <w:sz w:val="20"/>
                <w:szCs w:val="20"/>
                <w:color w:val="auto"/>
              </w:rPr>
            </w:pPr>
            <w:r>
              <w:rPr>
                <w:rFonts w:ascii="Arial" w:cs="Arial" w:eastAsia="Arial" w:hAnsi="Arial"/>
                <w:sz w:val="16"/>
                <w:szCs w:val="16"/>
                <w:color w:val="auto"/>
              </w:rPr>
              <w:t>Add: Additional undistributed earnings due to dilutive stock options</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4</w:t>
            </w:r>
          </w:p>
        </w:tc>
        <w:tc>
          <w:tcPr>
            <w:tcW w:w="5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7</w:t>
            </w: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21</w:t>
            </w:r>
          </w:p>
        </w:tc>
        <w:tc>
          <w:tcPr>
            <w:tcW w:w="5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40"/>
        </w:trPr>
        <w:tc>
          <w:tcPr>
            <w:tcW w:w="5420" w:type="dxa"/>
            <w:vAlign w:val="bottom"/>
          </w:tcPr>
          <w:p>
            <w:pPr>
              <w:ind w:left="140"/>
              <w:spacing w:after="0"/>
              <w:rPr>
                <w:sz w:val="20"/>
                <w:szCs w:val="20"/>
                <w:color w:val="auto"/>
              </w:rPr>
            </w:pPr>
            <w:r>
              <w:rPr>
                <w:rFonts w:ascii="Arial" w:cs="Arial" w:eastAsia="Arial" w:hAnsi="Arial"/>
                <w:sz w:val="16"/>
                <w:szCs w:val="16"/>
                <w:b w:val="1"/>
                <w:bCs w:val="1"/>
                <w:color w:val="auto"/>
              </w:rPr>
              <w:t>Numerator for diluted earnings per share</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74,683</w:t>
            </w:r>
          </w:p>
        </w:tc>
        <w:tc>
          <w:tcPr>
            <w:tcW w:w="5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122,182</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383,134</w:t>
            </w:r>
          </w:p>
        </w:tc>
        <w:tc>
          <w:tcPr>
            <w:tcW w:w="5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182,456</w:t>
            </w:r>
          </w:p>
        </w:tc>
        <w:tc>
          <w:tcPr>
            <w:tcW w:w="0" w:type="dxa"/>
            <w:vAlign w:val="bottom"/>
          </w:tcPr>
          <w:p>
            <w:pPr>
              <w:spacing w:after="0"/>
              <w:rPr>
                <w:sz w:val="1"/>
                <w:szCs w:val="1"/>
                <w:color w:val="auto"/>
              </w:rPr>
            </w:pPr>
          </w:p>
        </w:tc>
      </w:tr>
      <w:tr>
        <w:trPr>
          <w:trHeight w:val="21"/>
        </w:trPr>
        <w:tc>
          <w:tcPr>
            <w:tcW w:w="54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Denominator:</w:t>
            </w: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542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420" w:type="dxa"/>
            <w:vAlign w:val="bottom"/>
          </w:tcPr>
          <w:p>
            <w:pPr>
              <w:ind w:left="140"/>
              <w:spacing w:after="0"/>
              <w:rPr>
                <w:sz w:val="20"/>
                <w:szCs w:val="20"/>
                <w:color w:val="auto"/>
              </w:rPr>
            </w:pPr>
            <w:r>
              <w:rPr>
                <w:rFonts w:ascii="Arial" w:cs="Arial" w:eastAsia="Arial" w:hAnsi="Arial"/>
                <w:sz w:val="16"/>
                <w:szCs w:val="16"/>
                <w:b w:val="1"/>
                <w:bCs w:val="1"/>
                <w:color w:val="auto"/>
              </w:rPr>
              <w:t>Denominator for basic earnings per share:</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20" w:type="dxa"/>
            <w:vAlign w:val="bottom"/>
          </w:tcPr>
          <w:p>
            <w:pPr>
              <w:ind w:left="220"/>
              <w:spacing w:after="0"/>
              <w:rPr>
                <w:sz w:val="20"/>
                <w:szCs w:val="20"/>
                <w:color w:val="auto"/>
              </w:rPr>
            </w:pPr>
            <w:r>
              <w:rPr>
                <w:rFonts w:ascii="Arial" w:cs="Arial" w:eastAsia="Arial" w:hAnsi="Arial"/>
                <w:sz w:val="16"/>
                <w:szCs w:val="16"/>
                <w:color w:val="auto"/>
              </w:rPr>
              <w:t>Weighted average shares outstanding</w:t>
            </w:r>
          </w:p>
        </w:tc>
        <w:tc>
          <w:tcPr>
            <w:tcW w:w="320" w:type="dxa"/>
            <w:vAlign w:val="bottom"/>
          </w:tcPr>
          <w:p>
            <w:pPr>
              <w:spacing w:after="0"/>
              <w:rPr>
                <w:sz w:val="21"/>
                <w:szCs w:val="21"/>
                <w:color w:val="auto"/>
              </w:rPr>
            </w:pPr>
          </w:p>
        </w:tc>
        <w:tc>
          <w:tcPr>
            <w:tcW w:w="1100" w:type="dxa"/>
            <w:vAlign w:val="bottom"/>
          </w:tcPr>
          <w:p>
            <w:pPr>
              <w:jc w:val="right"/>
              <w:ind w:right="181"/>
              <w:spacing w:after="0"/>
              <w:rPr>
                <w:sz w:val="20"/>
                <w:szCs w:val="20"/>
                <w:color w:val="auto"/>
              </w:rPr>
            </w:pPr>
            <w:r>
              <w:rPr>
                <w:rFonts w:ascii="Arial" w:cs="Arial" w:eastAsia="Arial" w:hAnsi="Arial"/>
                <w:sz w:val="16"/>
                <w:szCs w:val="16"/>
                <w:b w:val="1"/>
                <w:bCs w:val="1"/>
                <w:color w:val="auto"/>
              </w:rPr>
              <w:t>4,198</w:t>
            </w:r>
          </w:p>
        </w:tc>
        <w:tc>
          <w:tcPr>
            <w:tcW w:w="540" w:type="dxa"/>
            <w:vAlign w:val="bottom"/>
          </w:tcPr>
          <w:p>
            <w:pPr>
              <w:spacing w:after="0"/>
              <w:rPr>
                <w:sz w:val="21"/>
                <w:szCs w:val="21"/>
                <w:color w:val="auto"/>
              </w:rPr>
            </w:pPr>
          </w:p>
        </w:tc>
        <w:tc>
          <w:tcPr>
            <w:tcW w:w="940" w:type="dxa"/>
            <w:vAlign w:val="bottom"/>
          </w:tcPr>
          <w:p>
            <w:pPr>
              <w:jc w:val="right"/>
              <w:ind w:right="180"/>
              <w:spacing w:after="0"/>
              <w:rPr>
                <w:sz w:val="20"/>
                <w:szCs w:val="20"/>
                <w:color w:val="auto"/>
              </w:rPr>
            </w:pPr>
            <w:r>
              <w:rPr>
                <w:rFonts w:ascii="Arial" w:cs="Arial" w:eastAsia="Arial" w:hAnsi="Arial"/>
                <w:sz w:val="16"/>
                <w:szCs w:val="16"/>
                <w:color w:val="auto"/>
              </w:rPr>
              <w:t>4,334</w:t>
            </w:r>
          </w:p>
        </w:tc>
        <w:tc>
          <w:tcPr>
            <w:tcW w:w="380" w:type="dxa"/>
            <w:vAlign w:val="bottom"/>
          </w:tcPr>
          <w:p>
            <w:pPr>
              <w:spacing w:after="0"/>
              <w:rPr>
                <w:sz w:val="21"/>
                <w:szCs w:val="21"/>
                <w:color w:val="auto"/>
              </w:rPr>
            </w:pPr>
          </w:p>
        </w:tc>
        <w:tc>
          <w:tcPr>
            <w:tcW w:w="1100" w:type="dxa"/>
            <w:vAlign w:val="bottom"/>
          </w:tcPr>
          <w:p>
            <w:pPr>
              <w:jc w:val="right"/>
              <w:ind w:right="181"/>
              <w:spacing w:after="0"/>
              <w:rPr>
                <w:sz w:val="20"/>
                <w:szCs w:val="20"/>
                <w:color w:val="auto"/>
              </w:rPr>
            </w:pPr>
            <w:r>
              <w:rPr>
                <w:rFonts w:ascii="Arial" w:cs="Arial" w:eastAsia="Arial" w:hAnsi="Arial"/>
                <w:sz w:val="16"/>
                <w:szCs w:val="16"/>
                <w:b w:val="1"/>
                <w:bCs w:val="1"/>
                <w:color w:val="auto"/>
              </w:rPr>
              <w:t>4,264</w:t>
            </w:r>
          </w:p>
        </w:tc>
        <w:tc>
          <w:tcPr>
            <w:tcW w:w="540" w:type="dxa"/>
            <w:vAlign w:val="bottom"/>
          </w:tcPr>
          <w:p>
            <w:pPr>
              <w:spacing w:after="0"/>
              <w:rPr>
                <w:sz w:val="21"/>
                <w:szCs w:val="21"/>
                <w:color w:val="auto"/>
              </w:rPr>
            </w:pPr>
          </w:p>
        </w:tc>
        <w:tc>
          <w:tcPr>
            <w:tcW w:w="900" w:type="dxa"/>
            <w:vAlign w:val="bottom"/>
          </w:tcPr>
          <w:p>
            <w:pPr>
              <w:jc w:val="right"/>
              <w:ind w:right="120"/>
              <w:spacing w:after="0"/>
              <w:rPr>
                <w:sz w:val="20"/>
                <w:szCs w:val="20"/>
                <w:color w:val="auto"/>
              </w:rPr>
            </w:pPr>
            <w:r>
              <w:rPr>
                <w:rFonts w:ascii="Arial" w:cs="Arial" w:eastAsia="Arial" w:hAnsi="Arial"/>
                <w:sz w:val="16"/>
                <w:szCs w:val="16"/>
                <w:color w:val="auto"/>
              </w:rPr>
              <w:t>4,329</w:t>
            </w:r>
          </w:p>
        </w:tc>
        <w:tc>
          <w:tcPr>
            <w:tcW w:w="0" w:type="dxa"/>
            <w:vAlign w:val="bottom"/>
          </w:tcPr>
          <w:p>
            <w:pPr>
              <w:spacing w:after="0"/>
              <w:rPr>
                <w:sz w:val="1"/>
                <w:szCs w:val="1"/>
                <w:color w:val="auto"/>
              </w:rPr>
            </w:pPr>
          </w:p>
        </w:tc>
      </w:tr>
      <w:tr>
        <w:trPr>
          <w:trHeight w:val="247"/>
        </w:trPr>
        <w:tc>
          <w:tcPr>
            <w:tcW w:w="5420" w:type="dxa"/>
            <w:vAlign w:val="bottom"/>
          </w:tcPr>
          <w:p>
            <w:pPr>
              <w:ind w:left="220"/>
              <w:spacing w:after="0"/>
              <w:rPr>
                <w:sz w:val="20"/>
                <w:szCs w:val="20"/>
                <w:color w:val="auto"/>
              </w:rPr>
            </w:pPr>
            <w:r>
              <w:rPr>
                <w:rFonts w:ascii="Arial" w:cs="Arial" w:eastAsia="Arial" w:hAnsi="Arial"/>
                <w:sz w:val="16"/>
                <w:szCs w:val="16"/>
                <w:color w:val="auto"/>
              </w:rPr>
              <w:t>Add: Effect of dilutive stock options</w:t>
            </w: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45</w:t>
            </w:r>
          </w:p>
        </w:tc>
        <w:tc>
          <w:tcPr>
            <w:tcW w:w="5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44</w:t>
            </w:r>
          </w:p>
        </w:tc>
        <w:tc>
          <w:tcPr>
            <w:tcW w:w="3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45</w:t>
            </w:r>
          </w:p>
        </w:tc>
        <w:tc>
          <w:tcPr>
            <w:tcW w:w="5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40"/>
        </w:trPr>
        <w:tc>
          <w:tcPr>
            <w:tcW w:w="5420" w:type="dxa"/>
            <w:vAlign w:val="bottom"/>
          </w:tcPr>
          <w:p>
            <w:pPr>
              <w:ind w:left="140"/>
              <w:spacing w:after="0"/>
              <w:rPr>
                <w:sz w:val="20"/>
                <w:szCs w:val="20"/>
                <w:color w:val="auto"/>
              </w:rPr>
            </w:pPr>
            <w:r>
              <w:rPr>
                <w:rFonts w:ascii="Arial" w:cs="Arial" w:eastAsia="Arial" w:hAnsi="Arial"/>
                <w:sz w:val="16"/>
                <w:szCs w:val="16"/>
                <w:b w:val="1"/>
                <w:bCs w:val="1"/>
                <w:color w:val="auto"/>
              </w:rPr>
              <w:t>Denominator for diluted earnings per share</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4,243</w:t>
            </w:r>
          </w:p>
        </w:tc>
        <w:tc>
          <w:tcPr>
            <w:tcW w:w="5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4,378</w:t>
            </w: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4,309</w:t>
            </w:r>
          </w:p>
        </w:tc>
        <w:tc>
          <w:tcPr>
            <w:tcW w:w="5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4,370</w:t>
            </w:r>
          </w:p>
        </w:tc>
        <w:tc>
          <w:tcPr>
            <w:tcW w:w="0" w:type="dxa"/>
            <w:vAlign w:val="bottom"/>
          </w:tcPr>
          <w:p>
            <w:pPr>
              <w:spacing w:after="0"/>
              <w:rPr>
                <w:sz w:val="1"/>
                <w:szCs w:val="1"/>
                <w:color w:val="auto"/>
              </w:rPr>
            </w:pPr>
          </w:p>
        </w:tc>
      </w:tr>
      <w:tr>
        <w:trPr>
          <w:trHeight w:val="20"/>
        </w:trPr>
        <w:tc>
          <w:tcPr>
            <w:tcW w:w="54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Graham Holdings Company Common Stockholders:</w:t>
            </w: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542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5420" w:type="dxa"/>
            <w:vAlign w:val="bottom"/>
          </w:tcPr>
          <w:p>
            <w:pPr>
              <w:ind w:left="140"/>
              <w:spacing w:after="0"/>
              <w:rPr>
                <w:sz w:val="20"/>
                <w:szCs w:val="20"/>
                <w:color w:val="auto"/>
              </w:rPr>
            </w:pPr>
            <w:r>
              <w:rPr>
                <w:rFonts w:ascii="Arial" w:cs="Arial" w:eastAsia="Arial" w:hAnsi="Arial"/>
                <w:sz w:val="16"/>
                <w:szCs w:val="16"/>
                <w:b w:val="1"/>
                <w:bCs w:val="1"/>
                <w:color w:val="auto"/>
              </w:rPr>
              <w:t>Basic earnings per share</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17.79</w:t>
            </w:r>
          </w:p>
        </w:tc>
        <w:tc>
          <w:tcPr>
            <w:tcW w:w="5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28.19</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89.84</w:t>
            </w:r>
          </w:p>
        </w:tc>
        <w:tc>
          <w:tcPr>
            <w:tcW w:w="5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42.15</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5420" w:type="dxa"/>
            <w:vAlign w:val="bottom"/>
          </w:tcPr>
          <w:p>
            <w:pPr>
              <w:ind w:left="140"/>
              <w:spacing w:after="0"/>
              <w:rPr>
                <w:sz w:val="20"/>
                <w:szCs w:val="20"/>
                <w:color w:val="auto"/>
              </w:rPr>
            </w:pPr>
            <w:r>
              <w:rPr>
                <w:rFonts w:ascii="Arial" w:cs="Arial" w:eastAsia="Arial" w:hAnsi="Arial"/>
                <w:sz w:val="16"/>
                <w:szCs w:val="16"/>
                <w:b w:val="1"/>
                <w:bCs w:val="1"/>
                <w:color w:val="auto"/>
              </w:rPr>
              <w:t>Diluted earnings per share</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17.60</w:t>
            </w:r>
          </w:p>
        </w:tc>
        <w:tc>
          <w:tcPr>
            <w:tcW w:w="5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27.91</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88.92</w:t>
            </w:r>
          </w:p>
        </w:tc>
        <w:tc>
          <w:tcPr>
            <w:tcW w:w="5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41.75</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1"/>
          <w:szCs w:val="11"/>
          <w:color w:val="auto"/>
        </w:rPr>
        <w:t>____________</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Earnings per share amounts may not recalculate due to rounding.</w:t>
      </w:r>
    </w:p>
    <w:p>
      <w:pPr>
        <w:spacing w:after="0" w:line="122" w:lineRule="exact"/>
        <w:rPr>
          <w:sz w:val="20"/>
          <w:szCs w:val="20"/>
          <w:color w:val="auto"/>
        </w:rPr>
      </w:pPr>
    </w:p>
    <w:p>
      <w:pPr>
        <w:ind w:right="740"/>
        <w:spacing w:after="0" w:line="271" w:lineRule="auto"/>
        <w:rPr>
          <w:sz w:val="20"/>
          <w:szCs w:val="20"/>
          <w:color w:val="auto"/>
        </w:rPr>
      </w:pPr>
      <w:r>
        <w:rPr>
          <w:rFonts w:ascii="Arial" w:cs="Arial" w:eastAsia="Arial" w:hAnsi="Arial"/>
          <w:sz w:val="18"/>
          <w:szCs w:val="18"/>
          <w:color w:val="auto"/>
        </w:rPr>
        <w:t>Diluted earnings per share excludes the following weighted average potential common shares, as the effect would be antidilutive, as computed under the treasury stock method: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280" w:type="dxa"/>
            <w:vAlign w:val="bottom"/>
            <w:gridSpan w:val="2"/>
          </w:tcPr>
          <w:p>
            <w:pPr>
              <w:jc w:val="right"/>
              <w:ind w:right="185"/>
              <w:spacing w:after="0"/>
              <w:rPr>
                <w:sz w:val="20"/>
                <w:szCs w:val="20"/>
                <w:color w:val="auto"/>
              </w:rPr>
            </w:pPr>
            <w:r>
              <w:rPr>
                <w:rFonts w:ascii="Arial" w:cs="Arial" w:eastAsia="Arial" w:hAnsi="Arial"/>
                <w:sz w:val="14"/>
                <w:szCs w:val="14"/>
                <w:b w:val="1"/>
                <w:bCs w:val="1"/>
                <w:color w:val="auto"/>
              </w:rPr>
              <w:t>Three Months Ended</w:t>
            </w:r>
          </w:p>
        </w:tc>
        <w:tc>
          <w:tcPr>
            <w:tcW w:w="2760" w:type="dxa"/>
            <w:vAlign w:val="bottom"/>
            <w:gridSpan w:val="2"/>
          </w:tcPr>
          <w:p>
            <w:pPr>
              <w:jc w:val="right"/>
              <w:ind w:right="245"/>
              <w:spacing w:after="0"/>
              <w:rPr>
                <w:sz w:val="20"/>
                <w:szCs w:val="20"/>
                <w:color w:val="auto"/>
              </w:rPr>
            </w:pPr>
            <w:r>
              <w:rPr>
                <w:rFonts w:ascii="Arial" w:cs="Arial" w:eastAsia="Arial" w:hAnsi="Arial"/>
                <w:sz w:val="14"/>
                <w:szCs w:val="14"/>
                <w:b w:val="1"/>
                <w:bCs w:val="1"/>
                <w:color w:val="auto"/>
              </w:rPr>
              <w:t>Nine Months Ended</w:t>
            </w:r>
          </w:p>
        </w:tc>
        <w:tc>
          <w:tcPr>
            <w:tcW w:w="360" w:type="dxa"/>
            <w:vAlign w:val="bottom"/>
          </w:tcPr>
          <w:p>
            <w:pPr>
              <w:spacing w:after="0"/>
              <w:rPr>
                <w:sz w:val="14"/>
                <w:szCs w:val="14"/>
                <w:color w:val="auto"/>
              </w:rPr>
            </w:pPr>
          </w:p>
        </w:tc>
      </w:tr>
      <w:tr>
        <w:trPr>
          <w:trHeight w:val="205"/>
        </w:trPr>
        <w:tc>
          <w:tcPr>
            <w:tcW w:w="584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385"/>
              <w:spacing w:after="0"/>
              <w:rPr>
                <w:sz w:val="20"/>
                <w:szCs w:val="20"/>
                <w:color w:val="auto"/>
              </w:rPr>
            </w:pPr>
            <w:r>
              <w:rPr>
                <w:rFonts w:ascii="Arial" w:cs="Arial" w:eastAsia="Arial" w:hAnsi="Arial"/>
                <w:sz w:val="14"/>
                <w:szCs w:val="14"/>
                <w:b w:val="1"/>
                <w:bCs w:val="1"/>
                <w:color w:val="auto"/>
              </w:rPr>
              <w:t>September 30</w:t>
            </w:r>
          </w:p>
        </w:tc>
        <w:tc>
          <w:tcPr>
            <w:tcW w:w="13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405"/>
              <w:spacing w:after="0"/>
              <w:rPr>
                <w:sz w:val="20"/>
                <w:szCs w:val="20"/>
                <w:color w:val="auto"/>
              </w:rPr>
            </w:pPr>
            <w:r>
              <w:rPr>
                <w:rFonts w:ascii="Arial" w:cs="Arial" w:eastAsia="Arial" w:hAnsi="Arial"/>
                <w:sz w:val="14"/>
                <w:szCs w:val="14"/>
                <w:b w:val="1"/>
                <w:bCs w:val="1"/>
                <w:color w:val="auto"/>
              </w:rPr>
              <w:t>September 30</w:t>
            </w:r>
          </w:p>
        </w:tc>
        <w:tc>
          <w:tcPr>
            <w:tcW w:w="360" w:type="dxa"/>
            <w:vAlign w:val="bottom"/>
            <w:tcBorders>
              <w:bottom w:val="single" w:sz="8" w:color="auto"/>
            </w:tcBorders>
          </w:tcPr>
          <w:p>
            <w:pPr>
              <w:spacing w:after="0"/>
              <w:rPr>
                <w:sz w:val="17"/>
                <w:szCs w:val="17"/>
                <w:color w:val="auto"/>
              </w:rPr>
            </w:pPr>
          </w:p>
        </w:tc>
      </w:tr>
      <w:tr>
        <w:trPr>
          <w:trHeight w:val="223"/>
        </w:trPr>
        <w:tc>
          <w:tcPr>
            <w:tcW w:w="58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1440" w:type="dxa"/>
            <w:vAlign w:val="bottom"/>
            <w:tcBorders>
              <w:bottom w:val="single" w:sz="8" w:color="auto"/>
            </w:tcBorders>
          </w:tcPr>
          <w:p>
            <w:pPr>
              <w:jc w:val="right"/>
              <w:ind w:right="25"/>
              <w:spacing w:after="0"/>
              <w:rPr>
                <w:sz w:val="20"/>
                <w:szCs w:val="20"/>
                <w:color w:val="auto"/>
              </w:rPr>
            </w:pPr>
            <w:r>
              <w:rPr>
                <w:rFonts w:ascii="Arial" w:cs="Arial" w:eastAsia="Arial" w:hAnsi="Arial"/>
                <w:sz w:val="14"/>
                <w:szCs w:val="14"/>
                <w:color w:val="auto"/>
              </w:rPr>
              <w:t>2025</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1460" w:type="dxa"/>
            <w:vAlign w:val="bottom"/>
            <w:tcBorders>
              <w:bottom w:val="single" w:sz="8" w:color="auto"/>
            </w:tcBorders>
          </w:tcPr>
          <w:p>
            <w:pPr>
              <w:jc w:val="right"/>
              <w:ind w:right="45"/>
              <w:spacing w:after="0"/>
              <w:rPr>
                <w:sz w:val="20"/>
                <w:szCs w:val="20"/>
                <w:color w:val="auto"/>
              </w:rPr>
            </w:pPr>
            <w:r>
              <w:rPr>
                <w:rFonts w:ascii="Arial" w:cs="Arial" w:eastAsia="Arial" w:hAnsi="Arial"/>
                <w:sz w:val="14"/>
                <w:szCs w:val="14"/>
                <w:color w:val="auto"/>
              </w:rPr>
              <w:t>2025</w:t>
            </w:r>
          </w:p>
        </w:tc>
        <w:tc>
          <w:tcPr>
            <w:tcW w:w="360" w:type="dxa"/>
            <w:vAlign w:val="bottom"/>
            <w:tcBorders>
              <w:bottom w:val="single" w:sz="8" w:color="auto"/>
            </w:tcBorders>
          </w:tcPr>
          <w:p>
            <w:pPr>
              <w:spacing w:after="0"/>
              <w:rPr>
                <w:sz w:val="19"/>
                <w:szCs w:val="19"/>
                <w:color w:val="auto"/>
              </w:rPr>
            </w:pPr>
          </w:p>
        </w:tc>
      </w:tr>
      <w:tr>
        <w:trPr>
          <w:trHeight w:val="235"/>
        </w:trPr>
        <w:tc>
          <w:tcPr>
            <w:tcW w:w="5840" w:type="dxa"/>
            <w:vAlign w:val="bottom"/>
          </w:tcPr>
          <w:p>
            <w:pPr>
              <w:ind w:left="140"/>
              <w:spacing w:after="0"/>
              <w:rPr>
                <w:sz w:val="20"/>
                <w:szCs w:val="20"/>
                <w:color w:val="auto"/>
              </w:rPr>
            </w:pPr>
            <w:r>
              <w:rPr>
                <w:rFonts w:ascii="Arial" w:cs="Arial" w:eastAsia="Arial" w:hAnsi="Arial"/>
                <w:sz w:val="16"/>
                <w:szCs w:val="16"/>
                <w:color w:val="auto"/>
              </w:rPr>
              <w:t>Weighted average restricted stock</w:t>
            </w:r>
          </w:p>
        </w:tc>
        <w:tc>
          <w:tcPr>
            <w:tcW w:w="840" w:type="dxa"/>
            <w:vAlign w:val="bottom"/>
          </w:tcPr>
          <w:p>
            <w:pPr>
              <w:spacing w:after="0"/>
              <w:rPr>
                <w:sz w:val="20"/>
                <w:szCs w:val="20"/>
                <w:color w:val="auto"/>
              </w:rPr>
            </w:pPr>
          </w:p>
        </w:tc>
        <w:tc>
          <w:tcPr>
            <w:tcW w:w="1440" w:type="dxa"/>
            <w:vAlign w:val="bottom"/>
          </w:tcPr>
          <w:p>
            <w:pPr>
              <w:jc w:val="right"/>
              <w:ind w:right="1005"/>
              <w:spacing w:after="0"/>
              <w:rPr>
                <w:sz w:val="20"/>
                <w:szCs w:val="20"/>
                <w:color w:val="auto"/>
              </w:rPr>
            </w:pPr>
            <w:r>
              <w:rPr>
                <w:rFonts w:ascii="Arial" w:cs="Arial" w:eastAsia="Arial" w:hAnsi="Arial"/>
                <w:sz w:val="16"/>
                <w:szCs w:val="16"/>
                <w:b w:val="1"/>
                <w:bCs w:val="1"/>
                <w:color w:val="auto"/>
              </w:rPr>
              <w:t>19</w:t>
            </w:r>
          </w:p>
        </w:tc>
        <w:tc>
          <w:tcPr>
            <w:tcW w:w="1300" w:type="dxa"/>
            <w:vAlign w:val="bottom"/>
          </w:tcPr>
          <w:p>
            <w:pPr>
              <w:jc w:val="right"/>
              <w:ind w:right="925"/>
              <w:spacing w:after="0"/>
              <w:rPr>
                <w:sz w:val="20"/>
                <w:szCs w:val="20"/>
                <w:color w:val="auto"/>
              </w:rPr>
            </w:pPr>
            <w:r>
              <w:rPr>
                <w:rFonts w:ascii="Arial" w:cs="Arial" w:eastAsia="Arial" w:hAnsi="Arial"/>
                <w:sz w:val="16"/>
                <w:szCs w:val="16"/>
                <w:color w:val="auto"/>
              </w:rPr>
              <w:t>16</w:t>
            </w:r>
          </w:p>
        </w:tc>
        <w:tc>
          <w:tcPr>
            <w:tcW w:w="1460" w:type="dxa"/>
            <w:vAlign w:val="bottom"/>
          </w:tcPr>
          <w:p>
            <w:pPr>
              <w:jc w:val="right"/>
              <w:ind w:right="1005"/>
              <w:spacing w:after="0"/>
              <w:rPr>
                <w:sz w:val="20"/>
                <w:szCs w:val="20"/>
                <w:color w:val="auto"/>
              </w:rPr>
            </w:pPr>
            <w:r>
              <w:rPr>
                <w:rFonts w:ascii="Arial" w:cs="Arial" w:eastAsia="Arial" w:hAnsi="Arial"/>
                <w:sz w:val="16"/>
                <w:szCs w:val="16"/>
                <w:b w:val="1"/>
                <w:bCs w:val="1"/>
                <w:color w:val="auto"/>
              </w:rPr>
              <w:t>18</w:t>
            </w:r>
          </w:p>
        </w:tc>
        <w:tc>
          <w:tcPr>
            <w:tcW w:w="360" w:type="dxa"/>
            <w:vAlign w:val="bottom"/>
          </w:tcPr>
          <w:p>
            <w:pPr>
              <w:jc w:val="right"/>
              <w:spacing w:after="0"/>
              <w:rPr>
                <w:sz w:val="20"/>
                <w:szCs w:val="20"/>
                <w:color w:val="auto"/>
              </w:rPr>
            </w:pPr>
            <w:r>
              <w:rPr>
                <w:rFonts w:ascii="Arial" w:cs="Arial" w:eastAsia="Arial" w:hAnsi="Arial"/>
                <w:sz w:val="16"/>
                <w:szCs w:val="16"/>
                <w:color w:val="auto"/>
              </w:rPr>
              <w:t>14</w:t>
            </w:r>
          </w:p>
        </w:tc>
      </w:tr>
    </w:tbl>
    <w:p>
      <w:pPr>
        <w:spacing w:after="0" w:line="218"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The diluted earnings per share amounts for each of the three and nine months ended September 30, 2026 and 2025 excludes the effect of 1,000 contingently issuable shares outstanding as their inclusion would have been antidilutive due to a market condition.</w:t>
      </w:r>
    </w:p>
    <w:p>
      <w:pPr>
        <w:spacing w:after="0" w:line="100" w:lineRule="exact"/>
        <w:rPr>
          <w:sz w:val="20"/>
          <w:szCs w:val="20"/>
          <w:color w:val="auto"/>
        </w:rPr>
      </w:pPr>
    </w:p>
    <w:p>
      <w:pPr>
        <w:ind w:right="320"/>
        <w:spacing w:after="0" w:line="251" w:lineRule="auto"/>
        <w:rPr>
          <w:sz w:val="20"/>
          <w:szCs w:val="20"/>
          <w:color w:val="auto"/>
        </w:rPr>
      </w:pPr>
      <w:r>
        <w:rPr>
          <w:rFonts w:ascii="Arial" w:cs="Arial" w:eastAsia="Arial" w:hAnsi="Arial"/>
          <w:sz w:val="17"/>
          <w:szCs w:val="17"/>
          <w:color w:val="auto"/>
        </w:rPr>
        <w:t>In the three and nine months ended September 30, 2026, the Company declared regular dividends totaling $ 1.88 and $ 7.52 per common share, respectively. In the three and nine months ended September 30, 2025, the Company declared regular dividends totaling $1.80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$7.20 per common share, respectively.</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12. PENSION PLANS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Defined Benefit Plans. </w:t>
      </w:r>
      <w:r>
        <w:rPr>
          <w:rFonts w:ascii="Arial" w:cs="Arial" w:eastAsia="Arial" w:hAnsi="Arial"/>
          <w:sz w:val="18"/>
          <w:szCs w:val="18"/>
          <w:color w:val="auto"/>
        </w:rPr>
        <w:t>The total benefit arising from the Company’s defined benefit pension plans consists of the following components: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0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246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rPr>
              <w:t>Nine Months Ended</w:t>
            </w:r>
          </w:p>
        </w:tc>
      </w:tr>
      <w:tr>
        <w:trPr>
          <w:trHeight w:val="197"/>
        </w:trPr>
        <w:tc>
          <w:tcPr>
            <w:tcW w:w="56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7"/>
                <w:szCs w:val="17"/>
                <w:color w:val="auto"/>
              </w:rPr>
            </w:pPr>
          </w:p>
        </w:tc>
      </w:tr>
      <w:tr>
        <w:trPr>
          <w:trHeight w:val="218"/>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2026</w:t>
            </w:r>
          </w:p>
        </w:tc>
        <w:tc>
          <w:tcPr>
            <w:tcW w:w="5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color w:val="auto"/>
              </w:rPr>
              <w:t>2025</w:t>
            </w: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2026</w:t>
            </w:r>
          </w:p>
        </w:tc>
        <w:tc>
          <w:tcPr>
            <w:tcW w:w="5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2025</w:t>
            </w:r>
          </w:p>
        </w:tc>
      </w:tr>
      <w:tr>
        <w:trPr>
          <w:trHeight w:val="235"/>
        </w:trPr>
        <w:tc>
          <w:tcPr>
            <w:tcW w:w="5620" w:type="dxa"/>
            <w:vAlign w:val="bottom"/>
          </w:tcPr>
          <w:p>
            <w:pPr>
              <w:ind w:left="20"/>
              <w:spacing w:after="0"/>
              <w:rPr>
                <w:sz w:val="20"/>
                <w:szCs w:val="20"/>
                <w:color w:val="auto"/>
              </w:rPr>
            </w:pPr>
            <w:r>
              <w:rPr>
                <w:rFonts w:ascii="Arial" w:cs="Arial" w:eastAsia="Arial" w:hAnsi="Arial"/>
                <w:sz w:val="16"/>
                <w:szCs w:val="16"/>
                <w:color w:val="auto"/>
              </w:rPr>
              <w:t>Service cost</w:t>
            </w: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Pr>
          <w:p>
            <w:pPr>
              <w:jc w:val="right"/>
              <w:ind w:right="41"/>
              <w:spacing w:after="0"/>
              <w:rPr>
                <w:sz w:val="20"/>
                <w:szCs w:val="20"/>
                <w:color w:val="auto"/>
              </w:rPr>
            </w:pPr>
            <w:r>
              <w:rPr>
                <w:rFonts w:ascii="Arial" w:cs="Arial" w:eastAsia="Arial" w:hAnsi="Arial"/>
                <w:sz w:val="16"/>
                <w:szCs w:val="16"/>
                <w:b w:val="1"/>
                <w:bCs w:val="1"/>
                <w:color w:val="auto"/>
              </w:rPr>
              <w:t>12,379</w:t>
            </w:r>
          </w:p>
        </w:tc>
        <w:tc>
          <w:tcPr>
            <w:tcW w:w="54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11,772</w:t>
            </w:r>
          </w:p>
        </w:tc>
        <w:tc>
          <w:tcPr>
            <w:tcW w:w="36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35,881</w:t>
            </w:r>
          </w:p>
        </w:tc>
        <w:tc>
          <w:tcPr>
            <w:tcW w:w="52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35,663</w:t>
            </w:r>
          </w:p>
        </w:tc>
      </w:tr>
      <w:tr>
        <w:trPr>
          <w:trHeight w:val="243"/>
        </w:trPr>
        <w:tc>
          <w:tcPr>
            <w:tcW w:w="562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300" w:type="dxa"/>
            <w:vAlign w:val="bottom"/>
          </w:tcPr>
          <w:p>
            <w:pPr>
              <w:spacing w:after="0"/>
              <w:rPr>
                <w:sz w:val="21"/>
                <w:szCs w:val="21"/>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b w:val="1"/>
                <w:bCs w:val="1"/>
                <w:color w:val="auto"/>
              </w:rPr>
              <w:t>8,145</w:t>
            </w:r>
          </w:p>
        </w:tc>
        <w:tc>
          <w:tcPr>
            <w:tcW w:w="540" w:type="dxa"/>
            <w:vAlign w:val="bottom"/>
          </w:tcPr>
          <w:p>
            <w:pPr>
              <w:spacing w:after="0"/>
              <w:rPr>
                <w:sz w:val="21"/>
                <w:szCs w:val="21"/>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8,012</w:t>
            </w:r>
          </w:p>
        </w:tc>
        <w:tc>
          <w:tcPr>
            <w:tcW w:w="360" w:type="dxa"/>
            <w:vAlign w:val="bottom"/>
          </w:tcPr>
          <w:p>
            <w:pPr>
              <w:spacing w:after="0"/>
              <w:rPr>
                <w:sz w:val="21"/>
                <w:szCs w:val="21"/>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24,437</w:t>
            </w:r>
          </w:p>
        </w:tc>
        <w:tc>
          <w:tcPr>
            <w:tcW w:w="5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21,389</w:t>
            </w:r>
          </w:p>
        </w:tc>
      </w:tr>
      <w:tr>
        <w:trPr>
          <w:trHeight w:val="243"/>
        </w:trPr>
        <w:tc>
          <w:tcPr>
            <w:tcW w:w="5620" w:type="dxa"/>
            <w:vAlign w:val="bottom"/>
          </w:tcPr>
          <w:p>
            <w:pPr>
              <w:ind w:left="20"/>
              <w:spacing w:after="0"/>
              <w:rPr>
                <w:sz w:val="20"/>
                <w:szCs w:val="20"/>
                <w:color w:val="auto"/>
              </w:rPr>
            </w:pPr>
            <w:r>
              <w:rPr>
                <w:rFonts w:ascii="Arial" w:cs="Arial" w:eastAsia="Arial" w:hAnsi="Arial"/>
                <w:sz w:val="16"/>
                <w:szCs w:val="16"/>
                <w:color w:val="auto"/>
              </w:rPr>
              <w:t>Expected return on assets</w:t>
            </w:r>
          </w:p>
        </w:tc>
        <w:tc>
          <w:tcPr>
            <w:tcW w:w="300" w:type="dxa"/>
            <w:vAlign w:val="bottom"/>
          </w:tcPr>
          <w:p>
            <w:pPr>
              <w:spacing w:after="0"/>
              <w:rPr>
                <w:sz w:val="21"/>
                <w:szCs w:val="21"/>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b w:val="1"/>
                <w:bCs w:val="1"/>
                <w:color w:val="auto"/>
              </w:rPr>
              <w:t>(44,409)</w:t>
            </w:r>
          </w:p>
        </w:tc>
        <w:tc>
          <w:tcPr>
            <w:tcW w:w="5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(41,915)</w:t>
            </w:r>
          </w:p>
        </w:tc>
        <w:tc>
          <w:tcPr>
            <w:tcW w:w="360" w:type="dxa"/>
            <w:vAlign w:val="bottom"/>
          </w:tcPr>
          <w:p>
            <w:pPr>
              <w:spacing w:after="0"/>
              <w:rPr>
                <w:sz w:val="21"/>
                <w:szCs w:val="21"/>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(133,227)</w:t>
            </w:r>
          </w:p>
        </w:tc>
        <w:tc>
          <w:tcPr>
            <w:tcW w:w="5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(125,767)</w:t>
            </w:r>
          </w:p>
        </w:tc>
      </w:tr>
      <w:tr>
        <w:trPr>
          <w:trHeight w:val="244"/>
        </w:trPr>
        <w:tc>
          <w:tcPr>
            <w:tcW w:w="5620" w:type="dxa"/>
            <w:vAlign w:val="bottom"/>
          </w:tcPr>
          <w:p>
            <w:pPr>
              <w:ind w:left="20"/>
              <w:spacing w:after="0"/>
              <w:rPr>
                <w:sz w:val="20"/>
                <w:szCs w:val="20"/>
                <w:color w:val="auto"/>
              </w:rPr>
            </w:pPr>
            <w:r>
              <w:rPr>
                <w:rFonts w:ascii="Arial" w:cs="Arial" w:eastAsia="Arial" w:hAnsi="Arial"/>
                <w:sz w:val="16"/>
                <w:szCs w:val="16"/>
                <w:color w:val="auto"/>
              </w:rPr>
              <w:t>Amortization of prior service credit</w:t>
            </w: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(496)</w:t>
            </w:r>
          </w:p>
        </w:tc>
        <w:tc>
          <w:tcPr>
            <w:tcW w:w="5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(520)</w:t>
            </w:r>
          </w:p>
        </w:tc>
        <w:tc>
          <w:tcPr>
            <w:tcW w:w="3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(1,489)</w:t>
            </w:r>
          </w:p>
        </w:tc>
        <w:tc>
          <w:tcPr>
            <w:tcW w:w="5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(1,560)</w:t>
            </w:r>
          </w:p>
        </w:tc>
      </w:tr>
      <w:tr>
        <w:trPr>
          <w:trHeight w:val="236"/>
        </w:trPr>
        <w:tc>
          <w:tcPr>
            <w:tcW w:w="5620" w:type="dxa"/>
            <w:vAlign w:val="bottom"/>
          </w:tcPr>
          <w:p>
            <w:pPr>
              <w:ind w:left="20"/>
              <w:spacing w:after="0"/>
              <w:rPr>
                <w:sz w:val="20"/>
                <w:szCs w:val="20"/>
                <w:color w:val="auto"/>
              </w:rPr>
            </w:pPr>
            <w:r>
              <w:rPr>
                <w:rFonts w:ascii="Arial" w:cs="Arial" w:eastAsia="Arial" w:hAnsi="Arial"/>
                <w:sz w:val="16"/>
                <w:szCs w:val="16"/>
                <w:b w:val="1"/>
                <w:bCs w:val="1"/>
                <w:color w:val="auto"/>
              </w:rPr>
              <w:t>Net Periodic Benefit</w:t>
            </w:r>
          </w:p>
        </w:tc>
        <w:tc>
          <w:tcPr>
            <w:tcW w:w="300" w:type="dxa"/>
            <w:vAlign w:val="bottom"/>
          </w:tcPr>
          <w:p>
            <w:pPr>
              <w:spacing w:after="0"/>
              <w:rPr>
                <w:sz w:val="20"/>
                <w:szCs w:val="20"/>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b w:val="1"/>
                <w:bCs w:val="1"/>
                <w:color w:val="auto"/>
              </w:rPr>
              <w:t>(24,381)</w:t>
            </w:r>
          </w:p>
        </w:tc>
        <w:tc>
          <w:tcPr>
            <w:tcW w:w="5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(22,651)</w:t>
            </w:r>
          </w:p>
        </w:tc>
        <w:tc>
          <w:tcPr>
            <w:tcW w:w="360" w:type="dxa"/>
            <w:vAlign w:val="bottom"/>
          </w:tcPr>
          <w:p>
            <w:pPr>
              <w:spacing w:after="0"/>
              <w:rPr>
                <w:sz w:val="20"/>
                <w:szCs w:val="20"/>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(74,398)</w:t>
            </w:r>
          </w:p>
        </w:tc>
        <w:tc>
          <w:tcPr>
            <w:tcW w:w="5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(70,275)</w:t>
            </w:r>
          </w:p>
        </w:tc>
      </w:tr>
      <w:tr>
        <w:trPr>
          <w:trHeight w:val="243"/>
        </w:trPr>
        <w:tc>
          <w:tcPr>
            <w:tcW w:w="5620" w:type="dxa"/>
            <w:vAlign w:val="bottom"/>
          </w:tcPr>
          <w:p>
            <w:pPr>
              <w:ind w:left="20"/>
              <w:spacing w:after="0"/>
              <w:rPr>
                <w:sz w:val="20"/>
                <w:szCs w:val="20"/>
                <w:color w:val="auto"/>
              </w:rPr>
            </w:pPr>
            <w:r>
              <w:rPr>
                <w:rFonts w:ascii="Arial" w:cs="Arial" w:eastAsia="Arial" w:hAnsi="Arial"/>
                <w:sz w:val="16"/>
                <w:szCs w:val="16"/>
                <w:color w:val="auto"/>
              </w:rPr>
              <w:t>Settlement</w:t>
            </w:r>
          </w:p>
        </w:tc>
        <w:tc>
          <w:tcPr>
            <w:tcW w:w="300" w:type="dxa"/>
            <w:vAlign w:val="bottom"/>
          </w:tcPr>
          <w:p>
            <w:pPr>
              <w:spacing w:after="0"/>
              <w:rPr>
                <w:sz w:val="21"/>
                <w:szCs w:val="21"/>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b w:val="1"/>
                <w:bCs w:val="1"/>
                <w:color w:val="auto"/>
              </w:rPr>
              <w:t>(14,950)</w:t>
            </w:r>
          </w:p>
        </w:tc>
        <w:tc>
          <w:tcPr>
            <w:tcW w:w="540" w:type="dxa"/>
            <w:vAlign w:val="bottom"/>
          </w:tcPr>
          <w:p>
            <w:pPr>
              <w:spacing w:after="0"/>
              <w:rPr>
                <w:sz w:val="21"/>
                <w:szCs w:val="21"/>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1"/>
                <w:szCs w:val="21"/>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(151,905)</w:t>
            </w:r>
          </w:p>
        </w:tc>
        <w:tc>
          <w:tcPr>
            <w:tcW w:w="5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7"/>
        </w:trPr>
        <w:tc>
          <w:tcPr>
            <w:tcW w:w="5620" w:type="dxa"/>
            <w:vAlign w:val="bottom"/>
          </w:tcPr>
          <w:p>
            <w:pPr>
              <w:ind w:left="20"/>
              <w:spacing w:after="0"/>
              <w:rPr>
                <w:sz w:val="20"/>
                <w:szCs w:val="20"/>
                <w:color w:val="auto"/>
              </w:rPr>
            </w:pPr>
            <w:r>
              <w:rPr>
                <w:rFonts w:ascii="Arial" w:cs="Arial" w:eastAsia="Arial" w:hAnsi="Arial"/>
                <w:sz w:val="16"/>
                <w:szCs w:val="16"/>
                <w:color w:val="auto"/>
              </w:rPr>
              <w:t>Early retirement and separation program costs</w:t>
            </w: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3,201</w:t>
            </w:r>
          </w:p>
        </w:tc>
        <w:tc>
          <w:tcPr>
            <w:tcW w:w="5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2,546</w:t>
            </w:r>
          </w:p>
        </w:tc>
        <w:tc>
          <w:tcPr>
            <w:tcW w:w="3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11,138</w:t>
            </w:r>
          </w:p>
        </w:tc>
        <w:tc>
          <w:tcPr>
            <w:tcW w:w="5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9,185</w:t>
            </w:r>
          </w:p>
        </w:tc>
      </w:tr>
      <w:tr>
        <w:trPr>
          <w:trHeight w:val="240"/>
        </w:trPr>
        <w:tc>
          <w:tcPr>
            <w:tcW w:w="5620" w:type="dxa"/>
            <w:vAlign w:val="bottom"/>
          </w:tcPr>
          <w:p>
            <w:pPr>
              <w:ind w:left="20"/>
              <w:spacing w:after="0"/>
              <w:rPr>
                <w:sz w:val="20"/>
                <w:szCs w:val="20"/>
                <w:color w:val="auto"/>
              </w:rPr>
            </w:pPr>
            <w:r>
              <w:rPr>
                <w:rFonts w:ascii="Arial" w:cs="Arial" w:eastAsia="Arial" w:hAnsi="Arial"/>
                <w:sz w:val="16"/>
                <w:szCs w:val="16"/>
                <w:b w:val="1"/>
                <w:bCs w:val="1"/>
                <w:color w:val="auto"/>
              </w:rPr>
              <w:t>Total Benefit</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(36,130)</w:t>
            </w:r>
          </w:p>
        </w:tc>
        <w:tc>
          <w:tcPr>
            <w:tcW w:w="5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(20,105)</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(215,165)</w:t>
            </w:r>
          </w:p>
        </w:tc>
        <w:tc>
          <w:tcPr>
            <w:tcW w:w="5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(61,090)</w:t>
            </w:r>
          </w:p>
        </w:tc>
      </w:tr>
      <w:tr>
        <w:trPr>
          <w:trHeight w:val="20"/>
        </w:trPr>
        <w:tc>
          <w:tcPr>
            <w:tcW w:w="5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In June 2026, the Company purchased an irrevocable group annuity contract from an insurance company for $113.9 million to settle</w:t>
      </w:r>
    </w:p>
    <w:p>
      <w:pPr>
        <w:spacing w:after="0" w:line="14" w:lineRule="exact"/>
        <w:rPr>
          <w:sz w:val="20"/>
          <w:szCs w:val="20"/>
          <w:color w:val="auto"/>
        </w:rPr>
      </w:pPr>
    </w:p>
    <w:p>
      <w:pPr>
        <w:ind w:right="140"/>
        <w:spacing w:after="0"/>
        <w:rPr>
          <w:sz w:val="20"/>
          <w:szCs w:val="20"/>
          <w:color w:val="auto"/>
        </w:rPr>
      </w:pPr>
      <w:r>
        <w:rPr>
          <w:rFonts w:ascii="Arial" w:cs="Arial" w:eastAsia="Arial" w:hAnsi="Arial"/>
          <w:sz w:val="17"/>
          <w:szCs w:val="17"/>
          <w:color w:val="auto"/>
        </w:rPr>
        <w:t>$124.3 million of the outstanding defined benefit pension obligation related to certain retirees and beneficiaries. The purchase of the group annuity contract was funded from the assets of the Company’s pension plan. As a result of this transaction, the Company was relieved of all</w:t>
      </w:r>
    </w:p>
    <w:p>
      <w:pPr>
        <w:spacing w:after="0" w:line="235" w:lineRule="auto"/>
        <w:rPr>
          <w:sz w:val="20"/>
          <w:szCs w:val="20"/>
          <w:color w:val="auto"/>
        </w:rPr>
      </w:pPr>
      <w:r>
        <w:rPr>
          <w:rFonts w:ascii="Arial" w:cs="Arial" w:eastAsia="Arial" w:hAnsi="Arial"/>
          <w:sz w:val="18"/>
          <w:szCs w:val="18"/>
          <w:color w:val="auto"/>
        </w:rPr>
        <w:t>responsibility for these pension obligations and the insurance company is now required to pay and administer the retirement benefits owed to</w:t>
      </w:r>
    </w:p>
    <w:p>
      <w:pPr>
        <w:ind w:right="280"/>
        <w:spacing w:after="0"/>
        <w:rPr>
          <w:sz w:val="20"/>
          <w:szCs w:val="20"/>
          <w:color w:val="auto"/>
        </w:rPr>
      </w:pPr>
      <w:r>
        <w:rPr>
          <w:rFonts w:ascii="Arial" w:cs="Arial" w:eastAsia="Arial" w:hAnsi="Arial"/>
          <w:sz w:val="17"/>
          <w:szCs w:val="17"/>
          <w:color w:val="auto"/>
        </w:rPr>
        <w:t>approximately 1,080 retirees and beneficiaries, with no change to the amount, timing or form of monthly retirement benefit payments. As a result, the Company remeasured the accumulated and projected benefit obligation as of June 17, 2026 and recorded a pre-tax settlement</w:t>
      </w:r>
    </w:p>
    <w:p>
      <w:pPr>
        <w:spacing w:after="0" w:line="235" w:lineRule="auto"/>
        <w:rPr>
          <w:sz w:val="20"/>
          <w:szCs w:val="20"/>
          <w:color w:val="auto"/>
        </w:rPr>
      </w:pPr>
      <w:r>
        <w:rPr>
          <w:rFonts w:ascii="Arial" w:cs="Arial" w:eastAsia="Arial" w:hAnsi="Arial"/>
          <w:sz w:val="18"/>
          <w:szCs w:val="18"/>
          <w:color w:val="auto"/>
        </w:rPr>
        <w:t>gain of $137.0 million. In the third quarter of 2026, the Company made additional lump-sum payments that triggered a remeasurement of its</w:t>
      </w:r>
    </w:p>
    <w:p>
      <w:pPr>
        <w:ind w:right="300"/>
        <w:spacing w:after="0"/>
        <w:rPr>
          <w:sz w:val="20"/>
          <w:szCs w:val="20"/>
          <w:color w:val="auto"/>
        </w:rPr>
      </w:pPr>
      <w:r>
        <w:rPr>
          <w:rFonts w:ascii="Arial" w:cs="Arial" w:eastAsia="Arial" w:hAnsi="Arial"/>
          <w:sz w:val="17"/>
          <w:szCs w:val="17"/>
          <w:color w:val="auto"/>
        </w:rPr>
        <w:t>accumulated and projected benefit obligations as of September 30, 2026, resulting in a pre-tax settlement gain of $15.0 million. The new measurement bases were used for the recognition of the Company’s pension benefit following the remeasurements. The settlement gains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are included in non-operating pension and postretirement benefit income on the Condensed Consolidated Statements of Operations.</w:t>
      </w:r>
    </w:p>
    <w:p>
      <w:pPr>
        <w:spacing w:after="0" w:line="140" w:lineRule="exact"/>
        <w:rPr>
          <w:sz w:val="20"/>
          <w:szCs w:val="20"/>
          <w:color w:val="auto"/>
        </w:rPr>
      </w:pPr>
    </w:p>
    <w:p>
      <w:pPr>
        <w:ind w:right="240"/>
        <w:spacing w:after="0" w:line="251" w:lineRule="auto"/>
        <w:rPr>
          <w:sz w:val="20"/>
          <w:szCs w:val="20"/>
          <w:color w:val="auto"/>
        </w:rPr>
      </w:pPr>
      <w:r>
        <w:rPr>
          <w:rFonts w:ascii="Arial" w:cs="Arial" w:eastAsia="Arial" w:hAnsi="Arial"/>
          <w:sz w:val="17"/>
          <w:szCs w:val="17"/>
          <w:color w:val="auto"/>
        </w:rPr>
        <w:t>In the third quarter of 2026, the Company recorded $2.4 million in expenses related to a Separation Incentive Program (SIP) for certain Kaplan, Dekko, Framebridge and Saatchi Art employees. Also in the third quarter of 2026, the Company recorded $0.8 million in expenses</w:t>
      </w:r>
    </w:p>
    <w:p>
      <w:pPr>
        <w:spacing w:after="0" w:line="235" w:lineRule="auto"/>
        <w:rPr>
          <w:sz w:val="20"/>
          <w:szCs w:val="20"/>
          <w:color w:val="auto"/>
        </w:rPr>
      </w:pPr>
      <w:r>
        <w:rPr>
          <w:rFonts w:ascii="Arial" w:cs="Arial" w:eastAsia="Arial" w:hAnsi="Arial"/>
          <w:sz w:val="18"/>
          <w:szCs w:val="18"/>
          <w:color w:val="auto"/>
        </w:rPr>
        <w:t>related to a Voluntary Retirement Incentive Program (VRIP) for certain Corporate employees. In the second quarter of 2026, the Company</w:t>
      </w:r>
    </w:p>
    <w:p>
      <w:pPr>
        <w:ind w:right="40"/>
        <w:spacing w:after="0"/>
        <w:rPr>
          <w:sz w:val="20"/>
          <w:szCs w:val="20"/>
          <w:color w:val="auto"/>
        </w:rPr>
      </w:pPr>
      <w:r>
        <w:rPr>
          <w:rFonts w:ascii="Arial" w:cs="Arial" w:eastAsia="Arial" w:hAnsi="Arial"/>
          <w:sz w:val="17"/>
          <w:szCs w:val="17"/>
          <w:color w:val="auto"/>
        </w:rPr>
        <w:t>recorded $2.0 million in expenses related to a VRIP for certain Dekko employees. Also in the second quarter of 2026, the Company recorded $1.9 million in expenses related to SIPs for certain Kaplan, Graham Media Group (GMG), Code3 and Slate employees. In the first quarter of</w:t>
      </w:r>
    </w:p>
    <w:p>
      <w:pPr>
        <w:spacing w:after="0" w:line="1" w:lineRule="exact"/>
        <w:rPr>
          <w:sz w:val="20"/>
          <w:szCs w:val="20"/>
          <w:color w:val="auto"/>
        </w:rPr>
      </w:pPr>
    </w:p>
    <w:p>
      <w:pPr>
        <w:ind w:right="280"/>
        <w:spacing w:after="0" w:line="237" w:lineRule="auto"/>
        <w:rPr>
          <w:sz w:val="20"/>
          <w:szCs w:val="20"/>
          <w:color w:val="auto"/>
        </w:rPr>
      </w:pPr>
      <w:r>
        <w:rPr>
          <w:rFonts w:ascii="Arial" w:cs="Arial" w:eastAsia="Arial" w:hAnsi="Arial"/>
          <w:sz w:val="18"/>
          <w:szCs w:val="18"/>
          <w:color w:val="auto"/>
        </w:rPr>
        <w:t>2026, the Company recorded $4.1 million in expenses related to SIPs for certain Kaplan, GMG, Joyce, Dekko, Framebridge, Code3, Slate and Corporate employees. These SIPs and VRIPs were funded from the assets of the Company’s pension plans.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 the third quarter of 2025, the Company recorded $2.5 million in expenses related to SIPs for certain Kaplan, GMG, Joyce, Society6,</w:t>
      </w:r>
    </w:p>
    <w:p>
      <w:pPr>
        <w:spacing w:after="0" w:line="14"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Saatchi Art, Code3 and Corporate employees. In the second quarter of 2025, the Company recorded $6.0 million in expenses related to SIPs for certain Kaplan, GMG, WGB, Saatchi Art, Society6, Code3 and Decile employees. In the first quarter of 2025, the Company recorded $0.6</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million in expenses related to a SIP for certain WGB employees. These SIPs were funded from the assets of the Company’s pension plans.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total cost arising from the Company’s Supplemental Executive Retirement Plan (SERP) consists of the following components: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80" w:type="dxa"/>
            <w:vAlign w:val="bottom"/>
            <w:gridSpan w:val="3"/>
          </w:tcPr>
          <w:p>
            <w:pPr>
              <w:jc w:val="right"/>
              <w:ind w:right="621"/>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2440" w:type="dxa"/>
            <w:vAlign w:val="bottom"/>
            <w:gridSpan w:val="3"/>
          </w:tcPr>
          <w:p>
            <w:pPr>
              <w:jc w:val="right"/>
              <w:ind w:right="641"/>
              <w:spacing w:after="0"/>
              <w:rPr>
                <w:sz w:val="20"/>
                <w:szCs w:val="20"/>
                <w:color w:val="auto"/>
              </w:rPr>
            </w:pPr>
            <w:r>
              <w:rPr>
                <w:rFonts w:ascii="Arial" w:cs="Arial" w:eastAsia="Arial" w:hAnsi="Arial"/>
                <w:sz w:val="14"/>
                <w:szCs w:val="14"/>
                <w:b w:val="1"/>
                <w:bCs w:val="1"/>
                <w:color w:val="auto"/>
              </w:rPr>
              <w:t>Nine Months Ended</w:t>
            </w:r>
          </w:p>
        </w:tc>
      </w:tr>
      <w:tr>
        <w:trPr>
          <w:trHeight w:val="197"/>
        </w:trPr>
        <w:tc>
          <w:tcPr>
            <w:tcW w:w="56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7"/>
                <w:szCs w:val="17"/>
                <w:color w:val="auto"/>
              </w:rPr>
            </w:pPr>
          </w:p>
        </w:tc>
      </w:tr>
      <w:tr>
        <w:trPr>
          <w:trHeight w:val="217"/>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64"/>
              <w:spacing w:after="0"/>
              <w:rPr>
                <w:sz w:val="20"/>
                <w:szCs w:val="20"/>
                <w:color w:val="auto"/>
              </w:rPr>
            </w:pPr>
            <w:r>
              <w:rPr>
                <w:rFonts w:ascii="Arial" w:cs="Arial" w:eastAsia="Arial" w:hAnsi="Arial"/>
                <w:sz w:val="14"/>
                <w:szCs w:val="14"/>
                <w:b w:val="1"/>
                <w:bCs w:val="1"/>
                <w:color w:val="auto"/>
              </w:rPr>
              <w:t>2026</w:t>
            </w:r>
          </w:p>
        </w:tc>
        <w:tc>
          <w:tcPr>
            <w:tcW w:w="5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color w:val="auto"/>
              </w:rPr>
              <w:t>2025</w:t>
            </w: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64"/>
              <w:spacing w:after="0"/>
              <w:rPr>
                <w:sz w:val="20"/>
                <w:szCs w:val="20"/>
                <w:color w:val="auto"/>
              </w:rPr>
            </w:pPr>
            <w:r>
              <w:rPr>
                <w:rFonts w:ascii="Arial" w:cs="Arial" w:eastAsia="Arial" w:hAnsi="Arial"/>
                <w:sz w:val="14"/>
                <w:szCs w:val="14"/>
                <w:b w:val="1"/>
                <w:bCs w:val="1"/>
                <w:color w:val="auto"/>
              </w:rPr>
              <w:t>2026</w:t>
            </w:r>
          </w:p>
        </w:tc>
        <w:tc>
          <w:tcPr>
            <w:tcW w:w="5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color w:val="auto"/>
              </w:rPr>
              <w:t>2025</w:t>
            </w:r>
          </w:p>
        </w:tc>
      </w:tr>
      <w:tr>
        <w:trPr>
          <w:trHeight w:val="236"/>
        </w:trPr>
        <w:tc>
          <w:tcPr>
            <w:tcW w:w="5620" w:type="dxa"/>
            <w:vAlign w:val="bottom"/>
          </w:tcPr>
          <w:p>
            <w:pPr>
              <w:ind w:left="20"/>
              <w:spacing w:after="0"/>
              <w:rPr>
                <w:sz w:val="20"/>
                <w:szCs w:val="20"/>
                <w:color w:val="auto"/>
              </w:rPr>
            </w:pPr>
            <w:r>
              <w:rPr>
                <w:rFonts w:ascii="Arial" w:cs="Arial" w:eastAsia="Arial" w:hAnsi="Arial"/>
                <w:sz w:val="16"/>
                <w:szCs w:val="16"/>
                <w:color w:val="auto"/>
              </w:rPr>
              <w:t>Service cost</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24"/>
              <w:spacing w:after="0"/>
              <w:rPr>
                <w:sz w:val="20"/>
                <w:szCs w:val="20"/>
                <w:color w:val="auto"/>
              </w:rPr>
            </w:pPr>
            <w:r>
              <w:rPr>
                <w:rFonts w:ascii="Arial" w:cs="Arial" w:eastAsia="Arial" w:hAnsi="Arial"/>
                <w:sz w:val="16"/>
                <w:szCs w:val="16"/>
                <w:b w:val="1"/>
                <w:bCs w:val="1"/>
                <w:color w:val="auto"/>
              </w:rPr>
              <w:t>289</w:t>
            </w:r>
          </w:p>
        </w:tc>
        <w:tc>
          <w:tcPr>
            <w:tcW w:w="54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239</w:t>
            </w:r>
          </w:p>
        </w:tc>
        <w:tc>
          <w:tcPr>
            <w:tcW w:w="40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24"/>
              <w:spacing w:after="0"/>
              <w:rPr>
                <w:sz w:val="20"/>
                <w:szCs w:val="20"/>
                <w:color w:val="auto"/>
              </w:rPr>
            </w:pPr>
            <w:r>
              <w:rPr>
                <w:rFonts w:ascii="Arial" w:cs="Arial" w:eastAsia="Arial" w:hAnsi="Arial"/>
                <w:sz w:val="16"/>
                <w:szCs w:val="16"/>
                <w:b w:val="1"/>
                <w:bCs w:val="1"/>
                <w:color w:val="auto"/>
              </w:rPr>
              <w:t>868</w:t>
            </w:r>
          </w:p>
        </w:tc>
        <w:tc>
          <w:tcPr>
            <w:tcW w:w="54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716</w:t>
            </w:r>
          </w:p>
        </w:tc>
      </w:tr>
      <w:tr>
        <w:trPr>
          <w:trHeight w:val="247"/>
        </w:trPr>
        <w:tc>
          <w:tcPr>
            <w:tcW w:w="562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b w:val="1"/>
                <w:bCs w:val="1"/>
                <w:color w:val="auto"/>
              </w:rPr>
              <w:t>1,154</w:t>
            </w:r>
          </w:p>
        </w:tc>
        <w:tc>
          <w:tcPr>
            <w:tcW w:w="5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1,198</w:t>
            </w:r>
          </w:p>
        </w:tc>
        <w:tc>
          <w:tcPr>
            <w:tcW w:w="4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b w:val="1"/>
                <w:bCs w:val="1"/>
                <w:color w:val="auto"/>
              </w:rPr>
              <w:t>3,464</w:t>
            </w:r>
          </w:p>
        </w:tc>
        <w:tc>
          <w:tcPr>
            <w:tcW w:w="5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3,592</w:t>
            </w:r>
          </w:p>
        </w:tc>
      </w:tr>
      <w:tr>
        <w:trPr>
          <w:trHeight w:val="240"/>
        </w:trPr>
        <w:tc>
          <w:tcPr>
            <w:tcW w:w="5620" w:type="dxa"/>
            <w:vAlign w:val="bottom"/>
          </w:tcPr>
          <w:p>
            <w:pPr>
              <w:ind w:left="20"/>
              <w:spacing w:after="0"/>
              <w:rPr>
                <w:sz w:val="20"/>
                <w:szCs w:val="20"/>
                <w:color w:val="auto"/>
              </w:rPr>
            </w:pPr>
            <w:r>
              <w:rPr>
                <w:rFonts w:ascii="Arial" w:cs="Arial" w:eastAsia="Arial" w:hAnsi="Arial"/>
                <w:sz w:val="16"/>
                <w:szCs w:val="16"/>
                <w:b w:val="1"/>
                <w:bCs w:val="1"/>
                <w:color w:val="auto"/>
              </w:rPr>
              <w:t>Net Periodic Cost</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b w:val="1"/>
                <w:bCs w:val="1"/>
                <w:color w:val="auto"/>
              </w:rPr>
              <w:t>1,443</w:t>
            </w:r>
          </w:p>
        </w:tc>
        <w:tc>
          <w:tcPr>
            <w:tcW w:w="5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1,437</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b w:val="1"/>
                <w:bCs w:val="1"/>
                <w:color w:val="auto"/>
              </w:rPr>
              <w:t>4,332</w:t>
            </w:r>
          </w:p>
        </w:tc>
        <w:tc>
          <w:tcPr>
            <w:tcW w:w="5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4,308</w:t>
            </w:r>
          </w:p>
        </w:tc>
      </w:tr>
      <w:tr>
        <w:trPr>
          <w:trHeight w:val="20"/>
        </w:trPr>
        <w:tc>
          <w:tcPr>
            <w:tcW w:w="5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 xml:space="preserve">Defined Benefit Plan Assets. </w:t>
      </w:r>
      <w:r>
        <w:rPr>
          <w:rFonts w:ascii="Arial" w:cs="Arial" w:eastAsia="Arial" w:hAnsi="Arial"/>
          <w:sz w:val="18"/>
          <w:szCs w:val="18"/>
          <w:color w:val="auto"/>
        </w:rPr>
        <w:t>The Company’s defined benefit pension obligations are funded by a portfolio made up of private investment</w:t>
      </w:r>
    </w:p>
    <w:p>
      <w:pPr>
        <w:spacing w:after="0" w:line="234" w:lineRule="auto"/>
        <w:rPr>
          <w:sz w:val="20"/>
          <w:szCs w:val="20"/>
          <w:color w:val="auto"/>
        </w:rPr>
      </w:pPr>
      <w:r>
        <w:rPr>
          <w:rFonts w:ascii="Arial" w:cs="Arial" w:eastAsia="Arial" w:hAnsi="Arial"/>
          <w:sz w:val="18"/>
          <w:szCs w:val="18"/>
          <w:color w:val="auto"/>
        </w:rPr>
        <w:t>funds and a relatively small number of stocks and high-quality fixed-income securities that are held by a third-party trustee. The assets of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Company’s pension plans were allocated as follows:</w:t>
      </w:r>
    </w:p>
    <w:p>
      <w:pPr>
        <w:spacing w:after="0" w:line="217" w:lineRule="exact"/>
        <w:rPr>
          <w:sz w:val="20"/>
          <w:szCs w:val="20"/>
          <w:color w:val="auto"/>
        </w:rPr>
      </w:pPr>
    </w:p>
    <w:tbl>
      <w:tblPr>
        <w:tblLayout w:type="fixed"/>
        <w:tblInd w:w="8240" w:type="dxa"/>
        <w:tblCellMar>
          <w:top w:w="0" w:type="dxa"/>
          <w:left w:w="0" w:type="dxa"/>
          <w:bottom w:w="0" w:type="dxa"/>
          <w:right w:w="0" w:type="dxa"/>
        </w:tblCellMar>
      </w:tblPr>
      <w:tr>
        <w:trPr>
          <w:trHeight w:val="205"/>
        </w:trPr>
        <w:tc>
          <w:tcPr>
            <w:tcW w:w="12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As of</w:t>
            </w:r>
          </w:p>
        </w:tc>
      </w:tr>
      <w:tr>
        <w:trPr>
          <w:trHeight w:val="247"/>
        </w:trPr>
        <w:tc>
          <w:tcPr>
            <w:tcW w:w="1260" w:type="dxa"/>
            <w:vAlign w:val="bottom"/>
          </w:tcPr>
          <w:p>
            <w:pPr>
              <w:jc w:val="center"/>
              <w:ind w:left="128"/>
              <w:spacing w:after="0"/>
              <w:rPr>
                <w:sz w:val="20"/>
                <w:szCs w:val="20"/>
                <w:color w:val="auto"/>
              </w:rPr>
            </w:pPr>
            <w:r>
              <w:rPr>
                <w:rFonts w:ascii="Arial" w:cs="Arial" w:eastAsia="Arial" w:hAnsi="Arial"/>
                <w:sz w:val="14"/>
                <w:szCs w:val="14"/>
                <w:b w:val="1"/>
                <w:bCs w:val="1"/>
                <w:color w:val="auto"/>
              </w:rPr>
              <w:t>September 30,</w:t>
            </w:r>
          </w:p>
        </w:tc>
        <w:tc>
          <w:tcPr>
            <w:tcW w:w="1740" w:type="dxa"/>
            <w:vAlign w:val="bottom"/>
          </w:tcPr>
          <w:p>
            <w:pPr>
              <w:jc w:val="center"/>
              <w:ind w:left="208"/>
              <w:spacing w:after="0"/>
              <w:rPr>
                <w:sz w:val="20"/>
                <w:szCs w:val="20"/>
                <w:color w:val="auto"/>
              </w:rPr>
            </w:pPr>
            <w:r>
              <w:rPr>
                <w:rFonts w:ascii="Arial" w:cs="Arial" w:eastAsia="Arial" w:hAnsi="Arial"/>
                <w:sz w:val="14"/>
                <w:szCs w:val="14"/>
                <w:color w:val="auto"/>
              </w:rPr>
              <w:t>December 31,</w:t>
            </w:r>
          </w:p>
        </w:tc>
      </w:tr>
      <w:tr>
        <w:trPr>
          <w:trHeight w:val="196"/>
        </w:trPr>
        <w:tc>
          <w:tcPr>
            <w:tcW w:w="1260" w:type="dxa"/>
            <w:vAlign w:val="bottom"/>
          </w:tcPr>
          <w:p>
            <w:pPr>
              <w:jc w:val="right"/>
              <w:ind w:right="308"/>
              <w:spacing w:after="0"/>
              <w:rPr>
                <w:sz w:val="20"/>
                <w:szCs w:val="20"/>
                <w:color w:val="auto"/>
              </w:rPr>
            </w:pPr>
            <w:r>
              <w:rPr>
                <w:rFonts w:ascii="Arial" w:cs="Arial" w:eastAsia="Arial" w:hAnsi="Arial"/>
                <w:sz w:val="14"/>
                <w:szCs w:val="14"/>
                <w:b w:val="1"/>
                <w:bCs w:val="1"/>
                <w:color w:val="auto"/>
              </w:rPr>
              <w:t>2026</w:t>
            </w:r>
          </w:p>
        </w:tc>
        <w:tc>
          <w:tcPr>
            <w:tcW w:w="1740" w:type="dxa"/>
            <w:vAlign w:val="bottom"/>
          </w:tcPr>
          <w:p>
            <w:pPr>
              <w:jc w:val="right"/>
              <w:ind w:right="488"/>
              <w:spacing w:after="0"/>
              <w:rPr>
                <w:sz w:val="20"/>
                <w:szCs w:val="20"/>
                <w:color w:val="auto"/>
              </w:rPr>
            </w:pPr>
            <w:r>
              <w:rPr>
                <w:rFonts w:ascii="Arial" w:cs="Arial" w:eastAsia="Arial" w:hAnsi="Arial"/>
                <w:sz w:val="14"/>
                <w:szCs w:val="14"/>
                <w:color w:val="auto"/>
              </w:rPr>
              <w:t>2025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p>
      <w:pPr>
        <w:spacing w:after="0" w:line="28" w:lineRule="exact"/>
        <w:rPr>
          <w:sz w:val="20"/>
          <w:szCs w:val="20"/>
          <w:color w:val="auto"/>
        </w:rPr>
      </w:pPr>
    </w:p>
    <w:p>
      <w:pPr>
        <w:ind w:left="20"/>
        <w:spacing w:after="0"/>
        <w:rPr>
          <w:sz w:val="20"/>
          <w:szCs w:val="20"/>
          <w:color w:val="auto"/>
        </w:rPr>
      </w:pPr>
      <w:r>
        <w:rPr>
          <w:rFonts w:ascii="Arial" w:cs="Arial" w:eastAsia="Arial" w:hAnsi="Arial"/>
          <w:sz w:val="16"/>
          <w:szCs w:val="16"/>
          <w:color w:val="auto"/>
        </w:rPr>
        <w:t>U.S. equities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Private investment funds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International equities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U.S. fixed income</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ind w:left="80"/>
        <w:spacing w:after="0"/>
        <w:tabs>
          <w:tab w:leader="none" w:pos="1620" w:val="left"/>
        </w:tabs>
        <w:rPr>
          <w:sz w:val="20"/>
          <w:szCs w:val="20"/>
          <w:color w:val="auto"/>
        </w:rPr>
      </w:pPr>
      <w:r>
        <w:rPr>
          <w:rFonts w:ascii="Arial" w:cs="Arial" w:eastAsia="Arial" w:hAnsi="Arial"/>
          <w:sz w:val="16"/>
          <w:szCs w:val="16"/>
          <w:b w:val="1"/>
          <w:bCs w:val="1"/>
          <w:color w:val="auto"/>
        </w:rPr>
        <w:t>62 %</w:t>
      </w:r>
      <w:r>
        <w:rPr>
          <w:sz w:val="20"/>
          <w:szCs w:val="20"/>
          <w:color w:val="auto"/>
        </w:rPr>
        <w:tab/>
      </w:r>
      <w:r>
        <w:rPr>
          <w:rFonts w:ascii="Arial" w:cs="Arial" w:eastAsia="Arial" w:hAnsi="Arial"/>
          <w:sz w:val="15"/>
          <w:szCs w:val="15"/>
          <w:color w:val="auto"/>
        </w:rPr>
        <w:t>63 %</w:t>
      </w:r>
    </w:p>
    <w:p>
      <w:pPr>
        <w:spacing w:after="0" w:line="59" w:lineRule="exact"/>
        <w:rPr>
          <w:sz w:val="20"/>
          <w:szCs w:val="20"/>
          <w:color w:val="auto"/>
        </w:rPr>
      </w:pPr>
    </w:p>
    <w:p>
      <w:pPr>
        <w:ind w:left="80"/>
        <w:spacing w:after="0"/>
        <w:tabs>
          <w:tab w:leader="none" w:pos="1620" w:val="left"/>
        </w:tabs>
        <w:rPr>
          <w:sz w:val="20"/>
          <w:szCs w:val="20"/>
          <w:color w:val="auto"/>
        </w:rPr>
      </w:pPr>
      <w:r>
        <w:rPr>
          <w:rFonts w:ascii="Arial" w:cs="Arial" w:eastAsia="Arial" w:hAnsi="Arial"/>
          <w:sz w:val="16"/>
          <w:szCs w:val="16"/>
          <w:b w:val="1"/>
          <w:bCs w:val="1"/>
          <w:color w:val="auto"/>
        </w:rPr>
        <w:t>18 %</w:t>
      </w:r>
      <w:r>
        <w:rPr>
          <w:sz w:val="20"/>
          <w:szCs w:val="20"/>
          <w:color w:val="auto"/>
        </w:rPr>
        <w:tab/>
      </w:r>
      <w:r>
        <w:rPr>
          <w:rFonts w:ascii="Arial" w:cs="Arial" w:eastAsia="Arial" w:hAnsi="Arial"/>
          <w:sz w:val="15"/>
          <w:szCs w:val="15"/>
          <w:color w:val="auto"/>
        </w:rPr>
        <w:t>17 %</w:t>
      </w:r>
    </w:p>
    <w:p>
      <w:pPr>
        <w:spacing w:after="0" w:line="59" w:lineRule="exact"/>
        <w:rPr>
          <w:sz w:val="20"/>
          <w:szCs w:val="20"/>
          <w:color w:val="auto"/>
        </w:rPr>
      </w:pPr>
    </w:p>
    <w:p>
      <w:pPr>
        <w:ind w:left="80"/>
        <w:spacing w:after="0"/>
        <w:tabs>
          <w:tab w:leader="none" w:pos="1620" w:val="left"/>
        </w:tabs>
        <w:rPr>
          <w:sz w:val="20"/>
          <w:szCs w:val="20"/>
          <w:color w:val="auto"/>
        </w:rPr>
      </w:pPr>
      <w:r>
        <w:rPr>
          <w:rFonts w:ascii="Arial" w:cs="Arial" w:eastAsia="Arial" w:hAnsi="Arial"/>
          <w:sz w:val="16"/>
          <w:szCs w:val="16"/>
          <w:b w:val="1"/>
          <w:bCs w:val="1"/>
          <w:color w:val="auto"/>
        </w:rPr>
        <w:t>17 %</w:t>
      </w:r>
      <w:r>
        <w:rPr>
          <w:sz w:val="20"/>
          <w:szCs w:val="20"/>
          <w:color w:val="auto"/>
        </w:rPr>
        <w:tab/>
      </w:r>
      <w:r>
        <w:rPr>
          <w:rFonts w:ascii="Arial" w:cs="Arial" w:eastAsia="Arial" w:hAnsi="Arial"/>
          <w:sz w:val="15"/>
          <w:szCs w:val="15"/>
          <w:color w:val="auto"/>
        </w:rPr>
        <w:t>16 %</w:t>
      </w:r>
    </w:p>
    <w:p>
      <w:pPr>
        <w:spacing w:after="0" w:line="59" w:lineRule="exact"/>
        <w:rPr>
          <w:sz w:val="20"/>
          <w:szCs w:val="20"/>
          <w:color w:val="auto"/>
        </w:rPr>
      </w:pPr>
    </w:p>
    <w:p>
      <w:pPr>
        <w:ind w:left="180"/>
        <w:spacing w:after="0"/>
        <w:tabs>
          <w:tab w:leader="none" w:pos="1700" w:val="left"/>
        </w:tabs>
        <w:rPr>
          <w:sz w:val="20"/>
          <w:szCs w:val="20"/>
          <w:color w:val="auto"/>
        </w:rPr>
      </w:pPr>
      <w:r>
        <w:rPr>
          <w:rFonts w:ascii="Arial" w:cs="Arial" w:eastAsia="Arial" w:hAnsi="Arial"/>
          <w:sz w:val="16"/>
          <w:szCs w:val="16"/>
          <w:b w:val="1"/>
          <w:bCs w:val="1"/>
          <w:color w:val="auto"/>
        </w:rPr>
        <w:t>3 %</w:t>
      </w:r>
      <w:r>
        <w:rPr>
          <w:sz w:val="20"/>
          <w:szCs w:val="20"/>
          <w:color w:val="auto"/>
        </w:rPr>
        <w:tab/>
      </w:r>
      <w:r>
        <w:rPr>
          <w:rFonts w:ascii="Arial" w:cs="Arial" w:eastAsia="Arial" w:hAnsi="Arial"/>
          <w:sz w:val="16"/>
          <w:szCs w:val="16"/>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-619760</wp:posOffset>
            </wp:positionH>
            <wp:positionV relativeFrom="paragraph">
              <wp:posOffset>29210</wp:posOffset>
            </wp:positionV>
            <wp:extent cx="190309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53" w:lineRule="exact"/>
        <w:rPr>
          <w:sz w:val="20"/>
          <w:szCs w:val="20"/>
          <w:color w:val="auto"/>
        </w:rPr>
      </w:pPr>
    </w:p>
    <w:p>
      <w:pPr>
        <w:spacing w:after="0"/>
        <w:tabs>
          <w:tab w:leader="none" w:pos="1520" w:val="left"/>
        </w:tabs>
        <w:rPr>
          <w:sz w:val="20"/>
          <w:szCs w:val="20"/>
          <w:color w:val="auto"/>
        </w:rPr>
      </w:pPr>
      <w:r>
        <w:rPr>
          <w:rFonts w:ascii="Arial" w:cs="Arial" w:eastAsia="Arial" w:hAnsi="Arial"/>
          <w:sz w:val="16"/>
          <w:szCs w:val="16"/>
          <w:b w:val="1"/>
          <w:bCs w:val="1"/>
          <w:color w:val="auto"/>
        </w:rPr>
        <w:t>100 %</w:t>
      </w:r>
      <w:r>
        <w:rPr>
          <w:sz w:val="20"/>
          <w:szCs w:val="20"/>
          <w:color w:val="auto"/>
        </w:rPr>
        <w:tab/>
      </w:r>
      <w:r>
        <w:rPr>
          <w:rFonts w:ascii="Arial" w:cs="Arial" w:eastAsia="Arial" w:hAnsi="Arial"/>
          <w:sz w:val="16"/>
          <w:szCs w:val="16"/>
          <w:color w:val="auto"/>
        </w:rPr>
        <w:t>100 %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-619760</wp:posOffset>
            </wp:positionH>
            <wp:positionV relativeFrom="paragraph">
              <wp:posOffset>29210</wp:posOffset>
            </wp:positionV>
            <wp:extent cx="190309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903095" cy="8255"/>
                    </a:xfrm>
                    <a:prstGeom prst="rect">
                      <a:avLst/>
                    </a:prstGeom>
                    <a:noFill/>
                  </pic:spPr>
                </pic:pic>
              </a:graphicData>
            </a:graphic>
          </wp:anchor>
        </w:drawing>
        <w:drawing>
          <wp:anchor simplePos="0" relativeHeight="251657728" behindDoc="1" locked="0" layoutInCell="0" allowOverlap="1">
            <wp:simplePos x="0" y="0"/>
            <wp:positionH relativeFrom="column">
              <wp:posOffset>-619760</wp:posOffset>
            </wp:positionH>
            <wp:positionV relativeFrom="paragraph">
              <wp:posOffset>55245</wp:posOffset>
            </wp:positionV>
            <wp:extent cx="190309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500" w:space="720"/>
            <w:col w:w="2020"/>
          </w:cols>
          <w:pgMar w:left="320" w:top="931" w:right="339" w:bottom="1440" w:gutter="0" w:footer="0" w:header="0"/>
          <w:type w:val="continuous"/>
        </w:sectPr>
      </w:pPr>
    </w:p>
    <w:p>
      <w:pPr>
        <w:spacing w:after="0" w:line="124"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The Company manages approximately 41% of the pension assets internally, of which the majority is invested in Berkshire Hathaway stock, with the remaining investments in private investment funds, Markel stock, and short-term fixed-income securities. The remaining 59% of plan</w:t>
      </w:r>
    </w:p>
    <w:p>
      <w:pPr>
        <w:spacing w:after="0" w:line="235" w:lineRule="auto"/>
        <w:rPr>
          <w:sz w:val="20"/>
          <w:szCs w:val="20"/>
          <w:color w:val="auto"/>
        </w:rPr>
      </w:pPr>
      <w:r>
        <w:rPr>
          <w:rFonts w:ascii="Arial" w:cs="Arial" w:eastAsia="Arial" w:hAnsi="Arial"/>
          <w:sz w:val="18"/>
          <w:szCs w:val="18"/>
          <w:color w:val="auto"/>
        </w:rPr>
        <w:t>assets are managed by two investment companies. The goal of the investment managers is to produce moderate long-term growth in the</w:t>
      </w:r>
    </w:p>
    <w:p>
      <w:pPr>
        <w:spacing w:after="0" w:line="1" w:lineRule="exact"/>
        <w:rPr>
          <w:sz w:val="20"/>
          <w:szCs w:val="20"/>
          <w:color w:val="auto"/>
        </w:rPr>
      </w:pPr>
    </w:p>
    <w:p>
      <w:pPr>
        <w:ind w:right="400"/>
        <w:spacing w:after="0" w:line="226" w:lineRule="auto"/>
        <w:rPr>
          <w:sz w:val="20"/>
          <w:szCs w:val="20"/>
          <w:color w:val="auto"/>
        </w:rPr>
      </w:pPr>
      <w:r>
        <w:rPr>
          <w:rFonts w:ascii="Arial" w:cs="Arial" w:eastAsia="Arial" w:hAnsi="Arial"/>
          <w:sz w:val="18"/>
          <w:szCs w:val="18"/>
          <w:color w:val="auto"/>
        </w:rPr>
        <w:t>value of these assets, while protecting them against large decreases in value. Both investment managers may invest in a combination of equity and fixed-income securities and cash. The managers are not permitted to invest in securities of the Company or in alternative</w:t>
      </w:r>
    </w:p>
    <w:p>
      <w:pPr>
        <w:spacing w:after="0" w:line="236" w:lineRule="auto"/>
        <w:rPr>
          <w:sz w:val="20"/>
          <w:szCs w:val="20"/>
          <w:color w:val="auto"/>
        </w:rPr>
      </w:pPr>
      <w:r>
        <w:rPr>
          <w:rFonts w:ascii="Arial" w:cs="Arial" w:eastAsia="Arial" w:hAnsi="Arial"/>
          <w:sz w:val="18"/>
          <w:szCs w:val="18"/>
          <w:color w:val="auto"/>
        </w:rPr>
        <w:t>investments. One investment manager cannot invest more than 15% of the assets at the time of purchase in each of the stocks of Alphabet</w:t>
      </w:r>
    </w:p>
    <w:p>
      <w:pPr>
        <w:spacing w:after="0" w:line="1"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and Berkshire Hathaway, and no more than 50% of the assets it manages in specified international exchanges at the time the investment is made. The other investment manager cannot invest more than 20% of the assets at the time of purchase in the stock of Berkshire Hathaway</w:t>
      </w:r>
    </w:p>
    <w:p>
      <w:pPr>
        <w:spacing w:after="0" w:line="236" w:lineRule="auto"/>
        <w:rPr>
          <w:sz w:val="20"/>
          <w:szCs w:val="20"/>
          <w:color w:val="auto"/>
        </w:rPr>
      </w:pPr>
      <w:r>
        <w:rPr>
          <w:rFonts w:ascii="Arial" w:cs="Arial" w:eastAsia="Arial" w:hAnsi="Arial"/>
          <w:sz w:val="18"/>
          <w:szCs w:val="18"/>
          <w:color w:val="auto"/>
        </w:rPr>
        <w:t>and no more than 15% of the assets it manages in specified international exchanges at the time the investment is made. Excluding the</w:t>
      </w:r>
    </w:p>
    <w:p>
      <w:pPr>
        <w:spacing w:after="0" w:line="1" w:lineRule="exact"/>
        <w:rPr>
          <w:sz w:val="20"/>
          <w:szCs w:val="20"/>
          <w:color w:val="auto"/>
        </w:rPr>
      </w:pPr>
    </w:p>
    <w:p>
      <w:pPr>
        <w:ind w:right="360"/>
        <w:spacing w:after="0" w:line="237" w:lineRule="auto"/>
        <w:rPr>
          <w:sz w:val="20"/>
          <w:szCs w:val="20"/>
          <w:color w:val="auto"/>
        </w:rPr>
      </w:pPr>
      <w:r>
        <w:rPr>
          <w:rFonts w:ascii="Arial" w:cs="Arial" w:eastAsia="Arial" w:hAnsi="Arial"/>
          <w:sz w:val="18"/>
          <w:szCs w:val="18"/>
          <w:color w:val="auto"/>
        </w:rPr>
        <w:t>exceptions noted above, the investment managers cannot invest more than 10% of the assets in the securities of any other single issuer, except for obligations of the U.S. Government, without receiving prior approval from the Plan administrator.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 determining the expected rate of return on plan assets, the Company considers the relative weighting of plan assets, the historical</w:t>
      </w:r>
    </w:p>
    <w:p>
      <w:pPr>
        <w:spacing w:after="0" w:line="14" w:lineRule="exact"/>
        <w:rPr>
          <w:sz w:val="20"/>
          <w:szCs w:val="20"/>
          <w:color w:val="auto"/>
        </w:rPr>
      </w:pPr>
    </w:p>
    <w:p>
      <w:pPr>
        <w:ind w:right="540"/>
        <w:spacing w:after="0" w:line="237" w:lineRule="auto"/>
        <w:rPr>
          <w:sz w:val="20"/>
          <w:szCs w:val="20"/>
          <w:color w:val="auto"/>
        </w:rPr>
      </w:pPr>
      <w:r>
        <w:rPr>
          <w:rFonts w:ascii="Arial" w:cs="Arial" w:eastAsia="Arial" w:hAnsi="Arial"/>
          <w:sz w:val="18"/>
          <w:szCs w:val="18"/>
          <w:color w:val="auto"/>
        </w:rPr>
        <w:t>performance of total plan assets and individual asset classes and economic and other indicators of future performance. In addition, the Company may consult with and consider the input of financial and other professionals in developing appropriate return benchmarks.</w:t>
      </w:r>
    </w:p>
    <w:p>
      <w:pPr>
        <w:spacing w:after="0" w:line="127"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The Company evaluated its defined benefit pension plan asset portfolio for the existence of significant concentrations (defined as greater than 10% of plan assets) of credit risk as of September 30, 2026. Types of concentrations that were evaluated include, but are not limited to,</w:t>
      </w:r>
    </w:p>
    <w:p>
      <w:pPr>
        <w:spacing w:after="0" w:line="235" w:lineRule="auto"/>
        <w:rPr>
          <w:sz w:val="20"/>
          <w:szCs w:val="20"/>
          <w:color w:val="auto"/>
        </w:rPr>
      </w:pPr>
      <w:r>
        <w:rPr>
          <w:rFonts w:ascii="Arial" w:cs="Arial" w:eastAsia="Arial" w:hAnsi="Arial"/>
          <w:sz w:val="18"/>
          <w:szCs w:val="18"/>
          <w:color w:val="auto"/>
        </w:rPr>
        <w:t>investment concentrations in a single entity, type of industry, foreign country and individual fund. At September 30, 2026, the pension plan</w:t>
      </w:r>
    </w:p>
    <w:p>
      <w:pPr>
        <w:spacing w:after="0" w:line="1" w:lineRule="exact"/>
        <w:rPr>
          <w:sz w:val="20"/>
          <w:szCs w:val="20"/>
          <w:color w:val="auto"/>
        </w:rPr>
      </w:pPr>
    </w:p>
    <w:p>
      <w:pPr>
        <w:ind w:right="180"/>
        <w:spacing w:after="0" w:line="226" w:lineRule="auto"/>
        <w:rPr>
          <w:sz w:val="20"/>
          <w:szCs w:val="20"/>
          <w:color w:val="auto"/>
        </w:rPr>
      </w:pPr>
      <w:r>
        <w:rPr>
          <w:rFonts w:ascii="Arial" w:cs="Arial" w:eastAsia="Arial" w:hAnsi="Arial"/>
          <w:sz w:val="18"/>
          <w:szCs w:val="18"/>
          <w:color w:val="auto"/>
        </w:rPr>
        <w:t>held investments in one common stock and one private investment fund that exceeded 10% of total plan assets, valued at $1,253.7 million, or approximately 38% of total plan assets. At December 31, 2025, the pension plan held investments in one common stock and one private</w:t>
      </w:r>
    </w:p>
    <w:p>
      <w:pPr>
        <w:spacing w:after="0" w:line="2" w:lineRule="exact"/>
        <w:rPr>
          <w:sz w:val="20"/>
          <w:szCs w:val="20"/>
          <w:color w:val="auto"/>
        </w:rPr>
      </w:pPr>
    </w:p>
    <w:p>
      <w:pPr>
        <w:ind w:right="260"/>
        <w:spacing w:after="0" w:line="250" w:lineRule="auto"/>
        <w:rPr>
          <w:sz w:val="20"/>
          <w:szCs w:val="20"/>
          <w:color w:val="auto"/>
        </w:rPr>
      </w:pPr>
      <w:r>
        <w:rPr>
          <w:rFonts w:ascii="Arial" w:cs="Arial" w:eastAsia="Arial" w:hAnsi="Arial"/>
          <w:sz w:val="18"/>
          <w:szCs w:val="18"/>
          <w:color w:val="auto"/>
        </w:rPr>
        <w:t>investment fund that exceeded 10% of total plan assets, valued at $1,267.4 million, or approximately 37% of total plan assets. Assets also included $99.3 million and $124.7 million of Markel shares at September 30, 2026 and December 31, 2025, respectively.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OTHER NON-OPERATING (EXPENSE) INCOME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 summary of non-operating (expense) income is as follows:</w:t>
      </w:r>
    </w:p>
    <w:p>
      <w:pPr>
        <w:spacing w:after="0" w:line="22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2820" w:type="dxa"/>
            <w:vAlign w:val="bottom"/>
            <w:gridSpan w:val="2"/>
          </w:tcPr>
          <w:p>
            <w:pPr>
              <w:jc w:val="right"/>
              <w:ind w:right="668"/>
              <w:spacing w:after="0"/>
              <w:rPr>
                <w:sz w:val="20"/>
                <w:szCs w:val="20"/>
                <w:color w:val="auto"/>
              </w:rPr>
            </w:pPr>
            <w:r>
              <w:rPr>
                <w:rFonts w:ascii="Arial" w:cs="Arial" w:eastAsia="Arial" w:hAnsi="Arial"/>
                <w:sz w:val="14"/>
                <w:szCs w:val="14"/>
                <w:b w:val="1"/>
                <w:bCs w:val="1"/>
                <w:color w:val="auto"/>
              </w:rPr>
              <w:t>Three Months Ended</w:t>
            </w:r>
          </w:p>
        </w:tc>
        <w:tc>
          <w:tcPr>
            <w:tcW w:w="2800" w:type="dxa"/>
            <w:vAlign w:val="bottom"/>
            <w:gridSpan w:val="2"/>
          </w:tcPr>
          <w:p>
            <w:pPr>
              <w:jc w:val="right"/>
              <w:ind w:right="648"/>
              <w:spacing w:after="0"/>
              <w:rPr>
                <w:sz w:val="20"/>
                <w:szCs w:val="20"/>
                <w:color w:val="auto"/>
              </w:rPr>
            </w:pPr>
            <w:r>
              <w:rPr>
                <w:rFonts w:ascii="Arial" w:cs="Arial" w:eastAsia="Arial" w:hAnsi="Arial"/>
                <w:sz w:val="14"/>
                <w:szCs w:val="14"/>
                <w:b w:val="1"/>
                <w:bCs w:val="1"/>
                <w:color w:val="auto"/>
              </w:rPr>
              <w:t>Nine Months Ended</w:t>
            </w:r>
          </w:p>
        </w:tc>
      </w:tr>
      <w:tr>
        <w:trPr>
          <w:trHeight w:val="205"/>
        </w:trPr>
        <w:tc>
          <w:tcPr>
            <w:tcW w:w="560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right"/>
              <w:ind w:right="868"/>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ind w:right="808"/>
              <w:spacing w:after="0"/>
              <w:rPr>
                <w:sz w:val="20"/>
                <w:szCs w:val="20"/>
                <w:color w:val="auto"/>
              </w:rPr>
            </w:pPr>
            <w:r>
              <w:rPr>
                <w:rFonts w:ascii="Arial" w:cs="Arial" w:eastAsia="Arial" w:hAnsi="Arial"/>
                <w:sz w:val="14"/>
                <w:szCs w:val="14"/>
                <w:b w:val="1"/>
                <w:bCs w:val="1"/>
                <w:color w:val="auto"/>
              </w:rPr>
              <w:t>September 30</w:t>
            </w:r>
          </w:p>
        </w:tc>
      </w:tr>
      <w:tr>
        <w:trPr>
          <w:trHeight w:val="214"/>
        </w:trPr>
        <w:tc>
          <w:tcPr>
            <w:tcW w:w="5600" w:type="dxa"/>
            <w:vAlign w:val="bottom"/>
          </w:tcPr>
          <w:p>
            <w:pPr>
              <w:spacing w:after="0"/>
              <w:rPr>
                <w:sz w:val="20"/>
                <w:szCs w:val="20"/>
                <w:color w:val="auto"/>
              </w:rPr>
            </w:pPr>
            <w:r>
              <w:rPr>
                <w:rFonts w:ascii="Arial" w:cs="Arial" w:eastAsia="Arial" w:hAnsi="Arial"/>
                <w:sz w:val="14"/>
                <w:szCs w:val="14"/>
                <w:color w:val="auto"/>
              </w:rPr>
              <w:t>(in thousands)</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2026</w:t>
            </w:r>
          </w:p>
        </w:tc>
        <w:tc>
          <w:tcPr>
            <w:tcW w:w="1940" w:type="dxa"/>
            <w:vAlign w:val="bottom"/>
          </w:tcPr>
          <w:p>
            <w:pPr>
              <w:jc w:val="right"/>
              <w:ind w:right="488"/>
              <w:spacing w:after="0"/>
              <w:rPr>
                <w:sz w:val="20"/>
                <w:szCs w:val="20"/>
                <w:color w:val="auto"/>
              </w:rPr>
            </w:pPr>
            <w:r>
              <w:rPr>
                <w:rFonts w:ascii="Arial" w:cs="Arial" w:eastAsia="Arial" w:hAnsi="Arial"/>
                <w:sz w:val="14"/>
                <w:szCs w:val="14"/>
                <w:color w:val="auto"/>
              </w:rPr>
              <w:t>2025</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2026</w:t>
            </w:r>
          </w:p>
        </w:tc>
        <w:tc>
          <w:tcPr>
            <w:tcW w:w="1880" w:type="dxa"/>
            <w:vAlign w:val="bottom"/>
          </w:tcPr>
          <w:p>
            <w:pPr>
              <w:jc w:val="right"/>
              <w:ind w:right="428"/>
              <w:spacing w:after="0"/>
              <w:rPr>
                <w:sz w:val="20"/>
                <w:szCs w:val="20"/>
                <w:color w:val="auto"/>
              </w:rPr>
            </w:pPr>
            <w:r>
              <w:rPr>
                <w:rFonts w:ascii="Arial" w:cs="Arial" w:eastAsia="Arial" w:hAnsi="Arial"/>
                <w:sz w:val="14"/>
                <w:szCs w:val="14"/>
                <w:color w:val="auto"/>
              </w:rPr>
              <w:t>2025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p>
      <w:pPr>
        <w:spacing w:after="0" w:line="42" w:lineRule="exact"/>
        <w:rPr>
          <w:sz w:val="20"/>
          <w:szCs w:val="20"/>
          <w:color w:val="auto"/>
        </w:rPr>
      </w:pPr>
    </w:p>
    <w:p>
      <w:pPr>
        <w:ind w:left="20"/>
        <w:spacing w:after="0"/>
        <w:rPr>
          <w:sz w:val="20"/>
          <w:szCs w:val="20"/>
          <w:color w:val="auto"/>
        </w:rPr>
      </w:pPr>
      <w:r>
        <w:rPr>
          <w:rFonts w:ascii="Arial" w:cs="Arial" w:eastAsia="Arial" w:hAnsi="Arial"/>
          <w:sz w:val="16"/>
          <w:szCs w:val="16"/>
          <w:color w:val="auto"/>
        </w:rPr>
        <w:t>(Loss) gain on sales of businesses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Foreign currency (loss) gain, net</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Gain on sale of a cost method investment</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Impairment of cost method investments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gain, net</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Total Other Non-Operating (Expense) Income</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440" w:type="dxa"/>
            <w:vAlign w:val="bottom"/>
          </w:tcPr>
          <w:p>
            <w:pPr>
              <w:jc w:val="right"/>
              <w:ind w:right="23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2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(5,151)</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371</w:t>
            </w:r>
          </w:p>
        </w:tc>
      </w:tr>
      <w:tr>
        <w:trPr>
          <w:trHeight w:val="243"/>
        </w:trPr>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(1,473)</w:t>
            </w:r>
          </w:p>
        </w:tc>
        <w:tc>
          <w:tcPr>
            <w:tcW w:w="500" w:type="dxa"/>
            <w:vAlign w:val="bottom"/>
          </w:tcPr>
          <w:p>
            <w:pPr>
              <w:spacing w:after="0"/>
              <w:rPr>
                <w:sz w:val="21"/>
                <w:szCs w:val="21"/>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1,147</w:t>
            </w:r>
          </w:p>
        </w:tc>
        <w:tc>
          <w:tcPr>
            <w:tcW w:w="5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(2,034)</w:t>
            </w: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(7,707)</w:t>
            </w:r>
          </w:p>
        </w:tc>
      </w:tr>
      <w:tr>
        <w:trPr>
          <w:trHeight w:val="243"/>
        </w:trPr>
        <w:tc>
          <w:tcPr>
            <w:tcW w:w="440" w:type="dxa"/>
            <w:vAlign w:val="bottom"/>
          </w:tcPr>
          <w:p>
            <w:pPr>
              <w:spacing w:after="0"/>
              <w:rPr>
                <w:sz w:val="21"/>
                <w:szCs w:val="21"/>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spacing w:after="0"/>
              <w:rPr>
                <w:sz w:val="21"/>
                <w:szCs w:val="21"/>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1"/>
                <w:szCs w:val="21"/>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b w:val="1"/>
                <w:bCs w:val="1"/>
                <w:color w:val="auto"/>
              </w:rPr>
              <w:t>484</w:t>
            </w: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(100)</w:t>
            </w:r>
          </w:p>
        </w:tc>
        <w:tc>
          <w:tcPr>
            <w:tcW w:w="5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(1,486)</w:t>
            </w:r>
          </w:p>
        </w:tc>
        <w:tc>
          <w:tcPr>
            <w:tcW w:w="5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(100)</w:t>
            </w: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(14,165)</w:t>
            </w:r>
          </w:p>
        </w:tc>
      </w:tr>
      <w:tr>
        <w:trPr>
          <w:trHeight w:val="247"/>
        </w:trPr>
        <w:tc>
          <w:tcPr>
            <w:tcW w:w="4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386</w:t>
            </w:r>
          </w:p>
        </w:tc>
        <w:tc>
          <w:tcPr>
            <w:tcW w:w="5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346</w:t>
            </w:r>
          </w:p>
        </w:tc>
        <w:tc>
          <w:tcPr>
            <w:tcW w:w="5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2,655</w:t>
            </w:r>
          </w:p>
        </w:tc>
        <w:tc>
          <w:tcPr>
            <w:tcW w:w="4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987</w:t>
            </w:r>
          </w:p>
        </w:tc>
      </w:tr>
      <w:tr>
        <w:trPr>
          <w:trHeight w:val="237"/>
        </w:trPr>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(1,187)</w:t>
            </w:r>
          </w:p>
        </w:tc>
        <w:tc>
          <w:tcPr>
            <w:tcW w:w="5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w:t>
            </w:r>
          </w:p>
        </w:tc>
        <w:tc>
          <w:tcPr>
            <w:tcW w:w="5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(4,146)</w:t>
            </w:r>
          </w:p>
        </w:tc>
        <w:tc>
          <w:tcPr>
            <w:tcW w:w="4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(20,514)</w:t>
            </w:r>
          </w:p>
        </w:tc>
      </w:tr>
      <w:tr>
        <w:trPr>
          <w:trHeight w:val="24"/>
        </w:trPr>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4900" w:space="720"/>
            <w:col w:w="5620"/>
          </w:cols>
          <w:pgMar w:left="320" w:top="931" w:right="3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In the second quarter of 2026, the Company recorded a $5.2 million loss related to Kaplan’s sale of KLG (see Note 2).</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14. ACCUMULATED OTHER COMPREHENSIVE INCOME (LOSS)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other comprehensive income (loss) consists of the following components: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r>
      <w:tr>
        <w:trPr>
          <w:trHeight w:val="223"/>
        </w:trPr>
        <w:tc>
          <w:tcPr>
            <w:tcW w:w="4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rPr>
              <w:t>2026</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183"/>
              <w:spacing w:after="0"/>
              <w:rPr>
                <w:sz w:val="20"/>
                <w:szCs w:val="20"/>
                <w:color w:val="auto"/>
              </w:rPr>
            </w:pPr>
            <w:r>
              <w:rPr>
                <w:rFonts w:ascii="Arial" w:cs="Arial" w:eastAsia="Arial" w:hAnsi="Arial"/>
                <w:sz w:val="14"/>
                <w:szCs w:val="14"/>
                <w:color w:val="auto"/>
              </w:rPr>
              <w:t>2025</w:t>
            </w: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r>
      <w:tr>
        <w:trPr>
          <w:trHeight w:val="214"/>
        </w:trPr>
        <w:tc>
          <w:tcPr>
            <w:tcW w:w="4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82"/>
              <w:spacing w:after="0"/>
              <w:rPr>
                <w:sz w:val="20"/>
                <w:szCs w:val="20"/>
                <w:color w:val="auto"/>
              </w:rPr>
            </w:pPr>
            <w:r>
              <w:rPr>
                <w:rFonts w:ascii="Arial" w:cs="Arial" w:eastAsia="Arial" w:hAnsi="Arial"/>
                <w:sz w:val="14"/>
                <w:szCs w:val="14"/>
                <w:b w:val="1"/>
                <w:bCs w:val="1"/>
                <w:color w:val="auto"/>
              </w:rPr>
              <w:t>Before-Tax</w:t>
            </w:r>
          </w:p>
        </w:tc>
        <w:tc>
          <w:tcPr>
            <w:tcW w:w="220" w:type="dxa"/>
            <w:vAlign w:val="bottom"/>
          </w:tcPr>
          <w:p>
            <w:pPr>
              <w:spacing w:after="0"/>
              <w:rPr>
                <w:sz w:val="18"/>
                <w:szCs w:val="18"/>
                <w:color w:val="auto"/>
              </w:rPr>
            </w:pPr>
          </w:p>
        </w:tc>
        <w:tc>
          <w:tcPr>
            <w:tcW w:w="780" w:type="dxa"/>
            <w:vAlign w:val="bottom"/>
          </w:tcPr>
          <w:p>
            <w:pPr>
              <w:jc w:val="center"/>
              <w:ind w:right="63"/>
              <w:spacing w:after="0"/>
              <w:rPr>
                <w:sz w:val="20"/>
                <w:szCs w:val="20"/>
                <w:color w:val="auto"/>
              </w:rPr>
            </w:pPr>
            <w:r>
              <w:rPr>
                <w:rFonts w:ascii="Arial" w:cs="Arial" w:eastAsia="Arial" w:hAnsi="Arial"/>
                <w:sz w:val="14"/>
                <w:szCs w:val="14"/>
                <w:b w:val="1"/>
                <w:bCs w:val="1"/>
                <w:color w:val="auto"/>
              </w:rPr>
              <w:t>Income</w:t>
            </w:r>
          </w:p>
        </w:tc>
        <w:tc>
          <w:tcPr>
            <w:tcW w:w="280" w:type="dxa"/>
            <w:vAlign w:val="bottom"/>
          </w:tcPr>
          <w:p>
            <w:pPr>
              <w:spacing w:after="0"/>
              <w:rPr>
                <w:sz w:val="18"/>
                <w:szCs w:val="18"/>
                <w:color w:val="auto"/>
              </w:rPr>
            </w:pPr>
          </w:p>
        </w:tc>
        <w:tc>
          <w:tcPr>
            <w:tcW w:w="960" w:type="dxa"/>
            <w:vAlign w:val="bottom"/>
          </w:tcPr>
          <w:p>
            <w:pPr>
              <w:jc w:val="center"/>
              <w:ind w:right="142"/>
              <w:spacing w:after="0"/>
              <w:rPr>
                <w:sz w:val="20"/>
                <w:szCs w:val="20"/>
                <w:color w:val="auto"/>
              </w:rPr>
            </w:pPr>
            <w:r>
              <w:rPr>
                <w:rFonts w:ascii="Arial" w:cs="Arial" w:eastAsia="Arial" w:hAnsi="Arial"/>
                <w:sz w:val="14"/>
                <w:szCs w:val="14"/>
                <w:b w:val="1"/>
                <w:bCs w:val="1"/>
                <w:color w:val="auto"/>
              </w:rPr>
              <w:t>After-Tax</w:t>
            </w:r>
          </w:p>
        </w:tc>
        <w:tc>
          <w:tcPr>
            <w:tcW w:w="200" w:type="dxa"/>
            <w:vAlign w:val="bottom"/>
          </w:tcPr>
          <w:p>
            <w:pPr>
              <w:spacing w:after="0"/>
              <w:rPr>
                <w:sz w:val="18"/>
                <w:szCs w:val="18"/>
                <w:color w:val="auto"/>
              </w:rPr>
            </w:pPr>
          </w:p>
        </w:tc>
        <w:tc>
          <w:tcPr>
            <w:tcW w:w="1000" w:type="dxa"/>
            <w:vAlign w:val="bottom"/>
          </w:tcPr>
          <w:p>
            <w:pPr>
              <w:jc w:val="center"/>
              <w:ind w:right="182"/>
              <w:spacing w:after="0"/>
              <w:rPr>
                <w:sz w:val="20"/>
                <w:szCs w:val="20"/>
                <w:color w:val="auto"/>
              </w:rPr>
            </w:pPr>
            <w:r>
              <w:rPr>
                <w:rFonts w:ascii="Arial" w:cs="Arial" w:eastAsia="Arial" w:hAnsi="Arial"/>
                <w:sz w:val="14"/>
                <w:szCs w:val="14"/>
                <w:color w:val="auto"/>
              </w:rPr>
              <w:t>Before-Tax</w:t>
            </w:r>
          </w:p>
        </w:tc>
        <w:tc>
          <w:tcPr>
            <w:tcW w:w="160" w:type="dxa"/>
            <w:vAlign w:val="bottom"/>
          </w:tcPr>
          <w:p>
            <w:pPr>
              <w:spacing w:after="0"/>
              <w:rPr>
                <w:sz w:val="18"/>
                <w:szCs w:val="18"/>
                <w:color w:val="auto"/>
              </w:rPr>
            </w:pPr>
          </w:p>
        </w:tc>
        <w:tc>
          <w:tcPr>
            <w:tcW w:w="860" w:type="dxa"/>
            <w:vAlign w:val="bottom"/>
          </w:tcPr>
          <w:p>
            <w:pPr>
              <w:jc w:val="center"/>
              <w:ind w:right="123"/>
              <w:spacing w:after="0"/>
              <w:rPr>
                <w:sz w:val="20"/>
                <w:szCs w:val="20"/>
                <w:color w:val="auto"/>
              </w:rPr>
            </w:pPr>
            <w:r>
              <w:rPr>
                <w:rFonts w:ascii="Arial" w:cs="Arial" w:eastAsia="Arial" w:hAnsi="Arial"/>
                <w:sz w:val="14"/>
                <w:szCs w:val="14"/>
                <w:color w:val="auto"/>
              </w:rPr>
              <w:t>Income</w:t>
            </w:r>
          </w:p>
        </w:tc>
        <w:tc>
          <w:tcPr>
            <w:tcW w:w="200" w:type="dxa"/>
            <w:vAlign w:val="bottom"/>
          </w:tcPr>
          <w:p>
            <w:pPr>
              <w:spacing w:after="0"/>
              <w:rPr>
                <w:sz w:val="18"/>
                <w:szCs w:val="18"/>
                <w:color w:val="auto"/>
              </w:rPr>
            </w:pPr>
          </w:p>
        </w:tc>
        <w:tc>
          <w:tcPr>
            <w:tcW w:w="860" w:type="dxa"/>
            <w:vAlign w:val="bottom"/>
          </w:tcPr>
          <w:p>
            <w:pPr>
              <w:jc w:val="right"/>
              <w:ind w:right="142"/>
              <w:spacing w:after="0"/>
              <w:rPr>
                <w:sz w:val="20"/>
                <w:szCs w:val="20"/>
                <w:color w:val="auto"/>
              </w:rPr>
            </w:pPr>
            <w:r>
              <w:rPr>
                <w:rFonts w:ascii="Arial" w:cs="Arial" w:eastAsia="Arial" w:hAnsi="Arial"/>
                <w:sz w:val="14"/>
                <w:szCs w:val="14"/>
                <w:color w:val="auto"/>
              </w:rPr>
              <w:t>After-Tax</w:t>
            </w:r>
          </w:p>
        </w:tc>
      </w:tr>
      <w:tr>
        <w:trPr>
          <w:trHeight w:val="238"/>
        </w:trPr>
        <w:tc>
          <w:tcPr>
            <w:tcW w:w="46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9"/>
              </w:rPr>
              <w:t>Tax</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82"/>
              <w:spacing w:after="0"/>
              <w:rPr>
                <w:sz w:val="20"/>
                <w:szCs w:val="20"/>
                <w:color w:val="auto"/>
              </w:rPr>
            </w:pPr>
            <w:r>
              <w:rPr>
                <w:rFonts w:ascii="Arial" w:cs="Arial" w:eastAsia="Arial" w:hAnsi="Arial"/>
                <w:sz w:val="14"/>
                <w:szCs w:val="14"/>
                <w:color w:val="auto"/>
              </w:rPr>
              <w:t>Amount</w:t>
            </w: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color w:val="auto"/>
                <w:w w:val="94"/>
              </w:rPr>
              <w:t>Tax</w:t>
            </w: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color w:val="auto"/>
              </w:rPr>
              <w:t>Amount</w:t>
            </w:r>
          </w:p>
        </w:tc>
      </w:tr>
      <w:tr>
        <w:trPr>
          <w:trHeight w:val="228"/>
        </w:trPr>
        <w:tc>
          <w:tcPr>
            <w:tcW w:w="4620" w:type="dxa"/>
            <w:vAlign w:val="bottom"/>
            <w:gridSpan w:val="2"/>
          </w:tcPr>
          <w:p>
            <w:pPr>
              <w:ind w:left="20"/>
              <w:spacing w:after="0"/>
              <w:rPr>
                <w:sz w:val="20"/>
                <w:szCs w:val="20"/>
                <w:color w:val="auto"/>
              </w:rPr>
            </w:pPr>
            <w:r>
              <w:rPr>
                <w:rFonts w:ascii="Arial" w:cs="Arial" w:eastAsia="Arial" w:hAnsi="Arial"/>
                <w:sz w:val="16"/>
                <w:szCs w:val="16"/>
                <w:color w:val="auto"/>
              </w:rPr>
              <w:t>Foreign currency translation adjustments:</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51"/>
        </w:trPr>
        <w:tc>
          <w:tcPr>
            <w:tcW w:w="4620" w:type="dxa"/>
            <w:vAlign w:val="bottom"/>
            <w:gridSpan w:val="2"/>
          </w:tcPr>
          <w:p>
            <w:pPr>
              <w:ind w:left="140"/>
              <w:spacing w:after="0"/>
              <w:rPr>
                <w:sz w:val="20"/>
                <w:szCs w:val="20"/>
                <w:color w:val="auto"/>
              </w:rPr>
            </w:pPr>
            <w:r>
              <w:rPr>
                <w:rFonts w:ascii="Arial" w:cs="Arial" w:eastAsia="Arial" w:hAnsi="Arial"/>
                <w:sz w:val="16"/>
                <w:szCs w:val="16"/>
                <w:color w:val="auto"/>
              </w:rPr>
              <w:t>Translation adjustments arising during the period</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42"/>
              <w:spacing w:after="0"/>
              <w:rPr>
                <w:sz w:val="20"/>
                <w:szCs w:val="20"/>
                <w:color w:val="auto"/>
              </w:rPr>
            </w:pPr>
            <w:r>
              <w:rPr>
                <w:rFonts w:ascii="Arial" w:cs="Arial" w:eastAsia="Arial" w:hAnsi="Arial"/>
                <w:sz w:val="16"/>
                <w:szCs w:val="16"/>
                <w:b w:val="1"/>
                <w:bCs w:val="1"/>
                <w:color w:val="auto"/>
              </w:rPr>
              <w:t>3,309</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42"/>
              <w:spacing w:after="0"/>
              <w:rPr>
                <w:sz w:val="20"/>
                <w:szCs w:val="20"/>
                <w:color w:val="auto"/>
              </w:rPr>
            </w:pPr>
            <w:r>
              <w:rPr>
                <w:rFonts w:ascii="Arial" w:cs="Arial" w:eastAsia="Arial" w:hAnsi="Arial"/>
                <w:sz w:val="16"/>
                <w:szCs w:val="16"/>
                <w:b w:val="1"/>
                <w:bCs w:val="1"/>
                <w:color w:val="auto"/>
              </w:rPr>
              <w:t>3,309</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62"/>
              <w:spacing w:after="0"/>
              <w:rPr>
                <w:sz w:val="20"/>
                <w:szCs w:val="20"/>
                <w:color w:val="auto"/>
              </w:rPr>
            </w:pPr>
            <w:r>
              <w:rPr>
                <w:rFonts w:ascii="Arial" w:cs="Arial" w:eastAsia="Arial" w:hAnsi="Arial"/>
                <w:sz w:val="16"/>
                <w:szCs w:val="16"/>
                <w:color w:val="auto"/>
              </w:rPr>
              <w:t>(8,227)</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(8,227)</w:t>
            </w:r>
          </w:p>
        </w:tc>
      </w:tr>
      <w:tr>
        <w:trPr>
          <w:trHeight w:val="235"/>
        </w:trPr>
        <w:tc>
          <w:tcPr>
            <w:tcW w:w="4620" w:type="dxa"/>
            <w:vAlign w:val="bottom"/>
            <w:gridSpan w:val="2"/>
          </w:tcPr>
          <w:p>
            <w:pPr>
              <w:ind w:left="20"/>
              <w:spacing w:after="0"/>
              <w:rPr>
                <w:sz w:val="20"/>
                <w:szCs w:val="20"/>
                <w:color w:val="auto"/>
              </w:rPr>
            </w:pPr>
            <w:r>
              <w:rPr>
                <w:rFonts w:ascii="Arial" w:cs="Arial" w:eastAsia="Arial" w:hAnsi="Arial"/>
                <w:sz w:val="16"/>
                <w:szCs w:val="16"/>
                <w:color w:val="auto"/>
              </w:rPr>
              <w:t>Pension and other postretirement plans:</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51"/>
        </w:trPr>
        <w:tc>
          <w:tcPr>
            <w:tcW w:w="4620" w:type="dxa"/>
            <w:vAlign w:val="bottom"/>
            <w:gridSpan w:val="2"/>
          </w:tcPr>
          <w:p>
            <w:pPr>
              <w:ind w:left="140"/>
              <w:spacing w:after="0"/>
              <w:rPr>
                <w:sz w:val="20"/>
                <w:szCs w:val="20"/>
                <w:color w:val="auto"/>
              </w:rPr>
            </w:pPr>
            <w:r>
              <w:rPr>
                <w:rFonts w:ascii="Arial" w:cs="Arial" w:eastAsia="Arial" w:hAnsi="Arial"/>
                <w:sz w:val="16"/>
                <w:szCs w:val="16"/>
                <w:color w:val="auto"/>
              </w:rPr>
              <w:t>Actuarial gain</w:t>
            </w:r>
          </w:p>
        </w:tc>
        <w:tc>
          <w:tcPr>
            <w:tcW w:w="120" w:type="dxa"/>
            <w:vAlign w:val="bottom"/>
          </w:tcPr>
          <w:p>
            <w:pPr>
              <w:spacing w:after="0"/>
              <w:rPr>
                <w:sz w:val="21"/>
                <w:szCs w:val="21"/>
                <w:color w:val="auto"/>
              </w:rPr>
            </w:pPr>
          </w:p>
        </w:tc>
        <w:tc>
          <w:tcPr>
            <w:tcW w:w="980" w:type="dxa"/>
            <w:vAlign w:val="bottom"/>
          </w:tcPr>
          <w:p>
            <w:pPr>
              <w:jc w:val="right"/>
              <w:ind w:right="42"/>
              <w:spacing w:after="0"/>
              <w:rPr>
                <w:sz w:val="20"/>
                <w:szCs w:val="20"/>
                <w:color w:val="auto"/>
              </w:rPr>
            </w:pPr>
            <w:r>
              <w:rPr>
                <w:rFonts w:ascii="Arial" w:cs="Arial" w:eastAsia="Arial" w:hAnsi="Arial"/>
                <w:sz w:val="16"/>
                <w:szCs w:val="16"/>
                <w:b w:val="1"/>
                <w:bCs w:val="1"/>
                <w:color w:val="auto"/>
              </w:rPr>
              <w:t>45,115</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(11,736)</w:t>
            </w:r>
          </w:p>
        </w:tc>
        <w:tc>
          <w:tcPr>
            <w:tcW w:w="280" w:type="dxa"/>
            <w:vAlign w:val="bottom"/>
          </w:tcPr>
          <w:p>
            <w:pPr>
              <w:spacing w:after="0"/>
              <w:rPr>
                <w:sz w:val="21"/>
                <w:szCs w:val="21"/>
                <w:color w:val="auto"/>
              </w:rPr>
            </w:pPr>
          </w:p>
        </w:tc>
        <w:tc>
          <w:tcPr>
            <w:tcW w:w="960" w:type="dxa"/>
            <w:vAlign w:val="bottom"/>
          </w:tcPr>
          <w:p>
            <w:pPr>
              <w:jc w:val="right"/>
              <w:ind w:right="42"/>
              <w:spacing w:after="0"/>
              <w:rPr>
                <w:sz w:val="20"/>
                <w:szCs w:val="20"/>
                <w:color w:val="auto"/>
              </w:rPr>
            </w:pPr>
            <w:r>
              <w:rPr>
                <w:rFonts w:ascii="Arial" w:cs="Arial" w:eastAsia="Arial" w:hAnsi="Arial"/>
                <w:sz w:val="16"/>
                <w:szCs w:val="16"/>
                <w:b w:val="1"/>
                <w:bCs w:val="1"/>
                <w:color w:val="auto"/>
              </w:rPr>
              <w:t>33,379</w:t>
            </w:r>
          </w:p>
        </w:tc>
        <w:tc>
          <w:tcPr>
            <w:tcW w:w="200" w:type="dxa"/>
            <w:vAlign w:val="bottom"/>
          </w:tcPr>
          <w:p>
            <w:pPr>
              <w:spacing w:after="0"/>
              <w:rPr>
                <w:sz w:val="21"/>
                <w:szCs w:val="21"/>
                <w:color w:val="auto"/>
              </w:rPr>
            </w:pPr>
          </w:p>
        </w:tc>
        <w:tc>
          <w:tcPr>
            <w:tcW w:w="100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86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w:t>
            </w:r>
          </w:p>
        </w:tc>
      </w:tr>
      <w:tr>
        <w:trPr>
          <w:trHeight w:val="243"/>
        </w:trPr>
        <w:tc>
          <w:tcPr>
            <w:tcW w:w="4620" w:type="dxa"/>
            <w:vAlign w:val="bottom"/>
            <w:gridSpan w:val="2"/>
          </w:tcPr>
          <w:p>
            <w:pPr>
              <w:ind w:left="140"/>
              <w:spacing w:after="0"/>
              <w:rPr>
                <w:sz w:val="20"/>
                <w:szCs w:val="20"/>
                <w:color w:val="auto"/>
              </w:rPr>
            </w:pPr>
            <w:r>
              <w:rPr>
                <w:rFonts w:ascii="Arial" w:cs="Arial" w:eastAsia="Arial" w:hAnsi="Arial"/>
                <w:sz w:val="16"/>
                <w:szCs w:val="16"/>
                <w:color w:val="auto"/>
              </w:rPr>
              <w:t>Amortization of net prior service credit included in net income</w:t>
            </w:r>
          </w:p>
        </w:tc>
        <w:tc>
          <w:tcPr>
            <w:tcW w:w="120" w:type="dxa"/>
            <w:vAlign w:val="bottom"/>
          </w:tcPr>
          <w:p>
            <w:pPr>
              <w:spacing w:after="0"/>
              <w:rPr>
                <w:sz w:val="21"/>
                <w:szCs w:val="21"/>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b w:val="1"/>
                <w:bCs w:val="1"/>
                <w:color w:val="auto"/>
              </w:rPr>
              <w:t>(496)</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129</w:t>
            </w:r>
          </w:p>
        </w:tc>
        <w:tc>
          <w:tcPr>
            <w:tcW w:w="280" w:type="dxa"/>
            <w:vAlign w:val="bottom"/>
          </w:tcPr>
          <w:p>
            <w:pPr>
              <w:spacing w:after="0"/>
              <w:rPr>
                <w:sz w:val="21"/>
                <w:szCs w:val="21"/>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b w:val="1"/>
                <w:bCs w:val="1"/>
                <w:color w:val="auto"/>
              </w:rPr>
              <w:t>(367)</w:t>
            </w:r>
          </w:p>
        </w:tc>
        <w:tc>
          <w:tcPr>
            <w:tcW w:w="200" w:type="dxa"/>
            <w:vAlign w:val="bottom"/>
          </w:tcPr>
          <w:p>
            <w:pPr>
              <w:spacing w:after="0"/>
              <w:rPr>
                <w:sz w:val="21"/>
                <w:szCs w:val="21"/>
                <w:color w:val="auto"/>
              </w:rPr>
            </w:pPr>
          </w:p>
        </w:tc>
        <w:tc>
          <w:tcPr>
            <w:tcW w:w="1000" w:type="dxa"/>
            <w:vAlign w:val="bottom"/>
          </w:tcPr>
          <w:p>
            <w:pPr>
              <w:jc w:val="right"/>
              <w:ind w:right="62"/>
              <w:spacing w:after="0"/>
              <w:rPr>
                <w:sz w:val="20"/>
                <w:szCs w:val="20"/>
                <w:color w:val="auto"/>
              </w:rPr>
            </w:pPr>
            <w:r>
              <w:rPr>
                <w:rFonts w:ascii="Arial" w:cs="Arial" w:eastAsia="Arial" w:hAnsi="Arial"/>
                <w:sz w:val="16"/>
                <w:szCs w:val="16"/>
                <w:color w:val="auto"/>
              </w:rPr>
              <w:t>(520)</w:t>
            </w:r>
          </w:p>
        </w:tc>
        <w:tc>
          <w:tcPr>
            <w:tcW w:w="160" w:type="dxa"/>
            <w:vAlign w:val="bottom"/>
          </w:tcPr>
          <w:p>
            <w:pPr>
              <w:spacing w:after="0"/>
              <w:rPr>
                <w:sz w:val="21"/>
                <w:szCs w:val="21"/>
                <w:color w:val="auto"/>
              </w:rPr>
            </w:pPr>
          </w:p>
        </w:tc>
        <w:tc>
          <w:tcPr>
            <w:tcW w:w="860" w:type="dxa"/>
            <w:vAlign w:val="bottom"/>
          </w:tcPr>
          <w:p>
            <w:pPr>
              <w:jc w:val="right"/>
              <w:ind w:right="43"/>
              <w:spacing w:after="0"/>
              <w:rPr>
                <w:sz w:val="20"/>
                <w:szCs w:val="20"/>
                <w:color w:val="auto"/>
              </w:rPr>
            </w:pPr>
            <w:r>
              <w:rPr>
                <w:rFonts w:ascii="Arial" w:cs="Arial" w:eastAsia="Arial" w:hAnsi="Arial"/>
                <w:sz w:val="16"/>
                <w:szCs w:val="16"/>
                <w:color w:val="auto"/>
              </w:rPr>
              <w:t>133</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(387)</w:t>
            </w:r>
          </w:p>
        </w:tc>
      </w:tr>
      <w:tr>
        <w:trPr>
          <w:trHeight w:val="243"/>
        </w:trPr>
        <w:tc>
          <w:tcPr>
            <w:tcW w:w="4620" w:type="dxa"/>
            <w:vAlign w:val="bottom"/>
            <w:gridSpan w:val="2"/>
          </w:tcPr>
          <w:p>
            <w:pPr>
              <w:ind w:left="140"/>
              <w:spacing w:after="0"/>
              <w:rPr>
                <w:sz w:val="20"/>
                <w:szCs w:val="20"/>
                <w:color w:val="auto"/>
              </w:rPr>
            </w:pPr>
            <w:r>
              <w:rPr>
                <w:rFonts w:ascii="Arial" w:cs="Arial" w:eastAsia="Arial" w:hAnsi="Arial"/>
                <w:sz w:val="16"/>
                <w:szCs w:val="16"/>
                <w:color w:val="auto"/>
              </w:rPr>
              <w:t>Amortization of net actuarial gain included in net income</w:t>
            </w:r>
          </w:p>
        </w:tc>
        <w:tc>
          <w:tcPr>
            <w:tcW w:w="120" w:type="dxa"/>
            <w:vAlign w:val="bottom"/>
          </w:tcPr>
          <w:p>
            <w:pPr>
              <w:spacing w:after="0"/>
              <w:rPr>
                <w:sz w:val="21"/>
                <w:szCs w:val="21"/>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b w:val="1"/>
                <w:bCs w:val="1"/>
                <w:color w:val="auto"/>
              </w:rPr>
              <w:t>(258)</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67</w:t>
            </w:r>
          </w:p>
        </w:tc>
        <w:tc>
          <w:tcPr>
            <w:tcW w:w="280" w:type="dxa"/>
            <w:vAlign w:val="bottom"/>
          </w:tcPr>
          <w:p>
            <w:pPr>
              <w:spacing w:after="0"/>
              <w:rPr>
                <w:sz w:val="21"/>
                <w:szCs w:val="21"/>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b w:val="1"/>
                <w:bCs w:val="1"/>
                <w:color w:val="auto"/>
              </w:rPr>
              <w:t>(191)</w:t>
            </w:r>
          </w:p>
        </w:tc>
        <w:tc>
          <w:tcPr>
            <w:tcW w:w="200" w:type="dxa"/>
            <w:vAlign w:val="bottom"/>
          </w:tcPr>
          <w:p>
            <w:pPr>
              <w:spacing w:after="0"/>
              <w:rPr>
                <w:sz w:val="21"/>
                <w:szCs w:val="21"/>
                <w:color w:val="auto"/>
              </w:rPr>
            </w:pPr>
          </w:p>
        </w:tc>
        <w:tc>
          <w:tcPr>
            <w:tcW w:w="1000" w:type="dxa"/>
            <w:vAlign w:val="bottom"/>
          </w:tcPr>
          <w:p>
            <w:pPr>
              <w:jc w:val="right"/>
              <w:ind w:right="62"/>
              <w:spacing w:after="0"/>
              <w:rPr>
                <w:sz w:val="20"/>
                <w:szCs w:val="20"/>
                <w:color w:val="auto"/>
              </w:rPr>
            </w:pPr>
            <w:r>
              <w:rPr>
                <w:rFonts w:ascii="Arial" w:cs="Arial" w:eastAsia="Arial" w:hAnsi="Arial"/>
                <w:sz w:val="16"/>
                <w:szCs w:val="16"/>
                <w:color w:val="auto"/>
              </w:rPr>
              <w:t>(378)</w:t>
            </w:r>
          </w:p>
        </w:tc>
        <w:tc>
          <w:tcPr>
            <w:tcW w:w="160" w:type="dxa"/>
            <w:vAlign w:val="bottom"/>
          </w:tcPr>
          <w:p>
            <w:pPr>
              <w:spacing w:after="0"/>
              <w:rPr>
                <w:sz w:val="21"/>
                <w:szCs w:val="21"/>
                <w:color w:val="auto"/>
              </w:rPr>
            </w:pPr>
          </w:p>
        </w:tc>
        <w:tc>
          <w:tcPr>
            <w:tcW w:w="860" w:type="dxa"/>
            <w:vAlign w:val="bottom"/>
          </w:tcPr>
          <w:p>
            <w:pPr>
              <w:jc w:val="right"/>
              <w:ind w:right="43"/>
              <w:spacing w:after="0"/>
              <w:rPr>
                <w:sz w:val="20"/>
                <w:szCs w:val="20"/>
                <w:color w:val="auto"/>
              </w:rPr>
            </w:pPr>
            <w:r>
              <w:rPr>
                <w:rFonts w:ascii="Arial" w:cs="Arial" w:eastAsia="Arial" w:hAnsi="Arial"/>
                <w:sz w:val="16"/>
                <w:szCs w:val="16"/>
                <w:color w:val="auto"/>
              </w:rPr>
              <w:t>96</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(282)</w:t>
            </w:r>
          </w:p>
        </w:tc>
      </w:tr>
      <w:tr>
        <w:trPr>
          <w:trHeight w:val="247"/>
        </w:trPr>
        <w:tc>
          <w:tcPr>
            <w:tcW w:w="4620" w:type="dxa"/>
            <w:vAlign w:val="bottom"/>
            <w:gridSpan w:val="2"/>
          </w:tcPr>
          <w:p>
            <w:pPr>
              <w:ind w:left="140"/>
              <w:spacing w:after="0"/>
              <w:rPr>
                <w:sz w:val="20"/>
                <w:szCs w:val="20"/>
                <w:color w:val="auto"/>
              </w:rPr>
            </w:pPr>
            <w:r>
              <w:rPr>
                <w:rFonts w:ascii="Arial" w:cs="Arial" w:eastAsia="Arial" w:hAnsi="Arial"/>
                <w:sz w:val="16"/>
                <w:szCs w:val="16"/>
                <w:color w:val="auto"/>
              </w:rPr>
              <w:t>Settlement gain included in net income</w:t>
            </w: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(14,950)</w:t>
            </w: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3,889</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(11,061)</w:t>
            </w: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r>
      <w:tr>
        <w:trPr>
          <w:trHeight w:val="234"/>
        </w:trPr>
        <w:tc>
          <w:tcPr>
            <w:tcW w:w="4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29,411</w:t>
            </w: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(7,651)</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21,760</w:t>
            </w: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(898)</w:t>
            </w: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229</w:t>
            </w: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(669)</w:t>
            </w:r>
          </w:p>
        </w:tc>
      </w:tr>
      <w:tr>
        <w:trPr>
          <w:trHeight w:val="228"/>
        </w:trPr>
        <w:tc>
          <w:tcPr>
            <w:tcW w:w="4620" w:type="dxa"/>
            <w:vAlign w:val="bottom"/>
            <w:gridSpan w:val="2"/>
          </w:tcPr>
          <w:p>
            <w:pPr>
              <w:ind w:left="20"/>
              <w:spacing w:after="0"/>
              <w:rPr>
                <w:sz w:val="20"/>
                <w:szCs w:val="20"/>
                <w:color w:val="auto"/>
              </w:rPr>
            </w:pPr>
            <w:r>
              <w:rPr>
                <w:rFonts w:ascii="Arial" w:cs="Arial" w:eastAsia="Arial" w:hAnsi="Arial"/>
                <w:sz w:val="16"/>
                <w:szCs w:val="16"/>
                <w:color w:val="auto"/>
              </w:rPr>
              <w:t>Cash flow hedges:</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55"/>
        </w:trPr>
        <w:tc>
          <w:tcPr>
            <w:tcW w:w="4620" w:type="dxa"/>
            <w:vAlign w:val="bottom"/>
            <w:gridSpan w:val="2"/>
          </w:tcPr>
          <w:p>
            <w:pPr>
              <w:ind w:left="140"/>
              <w:spacing w:after="0"/>
              <w:rPr>
                <w:sz w:val="20"/>
                <w:szCs w:val="20"/>
                <w:color w:val="auto"/>
              </w:rPr>
            </w:pPr>
            <w:r>
              <w:rPr>
                <w:rFonts w:ascii="Arial" w:cs="Arial" w:eastAsia="Arial" w:hAnsi="Arial"/>
                <w:sz w:val="16"/>
                <w:szCs w:val="16"/>
                <w:color w:val="auto"/>
              </w:rPr>
              <w:t>Gain for the period</w:t>
            </w: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970</w:t>
            </w: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(251)</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719</w:t>
            </w: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64</w:t>
            </w: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(17)</w:t>
            </w: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47</w:t>
            </w:r>
          </w:p>
        </w:tc>
      </w:tr>
      <w:tr>
        <w:trPr>
          <w:trHeight w:val="240"/>
        </w:trPr>
        <w:tc>
          <w:tcPr>
            <w:tcW w:w="4620" w:type="dxa"/>
            <w:vAlign w:val="bottom"/>
            <w:gridSpan w:val="2"/>
          </w:tcPr>
          <w:p>
            <w:pPr>
              <w:ind w:left="20"/>
              <w:spacing w:after="0"/>
              <w:rPr>
                <w:sz w:val="20"/>
                <w:szCs w:val="20"/>
                <w:color w:val="auto"/>
              </w:rPr>
            </w:pPr>
            <w:r>
              <w:rPr>
                <w:rFonts w:ascii="Arial" w:cs="Arial" w:eastAsia="Arial" w:hAnsi="Arial"/>
                <w:sz w:val="16"/>
                <w:szCs w:val="16"/>
                <w:b w:val="1"/>
                <w:bCs w:val="1"/>
                <w:color w:val="auto"/>
              </w:rPr>
              <w:t>Other Comprehensive Income (Loss)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33,690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(7,902)</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25,788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(9,061)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212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(8,849)</w:t>
            </w:r>
          </w:p>
        </w:tc>
      </w:tr>
      <w:tr>
        <w:trPr>
          <w:trHeight w:val="21"/>
        </w:trPr>
        <w:tc>
          <w:tcPr>
            <w:tcW w:w="4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gridSpan w:val="4"/>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500"/>
        </w:trPr>
        <w:tc>
          <w:tcPr>
            <w:tcW w:w="46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4"/>
          </w:tcPr>
          <w:p>
            <w:pPr>
              <w:jc w:val="right"/>
              <w:ind w:right="2"/>
              <w:spacing w:after="0"/>
              <w:rPr>
                <w:sz w:val="20"/>
                <w:szCs w:val="20"/>
                <w:color w:val="auto"/>
              </w:rPr>
            </w:pPr>
            <w:r>
              <w:rPr>
                <w:rFonts w:ascii="Arial" w:cs="Arial" w:eastAsia="Arial" w:hAnsi="Arial"/>
                <w:sz w:val="14"/>
                <w:szCs w:val="14"/>
                <w:b w:val="1"/>
                <w:bCs w:val="1"/>
                <w:color w:val="auto"/>
              </w:rPr>
              <w:t>Nine Months Ended September 30</w:t>
            </w: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r>
        <w:trPr>
          <w:trHeight w:val="223"/>
        </w:trPr>
        <w:tc>
          <w:tcPr>
            <w:tcW w:w="46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rPr>
              <w:t>2026</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143"/>
              <w:spacing w:after="0"/>
              <w:rPr>
                <w:sz w:val="20"/>
                <w:szCs w:val="20"/>
                <w:color w:val="auto"/>
              </w:rPr>
            </w:pPr>
            <w:r>
              <w:rPr>
                <w:rFonts w:ascii="Arial" w:cs="Arial" w:eastAsia="Arial" w:hAnsi="Arial"/>
                <w:sz w:val="14"/>
                <w:szCs w:val="14"/>
                <w:color w:val="auto"/>
              </w:rPr>
              <w:t>2025</w:t>
            </w: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r>
      <w:tr>
        <w:trPr>
          <w:trHeight w:val="214"/>
        </w:trPr>
        <w:tc>
          <w:tcPr>
            <w:tcW w:w="4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122"/>
              <w:spacing w:after="0"/>
              <w:rPr>
                <w:sz w:val="20"/>
                <w:szCs w:val="20"/>
                <w:color w:val="auto"/>
              </w:rPr>
            </w:pPr>
            <w:r>
              <w:rPr>
                <w:rFonts w:ascii="Arial" w:cs="Arial" w:eastAsia="Arial" w:hAnsi="Arial"/>
                <w:sz w:val="14"/>
                <w:szCs w:val="14"/>
                <w:b w:val="1"/>
                <w:bCs w:val="1"/>
                <w:color w:val="auto"/>
              </w:rPr>
              <w:t>Before-Tax</w:t>
            </w:r>
          </w:p>
        </w:tc>
        <w:tc>
          <w:tcPr>
            <w:tcW w:w="220" w:type="dxa"/>
            <w:vAlign w:val="bottom"/>
          </w:tcPr>
          <w:p>
            <w:pPr>
              <w:spacing w:after="0"/>
              <w:rPr>
                <w:sz w:val="18"/>
                <w:szCs w:val="18"/>
                <w:color w:val="auto"/>
              </w:rPr>
            </w:pPr>
          </w:p>
        </w:tc>
        <w:tc>
          <w:tcPr>
            <w:tcW w:w="780" w:type="dxa"/>
            <w:vAlign w:val="bottom"/>
          </w:tcPr>
          <w:p>
            <w:pPr>
              <w:jc w:val="center"/>
              <w:ind w:right="103"/>
              <w:spacing w:after="0"/>
              <w:rPr>
                <w:sz w:val="20"/>
                <w:szCs w:val="20"/>
                <w:color w:val="auto"/>
              </w:rPr>
            </w:pPr>
            <w:r>
              <w:rPr>
                <w:rFonts w:ascii="Arial" w:cs="Arial" w:eastAsia="Arial" w:hAnsi="Arial"/>
                <w:sz w:val="14"/>
                <w:szCs w:val="14"/>
                <w:b w:val="1"/>
                <w:bCs w:val="1"/>
                <w:color w:val="auto"/>
              </w:rPr>
              <w:t>Income</w:t>
            </w:r>
          </w:p>
        </w:tc>
        <w:tc>
          <w:tcPr>
            <w:tcW w:w="280" w:type="dxa"/>
            <w:vAlign w:val="bottom"/>
          </w:tcPr>
          <w:p>
            <w:pPr>
              <w:spacing w:after="0"/>
              <w:rPr>
                <w:sz w:val="18"/>
                <w:szCs w:val="18"/>
                <w:color w:val="auto"/>
              </w:rPr>
            </w:pPr>
          </w:p>
        </w:tc>
        <w:tc>
          <w:tcPr>
            <w:tcW w:w="960" w:type="dxa"/>
            <w:vAlign w:val="bottom"/>
          </w:tcPr>
          <w:p>
            <w:pPr>
              <w:jc w:val="center"/>
              <w:ind w:right="142"/>
              <w:spacing w:after="0"/>
              <w:rPr>
                <w:sz w:val="20"/>
                <w:szCs w:val="20"/>
                <w:color w:val="auto"/>
              </w:rPr>
            </w:pPr>
            <w:r>
              <w:rPr>
                <w:rFonts w:ascii="Arial" w:cs="Arial" w:eastAsia="Arial" w:hAnsi="Arial"/>
                <w:sz w:val="14"/>
                <w:szCs w:val="14"/>
                <w:b w:val="1"/>
                <w:bCs w:val="1"/>
                <w:color w:val="auto"/>
              </w:rPr>
              <w:t>After-Tax</w:t>
            </w:r>
          </w:p>
        </w:tc>
        <w:tc>
          <w:tcPr>
            <w:tcW w:w="200" w:type="dxa"/>
            <w:vAlign w:val="bottom"/>
          </w:tcPr>
          <w:p>
            <w:pPr>
              <w:spacing w:after="0"/>
              <w:rPr>
                <w:sz w:val="18"/>
                <w:szCs w:val="18"/>
                <w:color w:val="auto"/>
              </w:rPr>
            </w:pPr>
          </w:p>
        </w:tc>
        <w:tc>
          <w:tcPr>
            <w:tcW w:w="1000" w:type="dxa"/>
            <w:vAlign w:val="bottom"/>
          </w:tcPr>
          <w:p>
            <w:pPr>
              <w:jc w:val="center"/>
              <w:ind w:right="162"/>
              <w:spacing w:after="0"/>
              <w:rPr>
                <w:sz w:val="20"/>
                <w:szCs w:val="20"/>
                <w:color w:val="auto"/>
              </w:rPr>
            </w:pPr>
            <w:r>
              <w:rPr>
                <w:rFonts w:ascii="Arial" w:cs="Arial" w:eastAsia="Arial" w:hAnsi="Arial"/>
                <w:sz w:val="14"/>
                <w:szCs w:val="14"/>
                <w:color w:val="auto"/>
                <w:w w:val="98"/>
              </w:rPr>
              <w:t>Before-Tax</w:t>
            </w:r>
          </w:p>
        </w:tc>
        <w:tc>
          <w:tcPr>
            <w:tcW w:w="160" w:type="dxa"/>
            <w:vAlign w:val="bottom"/>
          </w:tcPr>
          <w:p>
            <w:pPr>
              <w:spacing w:after="0"/>
              <w:rPr>
                <w:sz w:val="18"/>
                <w:szCs w:val="18"/>
                <w:color w:val="auto"/>
              </w:rPr>
            </w:pPr>
          </w:p>
        </w:tc>
        <w:tc>
          <w:tcPr>
            <w:tcW w:w="860" w:type="dxa"/>
            <w:vAlign w:val="bottom"/>
          </w:tcPr>
          <w:p>
            <w:pPr>
              <w:jc w:val="right"/>
              <w:ind w:right="243"/>
              <w:spacing w:after="0"/>
              <w:rPr>
                <w:sz w:val="20"/>
                <w:szCs w:val="20"/>
                <w:color w:val="auto"/>
              </w:rPr>
            </w:pPr>
            <w:r>
              <w:rPr>
                <w:rFonts w:ascii="Arial" w:cs="Arial" w:eastAsia="Arial" w:hAnsi="Arial"/>
                <w:sz w:val="14"/>
                <w:szCs w:val="14"/>
                <w:color w:val="auto"/>
              </w:rPr>
              <w:t>Income</w:t>
            </w:r>
          </w:p>
        </w:tc>
        <w:tc>
          <w:tcPr>
            <w:tcW w:w="200" w:type="dxa"/>
            <w:vAlign w:val="bottom"/>
          </w:tcPr>
          <w:p>
            <w:pPr>
              <w:spacing w:after="0"/>
              <w:rPr>
                <w:sz w:val="18"/>
                <w:szCs w:val="18"/>
                <w:color w:val="auto"/>
              </w:rPr>
            </w:pPr>
          </w:p>
        </w:tc>
        <w:tc>
          <w:tcPr>
            <w:tcW w:w="860" w:type="dxa"/>
            <w:vAlign w:val="bottom"/>
          </w:tcPr>
          <w:p>
            <w:pPr>
              <w:jc w:val="right"/>
              <w:ind w:right="162"/>
              <w:spacing w:after="0"/>
              <w:rPr>
                <w:sz w:val="20"/>
                <w:szCs w:val="20"/>
                <w:color w:val="auto"/>
              </w:rPr>
            </w:pPr>
            <w:r>
              <w:rPr>
                <w:rFonts w:ascii="Arial" w:cs="Arial" w:eastAsia="Arial" w:hAnsi="Arial"/>
                <w:sz w:val="14"/>
                <w:szCs w:val="14"/>
                <w:color w:val="auto"/>
              </w:rPr>
              <w:t>After-Tax</w:t>
            </w:r>
          </w:p>
        </w:tc>
      </w:tr>
      <w:tr>
        <w:trPr>
          <w:trHeight w:val="230"/>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19"/>
                <w:szCs w:val="19"/>
                <w:color w:val="auto"/>
              </w:rPr>
            </w:pPr>
          </w:p>
        </w:tc>
        <w:tc>
          <w:tcPr>
            <w:tcW w:w="980" w:type="dxa"/>
            <w:vAlign w:val="bottom"/>
          </w:tcPr>
          <w:p>
            <w:pPr>
              <w:jc w:val="center"/>
              <w:ind w:right="122"/>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9"/>
                <w:szCs w:val="19"/>
                <w:color w:val="auto"/>
              </w:rPr>
            </w:pPr>
          </w:p>
        </w:tc>
        <w:tc>
          <w:tcPr>
            <w:tcW w:w="780" w:type="dxa"/>
            <w:vAlign w:val="bottom"/>
          </w:tcPr>
          <w:p>
            <w:pPr>
              <w:jc w:val="center"/>
              <w:ind w:right="103"/>
              <w:spacing w:after="0"/>
              <w:rPr>
                <w:sz w:val="20"/>
                <w:szCs w:val="20"/>
                <w:color w:val="auto"/>
              </w:rPr>
            </w:pPr>
            <w:r>
              <w:rPr>
                <w:rFonts w:ascii="Arial" w:cs="Arial" w:eastAsia="Arial" w:hAnsi="Arial"/>
                <w:sz w:val="14"/>
                <w:szCs w:val="14"/>
                <w:b w:val="1"/>
                <w:bCs w:val="1"/>
                <w:color w:val="auto"/>
                <w:w w:val="99"/>
              </w:rPr>
              <w:t>Tax</w:t>
            </w:r>
          </w:p>
        </w:tc>
        <w:tc>
          <w:tcPr>
            <w:tcW w:w="280" w:type="dxa"/>
            <w:vAlign w:val="bottom"/>
          </w:tcPr>
          <w:p>
            <w:pPr>
              <w:spacing w:after="0"/>
              <w:rPr>
                <w:sz w:val="19"/>
                <w:szCs w:val="19"/>
                <w:color w:val="auto"/>
              </w:rPr>
            </w:pPr>
          </w:p>
        </w:tc>
        <w:tc>
          <w:tcPr>
            <w:tcW w:w="960" w:type="dxa"/>
            <w:vAlign w:val="bottom"/>
          </w:tcPr>
          <w:p>
            <w:pPr>
              <w:jc w:val="center"/>
              <w:ind w:right="142"/>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9"/>
                <w:szCs w:val="19"/>
                <w:color w:val="auto"/>
              </w:rPr>
            </w:pPr>
          </w:p>
        </w:tc>
        <w:tc>
          <w:tcPr>
            <w:tcW w:w="1000" w:type="dxa"/>
            <w:vAlign w:val="bottom"/>
          </w:tcPr>
          <w:p>
            <w:pPr>
              <w:jc w:val="center"/>
              <w:ind w:right="162"/>
              <w:spacing w:after="0"/>
              <w:rPr>
                <w:sz w:val="20"/>
                <w:szCs w:val="20"/>
                <w:color w:val="auto"/>
              </w:rPr>
            </w:pPr>
            <w:r>
              <w:rPr>
                <w:rFonts w:ascii="Arial" w:cs="Arial" w:eastAsia="Arial" w:hAnsi="Arial"/>
                <w:sz w:val="14"/>
                <w:szCs w:val="14"/>
                <w:color w:val="auto"/>
                <w:w w:val="99"/>
              </w:rPr>
              <w:t>Amount</w:t>
            </w:r>
          </w:p>
        </w:tc>
        <w:tc>
          <w:tcPr>
            <w:tcW w:w="160" w:type="dxa"/>
            <w:vAlign w:val="bottom"/>
          </w:tcPr>
          <w:p>
            <w:pPr>
              <w:spacing w:after="0"/>
              <w:rPr>
                <w:sz w:val="19"/>
                <w:szCs w:val="19"/>
                <w:color w:val="auto"/>
              </w:rPr>
            </w:pPr>
          </w:p>
        </w:tc>
        <w:tc>
          <w:tcPr>
            <w:tcW w:w="860" w:type="dxa"/>
            <w:vAlign w:val="bottom"/>
          </w:tcPr>
          <w:p>
            <w:pPr>
              <w:jc w:val="right"/>
              <w:ind w:right="363"/>
              <w:spacing w:after="0"/>
              <w:rPr>
                <w:sz w:val="20"/>
                <w:szCs w:val="20"/>
                <w:color w:val="auto"/>
              </w:rPr>
            </w:pPr>
            <w:r>
              <w:rPr>
                <w:rFonts w:ascii="Arial" w:cs="Arial" w:eastAsia="Arial" w:hAnsi="Arial"/>
                <w:sz w:val="14"/>
                <w:szCs w:val="14"/>
                <w:color w:val="auto"/>
              </w:rPr>
              <w:t>Tax</w:t>
            </w:r>
          </w:p>
        </w:tc>
        <w:tc>
          <w:tcPr>
            <w:tcW w:w="200" w:type="dxa"/>
            <w:vAlign w:val="bottom"/>
          </w:tcPr>
          <w:p>
            <w:pPr>
              <w:spacing w:after="0"/>
              <w:rPr>
                <w:sz w:val="19"/>
                <w:szCs w:val="19"/>
                <w:color w:val="auto"/>
              </w:rPr>
            </w:pPr>
          </w:p>
        </w:tc>
        <w:tc>
          <w:tcPr>
            <w:tcW w:w="860" w:type="dxa"/>
            <w:vAlign w:val="bottom"/>
          </w:tcPr>
          <w:p>
            <w:pPr>
              <w:jc w:val="right"/>
              <w:ind w:right="202"/>
              <w:spacing w:after="0"/>
              <w:rPr>
                <w:sz w:val="20"/>
                <w:szCs w:val="20"/>
                <w:color w:val="auto"/>
              </w:rPr>
            </w:pPr>
            <w:r>
              <w:rPr>
                <w:rFonts w:ascii="Arial" w:cs="Arial" w:eastAsia="Arial" w:hAnsi="Arial"/>
                <w:sz w:val="14"/>
                <w:szCs w:val="14"/>
                <w:color w:val="auto"/>
              </w:rPr>
              <w:t>Amount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p>
      <w:pPr>
        <w:spacing w:after="0" w:line="42" w:lineRule="exact"/>
        <w:rPr>
          <w:sz w:val="20"/>
          <w:szCs w:val="20"/>
          <w:color w:val="auto"/>
        </w:rPr>
      </w:pPr>
    </w:p>
    <w:p>
      <w:pPr>
        <w:ind w:left="20"/>
        <w:spacing w:after="0"/>
        <w:rPr>
          <w:sz w:val="20"/>
          <w:szCs w:val="20"/>
          <w:color w:val="auto"/>
        </w:rPr>
      </w:pPr>
      <w:r>
        <w:rPr>
          <w:rFonts w:ascii="Arial" w:cs="Arial" w:eastAsia="Arial" w:hAnsi="Arial"/>
          <w:sz w:val="16"/>
          <w:szCs w:val="16"/>
          <w:color w:val="auto"/>
        </w:rPr>
        <w:t>Foreign currency translation adjustments:</w:t>
      </w:r>
    </w:p>
    <w:p>
      <w:pPr>
        <w:spacing w:after="0" w:line="5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Translation adjustments arising during the period</w:t>
      </w:r>
    </w:p>
    <w:p>
      <w:pPr>
        <w:spacing w:after="0" w:line="5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Adjustment for sales of businesses with foreign operations</w:t>
      </w:r>
    </w:p>
    <w:p>
      <w:pPr>
        <w:spacing w:after="0" w:line="329" w:lineRule="exact"/>
        <w:rPr>
          <w:sz w:val="20"/>
          <w:szCs w:val="20"/>
          <w:color w:val="auto"/>
        </w:rPr>
      </w:pPr>
    </w:p>
    <w:p>
      <w:pPr>
        <w:ind w:left="20"/>
        <w:spacing w:after="0"/>
        <w:rPr>
          <w:sz w:val="20"/>
          <w:szCs w:val="20"/>
          <w:color w:val="auto"/>
        </w:rPr>
      </w:pPr>
      <w:r>
        <w:rPr>
          <w:rFonts w:ascii="Arial" w:cs="Arial" w:eastAsia="Arial" w:hAnsi="Arial"/>
          <w:sz w:val="16"/>
          <w:szCs w:val="16"/>
          <w:color w:val="auto"/>
        </w:rPr>
        <w:t>Pension and other postretirement plans:</w:t>
      </w:r>
    </w:p>
    <w:p>
      <w:pPr>
        <w:spacing w:after="0" w:line="5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Actuarial loss</w:t>
      </w:r>
    </w:p>
    <w:p>
      <w:pPr>
        <w:spacing w:after="0" w:line="5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Amortization of net prior service credit included in net income</w:t>
      </w:r>
    </w:p>
    <w:p>
      <w:pPr>
        <w:spacing w:after="0" w:line="5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Amortization of net actuarial gain included in net income</w:t>
      </w:r>
    </w:p>
    <w:p>
      <w:pPr>
        <w:spacing w:after="0" w:line="5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Settlement gain included in net income</w:t>
      </w:r>
    </w:p>
    <w:p>
      <w:pPr>
        <w:spacing w:after="0" w:line="329"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Cash flow hedges:</w:t>
      </w:r>
    </w:p>
    <w:p>
      <w:pPr>
        <w:spacing w:after="0" w:line="5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Gain (loss) for the period</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Other Comprehensive (Loss) Income</w:t>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(2,814)</w:t>
            </w:r>
          </w:p>
        </w:tc>
        <w:tc>
          <w:tcPr>
            <w:tcW w:w="28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(2,814)</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38,323</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38,323</w:t>
            </w:r>
          </w:p>
        </w:tc>
      </w:tr>
      <w:tr>
        <w:trPr>
          <w:trHeight w:val="247"/>
        </w:trPr>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6,175</w:t>
            </w:r>
          </w:p>
        </w:tc>
        <w:tc>
          <w:tcPr>
            <w:tcW w:w="2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6,175</w:t>
            </w:r>
          </w:p>
        </w:tc>
        <w:tc>
          <w:tcPr>
            <w:tcW w:w="3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646</w:t>
            </w:r>
          </w:p>
        </w:tc>
        <w:tc>
          <w:tcPr>
            <w:tcW w:w="4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646</w:t>
            </w:r>
          </w:p>
        </w:tc>
      </w:tr>
      <w:tr>
        <w:trPr>
          <w:trHeight w:val="236"/>
        </w:trPr>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3,361</w:t>
            </w:r>
          </w:p>
        </w:tc>
        <w:tc>
          <w:tcPr>
            <w:tcW w:w="2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3,361</w:t>
            </w: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38,969</w:t>
            </w:r>
          </w:p>
        </w:tc>
        <w:tc>
          <w:tcPr>
            <w:tcW w:w="4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38,969</w:t>
            </w:r>
          </w:p>
        </w:tc>
      </w:tr>
      <w:tr>
        <w:trPr>
          <w:trHeight w:val="476"/>
        </w:trPr>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(44,813)</w:t>
            </w:r>
          </w:p>
        </w:tc>
        <w:tc>
          <w:tcPr>
            <w:tcW w:w="280" w:type="dxa"/>
            <w:vAlign w:val="bottom"/>
          </w:tcPr>
          <w:p>
            <w:pPr>
              <w:spacing w:after="0"/>
              <w:rPr>
                <w:sz w:val="24"/>
                <w:szCs w:val="24"/>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b w:val="1"/>
                <w:bCs w:val="1"/>
                <w:color w:val="auto"/>
              </w:rPr>
              <w:t>11,657</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(33,156)</w:t>
            </w:r>
          </w:p>
        </w:tc>
        <w:tc>
          <w:tcPr>
            <w:tcW w:w="360" w:type="dxa"/>
            <w:vAlign w:val="bottom"/>
          </w:tcPr>
          <w:p>
            <w:pPr>
              <w:spacing w:after="0"/>
              <w:rPr>
                <w:sz w:val="24"/>
                <w:szCs w:val="24"/>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4"/>
                <w:szCs w:val="24"/>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(1,489)</w:t>
            </w:r>
          </w:p>
        </w:tc>
        <w:tc>
          <w:tcPr>
            <w:tcW w:w="280" w:type="dxa"/>
            <w:vAlign w:val="bottom"/>
          </w:tcPr>
          <w:p>
            <w:pPr>
              <w:spacing w:after="0"/>
              <w:rPr>
                <w:sz w:val="21"/>
                <w:szCs w:val="21"/>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b w:val="1"/>
                <w:bCs w:val="1"/>
                <w:color w:val="auto"/>
              </w:rPr>
              <w:t>388</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(1,101)</w:t>
            </w: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(1,560)</w:t>
            </w:r>
          </w:p>
        </w:tc>
        <w:tc>
          <w:tcPr>
            <w:tcW w:w="400" w:type="dxa"/>
            <w:vAlign w:val="bottom"/>
          </w:tcPr>
          <w:p>
            <w:pPr>
              <w:spacing w:after="0"/>
              <w:rPr>
                <w:sz w:val="21"/>
                <w:szCs w:val="21"/>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399</w:t>
            </w: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(1,161)</w:t>
            </w:r>
          </w:p>
        </w:tc>
      </w:tr>
      <w:tr>
        <w:trPr>
          <w:trHeight w:val="243"/>
        </w:trPr>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(774)</w:t>
            </w:r>
          </w:p>
        </w:tc>
        <w:tc>
          <w:tcPr>
            <w:tcW w:w="280" w:type="dxa"/>
            <w:vAlign w:val="bottom"/>
          </w:tcPr>
          <w:p>
            <w:pPr>
              <w:spacing w:after="0"/>
              <w:rPr>
                <w:sz w:val="21"/>
                <w:szCs w:val="21"/>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b w:val="1"/>
                <w:bCs w:val="1"/>
                <w:color w:val="auto"/>
              </w:rPr>
              <w:t>201</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(573)</w:t>
            </w: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(1,137)</w:t>
            </w:r>
          </w:p>
        </w:tc>
        <w:tc>
          <w:tcPr>
            <w:tcW w:w="400" w:type="dxa"/>
            <w:vAlign w:val="bottom"/>
          </w:tcPr>
          <w:p>
            <w:pPr>
              <w:spacing w:after="0"/>
              <w:rPr>
                <w:sz w:val="21"/>
                <w:szCs w:val="21"/>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291</w:t>
            </w: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(846)</w:t>
            </w:r>
          </w:p>
        </w:tc>
      </w:tr>
      <w:tr>
        <w:trPr>
          <w:trHeight w:val="247"/>
        </w:trPr>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(151,905)</w:t>
            </w:r>
          </w:p>
        </w:tc>
        <w:tc>
          <w:tcPr>
            <w:tcW w:w="2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39,514</w:t>
            </w:r>
          </w:p>
        </w:tc>
        <w:tc>
          <w:tcPr>
            <w:tcW w:w="3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(112,391)</w:t>
            </w:r>
          </w:p>
        </w:tc>
        <w:tc>
          <w:tcPr>
            <w:tcW w:w="3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(198,981)</w:t>
            </w:r>
          </w:p>
        </w:tc>
        <w:tc>
          <w:tcPr>
            <w:tcW w:w="2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51,760</w:t>
            </w: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(147,221)</w:t>
            </w: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(2,697)</w:t>
            </w:r>
          </w:p>
        </w:tc>
        <w:tc>
          <w:tcPr>
            <w:tcW w:w="4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690</w:t>
            </w: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(2,007)</w:t>
            </w:r>
          </w:p>
        </w:tc>
      </w:tr>
      <w:tr>
        <w:trPr>
          <w:trHeight w:val="480"/>
        </w:trPr>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2,236</w:t>
            </w: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(579)</w:t>
            </w: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1,657</w:t>
            </w: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(979)</w:t>
            </w:r>
          </w:p>
        </w:tc>
        <w:tc>
          <w:tcPr>
            <w:tcW w:w="4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254</w:t>
            </w:r>
          </w:p>
        </w:tc>
        <w:tc>
          <w:tcPr>
            <w:tcW w:w="3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(725)</w:t>
            </w:r>
          </w:p>
        </w:tc>
      </w:tr>
      <w:tr>
        <w:trPr>
          <w:trHeight w:val="236"/>
        </w:trPr>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(193,384)</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51,181</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(142,203)</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35,293</w:t>
            </w:r>
          </w:p>
        </w:tc>
        <w:tc>
          <w:tcPr>
            <w:tcW w:w="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944</w:t>
            </w:r>
          </w:p>
        </w:tc>
        <w:tc>
          <w:tcPr>
            <w:tcW w:w="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36,237</w:t>
            </w:r>
          </w:p>
        </w:tc>
      </w:tr>
      <w:tr>
        <w:trPr>
          <w:trHeight w:val="24"/>
        </w:trPr>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4520" w:space="80"/>
            <w:col w:w="6640"/>
          </w:cols>
          <w:pgMar w:left="320" w:top="931" w:right="339"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The accumulated balances related to each component of other comprehensive income (loss)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center"/>
              <w:ind w:right="164"/>
              <w:spacing w:after="0"/>
              <w:rPr>
                <w:sz w:val="20"/>
                <w:szCs w:val="20"/>
                <w:color w:val="auto"/>
              </w:rPr>
            </w:pPr>
            <w:r>
              <w:rPr>
                <w:rFonts w:ascii="Arial" w:cs="Arial" w:eastAsia="Arial" w:hAnsi="Arial"/>
                <w:sz w:val="14"/>
                <w:szCs w:val="14"/>
                <w:b w:val="1"/>
                <w:bCs w:val="1"/>
                <w:color w:val="auto"/>
              </w:rPr>
              <w:t>Cumulative</w:t>
            </w:r>
          </w:p>
        </w:tc>
        <w:tc>
          <w:tcPr>
            <w:tcW w:w="200" w:type="dxa"/>
            <w:vAlign w:val="bottom"/>
          </w:tcPr>
          <w:p>
            <w:pPr>
              <w:spacing w:after="0"/>
              <w:rPr>
                <w:sz w:val="14"/>
                <w:szCs w:val="14"/>
                <w:color w:val="auto"/>
              </w:rPr>
            </w:pPr>
          </w:p>
        </w:tc>
        <w:tc>
          <w:tcPr>
            <w:tcW w:w="1380" w:type="dxa"/>
            <w:vAlign w:val="bottom"/>
          </w:tcPr>
          <w:p>
            <w:pPr>
              <w:jc w:val="center"/>
              <w:ind w:right="164"/>
              <w:spacing w:after="0"/>
              <w:rPr>
                <w:sz w:val="20"/>
                <w:szCs w:val="20"/>
                <w:color w:val="auto"/>
              </w:rPr>
            </w:pPr>
            <w:r>
              <w:rPr>
                <w:rFonts w:ascii="Arial" w:cs="Arial" w:eastAsia="Arial" w:hAnsi="Arial"/>
                <w:sz w:val="14"/>
                <w:szCs w:val="14"/>
                <w:b w:val="1"/>
                <w:bCs w:val="1"/>
                <w:color w:val="auto"/>
              </w:rPr>
              <w:t>Unrealized Gain</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center"/>
              <w:ind w:right="164"/>
              <w:spacing w:after="0"/>
              <w:rPr>
                <w:sz w:val="20"/>
                <w:szCs w:val="20"/>
                <w:color w:val="auto"/>
              </w:rPr>
            </w:pPr>
            <w:r>
              <w:rPr>
                <w:rFonts w:ascii="Arial" w:cs="Arial" w:eastAsia="Arial" w:hAnsi="Arial"/>
                <w:sz w:val="14"/>
                <w:szCs w:val="14"/>
                <w:b w:val="1"/>
                <w:bCs w:val="1"/>
                <w:color w:val="auto"/>
              </w:rPr>
              <w:t>Foreign</w:t>
            </w:r>
          </w:p>
        </w:tc>
        <w:tc>
          <w:tcPr>
            <w:tcW w:w="200" w:type="dxa"/>
            <w:vAlign w:val="bottom"/>
          </w:tcPr>
          <w:p>
            <w:pPr>
              <w:spacing w:after="0"/>
              <w:rPr>
                <w:sz w:val="14"/>
                <w:szCs w:val="14"/>
                <w:color w:val="auto"/>
              </w:rPr>
            </w:pPr>
          </w:p>
        </w:tc>
        <w:tc>
          <w:tcPr>
            <w:tcW w:w="1380" w:type="dxa"/>
            <w:vAlign w:val="bottom"/>
          </w:tcPr>
          <w:p>
            <w:pPr>
              <w:jc w:val="center"/>
              <w:ind w:right="164"/>
              <w:spacing w:after="0"/>
              <w:rPr>
                <w:sz w:val="20"/>
                <w:szCs w:val="20"/>
                <w:color w:val="auto"/>
              </w:rPr>
            </w:pPr>
            <w:r>
              <w:rPr>
                <w:rFonts w:ascii="Arial" w:cs="Arial" w:eastAsia="Arial" w:hAnsi="Arial"/>
                <w:sz w:val="14"/>
                <w:szCs w:val="14"/>
                <w:b w:val="1"/>
                <w:bCs w:val="1"/>
                <w:color w:val="auto"/>
              </w:rPr>
              <w:t>on Pensions</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jc w:val="center"/>
              <w:ind w:right="123"/>
              <w:spacing w:after="0"/>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center"/>
              <w:ind w:right="164"/>
              <w:spacing w:after="0" w:line="149" w:lineRule="exact"/>
              <w:rPr>
                <w:sz w:val="20"/>
                <w:szCs w:val="20"/>
                <w:color w:val="auto"/>
              </w:rPr>
            </w:pPr>
            <w:r>
              <w:rPr>
                <w:rFonts w:ascii="Arial" w:cs="Arial" w:eastAsia="Arial" w:hAnsi="Arial"/>
                <w:sz w:val="14"/>
                <w:szCs w:val="14"/>
                <w:b w:val="1"/>
                <w:bCs w:val="1"/>
                <w:color w:val="auto"/>
              </w:rPr>
              <w:t>Currency</w:t>
            </w:r>
          </w:p>
        </w:tc>
        <w:tc>
          <w:tcPr>
            <w:tcW w:w="200" w:type="dxa"/>
            <w:vAlign w:val="bottom"/>
          </w:tcPr>
          <w:p>
            <w:pPr>
              <w:spacing w:after="0"/>
              <w:rPr>
                <w:sz w:val="12"/>
                <w:szCs w:val="12"/>
                <w:color w:val="auto"/>
              </w:rPr>
            </w:pPr>
          </w:p>
        </w:tc>
        <w:tc>
          <w:tcPr>
            <w:tcW w:w="1380" w:type="dxa"/>
            <w:vAlign w:val="bottom"/>
          </w:tcPr>
          <w:p>
            <w:pPr>
              <w:jc w:val="center"/>
              <w:ind w:right="144"/>
              <w:spacing w:after="0" w:line="149" w:lineRule="exact"/>
              <w:rPr>
                <w:sz w:val="20"/>
                <w:szCs w:val="20"/>
                <w:color w:val="auto"/>
              </w:rPr>
            </w:pPr>
            <w:r>
              <w:rPr>
                <w:rFonts w:ascii="Arial" w:cs="Arial" w:eastAsia="Arial" w:hAnsi="Arial"/>
                <w:sz w:val="14"/>
                <w:szCs w:val="14"/>
                <w:b w:val="1"/>
                <w:bCs w:val="1"/>
                <w:color w:val="auto"/>
              </w:rPr>
              <w:t>and Other</w:t>
            </w: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jc w:val="center"/>
              <w:ind w:right="123"/>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62"/>
        </w:trPr>
        <w:tc>
          <w:tcPr>
            <w:tcW w:w="5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center"/>
              <w:ind w:right="164"/>
              <w:spacing w:after="0"/>
              <w:rPr>
                <w:sz w:val="20"/>
                <w:szCs w:val="20"/>
                <w:color w:val="auto"/>
              </w:rPr>
            </w:pPr>
            <w:r>
              <w:rPr>
                <w:rFonts w:ascii="Arial" w:cs="Arial" w:eastAsia="Arial" w:hAnsi="Arial"/>
                <w:sz w:val="14"/>
                <w:szCs w:val="14"/>
                <w:b w:val="1"/>
                <w:bCs w:val="1"/>
                <w:color w:val="auto"/>
              </w:rPr>
              <w:t>Translation</w:t>
            </w:r>
          </w:p>
        </w:tc>
        <w:tc>
          <w:tcPr>
            <w:tcW w:w="200" w:type="dxa"/>
            <w:vAlign w:val="bottom"/>
          </w:tcPr>
          <w:p>
            <w:pPr>
              <w:spacing w:after="0"/>
              <w:rPr>
                <w:sz w:val="14"/>
                <w:szCs w:val="14"/>
                <w:color w:val="auto"/>
              </w:rPr>
            </w:pPr>
          </w:p>
        </w:tc>
        <w:tc>
          <w:tcPr>
            <w:tcW w:w="1380" w:type="dxa"/>
            <w:vAlign w:val="bottom"/>
          </w:tcPr>
          <w:p>
            <w:pPr>
              <w:jc w:val="center"/>
              <w:ind w:right="164"/>
              <w:spacing w:after="0"/>
              <w:rPr>
                <w:sz w:val="20"/>
                <w:szCs w:val="20"/>
                <w:color w:val="auto"/>
              </w:rPr>
            </w:pPr>
            <w:r>
              <w:rPr>
                <w:rFonts w:ascii="Arial" w:cs="Arial" w:eastAsia="Arial" w:hAnsi="Arial"/>
                <w:sz w:val="14"/>
                <w:szCs w:val="14"/>
                <w:b w:val="1"/>
                <w:bCs w:val="1"/>
                <w:color w:val="auto"/>
              </w:rPr>
              <w:t>Postretirement</w:t>
            </w:r>
          </w:p>
        </w:tc>
        <w:tc>
          <w:tcPr>
            <w:tcW w:w="160" w:type="dxa"/>
            <w:vAlign w:val="bottom"/>
          </w:tcPr>
          <w:p>
            <w:pPr>
              <w:spacing w:after="0"/>
              <w:rPr>
                <w:sz w:val="14"/>
                <w:szCs w:val="14"/>
                <w:color w:val="auto"/>
              </w:rPr>
            </w:pPr>
          </w:p>
        </w:tc>
        <w:tc>
          <w:tcPr>
            <w:tcW w:w="940" w:type="dxa"/>
            <w:vAlign w:val="bottom"/>
          </w:tcPr>
          <w:p>
            <w:pPr>
              <w:jc w:val="right"/>
              <w:ind w:right="142"/>
              <w:spacing w:after="0"/>
              <w:rPr>
                <w:sz w:val="20"/>
                <w:szCs w:val="20"/>
                <w:color w:val="auto"/>
              </w:rPr>
            </w:pPr>
            <w:r>
              <w:rPr>
                <w:rFonts w:ascii="Arial" w:cs="Arial" w:eastAsia="Arial" w:hAnsi="Arial"/>
                <w:sz w:val="14"/>
                <w:szCs w:val="14"/>
                <w:b w:val="1"/>
                <w:bCs w:val="1"/>
                <w:color w:val="auto"/>
                <w:w w:val="99"/>
              </w:rPr>
              <w:t>Cash Flow</w:t>
            </w:r>
          </w:p>
        </w:tc>
        <w:tc>
          <w:tcPr>
            <w:tcW w:w="200" w:type="dxa"/>
            <w:vAlign w:val="bottom"/>
          </w:tcPr>
          <w:p>
            <w:pPr>
              <w:spacing w:after="0"/>
              <w:rPr>
                <w:sz w:val="14"/>
                <w:szCs w:val="14"/>
                <w:color w:val="auto"/>
              </w:rPr>
            </w:pPr>
          </w:p>
        </w:tc>
        <w:tc>
          <w:tcPr>
            <w:tcW w:w="1300" w:type="dxa"/>
            <w:vAlign w:val="bottom"/>
          </w:tcPr>
          <w:p>
            <w:pPr>
              <w:jc w:val="center"/>
              <w:ind w:right="103"/>
              <w:spacing w:after="0"/>
              <w:rPr>
                <w:sz w:val="20"/>
                <w:szCs w:val="20"/>
                <w:color w:val="auto"/>
              </w:rPr>
            </w:pPr>
            <w:r>
              <w:rPr>
                <w:rFonts w:ascii="Arial" w:cs="Arial" w:eastAsia="Arial" w:hAnsi="Arial"/>
                <w:sz w:val="14"/>
                <w:szCs w:val="14"/>
                <w:b w:val="1"/>
                <w:bCs w:val="1"/>
                <w:color w:val="auto"/>
              </w:rPr>
              <w:t>Comprehensive</w:t>
            </w:r>
          </w:p>
        </w:tc>
        <w:tc>
          <w:tcPr>
            <w:tcW w:w="0" w:type="dxa"/>
            <w:vAlign w:val="bottom"/>
          </w:tcPr>
          <w:p>
            <w:pPr>
              <w:spacing w:after="0"/>
              <w:rPr>
                <w:sz w:val="1"/>
                <w:szCs w:val="1"/>
                <w:color w:val="auto"/>
              </w:rPr>
            </w:pPr>
          </w:p>
        </w:tc>
      </w:tr>
      <w:tr>
        <w:trPr>
          <w:trHeight w:val="211"/>
        </w:trPr>
        <w:tc>
          <w:tcPr>
            <w:tcW w:w="57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net of taxes)</w:t>
            </w: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rPr>
              <w:t>Adjustment</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rPr>
              <w:t>Plans</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Hedges</w:t>
            </w: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22"/>
        </w:trPr>
        <w:tc>
          <w:tcPr>
            <w:tcW w:w="5760" w:type="dxa"/>
            <w:vAlign w:val="bottom"/>
          </w:tcPr>
          <w:p>
            <w:pPr>
              <w:ind w:left="20"/>
              <w:spacing w:after="0"/>
              <w:rPr>
                <w:sz w:val="20"/>
                <w:szCs w:val="20"/>
                <w:color w:val="auto"/>
              </w:rPr>
            </w:pPr>
            <w:r>
              <w:rPr>
                <w:rFonts w:ascii="Arial" w:cs="Arial" w:eastAsia="Arial" w:hAnsi="Arial"/>
                <w:sz w:val="16"/>
                <w:szCs w:val="16"/>
                <w:color w:val="auto"/>
              </w:rPr>
              <w:t>As of December 31, 2025</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
              <w:spacing w:after="0"/>
              <w:rPr>
                <w:sz w:val="20"/>
                <w:szCs w:val="20"/>
                <w:color w:val="auto"/>
              </w:rPr>
            </w:pPr>
            <w:r>
              <w:rPr>
                <w:rFonts w:ascii="Arial" w:cs="Arial" w:eastAsia="Arial" w:hAnsi="Arial"/>
                <w:sz w:val="16"/>
                <w:szCs w:val="16"/>
                <w:color w:val="auto"/>
              </w:rPr>
              <w:t>(12,262)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64"/>
              <w:spacing w:after="0"/>
              <w:rPr>
                <w:sz w:val="20"/>
                <w:szCs w:val="20"/>
                <w:color w:val="auto"/>
              </w:rPr>
            </w:pPr>
            <w:r>
              <w:rPr>
                <w:rFonts w:ascii="Arial" w:cs="Arial" w:eastAsia="Arial" w:hAnsi="Arial"/>
                <w:sz w:val="16"/>
                <w:szCs w:val="16"/>
                <w:color w:val="auto"/>
              </w:rPr>
              <w:t>601,064</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(1,722)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3"/>
              <w:spacing w:after="0"/>
              <w:rPr>
                <w:sz w:val="20"/>
                <w:szCs w:val="20"/>
                <w:color w:val="auto"/>
              </w:rPr>
            </w:pPr>
            <w:r>
              <w:rPr>
                <w:rFonts w:ascii="Arial" w:cs="Arial" w:eastAsia="Arial" w:hAnsi="Arial"/>
                <w:sz w:val="16"/>
                <w:szCs w:val="16"/>
                <w:color w:val="auto"/>
              </w:rPr>
              <w:t>587,080</w:t>
            </w:r>
          </w:p>
        </w:tc>
        <w:tc>
          <w:tcPr>
            <w:tcW w:w="0" w:type="dxa"/>
            <w:vAlign w:val="bottom"/>
          </w:tcPr>
          <w:p>
            <w:pPr>
              <w:spacing w:after="0"/>
              <w:rPr>
                <w:sz w:val="1"/>
                <w:szCs w:val="1"/>
                <w:color w:val="auto"/>
              </w:rPr>
            </w:pPr>
          </w:p>
        </w:tc>
      </w:tr>
      <w:tr>
        <w:trPr>
          <w:trHeight w:val="251"/>
        </w:trPr>
        <w:tc>
          <w:tcPr>
            <w:tcW w:w="5760" w:type="dxa"/>
            <w:vAlign w:val="bottom"/>
          </w:tcPr>
          <w:p>
            <w:pPr>
              <w:ind w:left="140"/>
              <w:spacing w:after="0"/>
              <w:rPr>
                <w:sz w:val="20"/>
                <w:szCs w:val="20"/>
                <w:color w:val="auto"/>
              </w:rPr>
            </w:pPr>
            <w:r>
              <w:rPr>
                <w:rFonts w:ascii="Arial" w:cs="Arial" w:eastAsia="Arial" w:hAnsi="Arial"/>
                <w:sz w:val="16"/>
                <w:szCs w:val="16"/>
                <w:b w:val="1"/>
                <w:bCs w:val="1"/>
                <w:color w:val="auto"/>
              </w:rPr>
              <w:t>Other comprehensive (loss) income before reclassifications</w:t>
            </w:r>
          </w:p>
        </w:tc>
        <w:tc>
          <w:tcPr>
            <w:tcW w:w="160" w:type="dxa"/>
            <w:vAlign w:val="bottom"/>
          </w:tcPr>
          <w:p>
            <w:pPr>
              <w:spacing w:after="0"/>
              <w:rPr>
                <w:sz w:val="21"/>
                <w:szCs w:val="21"/>
                <w:color w:val="auto"/>
              </w:rPr>
            </w:pPr>
          </w:p>
        </w:tc>
        <w:tc>
          <w:tcPr>
            <w:tcW w:w="1140" w:type="dxa"/>
            <w:vAlign w:val="bottom"/>
          </w:tcPr>
          <w:p>
            <w:pPr>
              <w:jc w:val="right"/>
              <w:ind w:right="4"/>
              <w:spacing w:after="0"/>
              <w:rPr>
                <w:sz w:val="20"/>
                <w:szCs w:val="20"/>
                <w:color w:val="auto"/>
              </w:rPr>
            </w:pPr>
            <w:r>
              <w:rPr>
                <w:rFonts w:ascii="Arial" w:cs="Arial" w:eastAsia="Arial" w:hAnsi="Arial"/>
                <w:sz w:val="16"/>
                <w:szCs w:val="16"/>
                <w:b w:val="1"/>
                <w:bCs w:val="1"/>
                <w:color w:val="auto"/>
              </w:rPr>
              <w:t>(2,814)</w:t>
            </w:r>
          </w:p>
        </w:tc>
        <w:tc>
          <w:tcPr>
            <w:tcW w:w="200" w:type="dxa"/>
            <w:vAlign w:val="bottom"/>
          </w:tcPr>
          <w:p>
            <w:pPr>
              <w:spacing w:after="0"/>
              <w:rPr>
                <w:sz w:val="21"/>
                <w:szCs w:val="21"/>
                <w:color w:val="auto"/>
              </w:rPr>
            </w:pPr>
          </w:p>
        </w:tc>
        <w:tc>
          <w:tcPr>
            <w:tcW w:w="1380" w:type="dxa"/>
            <w:vAlign w:val="bottom"/>
          </w:tcPr>
          <w:p>
            <w:pPr>
              <w:jc w:val="right"/>
              <w:ind w:right="4"/>
              <w:spacing w:after="0"/>
              <w:rPr>
                <w:sz w:val="20"/>
                <w:szCs w:val="20"/>
                <w:color w:val="auto"/>
              </w:rPr>
            </w:pPr>
            <w:r>
              <w:rPr>
                <w:rFonts w:ascii="Arial" w:cs="Arial" w:eastAsia="Arial" w:hAnsi="Arial"/>
                <w:sz w:val="16"/>
                <w:szCs w:val="16"/>
                <w:b w:val="1"/>
                <w:bCs w:val="1"/>
                <w:color w:val="auto"/>
              </w:rPr>
              <w:t>(33,156)</w:t>
            </w:r>
          </w:p>
        </w:tc>
        <w:tc>
          <w:tcPr>
            <w:tcW w:w="160" w:type="dxa"/>
            <w:vAlign w:val="bottom"/>
          </w:tcPr>
          <w:p>
            <w:pPr>
              <w:spacing w:after="0"/>
              <w:rPr>
                <w:sz w:val="21"/>
                <w:szCs w:val="21"/>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b w:val="1"/>
                <w:bCs w:val="1"/>
                <w:color w:val="auto"/>
              </w:rPr>
              <w:t>1,159</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(34,811)</w:t>
            </w:r>
          </w:p>
        </w:tc>
        <w:tc>
          <w:tcPr>
            <w:tcW w:w="0" w:type="dxa"/>
            <w:vAlign w:val="bottom"/>
          </w:tcPr>
          <w:p>
            <w:pPr>
              <w:spacing w:after="0"/>
              <w:rPr>
                <w:sz w:val="1"/>
                <w:szCs w:val="1"/>
                <w:color w:val="auto"/>
              </w:rPr>
            </w:pPr>
          </w:p>
        </w:tc>
      </w:tr>
      <w:tr>
        <w:trPr>
          <w:trHeight w:val="196"/>
        </w:trPr>
        <w:tc>
          <w:tcPr>
            <w:tcW w:w="5760" w:type="dxa"/>
            <w:vAlign w:val="bottom"/>
          </w:tcPr>
          <w:p>
            <w:pPr>
              <w:ind w:left="140"/>
              <w:spacing w:after="0"/>
              <w:rPr>
                <w:sz w:val="20"/>
                <w:szCs w:val="20"/>
                <w:color w:val="auto"/>
              </w:rPr>
            </w:pPr>
            <w:r>
              <w:rPr>
                <w:rFonts w:ascii="Arial" w:cs="Arial" w:eastAsia="Arial" w:hAnsi="Arial"/>
                <w:sz w:val="16"/>
                <w:szCs w:val="16"/>
                <w:b w:val="1"/>
                <w:bCs w:val="1"/>
                <w:color w:val="auto"/>
              </w:rPr>
              <w:t>Net amount reclassified from accumulated other comprehensive income</w:t>
            </w:r>
          </w:p>
        </w:tc>
        <w:tc>
          <w:tcPr>
            <w:tcW w:w="160" w:type="dxa"/>
            <w:vAlign w:val="bottom"/>
          </w:tcPr>
          <w:p>
            <w:pPr>
              <w:spacing w:after="0"/>
              <w:rPr>
                <w:sz w:val="17"/>
                <w:szCs w:val="17"/>
                <w:color w:val="auto"/>
              </w:rPr>
            </w:pPr>
          </w:p>
        </w:tc>
        <w:tc>
          <w:tcPr>
            <w:tcW w:w="1140" w:type="dxa"/>
            <w:vAlign w:val="bottom"/>
            <w:vMerge w:val="restart"/>
          </w:tcPr>
          <w:p>
            <w:pPr>
              <w:jc w:val="right"/>
              <w:ind w:right="44"/>
              <w:spacing w:after="0"/>
              <w:rPr>
                <w:sz w:val="20"/>
                <w:szCs w:val="20"/>
                <w:color w:val="auto"/>
              </w:rPr>
            </w:pPr>
            <w:r>
              <w:rPr>
                <w:rFonts w:ascii="Arial" w:cs="Arial" w:eastAsia="Arial" w:hAnsi="Arial"/>
                <w:sz w:val="16"/>
                <w:szCs w:val="16"/>
                <w:b w:val="1"/>
                <w:bCs w:val="1"/>
                <w:color w:val="auto"/>
              </w:rPr>
              <w:t>6,175</w:t>
            </w:r>
          </w:p>
        </w:tc>
        <w:tc>
          <w:tcPr>
            <w:tcW w:w="200" w:type="dxa"/>
            <w:vAlign w:val="bottom"/>
          </w:tcPr>
          <w:p>
            <w:pPr>
              <w:spacing w:after="0"/>
              <w:rPr>
                <w:sz w:val="17"/>
                <w:szCs w:val="17"/>
                <w:color w:val="auto"/>
              </w:rPr>
            </w:pPr>
          </w:p>
        </w:tc>
        <w:tc>
          <w:tcPr>
            <w:tcW w:w="1380" w:type="dxa"/>
            <w:vAlign w:val="bottom"/>
            <w:vMerge w:val="restart"/>
          </w:tcPr>
          <w:p>
            <w:pPr>
              <w:jc w:val="right"/>
              <w:ind w:right="4"/>
              <w:spacing w:after="0"/>
              <w:rPr>
                <w:sz w:val="20"/>
                <w:szCs w:val="20"/>
                <w:color w:val="auto"/>
              </w:rPr>
            </w:pPr>
            <w:r>
              <w:rPr>
                <w:rFonts w:ascii="Arial" w:cs="Arial" w:eastAsia="Arial" w:hAnsi="Arial"/>
                <w:sz w:val="16"/>
                <w:szCs w:val="16"/>
                <w:b w:val="1"/>
                <w:bCs w:val="1"/>
                <w:color w:val="auto"/>
              </w:rPr>
              <w:t>(114,065)</w:t>
            </w:r>
          </w:p>
        </w:tc>
        <w:tc>
          <w:tcPr>
            <w:tcW w:w="160" w:type="dxa"/>
            <w:vAlign w:val="bottom"/>
          </w:tcPr>
          <w:p>
            <w:pPr>
              <w:spacing w:after="0"/>
              <w:rPr>
                <w:sz w:val="17"/>
                <w:szCs w:val="17"/>
                <w:color w:val="auto"/>
              </w:rPr>
            </w:pPr>
          </w:p>
        </w:tc>
        <w:tc>
          <w:tcPr>
            <w:tcW w:w="940" w:type="dxa"/>
            <w:vAlign w:val="bottom"/>
            <w:vMerge w:val="restart"/>
          </w:tcPr>
          <w:p>
            <w:pPr>
              <w:jc w:val="right"/>
              <w:ind w:right="42"/>
              <w:spacing w:after="0"/>
              <w:rPr>
                <w:sz w:val="20"/>
                <w:szCs w:val="20"/>
                <w:color w:val="auto"/>
              </w:rPr>
            </w:pPr>
            <w:r>
              <w:rPr>
                <w:rFonts w:ascii="Arial" w:cs="Arial" w:eastAsia="Arial" w:hAnsi="Arial"/>
                <w:sz w:val="16"/>
                <w:szCs w:val="16"/>
                <w:b w:val="1"/>
                <w:bCs w:val="1"/>
                <w:color w:val="auto"/>
              </w:rPr>
              <w:t>498</w:t>
            </w:r>
          </w:p>
        </w:tc>
        <w:tc>
          <w:tcPr>
            <w:tcW w:w="200" w:type="dxa"/>
            <w:vAlign w:val="bottom"/>
          </w:tcPr>
          <w:p>
            <w:pPr>
              <w:spacing w:after="0"/>
              <w:rPr>
                <w:sz w:val="17"/>
                <w:szCs w:val="17"/>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(107,392)</w:t>
            </w:r>
          </w:p>
        </w:tc>
        <w:tc>
          <w:tcPr>
            <w:tcW w:w="0" w:type="dxa"/>
            <w:vAlign w:val="bottom"/>
          </w:tcPr>
          <w:p>
            <w:pPr>
              <w:spacing w:after="0"/>
              <w:rPr>
                <w:sz w:val="1"/>
                <w:szCs w:val="1"/>
                <w:color w:val="auto"/>
              </w:rPr>
            </w:pPr>
          </w:p>
        </w:tc>
      </w:tr>
      <w:tr>
        <w:trPr>
          <w:trHeight w:val="224"/>
        </w:trPr>
        <w:tc>
          <w:tcPr>
            <w:tcW w:w="5760" w:type="dxa"/>
            <w:vAlign w:val="bottom"/>
          </w:tcPr>
          <w:p>
            <w:pPr>
              <w:ind w:left="220"/>
              <w:spacing w:after="0"/>
              <w:rPr>
                <w:sz w:val="20"/>
                <w:szCs w:val="20"/>
                <w:color w:val="auto"/>
              </w:rPr>
            </w:pPr>
            <w:r>
              <w:rPr>
                <w:rFonts w:ascii="Arial" w:cs="Arial" w:eastAsia="Arial" w:hAnsi="Arial"/>
                <w:sz w:val="16"/>
                <w:szCs w:val="16"/>
                <w:b w:val="1"/>
                <w:bCs w:val="1"/>
                <w:color w:val="auto"/>
              </w:rPr>
              <w:t>(loss)</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760" w:type="dxa"/>
            <w:vAlign w:val="bottom"/>
          </w:tcPr>
          <w:p>
            <w:pPr>
              <w:ind w:left="140"/>
              <w:spacing w:after="0"/>
              <w:rPr>
                <w:sz w:val="20"/>
                <w:szCs w:val="20"/>
                <w:color w:val="auto"/>
              </w:rPr>
            </w:pPr>
            <w:r>
              <w:rPr>
                <w:rFonts w:ascii="Arial" w:cs="Arial" w:eastAsia="Arial" w:hAnsi="Arial"/>
                <w:sz w:val="16"/>
                <w:szCs w:val="16"/>
                <w:b w:val="1"/>
                <w:bCs w:val="1"/>
                <w:color w:val="auto"/>
              </w:rPr>
              <w:t>Net other comprehensive (loss) income</w:t>
            </w: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b w:val="1"/>
                <w:bCs w:val="1"/>
                <w:color w:val="auto"/>
              </w:rPr>
              <w:t>3,361</w:t>
            </w: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b w:val="1"/>
                <w:bCs w:val="1"/>
                <w:color w:val="auto"/>
              </w:rPr>
              <w:t>(147,221)</w:t>
            </w: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1,657</w:t>
            </w: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(142,203)</w:t>
            </w:r>
          </w:p>
        </w:tc>
        <w:tc>
          <w:tcPr>
            <w:tcW w:w="0" w:type="dxa"/>
            <w:vAlign w:val="bottom"/>
          </w:tcPr>
          <w:p>
            <w:pPr>
              <w:spacing w:after="0"/>
              <w:rPr>
                <w:sz w:val="1"/>
                <w:szCs w:val="1"/>
                <w:color w:val="auto"/>
              </w:rPr>
            </w:pPr>
          </w:p>
        </w:tc>
      </w:tr>
      <w:tr>
        <w:trPr>
          <w:trHeight w:val="240"/>
        </w:trPr>
        <w:tc>
          <w:tcPr>
            <w:tcW w:w="5760" w:type="dxa"/>
            <w:vAlign w:val="bottom"/>
          </w:tcPr>
          <w:p>
            <w:pPr>
              <w:ind w:left="20"/>
              <w:spacing w:after="0"/>
              <w:rPr>
                <w:sz w:val="20"/>
                <w:szCs w:val="20"/>
                <w:color w:val="auto"/>
              </w:rPr>
            </w:pPr>
            <w:r>
              <w:rPr>
                <w:rFonts w:ascii="Arial" w:cs="Arial" w:eastAsia="Arial" w:hAnsi="Arial"/>
                <w:sz w:val="16"/>
                <w:szCs w:val="16"/>
                <w:b w:val="1"/>
                <w:bCs w:val="1"/>
                <w:color w:val="auto"/>
              </w:rPr>
              <w:t>As of September 30, 2026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b w:val="1"/>
                <w:bCs w:val="1"/>
                <w:color w:val="auto"/>
              </w:rPr>
              <w:t>(8,901)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auto"/>
            </w:tcBorders>
          </w:tcPr>
          <w:p>
            <w:pPr>
              <w:jc w:val="right"/>
              <w:ind w:right="64"/>
              <w:spacing w:after="0"/>
              <w:rPr>
                <w:sz w:val="20"/>
                <w:szCs w:val="20"/>
                <w:color w:val="auto"/>
              </w:rPr>
            </w:pPr>
            <w:r>
              <w:rPr>
                <w:rFonts w:ascii="Arial" w:cs="Arial" w:eastAsia="Arial" w:hAnsi="Arial"/>
                <w:sz w:val="16"/>
                <w:szCs w:val="16"/>
                <w:b w:val="1"/>
                <w:bCs w:val="1"/>
                <w:color w:val="auto"/>
              </w:rPr>
              <w:t>453,843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(65)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444,877</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31" w:right="339"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color w:val="auto"/>
        </w:rPr>
        <w:t>The amounts and line items of reclassifications out of Accumulated Other Comprehensive Income (Loss) are as follows: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208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Nine Months Ended</w:t>
            </w:r>
          </w:p>
        </w:tc>
        <w:tc>
          <w:tcPr>
            <w:tcW w:w="2360" w:type="dxa"/>
            <w:vAlign w:val="bottom"/>
            <w:vMerge w:val="restart"/>
          </w:tcPr>
          <w:p>
            <w:pPr>
              <w:jc w:val="center"/>
              <w:ind w:left="28"/>
              <w:spacing w:after="0"/>
              <w:rPr>
                <w:sz w:val="20"/>
                <w:szCs w:val="20"/>
                <w:color w:val="auto"/>
              </w:rPr>
            </w:pPr>
            <w:r>
              <w:rPr>
                <w:rFonts w:ascii="Arial" w:cs="Arial" w:eastAsia="Arial" w:hAnsi="Arial"/>
                <w:sz w:val="14"/>
                <w:szCs w:val="14"/>
                <w:b w:val="1"/>
                <w:bCs w:val="1"/>
                <w:color w:val="auto"/>
              </w:rPr>
              <w:t>Affected Line Item in the</w:t>
            </w:r>
          </w:p>
        </w:tc>
        <w:tc>
          <w:tcPr>
            <w:tcW w:w="0" w:type="dxa"/>
            <w:vAlign w:val="bottom"/>
          </w:tcPr>
          <w:p>
            <w:pPr>
              <w:spacing w:after="0"/>
              <w:rPr>
                <w:sz w:val="1"/>
                <w:szCs w:val="1"/>
                <w:color w:val="auto"/>
              </w:rPr>
            </w:pPr>
          </w:p>
        </w:tc>
      </w:tr>
      <w:tr>
        <w:trPr>
          <w:trHeight w:val="81"/>
        </w:trPr>
        <w:tc>
          <w:tcPr>
            <w:tcW w:w="43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900" w:type="dxa"/>
            <w:vAlign w:val="bottom"/>
            <w:gridSpan w:val="3"/>
            <w:vMerge w:val="restart"/>
          </w:tcPr>
          <w:p>
            <w:pPr>
              <w:jc w:val="right"/>
              <w:ind w:right="500"/>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Pr>
          <w:p>
            <w:pPr>
              <w:spacing w:after="0"/>
              <w:rPr>
                <w:sz w:val="7"/>
                <w:szCs w:val="7"/>
                <w:color w:val="auto"/>
              </w:rPr>
            </w:pPr>
          </w:p>
        </w:tc>
        <w:tc>
          <w:tcPr>
            <w:tcW w:w="2080" w:type="dxa"/>
            <w:vAlign w:val="bottom"/>
            <w:gridSpan w:val="3"/>
            <w:vMerge w:val="restart"/>
          </w:tcPr>
          <w:p>
            <w:pPr>
              <w:jc w:val="right"/>
              <w:ind w:right="600"/>
              <w:spacing w:after="0"/>
              <w:rPr>
                <w:sz w:val="20"/>
                <w:szCs w:val="20"/>
                <w:color w:val="auto"/>
              </w:rPr>
            </w:pPr>
            <w:r>
              <w:rPr>
                <w:rFonts w:ascii="Arial" w:cs="Arial" w:eastAsia="Arial" w:hAnsi="Arial"/>
                <w:sz w:val="14"/>
                <w:szCs w:val="14"/>
                <w:b w:val="1"/>
                <w:bCs w:val="1"/>
                <w:color w:val="auto"/>
              </w:rPr>
              <w:t>September 30</w:t>
            </w:r>
          </w:p>
        </w:tc>
        <w:tc>
          <w:tcPr>
            <w:tcW w:w="2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436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gridSpan w:val="3"/>
            <w:vMerge w:val="continue"/>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080" w:type="dxa"/>
            <w:vAlign w:val="bottom"/>
            <w:tcBorders>
              <w:bottom w:val="single" w:sz="8" w:color="auto"/>
            </w:tcBorders>
            <w:gridSpan w:val="3"/>
            <w:vMerge w:val="continue"/>
          </w:tcPr>
          <w:p>
            <w:pPr>
              <w:spacing w:after="0"/>
              <w:rPr>
                <w:sz w:val="10"/>
                <w:szCs w:val="10"/>
                <w:color w:val="auto"/>
              </w:rPr>
            </w:pPr>
          </w:p>
        </w:tc>
        <w:tc>
          <w:tcPr>
            <w:tcW w:w="2360" w:type="dxa"/>
            <w:vAlign w:val="bottom"/>
          </w:tcPr>
          <w:p>
            <w:pPr>
              <w:jc w:val="center"/>
              <w:ind w:left="28"/>
              <w:spacing w:after="0" w:line="125" w:lineRule="exact"/>
              <w:rPr>
                <w:sz w:val="20"/>
                <w:szCs w:val="20"/>
                <w:color w:val="auto"/>
              </w:rPr>
            </w:pPr>
            <w:r>
              <w:rPr>
                <w:rFonts w:ascii="Arial" w:cs="Arial" w:eastAsia="Arial" w:hAnsi="Arial"/>
                <w:sz w:val="14"/>
                <w:szCs w:val="14"/>
                <w:b w:val="1"/>
                <w:bCs w:val="1"/>
                <w:color w:val="auto"/>
              </w:rPr>
              <w:t>Condensed Consolidated</w:t>
            </w:r>
          </w:p>
        </w:tc>
        <w:tc>
          <w:tcPr>
            <w:tcW w:w="0" w:type="dxa"/>
            <w:vAlign w:val="bottom"/>
          </w:tcPr>
          <w:p>
            <w:pPr>
              <w:spacing w:after="0"/>
              <w:rPr>
                <w:sz w:val="1"/>
                <w:szCs w:val="1"/>
                <w:color w:val="auto"/>
              </w:rPr>
            </w:pPr>
          </w:p>
        </w:tc>
      </w:tr>
      <w:tr>
        <w:trPr>
          <w:trHeight w:val="223"/>
        </w:trPr>
        <w:tc>
          <w:tcPr>
            <w:tcW w:w="43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2026</w:t>
            </w: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color w:val="auto"/>
              </w:rPr>
              <w:t>2025</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2026</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2025</w:t>
            </w:r>
          </w:p>
        </w:tc>
        <w:tc>
          <w:tcPr>
            <w:tcW w:w="236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rPr>
              <w:t>Statements of Operations</w:t>
            </w:r>
          </w:p>
        </w:tc>
        <w:tc>
          <w:tcPr>
            <w:tcW w:w="0" w:type="dxa"/>
            <w:vAlign w:val="bottom"/>
          </w:tcPr>
          <w:p>
            <w:pPr>
              <w:spacing w:after="0"/>
              <w:rPr>
                <w:sz w:val="1"/>
                <w:szCs w:val="1"/>
                <w:color w:val="auto"/>
              </w:rPr>
            </w:pPr>
          </w:p>
        </w:tc>
      </w:tr>
      <w:tr>
        <w:trPr>
          <w:trHeight w:val="236"/>
        </w:trPr>
        <w:tc>
          <w:tcPr>
            <w:tcW w:w="4360" w:type="dxa"/>
            <w:vAlign w:val="bottom"/>
          </w:tcPr>
          <w:p>
            <w:pPr>
              <w:ind w:left="20"/>
              <w:spacing w:after="0"/>
              <w:rPr>
                <w:sz w:val="20"/>
                <w:szCs w:val="20"/>
                <w:color w:val="auto"/>
              </w:rPr>
            </w:pPr>
            <w:r>
              <w:rPr>
                <w:rFonts w:ascii="Arial" w:cs="Arial" w:eastAsia="Arial" w:hAnsi="Arial"/>
                <w:sz w:val="16"/>
                <w:szCs w:val="16"/>
                <w:b w:val="1"/>
                <w:bCs w:val="1"/>
                <w:color w:val="auto"/>
              </w:rPr>
              <w:t>Foreign Currency Translation Adjustments:</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80" w:type="dxa"/>
            <w:vAlign w:val="bottom"/>
            <w:gridSpan w:val="2"/>
          </w:tcPr>
          <w:p>
            <w:pPr>
              <w:ind w:left="140"/>
              <w:spacing w:after="0"/>
              <w:rPr>
                <w:sz w:val="20"/>
                <w:szCs w:val="20"/>
                <w:color w:val="auto"/>
              </w:rPr>
            </w:pPr>
            <w:r>
              <w:rPr>
                <w:rFonts w:ascii="Arial" w:cs="Arial" w:eastAsia="Arial" w:hAnsi="Arial"/>
                <w:sz w:val="16"/>
                <w:szCs w:val="16"/>
                <w:color w:val="auto"/>
              </w:rPr>
              <w:t xml:space="preserve">Adjustment for sales of businesses with foreign operations </w:t>
            </w:r>
            <w:r>
              <w:rPr>
                <w:rFonts w:ascii="Arial" w:cs="Arial" w:eastAsia="Arial" w:hAnsi="Arial"/>
                <w:sz w:val="16"/>
                <w:szCs w:val="16"/>
                <w:b w:val="1"/>
                <w:bCs w:val="1"/>
                <w:color w:val="auto"/>
              </w:rPr>
              <w:t>$</w:t>
            </w:r>
          </w:p>
        </w:tc>
        <w:tc>
          <w:tcPr>
            <w:tcW w:w="82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6,175</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646</w:t>
            </w:r>
          </w:p>
        </w:tc>
        <w:tc>
          <w:tcPr>
            <w:tcW w:w="2360" w:type="dxa"/>
            <w:vAlign w:val="bottom"/>
          </w:tcPr>
          <w:p>
            <w:pPr>
              <w:ind w:left="120"/>
              <w:spacing w:after="0"/>
              <w:rPr>
                <w:sz w:val="20"/>
                <w:szCs w:val="20"/>
                <w:color w:val="auto"/>
              </w:rPr>
            </w:pPr>
            <w:r>
              <w:rPr>
                <w:rFonts w:ascii="Arial" w:cs="Arial" w:eastAsia="Arial" w:hAnsi="Arial"/>
                <w:sz w:val="14"/>
                <w:szCs w:val="14"/>
                <w:color w:val="auto"/>
              </w:rPr>
              <w:t>Other (expense) income, net</w:t>
            </w:r>
          </w:p>
        </w:tc>
        <w:tc>
          <w:tcPr>
            <w:tcW w:w="0" w:type="dxa"/>
            <w:vAlign w:val="bottom"/>
          </w:tcPr>
          <w:p>
            <w:pPr>
              <w:spacing w:after="0"/>
              <w:rPr>
                <w:sz w:val="1"/>
                <w:szCs w:val="1"/>
                <w:color w:val="auto"/>
              </w:rPr>
            </w:pPr>
          </w:p>
        </w:tc>
      </w:tr>
      <w:tr>
        <w:trPr>
          <w:trHeight w:val="243"/>
        </w:trPr>
        <w:tc>
          <w:tcPr>
            <w:tcW w:w="4360" w:type="dxa"/>
            <w:vAlign w:val="bottom"/>
          </w:tcPr>
          <w:p>
            <w:pPr>
              <w:ind w:left="20"/>
              <w:spacing w:after="0"/>
              <w:rPr>
                <w:sz w:val="20"/>
                <w:szCs w:val="20"/>
                <w:color w:val="auto"/>
              </w:rPr>
            </w:pPr>
            <w:r>
              <w:rPr>
                <w:rFonts w:ascii="Arial" w:cs="Arial" w:eastAsia="Arial" w:hAnsi="Arial"/>
                <w:sz w:val="16"/>
                <w:szCs w:val="16"/>
                <w:b w:val="1"/>
                <w:bCs w:val="1"/>
                <w:color w:val="auto"/>
              </w:rPr>
              <w:t>Pension and Other Postretirement Plans:</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140"/>
              <w:spacing w:after="0"/>
              <w:rPr>
                <w:sz w:val="20"/>
                <w:szCs w:val="20"/>
                <w:color w:val="auto"/>
              </w:rPr>
            </w:pPr>
            <w:r>
              <w:rPr>
                <w:rFonts w:ascii="Arial" w:cs="Arial" w:eastAsia="Arial" w:hAnsi="Arial"/>
                <w:sz w:val="16"/>
                <w:szCs w:val="16"/>
                <w:color w:val="auto"/>
              </w:rPr>
              <w:t>Amortization of net prior service credit</w:t>
            </w:r>
          </w:p>
        </w:tc>
        <w:tc>
          <w:tcPr>
            <w:tcW w:w="220" w:type="dxa"/>
            <w:vAlign w:val="bottom"/>
          </w:tcPr>
          <w:p>
            <w:pPr>
              <w:spacing w:after="0"/>
              <w:rPr>
                <w:sz w:val="21"/>
                <w:szCs w:val="21"/>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b w:val="1"/>
                <w:bCs w:val="1"/>
                <w:color w:val="auto"/>
              </w:rPr>
              <w:t>(496)</w:t>
            </w: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(520)</w:t>
            </w:r>
          </w:p>
        </w:tc>
        <w:tc>
          <w:tcPr>
            <w:tcW w:w="320" w:type="dxa"/>
            <w:vAlign w:val="bottom"/>
          </w:tcPr>
          <w:p>
            <w:pPr>
              <w:spacing w:after="0"/>
              <w:rPr>
                <w:sz w:val="21"/>
                <w:szCs w:val="21"/>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b w:val="1"/>
                <w:bCs w:val="1"/>
                <w:color w:val="auto"/>
              </w:rPr>
              <w:t>(1,489)</w:t>
            </w: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(1,560)</w:t>
            </w:r>
          </w:p>
        </w:tc>
        <w:tc>
          <w:tcPr>
            <w:tcW w:w="2360" w:type="dxa"/>
            <w:vAlign w:val="bottom"/>
          </w:tcPr>
          <w:p>
            <w:pPr>
              <w:ind w:left="12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43"/>
        </w:trPr>
        <w:tc>
          <w:tcPr>
            <w:tcW w:w="4360" w:type="dxa"/>
            <w:vAlign w:val="bottom"/>
          </w:tcPr>
          <w:p>
            <w:pPr>
              <w:ind w:left="140"/>
              <w:spacing w:after="0"/>
              <w:rPr>
                <w:sz w:val="20"/>
                <w:szCs w:val="20"/>
                <w:color w:val="auto"/>
              </w:rPr>
            </w:pPr>
            <w:r>
              <w:rPr>
                <w:rFonts w:ascii="Arial" w:cs="Arial" w:eastAsia="Arial" w:hAnsi="Arial"/>
                <w:sz w:val="16"/>
                <w:szCs w:val="16"/>
                <w:color w:val="auto"/>
              </w:rPr>
              <w:t>Amortization of net actuarial gain</w:t>
            </w:r>
          </w:p>
        </w:tc>
        <w:tc>
          <w:tcPr>
            <w:tcW w:w="220" w:type="dxa"/>
            <w:vAlign w:val="bottom"/>
          </w:tcPr>
          <w:p>
            <w:pPr>
              <w:spacing w:after="0"/>
              <w:rPr>
                <w:sz w:val="21"/>
                <w:szCs w:val="21"/>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b w:val="1"/>
                <w:bCs w:val="1"/>
                <w:color w:val="auto"/>
              </w:rPr>
              <w:t>(258)</w:t>
            </w: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(378)</w:t>
            </w:r>
          </w:p>
        </w:tc>
        <w:tc>
          <w:tcPr>
            <w:tcW w:w="320" w:type="dxa"/>
            <w:vAlign w:val="bottom"/>
          </w:tcPr>
          <w:p>
            <w:pPr>
              <w:spacing w:after="0"/>
              <w:rPr>
                <w:sz w:val="21"/>
                <w:szCs w:val="21"/>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b w:val="1"/>
                <w:bCs w:val="1"/>
                <w:color w:val="auto"/>
              </w:rPr>
              <w:t>(774)</w:t>
            </w: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(1,137)</w:t>
            </w:r>
          </w:p>
        </w:tc>
        <w:tc>
          <w:tcPr>
            <w:tcW w:w="2360" w:type="dxa"/>
            <w:vAlign w:val="bottom"/>
          </w:tcPr>
          <w:p>
            <w:pPr>
              <w:ind w:left="12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47"/>
        </w:trPr>
        <w:tc>
          <w:tcPr>
            <w:tcW w:w="4360" w:type="dxa"/>
            <w:vAlign w:val="bottom"/>
          </w:tcPr>
          <w:p>
            <w:pPr>
              <w:ind w:left="140"/>
              <w:spacing w:after="0"/>
              <w:rPr>
                <w:sz w:val="20"/>
                <w:szCs w:val="20"/>
                <w:color w:val="auto"/>
              </w:rPr>
            </w:pPr>
            <w:r>
              <w:rPr>
                <w:rFonts w:ascii="Arial" w:cs="Arial" w:eastAsia="Arial" w:hAnsi="Arial"/>
                <w:sz w:val="16"/>
                <w:szCs w:val="16"/>
                <w:color w:val="auto"/>
              </w:rPr>
              <w:t>Settlement gain</w:t>
            </w: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(14,950)</w:t>
            </w:r>
          </w:p>
        </w:tc>
        <w:tc>
          <w:tcPr>
            <w:tcW w:w="2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(151,905)</w:t>
            </w:r>
          </w:p>
        </w:tc>
        <w:tc>
          <w:tcPr>
            <w:tcW w:w="3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360" w:type="dxa"/>
            <w:vAlign w:val="bottom"/>
          </w:tcPr>
          <w:p>
            <w:pPr>
              <w:ind w:left="12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33"/>
        </w:trPr>
        <w:tc>
          <w:tcPr>
            <w:tcW w:w="4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b w:val="1"/>
                <w:bCs w:val="1"/>
                <w:color w:val="auto"/>
              </w:rPr>
              <w:t>(15,704)</w:t>
            </w:r>
          </w:p>
        </w:tc>
        <w:tc>
          <w:tcPr>
            <w:tcW w:w="2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(898)</w:t>
            </w:r>
          </w:p>
        </w:tc>
        <w:tc>
          <w:tcPr>
            <w:tcW w:w="320" w:type="dxa"/>
            <w:vAlign w:val="bottom"/>
          </w:tcPr>
          <w:p>
            <w:pPr>
              <w:spacing w:after="0"/>
              <w:rPr>
                <w:sz w:val="20"/>
                <w:szCs w:val="20"/>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b w:val="1"/>
                <w:bCs w:val="1"/>
                <w:color w:val="auto"/>
              </w:rPr>
              <w:t>(154,168)</w:t>
            </w: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(2,697)</w:t>
            </w:r>
          </w:p>
        </w:tc>
        <w:tc>
          <w:tcPr>
            <w:tcW w:w="2360" w:type="dxa"/>
            <w:vAlign w:val="bottom"/>
          </w:tcPr>
          <w:p>
            <w:pPr>
              <w:ind w:left="120"/>
              <w:spacing w:after="0"/>
              <w:rPr>
                <w:sz w:val="20"/>
                <w:szCs w:val="20"/>
                <w:color w:val="auto"/>
              </w:rPr>
            </w:pPr>
            <w:r>
              <w:rPr>
                <w:rFonts w:ascii="Arial" w:cs="Arial" w:eastAsia="Arial" w:hAnsi="Arial"/>
                <w:sz w:val="14"/>
                <w:szCs w:val="14"/>
                <w:color w:val="auto"/>
              </w:rPr>
              <w:t>Before tax</w:t>
            </w:r>
          </w:p>
        </w:tc>
        <w:tc>
          <w:tcPr>
            <w:tcW w:w="0" w:type="dxa"/>
            <w:vAlign w:val="bottom"/>
          </w:tcPr>
          <w:p>
            <w:pPr>
              <w:spacing w:after="0"/>
              <w:rPr>
                <w:sz w:val="1"/>
                <w:szCs w:val="1"/>
                <w:color w:val="auto"/>
              </w:rPr>
            </w:pPr>
          </w:p>
        </w:tc>
      </w:tr>
      <w:tr>
        <w:trPr>
          <w:trHeight w:val="247"/>
        </w:trPr>
        <w:tc>
          <w:tcPr>
            <w:tcW w:w="43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4,085</w:t>
            </w:r>
          </w:p>
        </w:tc>
        <w:tc>
          <w:tcPr>
            <w:tcW w:w="2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229</w:t>
            </w:r>
          </w:p>
        </w:tc>
        <w:tc>
          <w:tcPr>
            <w:tcW w:w="3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40,103</w:t>
            </w:r>
          </w:p>
        </w:tc>
        <w:tc>
          <w:tcPr>
            <w:tcW w:w="3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690</w:t>
            </w:r>
          </w:p>
        </w:tc>
        <w:tc>
          <w:tcPr>
            <w:tcW w:w="2360" w:type="dxa"/>
            <w:vAlign w:val="bottom"/>
          </w:tcPr>
          <w:p>
            <w:pPr>
              <w:ind w:left="120"/>
              <w:spacing w:after="0"/>
              <w:rPr>
                <w:sz w:val="20"/>
                <w:szCs w:val="20"/>
                <w:color w:val="auto"/>
              </w:rPr>
            </w:pPr>
            <w:r>
              <w:rPr>
                <w:rFonts w:ascii="Arial" w:cs="Arial" w:eastAsia="Arial" w:hAnsi="Arial"/>
                <w:sz w:val="14"/>
                <w:szCs w:val="14"/>
                <w:color w:val="auto"/>
              </w:rPr>
              <w:t>Provision for Income Taxes</w:t>
            </w:r>
          </w:p>
        </w:tc>
        <w:tc>
          <w:tcPr>
            <w:tcW w:w="0" w:type="dxa"/>
            <w:vAlign w:val="bottom"/>
          </w:tcPr>
          <w:p>
            <w:pPr>
              <w:spacing w:after="0"/>
              <w:rPr>
                <w:sz w:val="1"/>
                <w:szCs w:val="1"/>
                <w:color w:val="auto"/>
              </w:rPr>
            </w:pPr>
          </w:p>
        </w:tc>
      </w:tr>
      <w:tr>
        <w:trPr>
          <w:trHeight w:val="234"/>
        </w:trPr>
        <w:tc>
          <w:tcPr>
            <w:tcW w:w="43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(11,619)</w:t>
            </w: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(669)</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(114,065)</w:t>
            </w: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(2,007)</w:t>
            </w:r>
          </w:p>
        </w:tc>
        <w:tc>
          <w:tcPr>
            <w:tcW w:w="2360" w:type="dxa"/>
            <w:vAlign w:val="bottom"/>
          </w:tcPr>
          <w:p>
            <w:pPr>
              <w:ind w:left="120"/>
              <w:spacing w:after="0"/>
              <w:rPr>
                <w:sz w:val="20"/>
                <w:szCs w:val="20"/>
                <w:color w:val="auto"/>
              </w:rPr>
            </w:pPr>
            <w:r>
              <w:rPr>
                <w:rFonts w:ascii="Arial" w:cs="Arial" w:eastAsia="Arial" w:hAnsi="Arial"/>
                <w:sz w:val="14"/>
                <w:szCs w:val="14"/>
                <w:color w:val="auto"/>
              </w:rPr>
              <w:t>Net of Tax</w:t>
            </w:r>
          </w:p>
        </w:tc>
        <w:tc>
          <w:tcPr>
            <w:tcW w:w="0" w:type="dxa"/>
            <w:vAlign w:val="bottom"/>
          </w:tcPr>
          <w:p>
            <w:pPr>
              <w:spacing w:after="0"/>
              <w:rPr>
                <w:sz w:val="1"/>
                <w:szCs w:val="1"/>
                <w:color w:val="auto"/>
              </w:rPr>
            </w:pPr>
          </w:p>
        </w:tc>
      </w:tr>
      <w:tr>
        <w:trPr>
          <w:trHeight w:val="239"/>
        </w:trPr>
        <w:tc>
          <w:tcPr>
            <w:tcW w:w="4360" w:type="dxa"/>
            <w:vAlign w:val="bottom"/>
          </w:tcPr>
          <w:p>
            <w:pPr>
              <w:ind w:left="40"/>
              <w:spacing w:after="0"/>
              <w:rPr>
                <w:sz w:val="20"/>
                <w:szCs w:val="20"/>
                <w:color w:val="auto"/>
              </w:rPr>
            </w:pPr>
            <w:r>
              <w:rPr>
                <w:rFonts w:ascii="Arial" w:cs="Arial" w:eastAsia="Arial" w:hAnsi="Arial"/>
                <w:sz w:val="16"/>
                <w:szCs w:val="16"/>
                <w:b w:val="1"/>
                <w:bCs w:val="1"/>
                <w:color w:val="auto"/>
              </w:rPr>
              <w:t>Cash Flow Hedges</w:t>
            </w: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164</w:t>
            </w: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61</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498</w:t>
            </w: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w:t>
            </w:r>
          </w:p>
        </w:tc>
        <w:tc>
          <w:tcPr>
            <w:tcW w:w="2360" w:type="dxa"/>
            <w:vAlign w:val="bottom"/>
          </w:tcPr>
          <w:p>
            <w:pPr>
              <w:ind w:left="120"/>
              <w:spacing w:after="0"/>
              <w:rPr>
                <w:sz w:val="20"/>
                <w:szCs w:val="20"/>
                <w:color w:val="auto"/>
              </w:rPr>
            </w:pPr>
            <w:r>
              <w:rPr>
                <w:rFonts w:ascii="Arial" w:cs="Arial" w:eastAsia="Arial" w:hAnsi="Arial"/>
                <w:sz w:val="14"/>
                <w:szCs w:val="14"/>
                <w:color w:val="auto"/>
              </w:rPr>
              <w:t>Interest expense</w:t>
            </w:r>
          </w:p>
        </w:tc>
        <w:tc>
          <w:tcPr>
            <w:tcW w:w="0" w:type="dxa"/>
            <w:vAlign w:val="bottom"/>
          </w:tcPr>
          <w:p>
            <w:pPr>
              <w:spacing w:after="0"/>
              <w:rPr>
                <w:sz w:val="1"/>
                <w:szCs w:val="1"/>
                <w:color w:val="auto"/>
              </w:rPr>
            </w:pPr>
          </w:p>
        </w:tc>
      </w:tr>
      <w:tr>
        <w:trPr>
          <w:trHeight w:val="240"/>
        </w:trPr>
        <w:tc>
          <w:tcPr>
            <w:tcW w:w="4360" w:type="dxa"/>
            <w:vAlign w:val="bottom"/>
          </w:tcPr>
          <w:p>
            <w:pPr>
              <w:ind w:left="20"/>
              <w:spacing w:after="0"/>
              <w:rPr>
                <w:sz w:val="20"/>
                <w:szCs w:val="20"/>
                <w:color w:val="auto"/>
              </w:rPr>
            </w:pPr>
            <w:r>
              <w:rPr>
                <w:rFonts w:ascii="Arial" w:cs="Arial" w:eastAsia="Arial" w:hAnsi="Arial"/>
                <w:sz w:val="16"/>
                <w:szCs w:val="16"/>
                <w:b w:val="1"/>
                <w:bCs w:val="1"/>
                <w:color w:val="auto"/>
              </w:rPr>
              <w:t>Total reclassification for the period</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(11,455)</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(608)</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(107,392)</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(1,179)</w:t>
            </w:r>
          </w:p>
        </w:tc>
        <w:tc>
          <w:tcPr>
            <w:tcW w:w="2360" w:type="dxa"/>
            <w:vAlign w:val="bottom"/>
          </w:tcPr>
          <w:p>
            <w:pPr>
              <w:ind w:left="120"/>
              <w:spacing w:after="0"/>
              <w:rPr>
                <w:sz w:val="20"/>
                <w:szCs w:val="20"/>
                <w:color w:val="auto"/>
              </w:rPr>
            </w:pPr>
            <w:r>
              <w:rPr>
                <w:rFonts w:ascii="Arial" w:cs="Arial" w:eastAsia="Arial" w:hAnsi="Arial"/>
                <w:sz w:val="14"/>
                <w:szCs w:val="14"/>
                <w:color w:val="auto"/>
              </w:rPr>
              <w:t>Net of Tax</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4"/>
                <w:szCs w:val="14"/>
                <w:color w:val="auto"/>
              </w:rPr>
              <w:t>____________</w:t>
            </w: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43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420" w:right="240" w:hanging="412"/>
        <w:spacing w:after="0" w:line="264" w:lineRule="auto"/>
        <w:tabs>
          <w:tab w:leader="none" w:pos="348"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These accumulated other comprehensive income (loss) components are included in the computation of net periodic pension and postretirement plan cost (see Note 12) and are included in non-operating pension and postretirement benefit income in the Company’s Condensed Consolidated Statements of Operations.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CONTINGENCIES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Legal and Other Matters</w:t>
      </w:r>
      <w:r>
        <w:rPr>
          <w:rFonts w:ascii="Arial" w:cs="Arial" w:eastAsia="Arial" w:hAnsi="Arial"/>
          <w:sz w:val="18"/>
          <w:szCs w:val="18"/>
          <w:color w:val="auto"/>
        </w:rPr>
        <w:t>. The Company and its subsidiaries are subject to complaints and administrative proceedings and are</w:t>
      </w:r>
    </w:p>
    <w:p>
      <w:pPr>
        <w:spacing w:after="0" w:line="14"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defendants in various civil lawsuits that have arisen in the ordinary course of their businesses, including contract disputes; actions alleging negligence, libel, defamation and invasion of privacy; trademark, copyright and patent infringement; real estate lease and sublease disputes;</w:t>
      </w:r>
    </w:p>
    <w:p>
      <w:pPr>
        <w:spacing w:after="0" w:line="236" w:lineRule="auto"/>
        <w:rPr>
          <w:sz w:val="20"/>
          <w:szCs w:val="20"/>
          <w:color w:val="auto"/>
        </w:rPr>
      </w:pPr>
      <w:r>
        <w:rPr>
          <w:rFonts w:ascii="Arial" w:cs="Arial" w:eastAsia="Arial" w:hAnsi="Arial"/>
          <w:sz w:val="18"/>
          <w:szCs w:val="18"/>
          <w:color w:val="auto"/>
        </w:rPr>
        <w:t>violations of employment laws and applicable wage and hour laws; and statutory or common law claims involving current and former students</w:t>
      </w:r>
    </w:p>
    <w:p>
      <w:pPr>
        <w:spacing w:after="0" w:line="1" w:lineRule="exact"/>
        <w:rPr>
          <w:sz w:val="20"/>
          <w:szCs w:val="20"/>
          <w:color w:val="auto"/>
        </w:rPr>
      </w:pPr>
    </w:p>
    <w:p>
      <w:pPr>
        <w:ind w:right="140"/>
        <w:spacing w:after="0"/>
        <w:rPr>
          <w:sz w:val="20"/>
          <w:szCs w:val="20"/>
          <w:color w:val="auto"/>
        </w:rPr>
      </w:pPr>
      <w:r>
        <w:rPr>
          <w:rFonts w:ascii="Arial" w:cs="Arial" w:eastAsia="Arial" w:hAnsi="Arial"/>
          <w:sz w:val="17"/>
          <w:szCs w:val="17"/>
          <w:color w:val="auto"/>
        </w:rPr>
        <w:t>and employees. Although the outcomes of the legal claims and proceedings against the Company cannot be predicted with certainty, based on currently available information, management believes that there are no existing claims or proceedings that are likely to have a material</w:t>
      </w:r>
    </w:p>
    <w:p>
      <w:pPr>
        <w:spacing w:after="0" w:line="235" w:lineRule="auto"/>
        <w:rPr>
          <w:sz w:val="20"/>
          <w:szCs w:val="20"/>
          <w:color w:val="auto"/>
        </w:rPr>
      </w:pPr>
      <w:r>
        <w:rPr>
          <w:rFonts w:ascii="Arial" w:cs="Arial" w:eastAsia="Arial" w:hAnsi="Arial"/>
          <w:sz w:val="18"/>
          <w:szCs w:val="18"/>
          <w:color w:val="auto"/>
        </w:rPr>
        <w:t>effect on the Company’s business, financial condition, results of operations or cash flows. However, based on currently available information,</w:t>
      </w:r>
    </w:p>
    <w:p>
      <w:pPr>
        <w:ind w:right="400"/>
        <w:spacing w:after="0" w:line="237" w:lineRule="auto"/>
        <w:rPr>
          <w:sz w:val="20"/>
          <w:szCs w:val="20"/>
          <w:color w:val="auto"/>
        </w:rPr>
      </w:pPr>
      <w:r>
        <w:rPr>
          <w:rFonts w:ascii="Arial" w:cs="Arial" w:eastAsia="Arial" w:hAnsi="Arial"/>
          <w:sz w:val="18"/>
          <w:szCs w:val="18"/>
          <w:color w:val="auto"/>
        </w:rPr>
        <w:t>management believes it is reasonably possible that future losses from existing and threatened legal, regulatory and other proceedings in excess of the amounts recorded could reach approximately $20 million.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BUSINESS SEGMENTS</w:t>
      </w:r>
    </w:p>
    <w:p>
      <w:pPr>
        <w:spacing w:after="0" w:line="158"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The Company has seven reportable segments: Kaplan International, Kaplan Higher Education, Kaplan Supplemental Education, Television Broadcasting, CSI, Manufacturing and Automotive.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2026, Kaplan had a total outstanding accounts receivable balance of $40.3 million from Purdue Global related to</w:t>
      </w:r>
    </w:p>
    <w:p>
      <w:pPr>
        <w:spacing w:after="0" w:line="14"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amounts due for reimbursements for services. As of September 30, 2026, the $20.0 million advanced during the initial KU Transaction has been fully repaid.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The Company’s segment information is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3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6"/>
              </w:rPr>
              <w:t>Three Months Ended September 30, 2026</w:t>
            </w: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jc w:val="right"/>
              <w:ind w:right="257"/>
              <w:spacing w:after="0"/>
              <w:rPr>
                <w:sz w:val="20"/>
                <w:szCs w:val="20"/>
                <w:color w:val="auto"/>
              </w:rPr>
            </w:pPr>
            <w:r>
              <w:rPr>
                <w:rFonts w:ascii="Arial" w:cs="Arial" w:eastAsia="Arial" w:hAnsi="Arial"/>
                <w:sz w:val="13"/>
                <w:szCs w:val="13"/>
                <w:b w:val="1"/>
                <w:bCs w:val="1"/>
                <w:color w:val="auto"/>
              </w:rPr>
              <w:t>Television</w:t>
            </w: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thousands)</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Education</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Broadcasting</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Healthcare</w:t>
            </w: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Manufacturing</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Automotive</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97"/>
              </w:rPr>
              <w:t>Total Segments</w:t>
            </w:r>
          </w:p>
        </w:tc>
        <w:tc>
          <w:tcPr>
            <w:tcW w:w="0" w:type="dxa"/>
            <w:vAlign w:val="bottom"/>
          </w:tcPr>
          <w:p>
            <w:pPr>
              <w:spacing w:after="0"/>
              <w:rPr>
                <w:sz w:val="1"/>
                <w:szCs w:val="1"/>
                <w:color w:val="auto"/>
              </w:rPr>
            </w:pPr>
          </w:p>
        </w:tc>
      </w:tr>
      <w:tr>
        <w:trPr>
          <w:trHeight w:val="192"/>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Operating Revenues</w:t>
            </w:r>
          </w:p>
        </w:tc>
        <w:tc>
          <w:tcPr>
            <w:tcW w:w="200" w:type="dxa"/>
            <w:vAlign w:val="bottom"/>
          </w:tcPr>
          <w:p>
            <w:pPr>
              <w:jc w:val="right"/>
              <w:ind w:right="57"/>
              <w:spacing w:after="0"/>
              <w:rPr>
                <w:sz w:val="20"/>
                <w:szCs w:val="20"/>
                <w:color w:val="auto"/>
              </w:rPr>
            </w:pPr>
            <w:r>
              <w:rPr>
                <w:rFonts w:ascii="Arial" w:cs="Arial" w:eastAsia="Arial" w:hAnsi="Arial"/>
                <w:sz w:val="13"/>
                <w:szCs w:val="13"/>
                <w:b w:val="1"/>
                <w:bCs w:val="1"/>
                <w:color w:val="auto"/>
                <w:w w:val="82"/>
              </w:rPr>
              <w:t>$</w:t>
            </w:r>
          </w:p>
        </w:tc>
        <w:tc>
          <w:tcPr>
            <w:tcW w:w="1060" w:type="dxa"/>
            <w:vAlign w:val="bottom"/>
          </w:tcPr>
          <w:p>
            <w:pPr>
              <w:jc w:val="right"/>
              <w:ind w:right="37"/>
              <w:spacing w:after="0"/>
              <w:rPr>
                <w:sz w:val="20"/>
                <w:szCs w:val="20"/>
                <w:color w:val="auto"/>
              </w:rPr>
            </w:pPr>
            <w:r>
              <w:rPr>
                <w:rFonts w:ascii="Arial" w:cs="Arial" w:eastAsia="Arial" w:hAnsi="Arial"/>
                <w:sz w:val="13"/>
                <w:szCs w:val="13"/>
                <w:b w:val="1"/>
                <w:bCs w:val="1"/>
                <w:color w:val="auto"/>
              </w:rPr>
              <w:t>404,282</w:t>
            </w:r>
          </w:p>
        </w:tc>
        <w:tc>
          <w:tcPr>
            <w:tcW w:w="2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125,304</w:t>
            </w:r>
          </w:p>
        </w:tc>
        <w:tc>
          <w:tcPr>
            <w:tcW w:w="2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920" w:type="dxa"/>
            <w:vAlign w:val="bottom"/>
          </w:tcPr>
          <w:p>
            <w:pPr>
              <w:jc w:val="right"/>
              <w:ind w:right="17"/>
              <w:spacing w:after="0"/>
              <w:rPr>
                <w:sz w:val="20"/>
                <w:szCs w:val="20"/>
                <w:color w:val="auto"/>
              </w:rPr>
            </w:pPr>
            <w:r>
              <w:rPr>
                <w:rFonts w:ascii="Arial" w:cs="Arial" w:eastAsia="Arial" w:hAnsi="Arial"/>
                <w:sz w:val="13"/>
                <w:szCs w:val="13"/>
                <w:b w:val="1"/>
                <w:bCs w:val="1"/>
                <w:color w:val="auto"/>
              </w:rPr>
              <w:t>260,252</w:t>
            </w:r>
          </w:p>
        </w:tc>
        <w:tc>
          <w:tcPr>
            <w:tcW w:w="22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180" w:type="dxa"/>
            <w:vAlign w:val="bottom"/>
          </w:tcPr>
          <w:p>
            <w:pPr>
              <w:jc w:val="right"/>
              <w:ind w:right="77"/>
              <w:spacing w:after="0"/>
              <w:rPr>
                <w:sz w:val="20"/>
                <w:szCs w:val="20"/>
                <w:color w:val="auto"/>
              </w:rPr>
            </w:pPr>
            <w:r>
              <w:rPr>
                <w:rFonts w:ascii="Arial" w:cs="Arial" w:eastAsia="Arial" w:hAnsi="Arial"/>
                <w:sz w:val="13"/>
                <w:szCs w:val="13"/>
                <w:b w:val="1"/>
                <w:bCs w:val="1"/>
                <w:color w:val="auto"/>
              </w:rPr>
              <w:t>147,601</w:t>
            </w:r>
          </w:p>
        </w:tc>
        <w:tc>
          <w:tcPr>
            <w:tcW w:w="220" w:type="dxa"/>
            <w:vAlign w:val="bottom"/>
          </w:tcPr>
          <w:p>
            <w:pPr>
              <w:jc w:val="right"/>
              <w:ind w:right="37"/>
              <w:spacing w:after="0"/>
              <w:rPr>
                <w:sz w:val="20"/>
                <w:szCs w:val="20"/>
                <w:color w:val="auto"/>
              </w:rPr>
            </w:pPr>
            <w:r>
              <w:rPr>
                <w:rFonts w:ascii="Arial" w:cs="Arial" w:eastAsia="Arial" w:hAnsi="Arial"/>
                <w:sz w:val="13"/>
                <w:szCs w:val="13"/>
                <w:b w:val="1"/>
                <w:bCs w:val="1"/>
                <w:color w:val="auto"/>
              </w:rPr>
              <w:t>$</w:t>
            </w:r>
          </w:p>
        </w:tc>
        <w:tc>
          <w:tcPr>
            <w:tcW w:w="1140" w:type="dxa"/>
            <w:vAlign w:val="bottom"/>
          </w:tcPr>
          <w:p>
            <w:pPr>
              <w:jc w:val="right"/>
              <w:ind w:right="97"/>
              <w:spacing w:after="0"/>
              <w:rPr>
                <w:sz w:val="20"/>
                <w:szCs w:val="20"/>
                <w:color w:val="auto"/>
              </w:rPr>
            </w:pPr>
            <w:r>
              <w:rPr>
                <w:rFonts w:ascii="Arial" w:cs="Arial" w:eastAsia="Arial" w:hAnsi="Arial"/>
                <w:sz w:val="13"/>
                <w:szCs w:val="13"/>
                <w:b w:val="1"/>
                <w:bCs w:val="1"/>
                <w:color w:val="auto"/>
              </w:rPr>
              <w:t>299,060</w:t>
            </w: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3"/>
                <w:szCs w:val="13"/>
                <w:b w:val="1"/>
                <w:bCs w:val="1"/>
                <w:color w:val="auto"/>
              </w:rPr>
              <w:t>1,236,499</w:t>
            </w:r>
          </w:p>
        </w:tc>
        <w:tc>
          <w:tcPr>
            <w:tcW w:w="0" w:type="dxa"/>
            <w:vAlign w:val="bottom"/>
          </w:tcPr>
          <w:p>
            <w:pPr>
              <w:spacing w:after="0"/>
              <w:rPr>
                <w:sz w:val="1"/>
                <w:szCs w:val="1"/>
                <w:color w:val="auto"/>
              </w:rPr>
            </w:pPr>
          </w:p>
        </w:tc>
      </w:tr>
      <w:tr>
        <w:trPr>
          <w:trHeight w:val="197"/>
        </w:trPr>
        <w:tc>
          <w:tcPr>
            <w:tcW w:w="3320" w:type="dxa"/>
            <w:vAlign w:val="bottom"/>
          </w:tcPr>
          <w:p>
            <w:pPr>
              <w:ind w:left="20"/>
              <w:spacing w:after="0"/>
              <w:rPr>
                <w:sz w:val="20"/>
                <w:szCs w:val="20"/>
                <w:color w:val="auto"/>
              </w:rPr>
            </w:pPr>
            <w:r>
              <w:rPr>
                <w:rFonts w:ascii="Arial" w:cs="Arial" w:eastAsia="Arial" w:hAnsi="Arial"/>
                <w:sz w:val="13"/>
                <w:szCs w:val="13"/>
                <w:i w:val="1"/>
                <w:iCs w:val="1"/>
                <w:color w:val="auto"/>
              </w:rPr>
              <w:t>Reconciliation of Revenue</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320" w:type="dxa"/>
            <w:vAlign w:val="bottom"/>
          </w:tcPr>
          <w:p>
            <w:pPr>
              <w:ind w:left="100"/>
              <w:spacing w:after="0"/>
              <w:rPr>
                <w:sz w:val="20"/>
                <w:szCs w:val="20"/>
                <w:color w:val="auto"/>
              </w:rPr>
            </w:pPr>
            <w:r>
              <w:rPr>
                <w:rFonts w:ascii="Arial" w:cs="Arial" w:eastAsia="Arial" w:hAnsi="Arial"/>
                <w:sz w:val="13"/>
                <w:szCs w:val="13"/>
                <w:color w:val="auto"/>
              </w:rPr>
              <w:t xml:space="preserve">Other Businesses and Corporate Office Revenues </w:t>
            </w:r>
            <w:r>
              <w:rPr>
                <w:rFonts w:ascii="Arial" w:cs="Arial" w:eastAsia="Arial" w:hAnsi="Arial"/>
                <w:sz w:val="16"/>
                <w:szCs w:val="16"/>
                <w:color w:val="auto"/>
                <w:vertAlign w:val="superscript"/>
              </w:rPr>
              <w:t>(1)</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3"/>
                <w:szCs w:val="13"/>
                <w:b w:val="1"/>
                <w:bCs w:val="1"/>
                <w:color w:val="auto"/>
              </w:rPr>
              <w:t>90,326</w:t>
            </w:r>
          </w:p>
        </w:tc>
        <w:tc>
          <w:tcPr>
            <w:tcW w:w="0" w:type="dxa"/>
            <w:vAlign w:val="bottom"/>
          </w:tcPr>
          <w:p>
            <w:pPr>
              <w:spacing w:after="0"/>
              <w:rPr>
                <w:sz w:val="1"/>
                <w:szCs w:val="1"/>
                <w:color w:val="auto"/>
              </w:rPr>
            </w:pPr>
          </w:p>
        </w:tc>
      </w:tr>
      <w:tr>
        <w:trPr>
          <w:trHeight w:val="176"/>
        </w:trPr>
        <w:tc>
          <w:tcPr>
            <w:tcW w:w="3320" w:type="dxa"/>
            <w:vAlign w:val="bottom"/>
          </w:tcPr>
          <w:p>
            <w:pPr>
              <w:ind w:left="140"/>
              <w:spacing w:after="0"/>
              <w:rPr>
                <w:sz w:val="20"/>
                <w:szCs w:val="20"/>
                <w:color w:val="auto"/>
              </w:rPr>
            </w:pPr>
            <w:r>
              <w:rPr>
                <w:rFonts w:ascii="Arial" w:cs="Arial" w:eastAsia="Arial" w:hAnsi="Arial"/>
                <w:sz w:val="13"/>
                <w:szCs w:val="13"/>
                <w:color w:val="auto"/>
              </w:rPr>
              <w:t>Intersegment Elimination</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(788)</w:t>
            </w:r>
          </w:p>
        </w:tc>
        <w:tc>
          <w:tcPr>
            <w:tcW w:w="0" w:type="dxa"/>
            <w:vAlign w:val="bottom"/>
          </w:tcPr>
          <w:p>
            <w:pPr>
              <w:spacing w:after="0"/>
              <w:rPr>
                <w:sz w:val="1"/>
                <w:szCs w:val="1"/>
                <w:color w:val="auto"/>
              </w:rPr>
            </w:pPr>
          </w:p>
        </w:tc>
      </w:tr>
      <w:tr>
        <w:trPr>
          <w:trHeight w:val="193"/>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Total Consolidated Revenues</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1,326,037</w:t>
            </w:r>
          </w:p>
        </w:tc>
        <w:tc>
          <w:tcPr>
            <w:tcW w:w="0" w:type="dxa"/>
            <w:vAlign w:val="bottom"/>
          </w:tcPr>
          <w:p>
            <w:pPr>
              <w:spacing w:after="0"/>
              <w:rPr>
                <w:sz w:val="1"/>
                <w:szCs w:val="1"/>
                <w:color w:val="auto"/>
              </w:rPr>
            </w:pPr>
          </w:p>
        </w:tc>
      </w:tr>
      <w:tr>
        <w:trPr>
          <w:trHeight w:val="255"/>
        </w:trPr>
        <w:tc>
          <w:tcPr>
            <w:tcW w:w="3320" w:type="dxa"/>
            <w:vAlign w:val="bottom"/>
          </w:tcPr>
          <w:p>
            <w:pPr>
              <w:ind w:left="20"/>
              <w:spacing w:after="0"/>
              <w:rPr>
                <w:sz w:val="20"/>
                <w:szCs w:val="20"/>
                <w:color w:val="auto"/>
              </w:rPr>
            </w:pPr>
            <w:r>
              <w:rPr>
                <w:rFonts w:ascii="Arial" w:cs="Arial" w:eastAsia="Arial" w:hAnsi="Arial"/>
                <w:sz w:val="13"/>
                <w:szCs w:val="13"/>
                <w:i w:val="1"/>
                <w:iCs w:val="1"/>
                <w:color w:val="auto"/>
              </w:rPr>
              <w:t xml:space="preserve">Less: Significant Expenses </w:t>
            </w:r>
            <w:r>
              <w:rPr>
                <w:rFonts w:ascii="Arial" w:cs="Arial" w:eastAsia="Arial" w:hAnsi="Arial"/>
                <w:sz w:val="16"/>
                <w:szCs w:val="16"/>
                <w:i w:val="1"/>
                <w:iCs w:val="1"/>
                <w:color w:val="auto"/>
                <w:vertAlign w:val="superscript"/>
              </w:rPr>
              <w:t>(2)</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3320" w:type="dxa"/>
            <w:vAlign w:val="bottom"/>
          </w:tcPr>
          <w:p>
            <w:pPr>
              <w:ind w:left="140"/>
              <w:spacing w:after="0"/>
              <w:rPr>
                <w:sz w:val="20"/>
                <w:szCs w:val="20"/>
                <w:color w:val="auto"/>
              </w:rPr>
            </w:pPr>
            <w:r>
              <w:rPr>
                <w:rFonts w:ascii="Arial" w:cs="Arial" w:eastAsia="Arial" w:hAnsi="Arial"/>
                <w:sz w:val="13"/>
                <w:szCs w:val="13"/>
                <w:color w:val="auto"/>
              </w:rPr>
              <w:t xml:space="preserve">Cost of Revenue </w:t>
            </w:r>
            <w:r>
              <w:rPr>
                <w:rFonts w:ascii="Arial" w:cs="Arial" w:eastAsia="Arial" w:hAnsi="Arial"/>
                <w:sz w:val="16"/>
                <w:szCs w:val="16"/>
                <w:color w:val="auto"/>
                <w:vertAlign w:val="superscript"/>
              </w:rPr>
              <w:t>(3)</w:t>
            </w:r>
          </w:p>
        </w:tc>
        <w:tc>
          <w:tcPr>
            <w:tcW w:w="200" w:type="dxa"/>
            <w:vAlign w:val="bottom"/>
          </w:tcPr>
          <w:p>
            <w:pPr>
              <w:spacing w:after="0"/>
              <w:rPr>
                <w:sz w:val="17"/>
                <w:szCs w:val="17"/>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b w:val="1"/>
                <w:bCs w:val="1"/>
                <w:color w:val="auto"/>
              </w:rPr>
              <w:t>171,537</w:t>
            </w: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ind w:right="17"/>
              <w:spacing w:after="0"/>
              <w:rPr>
                <w:sz w:val="20"/>
                <w:szCs w:val="20"/>
                <w:color w:val="auto"/>
              </w:rPr>
            </w:pPr>
            <w:r>
              <w:rPr>
                <w:rFonts w:ascii="Arial" w:cs="Arial" w:eastAsia="Arial" w:hAnsi="Arial"/>
                <w:sz w:val="13"/>
                <w:szCs w:val="13"/>
                <w:b w:val="1"/>
                <w:bCs w:val="1"/>
                <w:color w:val="auto"/>
              </w:rPr>
              <w:t>175,082</w:t>
            </w:r>
          </w:p>
        </w:tc>
        <w:tc>
          <w:tcPr>
            <w:tcW w:w="220" w:type="dxa"/>
            <w:vAlign w:val="bottom"/>
          </w:tcPr>
          <w:p>
            <w:pPr>
              <w:spacing w:after="0"/>
              <w:rPr>
                <w:sz w:val="17"/>
                <w:szCs w:val="17"/>
                <w:color w:val="auto"/>
              </w:rPr>
            </w:pPr>
          </w:p>
        </w:tc>
        <w:tc>
          <w:tcPr>
            <w:tcW w:w="1180" w:type="dxa"/>
            <w:vAlign w:val="bottom"/>
          </w:tcPr>
          <w:p>
            <w:pPr>
              <w:jc w:val="right"/>
              <w:ind w:right="77"/>
              <w:spacing w:after="0"/>
              <w:rPr>
                <w:sz w:val="20"/>
                <w:szCs w:val="20"/>
                <w:color w:val="auto"/>
              </w:rPr>
            </w:pPr>
            <w:r>
              <w:rPr>
                <w:rFonts w:ascii="Arial" w:cs="Arial" w:eastAsia="Arial" w:hAnsi="Arial"/>
                <w:sz w:val="13"/>
                <w:szCs w:val="13"/>
                <w:b w:val="1"/>
                <w:bCs w:val="1"/>
                <w:color w:val="auto"/>
              </w:rPr>
              <w:t>109,015</w:t>
            </w:r>
          </w:p>
        </w:tc>
        <w:tc>
          <w:tcPr>
            <w:tcW w:w="220" w:type="dxa"/>
            <w:vAlign w:val="bottom"/>
          </w:tcPr>
          <w:p>
            <w:pPr>
              <w:spacing w:after="0"/>
              <w:rPr>
                <w:sz w:val="17"/>
                <w:szCs w:val="17"/>
                <w:color w:val="auto"/>
              </w:rPr>
            </w:pPr>
          </w:p>
        </w:tc>
        <w:tc>
          <w:tcPr>
            <w:tcW w:w="1140" w:type="dxa"/>
            <w:vAlign w:val="bottom"/>
          </w:tcPr>
          <w:p>
            <w:pPr>
              <w:jc w:val="right"/>
              <w:ind w:right="97"/>
              <w:spacing w:after="0"/>
              <w:rPr>
                <w:sz w:val="20"/>
                <w:szCs w:val="20"/>
                <w:color w:val="auto"/>
              </w:rPr>
            </w:pPr>
            <w:r>
              <w:rPr>
                <w:rFonts w:ascii="Arial" w:cs="Arial" w:eastAsia="Arial" w:hAnsi="Arial"/>
                <w:sz w:val="13"/>
                <w:szCs w:val="13"/>
                <w:b w:val="1"/>
                <w:bCs w:val="1"/>
                <w:color w:val="auto"/>
              </w:rPr>
              <w:t>252,299</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3"/>
                <w:szCs w:val="13"/>
                <w:b w:val="1"/>
                <w:bCs w:val="1"/>
                <w:color w:val="auto"/>
              </w:rPr>
              <w:t>707,933</w:t>
            </w:r>
          </w:p>
        </w:tc>
        <w:tc>
          <w:tcPr>
            <w:tcW w:w="0" w:type="dxa"/>
            <w:vAlign w:val="bottom"/>
          </w:tcPr>
          <w:p>
            <w:pPr>
              <w:spacing w:after="0"/>
              <w:rPr>
                <w:sz w:val="1"/>
                <w:szCs w:val="1"/>
                <w:color w:val="auto"/>
              </w:rPr>
            </w:pPr>
          </w:p>
        </w:tc>
      </w:tr>
      <w:tr>
        <w:trPr>
          <w:trHeight w:val="213"/>
        </w:trPr>
        <w:tc>
          <w:tcPr>
            <w:tcW w:w="3320" w:type="dxa"/>
            <w:vAlign w:val="bottom"/>
          </w:tcPr>
          <w:p>
            <w:pPr>
              <w:ind w:left="140"/>
              <w:spacing w:after="0"/>
              <w:rPr>
                <w:sz w:val="20"/>
                <w:szCs w:val="20"/>
                <w:color w:val="auto"/>
              </w:rPr>
            </w:pPr>
            <w:r>
              <w:rPr>
                <w:rFonts w:ascii="Arial" w:cs="Arial" w:eastAsia="Arial" w:hAnsi="Arial"/>
                <w:sz w:val="13"/>
                <w:szCs w:val="13"/>
                <w:color w:val="auto"/>
              </w:rPr>
              <w:t xml:space="preserve">Payroll and Fringe Benefits Expense </w:t>
            </w:r>
            <w:r>
              <w:rPr>
                <w:rFonts w:ascii="Arial" w:cs="Arial" w:eastAsia="Arial" w:hAnsi="Arial"/>
                <w:sz w:val="16"/>
                <w:szCs w:val="16"/>
                <w:color w:val="auto"/>
                <w:vertAlign w:val="superscript"/>
              </w:rPr>
              <w:t>(4)</w:t>
            </w:r>
          </w:p>
        </w:tc>
        <w:tc>
          <w:tcPr>
            <w:tcW w:w="200" w:type="dxa"/>
            <w:vAlign w:val="bottom"/>
          </w:tcPr>
          <w:p>
            <w:pPr>
              <w:spacing w:after="0"/>
              <w:rPr>
                <w:sz w:val="18"/>
                <w:szCs w:val="18"/>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b w:val="1"/>
                <w:bCs w:val="1"/>
                <w:color w:val="auto"/>
              </w:rPr>
              <w:t>107,859</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25,983</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97"/>
              <w:spacing w:after="0"/>
              <w:rPr>
                <w:sz w:val="20"/>
                <w:szCs w:val="20"/>
                <w:color w:val="auto"/>
              </w:rPr>
            </w:pPr>
            <w:r>
              <w:rPr>
                <w:rFonts w:ascii="Arial" w:cs="Arial" w:eastAsia="Arial" w:hAnsi="Arial"/>
                <w:sz w:val="13"/>
                <w:szCs w:val="13"/>
                <w:b w:val="1"/>
                <w:bCs w:val="1"/>
                <w:color w:val="auto"/>
              </w:rPr>
              <w:t>20,076</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3"/>
                <w:szCs w:val="13"/>
                <w:b w:val="1"/>
                <w:bCs w:val="1"/>
                <w:color w:val="auto"/>
              </w:rPr>
              <w:t>153,918</w:t>
            </w:r>
          </w:p>
        </w:tc>
        <w:tc>
          <w:tcPr>
            <w:tcW w:w="0" w:type="dxa"/>
            <w:vAlign w:val="bottom"/>
          </w:tcPr>
          <w:p>
            <w:pPr>
              <w:spacing w:after="0"/>
              <w:rPr>
                <w:sz w:val="1"/>
                <w:szCs w:val="1"/>
                <w:color w:val="auto"/>
              </w:rPr>
            </w:pPr>
          </w:p>
        </w:tc>
      </w:tr>
      <w:tr>
        <w:trPr>
          <w:trHeight w:val="172"/>
        </w:trPr>
        <w:tc>
          <w:tcPr>
            <w:tcW w:w="3320" w:type="dxa"/>
            <w:vAlign w:val="bottom"/>
          </w:tcPr>
          <w:p>
            <w:pPr>
              <w:ind w:left="140"/>
              <w:spacing w:after="0"/>
              <w:rPr>
                <w:sz w:val="20"/>
                <w:szCs w:val="20"/>
                <w:color w:val="auto"/>
              </w:rPr>
            </w:pPr>
            <w:r>
              <w:rPr>
                <w:rFonts w:ascii="Arial" w:cs="Arial" w:eastAsia="Arial" w:hAnsi="Arial"/>
                <w:sz w:val="13"/>
                <w:szCs w:val="13"/>
                <w:color w:val="auto"/>
              </w:rPr>
              <w:t>Occupancy Expense</w:t>
            </w:r>
          </w:p>
        </w:tc>
        <w:tc>
          <w:tcPr>
            <w:tcW w:w="200" w:type="dxa"/>
            <w:vAlign w:val="bottom"/>
          </w:tcPr>
          <w:p>
            <w:pPr>
              <w:spacing w:after="0"/>
              <w:rPr>
                <w:sz w:val="14"/>
                <w:szCs w:val="14"/>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b w:val="1"/>
                <w:bCs w:val="1"/>
                <w:color w:val="auto"/>
              </w:rPr>
              <w:t>22,990</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ind w:right="97"/>
              <w:spacing w:after="0"/>
              <w:rPr>
                <w:sz w:val="20"/>
                <w:szCs w:val="20"/>
                <w:color w:val="auto"/>
              </w:rPr>
            </w:pPr>
            <w:r>
              <w:rPr>
                <w:rFonts w:ascii="Arial" w:cs="Arial" w:eastAsia="Arial" w:hAnsi="Arial"/>
                <w:sz w:val="13"/>
                <w:szCs w:val="13"/>
                <w:b w:val="1"/>
                <w:bCs w:val="1"/>
                <w:color w:val="auto"/>
              </w:rPr>
              <w:t>2,041</w:t>
            </w: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b w:val="1"/>
                <w:bCs w:val="1"/>
                <w:color w:val="auto"/>
              </w:rPr>
              <w:t>25,031</w:t>
            </w:r>
          </w:p>
        </w:tc>
        <w:tc>
          <w:tcPr>
            <w:tcW w:w="0" w:type="dxa"/>
            <w:vAlign w:val="bottom"/>
          </w:tcPr>
          <w:p>
            <w:pPr>
              <w:spacing w:after="0"/>
              <w:rPr>
                <w:sz w:val="1"/>
                <w:szCs w:val="1"/>
                <w:color w:val="auto"/>
              </w:rPr>
            </w:pPr>
          </w:p>
        </w:tc>
      </w:tr>
      <w:tr>
        <w:trPr>
          <w:trHeight w:val="203"/>
        </w:trPr>
        <w:tc>
          <w:tcPr>
            <w:tcW w:w="3320" w:type="dxa"/>
            <w:vAlign w:val="bottom"/>
          </w:tcPr>
          <w:p>
            <w:pPr>
              <w:ind w:left="140"/>
              <w:spacing w:after="0"/>
              <w:rPr>
                <w:sz w:val="20"/>
                <w:szCs w:val="20"/>
                <w:color w:val="auto"/>
              </w:rPr>
            </w:pPr>
            <w:r>
              <w:rPr>
                <w:rFonts w:ascii="Arial" w:cs="Arial" w:eastAsia="Arial" w:hAnsi="Arial"/>
                <w:sz w:val="13"/>
                <w:szCs w:val="13"/>
                <w:color w:val="auto"/>
              </w:rPr>
              <w:t>Advertising and Marketing Expense</w:t>
            </w:r>
          </w:p>
        </w:tc>
        <w:tc>
          <w:tcPr>
            <w:tcW w:w="200" w:type="dxa"/>
            <w:vAlign w:val="bottom"/>
          </w:tcPr>
          <w:p>
            <w:pPr>
              <w:spacing w:after="0"/>
              <w:rPr>
                <w:sz w:val="17"/>
                <w:szCs w:val="17"/>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b w:val="1"/>
                <w:bCs w:val="1"/>
                <w:color w:val="auto"/>
              </w:rPr>
              <w:t>18,263</w:t>
            </w: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3"/>
                <w:szCs w:val="13"/>
                <w:b w:val="1"/>
                <w:bCs w:val="1"/>
                <w:color w:val="auto"/>
              </w:rPr>
              <w:t>18,263</w:t>
            </w:r>
          </w:p>
        </w:tc>
        <w:tc>
          <w:tcPr>
            <w:tcW w:w="0" w:type="dxa"/>
            <w:vAlign w:val="bottom"/>
          </w:tcPr>
          <w:p>
            <w:pPr>
              <w:spacing w:after="0"/>
              <w:rPr>
                <w:sz w:val="1"/>
                <w:szCs w:val="1"/>
                <w:color w:val="auto"/>
              </w:rPr>
            </w:pPr>
          </w:p>
        </w:tc>
      </w:tr>
      <w:tr>
        <w:trPr>
          <w:trHeight w:val="203"/>
        </w:trPr>
        <w:tc>
          <w:tcPr>
            <w:tcW w:w="3320" w:type="dxa"/>
            <w:vAlign w:val="bottom"/>
          </w:tcPr>
          <w:p>
            <w:pPr>
              <w:ind w:left="140"/>
              <w:spacing w:after="0"/>
              <w:rPr>
                <w:sz w:val="20"/>
                <w:szCs w:val="20"/>
                <w:color w:val="auto"/>
              </w:rPr>
            </w:pPr>
            <w:r>
              <w:rPr>
                <w:rFonts w:ascii="Arial" w:cs="Arial" w:eastAsia="Arial" w:hAnsi="Arial"/>
                <w:sz w:val="13"/>
                <w:szCs w:val="13"/>
                <w:color w:val="auto"/>
              </w:rPr>
              <w:t>Networking and Programming Expense</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28,137</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3"/>
                <w:szCs w:val="13"/>
                <w:b w:val="1"/>
                <w:bCs w:val="1"/>
                <w:color w:val="auto"/>
              </w:rPr>
              <w:t>28,137</w:t>
            </w:r>
          </w:p>
        </w:tc>
        <w:tc>
          <w:tcPr>
            <w:tcW w:w="0" w:type="dxa"/>
            <w:vAlign w:val="bottom"/>
          </w:tcPr>
          <w:p>
            <w:pPr>
              <w:spacing w:after="0"/>
              <w:rPr>
                <w:sz w:val="1"/>
                <w:szCs w:val="1"/>
                <w:color w:val="auto"/>
              </w:rPr>
            </w:pPr>
          </w:p>
        </w:tc>
      </w:tr>
      <w:tr>
        <w:trPr>
          <w:trHeight w:val="223"/>
        </w:trPr>
        <w:tc>
          <w:tcPr>
            <w:tcW w:w="3320" w:type="dxa"/>
            <w:vAlign w:val="bottom"/>
          </w:tcPr>
          <w:p>
            <w:pPr>
              <w:ind w:left="140"/>
              <w:spacing w:after="0"/>
              <w:rPr>
                <w:sz w:val="20"/>
                <w:szCs w:val="20"/>
                <w:color w:val="auto"/>
              </w:rPr>
            </w:pPr>
            <w:r>
              <w:rPr>
                <w:rFonts w:ascii="Arial" w:cs="Arial" w:eastAsia="Arial" w:hAnsi="Arial"/>
                <w:sz w:val="13"/>
                <w:szCs w:val="13"/>
                <w:color w:val="auto"/>
              </w:rPr>
              <w:t xml:space="preserve">Management Services </w:t>
            </w:r>
            <w:r>
              <w:rPr>
                <w:rFonts w:ascii="Arial" w:cs="Arial" w:eastAsia="Arial" w:hAnsi="Arial"/>
                <w:sz w:val="16"/>
                <w:szCs w:val="16"/>
                <w:color w:val="auto"/>
                <w:vertAlign w:val="superscript"/>
              </w:rPr>
              <w:t>(5)</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ind w:right="97"/>
              <w:spacing w:after="0"/>
              <w:rPr>
                <w:sz w:val="20"/>
                <w:szCs w:val="20"/>
                <w:color w:val="auto"/>
              </w:rPr>
            </w:pPr>
            <w:r>
              <w:rPr>
                <w:rFonts w:ascii="Arial" w:cs="Arial" w:eastAsia="Arial" w:hAnsi="Arial"/>
                <w:sz w:val="13"/>
                <w:szCs w:val="13"/>
                <w:b w:val="1"/>
                <w:bCs w:val="1"/>
                <w:color w:val="auto"/>
              </w:rPr>
              <w:t>2,323</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3"/>
                <w:szCs w:val="13"/>
                <w:b w:val="1"/>
                <w:bCs w:val="1"/>
                <w:color w:val="auto"/>
              </w:rPr>
              <w:t>2,323</w:t>
            </w:r>
          </w:p>
        </w:tc>
        <w:tc>
          <w:tcPr>
            <w:tcW w:w="0" w:type="dxa"/>
            <w:vAlign w:val="bottom"/>
          </w:tcPr>
          <w:p>
            <w:pPr>
              <w:spacing w:after="0"/>
              <w:rPr>
                <w:sz w:val="1"/>
                <w:szCs w:val="1"/>
                <w:color w:val="auto"/>
              </w:rPr>
            </w:pPr>
          </w:p>
        </w:tc>
      </w:tr>
      <w:tr>
        <w:trPr>
          <w:trHeight w:val="190"/>
        </w:trPr>
        <w:tc>
          <w:tcPr>
            <w:tcW w:w="3320" w:type="dxa"/>
            <w:vAlign w:val="bottom"/>
          </w:tcPr>
          <w:p>
            <w:pPr>
              <w:ind w:left="140"/>
              <w:spacing w:after="0"/>
              <w:rPr>
                <w:sz w:val="20"/>
                <w:szCs w:val="20"/>
                <w:color w:val="auto"/>
              </w:rPr>
            </w:pPr>
            <w:r>
              <w:rPr>
                <w:rFonts w:ascii="Arial" w:cs="Arial" w:eastAsia="Arial" w:hAnsi="Arial"/>
                <w:sz w:val="13"/>
                <w:szCs w:val="13"/>
                <w:color w:val="auto"/>
              </w:rPr>
              <w:t xml:space="preserve">Other Segment Items </w:t>
            </w:r>
            <w:r>
              <w:rPr>
                <w:rFonts w:ascii="Arial" w:cs="Arial" w:eastAsia="Arial" w:hAnsi="Arial"/>
                <w:sz w:val="16"/>
                <w:szCs w:val="16"/>
                <w:color w:val="auto"/>
                <w:vertAlign w:val="superscript"/>
              </w:rPr>
              <w:t>(6)</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34,182</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17,540</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57,538</w:t>
            </w: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21,774</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10,951</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141,985</w:t>
            </w:r>
          </w:p>
        </w:tc>
        <w:tc>
          <w:tcPr>
            <w:tcW w:w="0" w:type="dxa"/>
            <w:vAlign w:val="bottom"/>
          </w:tcPr>
          <w:p>
            <w:pPr>
              <w:spacing w:after="0"/>
              <w:rPr>
                <w:sz w:val="1"/>
                <w:szCs w:val="1"/>
                <w:color w:val="auto"/>
              </w:rPr>
            </w:pPr>
          </w:p>
        </w:tc>
      </w:tr>
      <w:tr>
        <w:trPr>
          <w:trHeight w:val="138"/>
        </w:trPr>
        <w:tc>
          <w:tcPr>
            <w:tcW w:w="3320" w:type="dxa"/>
            <w:vAlign w:val="bottom"/>
          </w:tcPr>
          <w:p>
            <w:pPr>
              <w:ind w:left="20"/>
              <w:spacing w:after="0" w:line="138" w:lineRule="exact"/>
              <w:rPr>
                <w:sz w:val="20"/>
                <w:szCs w:val="20"/>
                <w:color w:val="auto"/>
              </w:rPr>
            </w:pPr>
            <w:r>
              <w:rPr>
                <w:rFonts w:ascii="Arial" w:cs="Arial" w:eastAsia="Arial" w:hAnsi="Arial"/>
                <w:sz w:val="13"/>
                <w:szCs w:val="13"/>
                <w:b w:val="1"/>
                <w:bCs w:val="1"/>
                <w:color w:val="auto"/>
                <w:w w:val="98"/>
              </w:rPr>
              <w:t>Earnings Before Interest, Income Taxes, Depreciation,</w:t>
            </w: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320" w:type="dxa"/>
            <w:vAlign w:val="bottom"/>
          </w:tcPr>
          <w:p>
            <w:pPr>
              <w:ind w:left="100"/>
              <w:spacing w:after="0"/>
              <w:rPr>
                <w:sz w:val="20"/>
                <w:szCs w:val="20"/>
                <w:color w:val="auto"/>
              </w:rPr>
            </w:pPr>
            <w:r>
              <w:rPr>
                <w:rFonts w:ascii="Arial" w:cs="Arial" w:eastAsia="Arial" w:hAnsi="Arial"/>
                <w:sz w:val="13"/>
                <w:szCs w:val="13"/>
                <w:b w:val="1"/>
                <w:bCs w:val="1"/>
                <w:color w:val="auto"/>
              </w:rPr>
              <w:t>Amortization and Pension Service Cost (EBITDAP)</w:t>
            </w:r>
          </w:p>
        </w:tc>
        <w:tc>
          <w:tcPr>
            <w:tcW w:w="2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82"/>
              </w:rPr>
              <w:t>$</w:t>
            </w:r>
          </w:p>
        </w:tc>
        <w:tc>
          <w:tcPr>
            <w:tcW w:w="10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49,451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53,644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9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27,632</w:t>
            </w:r>
          </w:p>
        </w:tc>
        <w:tc>
          <w:tcPr>
            <w:tcW w:w="2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1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16,812</w:t>
            </w:r>
          </w:p>
        </w:tc>
        <w:tc>
          <w:tcPr>
            <w:tcW w:w="2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w:t>
            </w:r>
          </w:p>
        </w:tc>
        <w:tc>
          <w:tcPr>
            <w:tcW w:w="11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11,370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158,909</w:t>
            </w:r>
          </w:p>
        </w:tc>
        <w:tc>
          <w:tcPr>
            <w:tcW w:w="0" w:type="dxa"/>
            <w:vAlign w:val="bottom"/>
          </w:tcPr>
          <w:p>
            <w:pPr>
              <w:spacing w:after="0"/>
              <w:rPr>
                <w:sz w:val="1"/>
                <w:szCs w:val="1"/>
                <w:color w:val="auto"/>
              </w:rPr>
            </w:pPr>
          </w:p>
        </w:tc>
      </w:tr>
      <w:tr>
        <w:trPr>
          <w:trHeight w:val="233"/>
        </w:trPr>
        <w:tc>
          <w:tcPr>
            <w:tcW w:w="3320" w:type="dxa"/>
            <w:vAlign w:val="bottom"/>
          </w:tcPr>
          <w:p>
            <w:pPr>
              <w:ind w:left="20"/>
              <w:spacing w:after="0"/>
              <w:rPr>
                <w:sz w:val="20"/>
                <w:szCs w:val="20"/>
                <w:color w:val="auto"/>
              </w:rPr>
            </w:pPr>
            <w:r>
              <w:rPr>
                <w:rFonts w:ascii="Arial" w:cs="Arial" w:eastAsia="Arial" w:hAnsi="Arial"/>
                <w:sz w:val="13"/>
                <w:szCs w:val="13"/>
                <w:color w:val="auto"/>
              </w:rPr>
              <w:t>Pension Service Cost</w:t>
            </w:r>
          </w:p>
        </w:tc>
        <w:tc>
          <w:tcPr>
            <w:tcW w:w="200" w:type="dxa"/>
            <w:vAlign w:val="bottom"/>
          </w:tcPr>
          <w:p>
            <w:pPr>
              <w:spacing w:after="0"/>
              <w:rPr>
                <w:sz w:val="20"/>
                <w:szCs w:val="20"/>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b w:val="1"/>
                <w:bCs w:val="1"/>
                <w:color w:val="auto"/>
              </w:rPr>
              <w:t>4,555</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1,554</w:t>
            </w:r>
          </w:p>
        </w:tc>
        <w:tc>
          <w:tcPr>
            <w:tcW w:w="240" w:type="dxa"/>
            <w:vAlign w:val="bottom"/>
          </w:tcPr>
          <w:p>
            <w:pPr>
              <w:spacing w:after="0"/>
              <w:rPr>
                <w:sz w:val="20"/>
                <w:szCs w:val="20"/>
                <w:color w:val="auto"/>
              </w:rPr>
            </w:pPr>
          </w:p>
        </w:tc>
        <w:tc>
          <w:tcPr>
            <w:tcW w:w="920" w:type="dxa"/>
            <w:vAlign w:val="bottom"/>
          </w:tcPr>
          <w:p>
            <w:pPr>
              <w:jc w:val="right"/>
              <w:ind w:right="17"/>
              <w:spacing w:after="0"/>
              <w:rPr>
                <w:sz w:val="20"/>
                <w:szCs w:val="20"/>
                <w:color w:val="auto"/>
              </w:rPr>
            </w:pPr>
            <w:r>
              <w:rPr>
                <w:rFonts w:ascii="Arial" w:cs="Arial" w:eastAsia="Arial" w:hAnsi="Arial"/>
                <w:sz w:val="13"/>
                <w:szCs w:val="13"/>
                <w:b w:val="1"/>
                <w:bCs w:val="1"/>
                <w:color w:val="auto"/>
              </w:rPr>
              <w:t>2,365</w:t>
            </w:r>
          </w:p>
        </w:tc>
        <w:tc>
          <w:tcPr>
            <w:tcW w:w="220" w:type="dxa"/>
            <w:vAlign w:val="bottom"/>
          </w:tcPr>
          <w:p>
            <w:pPr>
              <w:spacing w:after="0"/>
              <w:rPr>
                <w:sz w:val="20"/>
                <w:szCs w:val="20"/>
                <w:color w:val="auto"/>
              </w:rPr>
            </w:pPr>
          </w:p>
        </w:tc>
        <w:tc>
          <w:tcPr>
            <w:tcW w:w="1180" w:type="dxa"/>
            <w:vAlign w:val="bottom"/>
          </w:tcPr>
          <w:p>
            <w:pPr>
              <w:jc w:val="right"/>
              <w:ind w:right="77"/>
              <w:spacing w:after="0"/>
              <w:rPr>
                <w:sz w:val="20"/>
                <w:szCs w:val="20"/>
                <w:color w:val="auto"/>
              </w:rPr>
            </w:pPr>
            <w:r>
              <w:rPr>
                <w:rFonts w:ascii="Arial" w:cs="Arial" w:eastAsia="Arial" w:hAnsi="Arial"/>
                <w:sz w:val="13"/>
                <w:szCs w:val="13"/>
                <w:b w:val="1"/>
                <w:bCs w:val="1"/>
                <w:color w:val="auto"/>
              </w:rPr>
              <w:t>1,242</w:t>
            </w:r>
          </w:p>
        </w:tc>
        <w:tc>
          <w:tcPr>
            <w:tcW w:w="220" w:type="dxa"/>
            <w:vAlign w:val="bottom"/>
          </w:tcPr>
          <w:p>
            <w:pPr>
              <w:spacing w:after="0"/>
              <w:rPr>
                <w:sz w:val="20"/>
                <w:szCs w:val="20"/>
                <w:color w:val="auto"/>
              </w:rPr>
            </w:pPr>
          </w:p>
        </w:tc>
        <w:tc>
          <w:tcPr>
            <w:tcW w:w="1140" w:type="dxa"/>
            <w:vAlign w:val="bottom"/>
          </w:tcPr>
          <w:p>
            <w:pPr>
              <w:jc w:val="right"/>
              <w:ind w:right="97"/>
              <w:spacing w:after="0"/>
              <w:rPr>
                <w:sz w:val="20"/>
                <w:szCs w:val="20"/>
                <w:color w:val="auto"/>
              </w:rPr>
            </w:pPr>
            <w:r>
              <w:rPr>
                <w:rFonts w:ascii="Arial" w:cs="Arial" w:eastAsia="Arial" w:hAnsi="Arial"/>
                <w:sz w:val="13"/>
                <w:szCs w:val="13"/>
                <w:b w:val="1"/>
                <w:bCs w:val="1"/>
                <w:color w:val="auto"/>
              </w:rPr>
              <w:t>34</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3"/>
                <w:szCs w:val="13"/>
                <w:b w:val="1"/>
                <w:bCs w:val="1"/>
                <w:color w:val="auto"/>
              </w:rPr>
              <w:t>9,750</w:t>
            </w:r>
          </w:p>
        </w:tc>
        <w:tc>
          <w:tcPr>
            <w:tcW w:w="0" w:type="dxa"/>
            <w:vAlign w:val="bottom"/>
          </w:tcPr>
          <w:p>
            <w:pPr>
              <w:spacing w:after="0"/>
              <w:rPr>
                <w:sz w:val="1"/>
                <w:szCs w:val="1"/>
                <w:color w:val="auto"/>
              </w:rPr>
            </w:pPr>
          </w:p>
        </w:tc>
      </w:tr>
      <w:tr>
        <w:trPr>
          <w:trHeight w:val="203"/>
        </w:trPr>
        <w:tc>
          <w:tcPr>
            <w:tcW w:w="3320" w:type="dxa"/>
            <w:vAlign w:val="bottom"/>
          </w:tcPr>
          <w:p>
            <w:pPr>
              <w:ind w:left="20"/>
              <w:spacing w:after="0"/>
              <w:rPr>
                <w:sz w:val="20"/>
                <w:szCs w:val="20"/>
                <w:color w:val="auto"/>
              </w:rPr>
            </w:pPr>
            <w:r>
              <w:rPr>
                <w:rFonts w:ascii="Arial" w:cs="Arial" w:eastAsia="Arial" w:hAnsi="Arial"/>
                <w:sz w:val="13"/>
                <w:szCs w:val="13"/>
                <w:color w:val="auto"/>
              </w:rPr>
              <w:t>Depreciation Expense</w:t>
            </w:r>
          </w:p>
        </w:tc>
        <w:tc>
          <w:tcPr>
            <w:tcW w:w="200" w:type="dxa"/>
            <w:vAlign w:val="bottom"/>
          </w:tcPr>
          <w:p>
            <w:pPr>
              <w:spacing w:after="0"/>
              <w:rPr>
                <w:sz w:val="17"/>
                <w:szCs w:val="17"/>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b w:val="1"/>
                <w:bCs w:val="1"/>
                <w:color w:val="auto"/>
              </w:rPr>
              <w:t>5,524</w:t>
            </w: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2,271</w:t>
            </w:r>
          </w:p>
        </w:tc>
        <w:tc>
          <w:tcPr>
            <w:tcW w:w="240" w:type="dxa"/>
            <w:vAlign w:val="bottom"/>
          </w:tcPr>
          <w:p>
            <w:pPr>
              <w:spacing w:after="0"/>
              <w:rPr>
                <w:sz w:val="17"/>
                <w:szCs w:val="17"/>
                <w:color w:val="auto"/>
              </w:rPr>
            </w:pPr>
          </w:p>
        </w:tc>
        <w:tc>
          <w:tcPr>
            <w:tcW w:w="920" w:type="dxa"/>
            <w:vAlign w:val="bottom"/>
          </w:tcPr>
          <w:p>
            <w:pPr>
              <w:jc w:val="right"/>
              <w:ind w:right="17"/>
              <w:spacing w:after="0"/>
              <w:rPr>
                <w:sz w:val="20"/>
                <w:szCs w:val="20"/>
                <w:color w:val="auto"/>
              </w:rPr>
            </w:pPr>
            <w:r>
              <w:rPr>
                <w:rFonts w:ascii="Arial" w:cs="Arial" w:eastAsia="Arial" w:hAnsi="Arial"/>
                <w:sz w:val="13"/>
                <w:szCs w:val="13"/>
                <w:b w:val="1"/>
                <w:bCs w:val="1"/>
                <w:color w:val="auto"/>
              </w:rPr>
              <w:t>1,952</w:t>
            </w:r>
          </w:p>
        </w:tc>
        <w:tc>
          <w:tcPr>
            <w:tcW w:w="220" w:type="dxa"/>
            <w:vAlign w:val="bottom"/>
          </w:tcPr>
          <w:p>
            <w:pPr>
              <w:spacing w:after="0"/>
              <w:rPr>
                <w:sz w:val="17"/>
                <w:szCs w:val="17"/>
                <w:color w:val="auto"/>
              </w:rPr>
            </w:pPr>
          </w:p>
        </w:tc>
        <w:tc>
          <w:tcPr>
            <w:tcW w:w="1180" w:type="dxa"/>
            <w:vAlign w:val="bottom"/>
          </w:tcPr>
          <w:p>
            <w:pPr>
              <w:jc w:val="right"/>
              <w:ind w:right="77"/>
              <w:spacing w:after="0"/>
              <w:rPr>
                <w:sz w:val="20"/>
                <w:szCs w:val="20"/>
                <w:color w:val="auto"/>
              </w:rPr>
            </w:pPr>
            <w:r>
              <w:rPr>
                <w:rFonts w:ascii="Arial" w:cs="Arial" w:eastAsia="Arial" w:hAnsi="Arial"/>
                <w:sz w:val="13"/>
                <w:szCs w:val="13"/>
                <w:b w:val="1"/>
                <w:bCs w:val="1"/>
                <w:color w:val="auto"/>
              </w:rPr>
              <w:t>2,855</w:t>
            </w:r>
          </w:p>
        </w:tc>
        <w:tc>
          <w:tcPr>
            <w:tcW w:w="220" w:type="dxa"/>
            <w:vAlign w:val="bottom"/>
          </w:tcPr>
          <w:p>
            <w:pPr>
              <w:spacing w:after="0"/>
              <w:rPr>
                <w:sz w:val="17"/>
                <w:szCs w:val="17"/>
                <w:color w:val="auto"/>
              </w:rPr>
            </w:pPr>
          </w:p>
        </w:tc>
        <w:tc>
          <w:tcPr>
            <w:tcW w:w="1140" w:type="dxa"/>
            <w:vAlign w:val="bottom"/>
          </w:tcPr>
          <w:p>
            <w:pPr>
              <w:jc w:val="right"/>
              <w:ind w:right="97"/>
              <w:spacing w:after="0"/>
              <w:rPr>
                <w:sz w:val="20"/>
                <w:szCs w:val="20"/>
                <w:color w:val="auto"/>
              </w:rPr>
            </w:pPr>
            <w:r>
              <w:rPr>
                <w:rFonts w:ascii="Arial" w:cs="Arial" w:eastAsia="Arial" w:hAnsi="Arial"/>
                <w:sz w:val="13"/>
                <w:szCs w:val="13"/>
                <w:b w:val="1"/>
                <w:bCs w:val="1"/>
                <w:color w:val="auto"/>
              </w:rPr>
              <w:t>1,993</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3"/>
                <w:szCs w:val="13"/>
                <w:b w:val="1"/>
                <w:bCs w:val="1"/>
                <w:color w:val="auto"/>
              </w:rPr>
              <w:t>14,595</w:t>
            </w:r>
          </w:p>
        </w:tc>
        <w:tc>
          <w:tcPr>
            <w:tcW w:w="0" w:type="dxa"/>
            <w:vAlign w:val="bottom"/>
          </w:tcPr>
          <w:p>
            <w:pPr>
              <w:spacing w:after="0"/>
              <w:rPr>
                <w:sz w:val="1"/>
                <w:szCs w:val="1"/>
                <w:color w:val="auto"/>
              </w:rPr>
            </w:pPr>
          </w:p>
        </w:tc>
      </w:tr>
      <w:tr>
        <w:trPr>
          <w:trHeight w:val="62"/>
        </w:trPr>
        <w:tc>
          <w:tcPr>
            <w:tcW w:w="33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Income from Operations before Amortization of</w:t>
            </w:r>
          </w:p>
        </w:tc>
        <w:tc>
          <w:tcPr>
            <w:tcW w:w="2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33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3320" w:type="dxa"/>
            <w:vAlign w:val="bottom"/>
          </w:tcPr>
          <w:p>
            <w:pPr>
              <w:ind w:left="100"/>
              <w:spacing w:after="0"/>
              <w:rPr>
                <w:sz w:val="20"/>
                <w:szCs w:val="20"/>
                <w:color w:val="auto"/>
              </w:rPr>
            </w:pPr>
            <w:r>
              <w:rPr>
                <w:rFonts w:ascii="Arial" w:cs="Arial" w:eastAsia="Arial" w:hAnsi="Arial"/>
                <w:sz w:val="13"/>
                <w:szCs w:val="13"/>
                <w:b w:val="1"/>
                <w:bCs w:val="1"/>
                <w:color w:val="auto"/>
              </w:rPr>
              <w:t>Intangible Assets</w:t>
            </w:r>
          </w:p>
        </w:tc>
        <w:tc>
          <w:tcPr>
            <w:tcW w:w="2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82"/>
              </w:rPr>
              <w:t>$</w:t>
            </w:r>
          </w:p>
        </w:tc>
        <w:tc>
          <w:tcPr>
            <w:tcW w:w="10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39,372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49,819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9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23,315</w:t>
            </w:r>
          </w:p>
        </w:tc>
        <w:tc>
          <w:tcPr>
            <w:tcW w:w="2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1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12,715</w:t>
            </w:r>
          </w:p>
        </w:tc>
        <w:tc>
          <w:tcPr>
            <w:tcW w:w="2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w:t>
            </w:r>
          </w:p>
        </w:tc>
        <w:tc>
          <w:tcPr>
            <w:tcW w:w="11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9,343</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134,564</w:t>
            </w:r>
          </w:p>
        </w:tc>
        <w:tc>
          <w:tcPr>
            <w:tcW w:w="0" w:type="dxa"/>
            <w:vAlign w:val="bottom"/>
          </w:tcPr>
          <w:p>
            <w:pPr>
              <w:spacing w:after="0"/>
              <w:rPr>
                <w:sz w:val="1"/>
                <w:szCs w:val="1"/>
                <w:color w:val="auto"/>
              </w:rPr>
            </w:pPr>
          </w:p>
        </w:tc>
      </w:tr>
      <w:tr>
        <w:trPr>
          <w:trHeight w:val="266"/>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 xml:space="preserve">Other Businesses </w:t>
            </w:r>
            <w:r>
              <w:rPr>
                <w:rFonts w:ascii="Arial" w:cs="Arial" w:eastAsia="Arial" w:hAnsi="Arial"/>
                <w:sz w:val="16"/>
                <w:szCs w:val="16"/>
                <w:b w:val="1"/>
                <w:bCs w:val="1"/>
                <w:color w:val="auto"/>
                <w:vertAlign w:val="superscript"/>
              </w:rPr>
              <w:t>(7)</w:t>
            </w: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3"/>
                <w:szCs w:val="13"/>
                <w:b w:val="1"/>
                <w:bCs w:val="1"/>
                <w:color w:val="auto"/>
              </w:rPr>
              <w:t>(21,352)</w:t>
            </w:r>
          </w:p>
        </w:tc>
        <w:tc>
          <w:tcPr>
            <w:tcW w:w="0" w:type="dxa"/>
            <w:vAlign w:val="bottom"/>
          </w:tcPr>
          <w:p>
            <w:pPr>
              <w:spacing w:after="0"/>
              <w:rPr>
                <w:sz w:val="1"/>
                <w:szCs w:val="1"/>
                <w:color w:val="auto"/>
              </w:rPr>
            </w:pPr>
          </w:p>
        </w:tc>
      </w:tr>
      <w:tr>
        <w:trPr>
          <w:trHeight w:val="172"/>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Corporate Costs</w:t>
            </w: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b w:val="1"/>
                <w:bCs w:val="1"/>
                <w:color w:val="auto"/>
              </w:rPr>
              <w:t>(21,916)</w:t>
            </w:r>
          </w:p>
        </w:tc>
        <w:tc>
          <w:tcPr>
            <w:tcW w:w="0" w:type="dxa"/>
            <w:vAlign w:val="bottom"/>
          </w:tcPr>
          <w:p>
            <w:pPr>
              <w:spacing w:after="0"/>
              <w:rPr>
                <w:sz w:val="1"/>
                <w:szCs w:val="1"/>
                <w:color w:val="auto"/>
              </w:rPr>
            </w:pPr>
          </w:p>
        </w:tc>
      </w:tr>
      <w:tr>
        <w:trPr>
          <w:trHeight w:val="207"/>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Amortization of Intangible Assets</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(5,775)</w:t>
            </w:r>
          </w:p>
        </w:tc>
        <w:tc>
          <w:tcPr>
            <w:tcW w:w="0" w:type="dxa"/>
            <w:vAlign w:val="bottom"/>
          </w:tcPr>
          <w:p>
            <w:pPr>
              <w:spacing w:after="0"/>
              <w:rPr>
                <w:sz w:val="1"/>
                <w:szCs w:val="1"/>
                <w:color w:val="auto"/>
              </w:rPr>
            </w:pPr>
          </w:p>
        </w:tc>
      </w:tr>
      <w:tr>
        <w:trPr>
          <w:trHeight w:val="196"/>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Income from Operations</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85,521</w:t>
            </w:r>
          </w:p>
        </w:tc>
        <w:tc>
          <w:tcPr>
            <w:tcW w:w="0" w:type="dxa"/>
            <w:vAlign w:val="bottom"/>
          </w:tcPr>
          <w:p>
            <w:pPr>
              <w:spacing w:after="0"/>
              <w:rPr>
                <w:sz w:val="1"/>
                <w:szCs w:val="1"/>
                <w:color w:val="auto"/>
              </w:rPr>
            </w:pPr>
          </w:p>
        </w:tc>
      </w:tr>
      <w:tr>
        <w:trPr>
          <w:trHeight w:val="192"/>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Equity in Losses of Affiliates, Net</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3"/>
                <w:szCs w:val="13"/>
                <w:b w:val="1"/>
                <w:bCs w:val="1"/>
                <w:color w:val="auto"/>
              </w:rPr>
              <w:t>(3,590)</w:t>
            </w:r>
          </w:p>
        </w:tc>
        <w:tc>
          <w:tcPr>
            <w:tcW w:w="0" w:type="dxa"/>
            <w:vAlign w:val="bottom"/>
          </w:tcPr>
          <w:p>
            <w:pPr>
              <w:spacing w:after="0"/>
              <w:rPr>
                <w:sz w:val="1"/>
                <w:szCs w:val="1"/>
                <w:color w:val="auto"/>
              </w:rPr>
            </w:pPr>
          </w:p>
        </w:tc>
      </w:tr>
      <w:tr>
        <w:trPr>
          <w:trHeight w:val="203"/>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Interest Expense, Net</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3"/>
                <w:szCs w:val="13"/>
                <w:b w:val="1"/>
                <w:bCs w:val="1"/>
                <w:color w:val="auto"/>
              </w:rPr>
              <w:t>(14,175)</w:t>
            </w:r>
          </w:p>
        </w:tc>
        <w:tc>
          <w:tcPr>
            <w:tcW w:w="0" w:type="dxa"/>
            <w:vAlign w:val="bottom"/>
          </w:tcPr>
          <w:p>
            <w:pPr>
              <w:spacing w:after="0"/>
              <w:rPr>
                <w:sz w:val="1"/>
                <w:szCs w:val="1"/>
                <w:color w:val="auto"/>
              </w:rPr>
            </w:pPr>
          </w:p>
        </w:tc>
      </w:tr>
      <w:tr>
        <w:trPr>
          <w:trHeight w:val="166"/>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Non-Operating Pension and Postretirement Benefit</w:t>
            </w: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320" w:type="dxa"/>
            <w:vAlign w:val="bottom"/>
          </w:tcPr>
          <w:p>
            <w:pPr>
              <w:ind w:left="100"/>
              <w:spacing w:after="0"/>
              <w:rPr>
                <w:sz w:val="20"/>
                <w:szCs w:val="20"/>
                <w:color w:val="auto"/>
              </w:rPr>
            </w:pPr>
            <w:r>
              <w:rPr>
                <w:rFonts w:ascii="Arial" w:cs="Arial" w:eastAsia="Arial" w:hAnsi="Arial"/>
                <w:sz w:val="13"/>
                <w:szCs w:val="13"/>
                <w:b w:val="1"/>
                <w:bCs w:val="1"/>
                <w:color w:val="auto"/>
              </w:rPr>
              <w:t>Income, Net</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3"/>
                <w:szCs w:val="13"/>
                <w:b w:val="1"/>
                <w:bCs w:val="1"/>
                <w:color w:val="auto"/>
              </w:rPr>
              <w:t>47,601</w:t>
            </w:r>
          </w:p>
        </w:tc>
        <w:tc>
          <w:tcPr>
            <w:tcW w:w="0" w:type="dxa"/>
            <w:vAlign w:val="bottom"/>
          </w:tcPr>
          <w:p>
            <w:pPr>
              <w:spacing w:after="0"/>
              <w:rPr>
                <w:sz w:val="1"/>
                <w:szCs w:val="1"/>
                <w:color w:val="auto"/>
              </w:rPr>
            </w:pPr>
          </w:p>
        </w:tc>
      </w:tr>
      <w:tr>
        <w:trPr>
          <w:trHeight w:val="203"/>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Loss on Marketable Equity Securities, Net</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3"/>
                <w:szCs w:val="13"/>
                <w:b w:val="1"/>
                <w:bCs w:val="1"/>
                <w:color w:val="auto"/>
              </w:rPr>
              <w:t>(15,027)</w:t>
            </w:r>
          </w:p>
        </w:tc>
        <w:tc>
          <w:tcPr>
            <w:tcW w:w="0" w:type="dxa"/>
            <w:vAlign w:val="bottom"/>
          </w:tcPr>
          <w:p>
            <w:pPr>
              <w:spacing w:after="0"/>
              <w:rPr>
                <w:sz w:val="1"/>
                <w:szCs w:val="1"/>
                <w:color w:val="auto"/>
              </w:rPr>
            </w:pPr>
          </w:p>
        </w:tc>
      </w:tr>
      <w:tr>
        <w:trPr>
          <w:trHeight w:val="207"/>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Other Expense, Net</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(1,187)</w:t>
            </w:r>
          </w:p>
        </w:tc>
        <w:tc>
          <w:tcPr>
            <w:tcW w:w="0" w:type="dxa"/>
            <w:vAlign w:val="bottom"/>
          </w:tcPr>
          <w:p>
            <w:pPr>
              <w:spacing w:after="0"/>
              <w:rPr>
                <w:sz w:val="1"/>
                <w:szCs w:val="1"/>
                <w:color w:val="auto"/>
              </w:rPr>
            </w:pPr>
          </w:p>
        </w:tc>
      </w:tr>
      <w:tr>
        <w:trPr>
          <w:trHeight w:val="200"/>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Income Before Income Taxes</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99,143</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3"/>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Capital Expenditures</w:t>
            </w:r>
          </w:p>
        </w:tc>
        <w:tc>
          <w:tcPr>
            <w:tcW w:w="200" w:type="dxa"/>
            <w:vAlign w:val="bottom"/>
          </w:tcPr>
          <w:p>
            <w:pPr>
              <w:jc w:val="right"/>
              <w:ind w:right="57"/>
              <w:spacing w:after="0"/>
              <w:rPr>
                <w:sz w:val="20"/>
                <w:szCs w:val="20"/>
                <w:color w:val="auto"/>
              </w:rPr>
            </w:pPr>
            <w:r>
              <w:rPr>
                <w:rFonts w:ascii="Arial" w:cs="Arial" w:eastAsia="Arial" w:hAnsi="Arial"/>
                <w:sz w:val="13"/>
                <w:szCs w:val="13"/>
                <w:b w:val="1"/>
                <w:bCs w:val="1"/>
                <w:color w:val="auto"/>
                <w:w w:val="82"/>
              </w:rPr>
              <w:t>$</w:t>
            </w:r>
          </w:p>
        </w:tc>
        <w:tc>
          <w:tcPr>
            <w:tcW w:w="1060" w:type="dxa"/>
            <w:vAlign w:val="bottom"/>
          </w:tcPr>
          <w:p>
            <w:pPr>
              <w:jc w:val="right"/>
              <w:ind w:right="37"/>
              <w:spacing w:after="0"/>
              <w:rPr>
                <w:sz w:val="20"/>
                <w:szCs w:val="20"/>
                <w:color w:val="auto"/>
              </w:rPr>
            </w:pPr>
            <w:r>
              <w:rPr>
                <w:rFonts w:ascii="Arial" w:cs="Arial" w:eastAsia="Arial" w:hAnsi="Arial"/>
                <w:sz w:val="13"/>
                <w:szCs w:val="13"/>
                <w:b w:val="1"/>
                <w:bCs w:val="1"/>
                <w:color w:val="auto"/>
              </w:rPr>
              <w:t>5,977</w:t>
            </w:r>
          </w:p>
        </w:tc>
        <w:tc>
          <w:tcPr>
            <w:tcW w:w="2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1,214</w:t>
            </w:r>
          </w:p>
        </w:tc>
        <w:tc>
          <w:tcPr>
            <w:tcW w:w="2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920" w:type="dxa"/>
            <w:vAlign w:val="bottom"/>
          </w:tcPr>
          <w:p>
            <w:pPr>
              <w:jc w:val="right"/>
              <w:ind w:right="17"/>
              <w:spacing w:after="0"/>
              <w:rPr>
                <w:sz w:val="20"/>
                <w:szCs w:val="20"/>
                <w:color w:val="auto"/>
              </w:rPr>
            </w:pPr>
            <w:r>
              <w:rPr>
                <w:rFonts w:ascii="Arial" w:cs="Arial" w:eastAsia="Arial" w:hAnsi="Arial"/>
                <w:sz w:val="13"/>
                <w:szCs w:val="13"/>
                <w:b w:val="1"/>
                <w:bCs w:val="1"/>
                <w:color w:val="auto"/>
              </w:rPr>
              <w:t>14,534</w:t>
            </w:r>
          </w:p>
        </w:tc>
        <w:tc>
          <w:tcPr>
            <w:tcW w:w="22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180" w:type="dxa"/>
            <w:vAlign w:val="bottom"/>
          </w:tcPr>
          <w:p>
            <w:pPr>
              <w:jc w:val="right"/>
              <w:ind w:right="77"/>
              <w:spacing w:after="0"/>
              <w:rPr>
                <w:sz w:val="20"/>
                <w:szCs w:val="20"/>
                <w:color w:val="auto"/>
              </w:rPr>
            </w:pPr>
            <w:r>
              <w:rPr>
                <w:rFonts w:ascii="Arial" w:cs="Arial" w:eastAsia="Arial" w:hAnsi="Arial"/>
                <w:sz w:val="13"/>
                <w:szCs w:val="13"/>
                <w:b w:val="1"/>
                <w:bCs w:val="1"/>
                <w:color w:val="auto"/>
              </w:rPr>
              <w:t>3,489</w:t>
            </w:r>
          </w:p>
        </w:tc>
        <w:tc>
          <w:tcPr>
            <w:tcW w:w="220" w:type="dxa"/>
            <w:vAlign w:val="bottom"/>
          </w:tcPr>
          <w:p>
            <w:pPr>
              <w:jc w:val="right"/>
              <w:ind w:right="37"/>
              <w:spacing w:after="0"/>
              <w:rPr>
                <w:sz w:val="20"/>
                <w:szCs w:val="20"/>
                <w:color w:val="auto"/>
              </w:rPr>
            </w:pPr>
            <w:r>
              <w:rPr>
                <w:rFonts w:ascii="Arial" w:cs="Arial" w:eastAsia="Arial" w:hAnsi="Arial"/>
                <w:sz w:val="13"/>
                <w:szCs w:val="13"/>
                <w:b w:val="1"/>
                <w:bCs w:val="1"/>
                <w:color w:val="auto"/>
              </w:rPr>
              <w:t>$</w:t>
            </w:r>
          </w:p>
        </w:tc>
        <w:tc>
          <w:tcPr>
            <w:tcW w:w="1140" w:type="dxa"/>
            <w:vAlign w:val="bottom"/>
          </w:tcPr>
          <w:p>
            <w:pPr>
              <w:jc w:val="right"/>
              <w:ind w:right="97"/>
              <w:spacing w:after="0"/>
              <w:rPr>
                <w:sz w:val="20"/>
                <w:szCs w:val="20"/>
                <w:color w:val="auto"/>
              </w:rPr>
            </w:pPr>
            <w:r>
              <w:rPr>
                <w:rFonts w:ascii="Arial" w:cs="Arial" w:eastAsia="Arial" w:hAnsi="Arial"/>
                <w:sz w:val="13"/>
                <w:szCs w:val="13"/>
                <w:b w:val="1"/>
                <w:bCs w:val="1"/>
                <w:color w:val="auto"/>
              </w:rPr>
              <w:t>3,674</w:t>
            </w: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3"/>
                <w:szCs w:val="13"/>
                <w:b w:val="1"/>
                <w:bCs w:val="1"/>
                <w:color w:val="auto"/>
              </w:rPr>
              <w:t>28,888</w:t>
            </w:r>
          </w:p>
        </w:tc>
        <w:tc>
          <w:tcPr>
            <w:tcW w:w="0" w:type="dxa"/>
            <w:vAlign w:val="bottom"/>
          </w:tcPr>
          <w:p>
            <w:pPr>
              <w:spacing w:after="0"/>
              <w:rPr>
                <w:sz w:val="1"/>
                <w:szCs w:val="1"/>
                <w:color w:val="auto"/>
              </w:rPr>
            </w:pPr>
          </w:p>
        </w:tc>
      </w:tr>
      <w:tr>
        <w:trPr>
          <w:trHeight w:val="197"/>
        </w:trPr>
        <w:tc>
          <w:tcPr>
            <w:tcW w:w="3320" w:type="dxa"/>
            <w:vAlign w:val="bottom"/>
          </w:tcPr>
          <w:p>
            <w:pPr>
              <w:ind w:left="20"/>
              <w:spacing w:after="0"/>
              <w:rPr>
                <w:sz w:val="20"/>
                <w:szCs w:val="20"/>
                <w:color w:val="auto"/>
              </w:rPr>
            </w:pPr>
            <w:r>
              <w:rPr>
                <w:rFonts w:ascii="Arial" w:cs="Arial" w:eastAsia="Arial" w:hAnsi="Arial"/>
                <w:sz w:val="13"/>
                <w:szCs w:val="13"/>
                <w:i w:val="1"/>
                <w:iCs w:val="1"/>
                <w:color w:val="auto"/>
              </w:rPr>
              <w:t>Reconciliation of Capital Expenditures</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3320" w:type="dxa"/>
            <w:vAlign w:val="bottom"/>
          </w:tcPr>
          <w:p>
            <w:pPr>
              <w:ind w:left="140"/>
              <w:spacing w:after="0"/>
              <w:rPr>
                <w:sz w:val="20"/>
                <w:szCs w:val="20"/>
                <w:color w:val="auto"/>
              </w:rPr>
            </w:pPr>
            <w:r>
              <w:rPr>
                <w:rFonts w:ascii="Arial" w:cs="Arial" w:eastAsia="Arial" w:hAnsi="Arial"/>
                <w:sz w:val="13"/>
                <w:szCs w:val="13"/>
                <w:color w:val="auto"/>
              </w:rPr>
              <w:t>Other Businesses and Corporate Office Capital</w:t>
            </w: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3320" w:type="dxa"/>
            <w:vAlign w:val="bottom"/>
          </w:tcPr>
          <w:p>
            <w:pPr>
              <w:ind w:left="220"/>
              <w:spacing w:after="0"/>
              <w:rPr>
                <w:sz w:val="20"/>
                <w:szCs w:val="20"/>
                <w:color w:val="auto"/>
              </w:rPr>
            </w:pPr>
            <w:r>
              <w:rPr>
                <w:rFonts w:ascii="Arial" w:cs="Arial" w:eastAsia="Arial" w:hAnsi="Arial"/>
                <w:sz w:val="13"/>
                <w:szCs w:val="13"/>
                <w:color w:val="auto"/>
              </w:rPr>
              <w:t xml:space="preserve">Expenditures </w:t>
            </w:r>
            <w:r>
              <w:rPr>
                <w:rFonts w:ascii="Arial" w:cs="Arial" w:eastAsia="Arial" w:hAnsi="Arial"/>
                <w:sz w:val="16"/>
                <w:szCs w:val="16"/>
                <w:color w:val="auto"/>
                <w:vertAlign w:val="superscript"/>
              </w:rPr>
              <w:t>(8)</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10,674</w:t>
            </w:r>
          </w:p>
        </w:tc>
        <w:tc>
          <w:tcPr>
            <w:tcW w:w="0" w:type="dxa"/>
            <w:vAlign w:val="bottom"/>
          </w:tcPr>
          <w:p>
            <w:pPr>
              <w:spacing w:after="0"/>
              <w:rPr>
                <w:sz w:val="1"/>
                <w:szCs w:val="1"/>
                <w:color w:val="auto"/>
              </w:rPr>
            </w:pPr>
          </w:p>
        </w:tc>
      </w:tr>
      <w:tr>
        <w:trPr>
          <w:trHeight w:val="192"/>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Total Capital Expenditures</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39,562</w:t>
            </w:r>
          </w:p>
        </w:tc>
        <w:tc>
          <w:tcPr>
            <w:tcW w:w="0" w:type="dxa"/>
            <w:vAlign w:val="bottom"/>
          </w:tcPr>
          <w:p>
            <w:pPr>
              <w:spacing w:after="0"/>
              <w:rPr>
                <w:sz w:val="1"/>
                <w:szCs w:val="1"/>
                <w:color w:val="auto"/>
              </w:rPr>
            </w:pPr>
          </w:p>
        </w:tc>
      </w:tr>
    </w:tbl>
    <w:p>
      <w:pPr>
        <w:spacing w:after="0" w:line="324" w:lineRule="exact"/>
        <w:rPr>
          <w:sz w:val="20"/>
          <w:szCs w:val="20"/>
          <w:color w:val="auto"/>
        </w:rPr>
      </w:pPr>
    </w:p>
    <w:p>
      <w:pPr>
        <w:ind w:left="360" w:hanging="334"/>
        <w:spacing w:after="0" w:line="259" w:lineRule="auto"/>
        <w:tabs>
          <w:tab w:leader="none" w:pos="360" w:val="left"/>
        </w:tabs>
        <w:numPr>
          <w:ilvl w:val="0"/>
          <w:numId w:val="8"/>
        </w:numPr>
        <w:rPr>
          <w:rFonts w:ascii="Arial" w:cs="Arial" w:eastAsia="Arial" w:hAnsi="Arial"/>
          <w:sz w:val="11"/>
          <w:szCs w:val="11"/>
          <w:color w:val="auto"/>
        </w:rPr>
      </w:pPr>
      <w:r>
        <w:rPr>
          <w:rFonts w:ascii="Arial" w:cs="Arial" w:eastAsia="Arial" w:hAnsi="Arial"/>
          <w:sz w:val="11"/>
          <w:szCs w:val="11"/>
          <w:color w:val="auto"/>
        </w:rPr>
        <w:t>Revenue from segments below the quantitative thresholds is attributable to Other Businesses and the Corporate Office, as described above. None of these operating segments meet the quantitative thresholds for determining reportable segments.</w:t>
      </w:r>
    </w:p>
    <w:p>
      <w:pPr>
        <w:spacing w:after="0" w:line="37" w:lineRule="exact"/>
        <w:rPr>
          <w:rFonts w:ascii="Arial" w:cs="Arial" w:eastAsia="Arial" w:hAnsi="Arial"/>
          <w:sz w:val="11"/>
          <w:szCs w:val="11"/>
          <w:color w:val="auto"/>
        </w:rPr>
      </w:pPr>
    </w:p>
    <w:p>
      <w:pPr>
        <w:ind w:left="360" w:hanging="334"/>
        <w:spacing w:after="0"/>
        <w:tabs>
          <w:tab w:leader="none" w:pos="360" w:val="left"/>
        </w:tabs>
        <w:numPr>
          <w:ilvl w:val="0"/>
          <w:numId w:val="8"/>
        </w:numPr>
        <w:rPr>
          <w:rFonts w:ascii="Arial" w:cs="Arial" w:eastAsia="Arial" w:hAnsi="Arial"/>
          <w:sz w:val="11"/>
          <w:szCs w:val="11"/>
          <w:color w:val="auto"/>
        </w:rPr>
      </w:pPr>
      <w:r>
        <w:rPr>
          <w:rFonts w:ascii="Arial" w:cs="Arial" w:eastAsia="Arial" w:hAnsi="Arial"/>
          <w:sz w:val="11"/>
          <w:szCs w:val="11"/>
          <w:color w:val="auto"/>
        </w:rPr>
        <w:t>The significant expense categories and amounts align with the segment-level information that is regularly provided to the chief operating decision maker (CODM).</w:t>
      </w:r>
    </w:p>
    <w:p>
      <w:pPr>
        <w:spacing w:after="0" w:line="62" w:lineRule="exact"/>
        <w:rPr>
          <w:rFonts w:ascii="Arial" w:cs="Arial" w:eastAsia="Arial" w:hAnsi="Arial"/>
          <w:sz w:val="11"/>
          <w:szCs w:val="11"/>
          <w:color w:val="auto"/>
        </w:rPr>
      </w:pPr>
    </w:p>
    <w:p>
      <w:pPr>
        <w:ind w:left="360" w:right="200" w:hanging="334"/>
        <w:spacing w:after="0" w:line="259" w:lineRule="auto"/>
        <w:tabs>
          <w:tab w:leader="none" w:pos="360" w:val="left"/>
        </w:tabs>
        <w:numPr>
          <w:ilvl w:val="0"/>
          <w:numId w:val="8"/>
        </w:numPr>
        <w:rPr>
          <w:rFonts w:ascii="Arial" w:cs="Arial" w:eastAsia="Arial" w:hAnsi="Arial"/>
          <w:sz w:val="11"/>
          <w:szCs w:val="11"/>
          <w:color w:val="auto"/>
        </w:rPr>
      </w:pPr>
      <w:r>
        <w:rPr>
          <w:rFonts w:ascii="Arial" w:cs="Arial" w:eastAsia="Arial" w:hAnsi="Arial"/>
          <w:sz w:val="11"/>
          <w:szCs w:val="11"/>
          <w:color w:val="auto"/>
        </w:rPr>
        <w:t>Cost of revenue reflects the amounts reported and provided to the CODM and does not necessarily reconcile to the Company's Consolidated Statement of Operations or align across reportable segments. Cost of revenue excludes charges related to depreciation, which is shown separately above.</w:t>
      </w:r>
    </w:p>
    <w:p>
      <w:pPr>
        <w:spacing w:after="0" w:line="37" w:lineRule="exact"/>
        <w:rPr>
          <w:rFonts w:ascii="Arial" w:cs="Arial" w:eastAsia="Arial" w:hAnsi="Arial"/>
          <w:sz w:val="11"/>
          <w:szCs w:val="11"/>
          <w:color w:val="auto"/>
        </w:rPr>
      </w:pPr>
    </w:p>
    <w:p>
      <w:pPr>
        <w:ind w:left="360" w:hanging="334"/>
        <w:spacing w:after="0"/>
        <w:tabs>
          <w:tab w:leader="none" w:pos="360" w:val="left"/>
        </w:tabs>
        <w:numPr>
          <w:ilvl w:val="0"/>
          <w:numId w:val="8"/>
        </w:numPr>
        <w:rPr>
          <w:rFonts w:ascii="Arial" w:cs="Arial" w:eastAsia="Arial" w:hAnsi="Arial"/>
          <w:sz w:val="11"/>
          <w:szCs w:val="11"/>
          <w:color w:val="auto"/>
        </w:rPr>
      </w:pPr>
      <w:r>
        <w:rPr>
          <w:rFonts w:ascii="Arial" w:cs="Arial" w:eastAsia="Arial" w:hAnsi="Arial"/>
          <w:sz w:val="11"/>
          <w:szCs w:val="11"/>
          <w:color w:val="auto"/>
        </w:rPr>
        <w:t>Excludes pension service cost, which is shown separately above. Excludes any payroll and related benefits costs captured in cost of revenue.</w:t>
      </w:r>
    </w:p>
    <w:p>
      <w:pPr>
        <w:spacing w:after="0" w:line="62" w:lineRule="exact"/>
        <w:rPr>
          <w:rFonts w:ascii="Arial" w:cs="Arial" w:eastAsia="Arial" w:hAnsi="Arial"/>
          <w:sz w:val="11"/>
          <w:szCs w:val="11"/>
          <w:color w:val="auto"/>
        </w:rPr>
      </w:pPr>
    </w:p>
    <w:p>
      <w:pPr>
        <w:ind w:left="360" w:hanging="334"/>
        <w:spacing w:after="0"/>
        <w:tabs>
          <w:tab w:leader="none" w:pos="360" w:val="left"/>
        </w:tabs>
        <w:numPr>
          <w:ilvl w:val="0"/>
          <w:numId w:val="8"/>
        </w:numPr>
        <w:rPr>
          <w:rFonts w:ascii="Arial" w:cs="Arial" w:eastAsia="Arial" w:hAnsi="Arial"/>
          <w:sz w:val="11"/>
          <w:szCs w:val="11"/>
          <w:color w:val="auto"/>
        </w:rPr>
      </w:pPr>
      <w:r>
        <w:rPr>
          <w:rFonts w:ascii="Arial" w:cs="Arial" w:eastAsia="Arial" w:hAnsi="Arial"/>
          <w:sz w:val="11"/>
          <w:szCs w:val="11"/>
          <w:color w:val="auto"/>
        </w:rPr>
        <w:t>Management and operating services provided by Christopher J. Ourisman and his team of industry professionals.</w:t>
      </w:r>
    </w:p>
    <w:p>
      <w:pPr>
        <w:spacing w:after="0" w:line="62" w:lineRule="exact"/>
        <w:rPr>
          <w:rFonts w:ascii="Arial" w:cs="Arial" w:eastAsia="Arial" w:hAnsi="Arial"/>
          <w:sz w:val="11"/>
          <w:szCs w:val="11"/>
          <w:color w:val="auto"/>
        </w:rPr>
      </w:pPr>
    </w:p>
    <w:p>
      <w:pPr>
        <w:ind w:left="360" w:hanging="334"/>
        <w:spacing w:after="0"/>
        <w:tabs>
          <w:tab w:leader="none" w:pos="360" w:val="left"/>
        </w:tabs>
        <w:numPr>
          <w:ilvl w:val="0"/>
          <w:numId w:val="8"/>
        </w:numPr>
        <w:rPr>
          <w:rFonts w:ascii="Arial" w:cs="Arial" w:eastAsia="Arial" w:hAnsi="Arial"/>
          <w:sz w:val="11"/>
          <w:szCs w:val="11"/>
          <w:color w:val="auto"/>
        </w:rPr>
      </w:pPr>
      <w:r>
        <w:rPr>
          <w:rFonts w:ascii="Arial" w:cs="Arial" w:eastAsia="Arial" w:hAnsi="Arial"/>
          <w:sz w:val="11"/>
          <w:szCs w:val="11"/>
          <w:color w:val="auto"/>
        </w:rPr>
        <w:t>Other segment items for each reportable segment include:</w:t>
      </w:r>
    </w:p>
    <w:p>
      <w:pPr>
        <w:spacing w:after="0" w:line="62" w:lineRule="exact"/>
        <w:rPr>
          <w:rFonts w:ascii="Arial" w:cs="Arial" w:eastAsia="Arial" w:hAnsi="Arial"/>
          <w:sz w:val="11"/>
          <w:szCs w:val="11"/>
          <w:color w:val="auto"/>
        </w:rPr>
      </w:pPr>
    </w:p>
    <w:p>
      <w:pPr>
        <w:ind w:left="660" w:right="60" w:hanging="310"/>
        <w:spacing w:after="0" w:line="259" w:lineRule="auto"/>
        <w:tabs>
          <w:tab w:leader="none" w:pos="660" w:val="left"/>
        </w:tabs>
        <w:numPr>
          <w:ilvl w:val="1"/>
          <w:numId w:val="8"/>
        </w:numPr>
        <w:rPr>
          <w:rFonts w:ascii="Arial" w:cs="Arial" w:eastAsia="Arial" w:hAnsi="Arial"/>
          <w:sz w:val="11"/>
          <w:szCs w:val="11"/>
          <w:color w:val="auto"/>
        </w:rPr>
      </w:pPr>
      <w:r>
        <w:rPr>
          <w:rFonts w:ascii="Arial" w:cs="Arial" w:eastAsia="Arial" w:hAnsi="Arial"/>
          <w:sz w:val="11"/>
          <w:szCs w:val="11"/>
          <w:color w:val="auto"/>
        </w:rPr>
        <w:t>Education (includes Kaplan International, Kaplan Higher Education and Kaplan Supplemental Education) - training and employment expense, travel meals and entertainment expense, operating fees and other general and administrative (G&amp;A) expenses.</w:t>
      </w:r>
    </w:p>
    <w:p>
      <w:pPr>
        <w:spacing w:after="0" w:line="37" w:lineRule="exact"/>
        <w:rPr>
          <w:rFonts w:ascii="Arial" w:cs="Arial" w:eastAsia="Arial" w:hAnsi="Arial"/>
          <w:sz w:val="11"/>
          <w:szCs w:val="11"/>
          <w:color w:val="auto"/>
        </w:rPr>
      </w:pPr>
    </w:p>
    <w:p>
      <w:pPr>
        <w:ind w:left="660" w:hanging="310"/>
        <w:spacing w:after="0"/>
        <w:tabs>
          <w:tab w:leader="none" w:pos="660" w:val="left"/>
        </w:tabs>
        <w:numPr>
          <w:ilvl w:val="1"/>
          <w:numId w:val="8"/>
        </w:numPr>
        <w:rPr>
          <w:rFonts w:ascii="Arial" w:cs="Arial" w:eastAsia="Arial" w:hAnsi="Arial"/>
          <w:sz w:val="11"/>
          <w:szCs w:val="11"/>
          <w:color w:val="auto"/>
        </w:rPr>
      </w:pPr>
      <w:r>
        <w:rPr>
          <w:rFonts w:ascii="Arial" w:cs="Arial" w:eastAsia="Arial" w:hAnsi="Arial"/>
          <w:sz w:val="11"/>
          <w:szCs w:val="11"/>
          <w:color w:val="auto"/>
        </w:rPr>
        <w:t>Television Broadcasting - other broadcast expenses, facilities expenses, third-party commission costs and other selling, general and administrative (SG&amp;A) expenses.</w:t>
      </w:r>
    </w:p>
    <w:p>
      <w:pPr>
        <w:spacing w:after="0" w:line="62" w:lineRule="exact"/>
        <w:rPr>
          <w:rFonts w:ascii="Arial" w:cs="Arial" w:eastAsia="Arial" w:hAnsi="Arial"/>
          <w:sz w:val="11"/>
          <w:szCs w:val="11"/>
          <w:color w:val="auto"/>
        </w:rPr>
      </w:pPr>
    </w:p>
    <w:p>
      <w:pPr>
        <w:ind w:left="660" w:hanging="310"/>
        <w:spacing w:after="0"/>
        <w:tabs>
          <w:tab w:leader="none" w:pos="660" w:val="left"/>
        </w:tabs>
        <w:numPr>
          <w:ilvl w:val="1"/>
          <w:numId w:val="8"/>
        </w:numPr>
        <w:rPr>
          <w:rFonts w:ascii="Arial" w:cs="Arial" w:eastAsia="Arial" w:hAnsi="Arial"/>
          <w:sz w:val="11"/>
          <w:szCs w:val="11"/>
          <w:color w:val="auto"/>
        </w:rPr>
      </w:pPr>
      <w:r>
        <w:rPr>
          <w:rFonts w:ascii="Arial" w:cs="Arial" w:eastAsia="Arial" w:hAnsi="Arial"/>
          <w:sz w:val="11"/>
          <w:szCs w:val="11"/>
          <w:color w:val="auto"/>
        </w:rPr>
        <w:t>Healthcare - indirect costs (e.g. payroll and benefits expenses, G&amp;A expenses) and other SG&amp;A expenses.</w:t>
      </w:r>
    </w:p>
    <w:p>
      <w:pPr>
        <w:spacing w:after="0" w:line="62" w:lineRule="exact"/>
        <w:rPr>
          <w:rFonts w:ascii="Arial" w:cs="Arial" w:eastAsia="Arial" w:hAnsi="Arial"/>
          <w:sz w:val="11"/>
          <w:szCs w:val="11"/>
          <w:color w:val="auto"/>
        </w:rPr>
      </w:pPr>
    </w:p>
    <w:p>
      <w:pPr>
        <w:ind w:left="660" w:hanging="310"/>
        <w:spacing w:after="0"/>
        <w:tabs>
          <w:tab w:leader="none" w:pos="660" w:val="left"/>
        </w:tabs>
        <w:numPr>
          <w:ilvl w:val="1"/>
          <w:numId w:val="8"/>
        </w:numPr>
        <w:rPr>
          <w:rFonts w:ascii="Arial" w:cs="Arial" w:eastAsia="Arial" w:hAnsi="Arial"/>
          <w:sz w:val="11"/>
          <w:szCs w:val="11"/>
          <w:color w:val="auto"/>
        </w:rPr>
      </w:pPr>
      <w:r>
        <w:rPr>
          <w:rFonts w:ascii="Arial" w:cs="Arial" w:eastAsia="Arial" w:hAnsi="Arial"/>
          <w:sz w:val="11"/>
          <w:szCs w:val="11"/>
          <w:color w:val="auto"/>
        </w:rPr>
        <w:t>Manufacturing - payroll and fringe benefits expense (SG&amp;A) and other SG&amp;A expenses.</w:t>
      </w:r>
    </w:p>
    <w:p>
      <w:pPr>
        <w:spacing w:after="0" w:line="62" w:lineRule="exact"/>
        <w:rPr>
          <w:rFonts w:ascii="Arial" w:cs="Arial" w:eastAsia="Arial" w:hAnsi="Arial"/>
          <w:sz w:val="11"/>
          <w:szCs w:val="11"/>
          <w:color w:val="auto"/>
        </w:rPr>
      </w:pPr>
    </w:p>
    <w:p>
      <w:pPr>
        <w:ind w:left="660" w:hanging="310"/>
        <w:spacing w:after="0"/>
        <w:tabs>
          <w:tab w:leader="none" w:pos="660" w:val="left"/>
        </w:tabs>
        <w:numPr>
          <w:ilvl w:val="1"/>
          <w:numId w:val="8"/>
        </w:numPr>
        <w:rPr>
          <w:rFonts w:ascii="Arial" w:cs="Arial" w:eastAsia="Arial" w:hAnsi="Arial"/>
          <w:sz w:val="11"/>
          <w:szCs w:val="11"/>
          <w:color w:val="auto"/>
        </w:rPr>
      </w:pPr>
      <w:r>
        <w:rPr>
          <w:rFonts w:ascii="Arial" w:cs="Arial" w:eastAsia="Arial" w:hAnsi="Arial"/>
          <w:sz w:val="11"/>
          <w:szCs w:val="11"/>
          <w:color w:val="auto"/>
        </w:rPr>
        <w:t>Automotive - advertising and marketing expense and other G&amp;A expenses.</w:t>
      </w:r>
    </w:p>
    <w:p>
      <w:pPr>
        <w:spacing w:after="0" w:line="62" w:lineRule="exact"/>
        <w:rPr>
          <w:rFonts w:ascii="Arial" w:cs="Arial" w:eastAsia="Arial" w:hAnsi="Arial"/>
          <w:sz w:val="11"/>
          <w:szCs w:val="11"/>
          <w:color w:val="auto"/>
        </w:rPr>
      </w:pPr>
    </w:p>
    <w:p>
      <w:pPr>
        <w:ind w:left="360" w:right="400" w:hanging="334"/>
        <w:spacing w:after="0" w:line="259" w:lineRule="auto"/>
        <w:tabs>
          <w:tab w:leader="none" w:pos="360" w:val="left"/>
        </w:tabs>
        <w:numPr>
          <w:ilvl w:val="0"/>
          <w:numId w:val="8"/>
        </w:numPr>
        <w:rPr>
          <w:rFonts w:ascii="Arial" w:cs="Arial" w:eastAsia="Arial" w:hAnsi="Arial"/>
          <w:sz w:val="11"/>
          <w:szCs w:val="11"/>
          <w:color w:val="auto"/>
        </w:rPr>
      </w:pPr>
      <w:r>
        <w:rPr>
          <w:rFonts w:ascii="Arial" w:cs="Arial" w:eastAsia="Arial" w:hAnsi="Arial"/>
          <w:sz w:val="11"/>
          <w:szCs w:val="11"/>
          <w:color w:val="auto"/>
        </w:rPr>
        <w:t>Profit or loss from operating segments below the quantitative thresholds attributable to Other Businesses as described above. These operating segments did not meet any of the quantitative thresholds for determining reportable segments.</w:t>
      </w:r>
    </w:p>
    <w:p>
      <w:pPr>
        <w:spacing w:after="0" w:line="37" w:lineRule="exact"/>
        <w:rPr>
          <w:rFonts w:ascii="Arial" w:cs="Arial" w:eastAsia="Arial" w:hAnsi="Arial"/>
          <w:sz w:val="11"/>
          <w:szCs w:val="11"/>
          <w:color w:val="auto"/>
        </w:rPr>
      </w:pPr>
    </w:p>
    <w:p>
      <w:pPr>
        <w:ind w:left="360" w:right="160" w:hanging="334"/>
        <w:spacing w:after="0" w:line="259" w:lineRule="auto"/>
        <w:tabs>
          <w:tab w:leader="none" w:pos="360" w:val="left"/>
        </w:tabs>
        <w:numPr>
          <w:ilvl w:val="0"/>
          <w:numId w:val="8"/>
        </w:numPr>
        <w:rPr>
          <w:rFonts w:ascii="Arial" w:cs="Arial" w:eastAsia="Arial" w:hAnsi="Arial"/>
          <w:sz w:val="11"/>
          <w:szCs w:val="11"/>
          <w:color w:val="auto"/>
        </w:rPr>
      </w:pPr>
      <w:r>
        <w:rPr>
          <w:rFonts w:ascii="Arial" w:cs="Arial" w:eastAsia="Arial" w:hAnsi="Arial"/>
          <w:sz w:val="11"/>
          <w:szCs w:val="11"/>
          <w:color w:val="auto"/>
        </w:rPr>
        <w:t>Capital Expenditures from operating segments below the quantitative thresholds are attributable to Other Businesses and the Corporate Office, as described above. None of these operating segments meet the quantitative thresholds for determining reportable segments.</w:t>
      </w:r>
    </w:p>
    <w:p>
      <w:pPr>
        <w:sectPr>
          <w:pgSz w:w="11900" w:h="16838" w:orient="portrait"/>
          <w:cols w:equalWidth="0" w:num="1">
            <w:col w:w="11040"/>
          </w:cols>
          <w:pgMar w:left="320" w:top="931"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931" w:right="5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color w:val="auto"/>
        </w:rPr>
        <w:t>The Company’s education division segment information is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3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4"/>
          </w:tcPr>
          <w:p>
            <w:pPr>
              <w:jc w:val="right"/>
              <w:ind w:right="57"/>
              <w:spacing w:after="0"/>
              <w:rPr>
                <w:sz w:val="20"/>
                <w:szCs w:val="20"/>
                <w:color w:val="auto"/>
              </w:rPr>
            </w:pPr>
            <w:r>
              <w:rPr>
                <w:rFonts w:ascii="Arial" w:cs="Arial" w:eastAsia="Arial" w:hAnsi="Arial"/>
                <w:sz w:val="13"/>
                <w:szCs w:val="13"/>
                <w:b w:val="1"/>
                <w:bCs w:val="1"/>
                <w:color w:val="auto"/>
              </w:rPr>
              <w:t>Three Months Ended September 30, 2026</w:t>
            </w: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ind w:right="377"/>
              <w:spacing w:after="0"/>
              <w:rPr>
                <w:sz w:val="20"/>
                <w:szCs w:val="20"/>
                <w:color w:val="auto"/>
              </w:rPr>
            </w:pPr>
            <w:r>
              <w:rPr>
                <w:rFonts w:ascii="Arial" w:cs="Arial" w:eastAsia="Arial" w:hAnsi="Arial"/>
                <w:sz w:val="13"/>
                <w:szCs w:val="13"/>
                <w:b w:val="1"/>
                <w:bCs w:val="1"/>
                <w:color w:val="auto"/>
              </w:rPr>
              <w:t>Kaplan</w:t>
            </w:r>
          </w:p>
        </w:tc>
        <w:tc>
          <w:tcPr>
            <w:tcW w:w="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jc w:val="right"/>
              <w:ind w:right="177"/>
              <w:spacing w:after="0"/>
              <w:rPr>
                <w:sz w:val="20"/>
                <w:szCs w:val="20"/>
                <w:color w:val="auto"/>
              </w:rPr>
            </w:pPr>
            <w:r>
              <w:rPr>
                <w:rFonts w:ascii="Arial" w:cs="Arial" w:eastAsia="Arial" w:hAnsi="Arial"/>
                <w:sz w:val="13"/>
                <w:szCs w:val="13"/>
                <w:b w:val="1"/>
                <w:bCs w:val="1"/>
                <w:color w:val="auto"/>
              </w:rPr>
              <w:t>Supplemental</w:t>
            </w:r>
          </w:p>
        </w:tc>
        <w:tc>
          <w:tcPr>
            <w:tcW w:w="180" w:type="dxa"/>
            <w:vAlign w:val="bottom"/>
          </w:tcPr>
          <w:p>
            <w:pPr>
              <w:spacing w:after="0"/>
              <w:rPr>
                <w:sz w:val="13"/>
                <w:szCs w:val="13"/>
                <w:color w:val="auto"/>
              </w:rPr>
            </w:pPr>
          </w:p>
        </w:tc>
        <w:tc>
          <w:tcPr>
            <w:tcW w:w="1180" w:type="dxa"/>
            <w:vAlign w:val="bottom"/>
          </w:tcPr>
          <w:p>
            <w:pPr>
              <w:jc w:val="right"/>
              <w:ind w:right="77"/>
              <w:spacing w:after="0"/>
              <w:rPr>
                <w:sz w:val="20"/>
                <w:szCs w:val="20"/>
                <w:color w:val="auto"/>
              </w:rPr>
            </w:pPr>
            <w:r>
              <w:rPr>
                <w:rFonts w:ascii="Arial" w:cs="Arial" w:eastAsia="Arial" w:hAnsi="Arial"/>
                <w:sz w:val="13"/>
                <w:szCs w:val="13"/>
                <w:b w:val="1"/>
                <w:bCs w:val="1"/>
                <w:color w:val="auto"/>
                <w:w w:val="93"/>
              </w:rPr>
              <w:t>Kaplan Corporate</w:t>
            </w:r>
          </w:p>
        </w:tc>
        <w:tc>
          <w:tcPr>
            <w:tcW w:w="220" w:type="dxa"/>
            <w:vAlign w:val="bottom"/>
          </w:tcPr>
          <w:p>
            <w:pPr>
              <w:spacing w:after="0"/>
              <w:rPr>
                <w:sz w:val="13"/>
                <w:szCs w:val="13"/>
                <w:color w:val="auto"/>
              </w:rPr>
            </w:pPr>
          </w:p>
        </w:tc>
        <w:tc>
          <w:tcPr>
            <w:tcW w:w="1140" w:type="dxa"/>
            <w:vAlign w:val="bottom"/>
          </w:tcPr>
          <w:p>
            <w:pPr>
              <w:jc w:val="right"/>
              <w:ind w:right="217"/>
              <w:spacing w:after="0"/>
              <w:rPr>
                <w:sz w:val="20"/>
                <w:szCs w:val="20"/>
                <w:color w:val="auto"/>
              </w:rPr>
            </w:pPr>
            <w:r>
              <w:rPr>
                <w:rFonts w:ascii="Arial" w:cs="Arial" w:eastAsia="Arial" w:hAnsi="Arial"/>
                <w:sz w:val="13"/>
                <w:szCs w:val="13"/>
                <w:b w:val="1"/>
                <w:bCs w:val="1"/>
                <w:color w:val="auto"/>
              </w:rPr>
              <w:t>Intersegment</w:t>
            </w: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3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thousands)</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International</w:t>
            </w:r>
          </w:p>
        </w:tc>
        <w:tc>
          <w:tcPr>
            <w:tcW w:w="1300" w:type="dxa"/>
            <w:vAlign w:val="bottom"/>
            <w:tcBorders>
              <w:bottom w:val="single" w:sz="8" w:color="auto"/>
            </w:tcBorders>
            <w:gridSpan w:val="2"/>
          </w:tcPr>
          <w:p>
            <w:pPr>
              <w:jc w:val="right"/>
              <w:ind w:right="37"/>
              <w:spacing w:after="0"/>
              <w:rPr>
                <w:sz w:val="20"/>
                <w:szCs w:val="20"/>
                <w:color w:val="auto"/>
              </w:rPr>
            </w:pPr>
            <w:r>
              <w:rPr>
                <w:rFonts w:ascii="Arial" w:cs="Arial" w:eastAsia="Arial" w:hAnsi="Arial"/>
                <w:sz w:val="13"/>
                <w:szCs w:val="13"/>
                <w:b w:val="1"/>
                <w:bCs w:val="1"/>
                <w:color w:val="auto"/>
              </w:rPr>
              <w:t>Higher Education</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Education</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and Other</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Elimination</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96"/>
              </w:rPr>
              <w:t>Total Education</w:t>
            </w:r>
          </w:p>
        </w:tc>
        <w:tc>
          <w:tcPr>
            <w:tcW w:w="0" w:type="dxa"/>
            <w:vAlign w:val="bottom"/>
          </w:tcPr>
          <w:p>
            <w:pPr>
              <w:spacing w:after="0"/>
              <w:rPr>
                <w:sz w:val="1"/>
                <w:szCs w:val="1"/>
                <w:color w:val="auto"/>
              </w:rPr>
            </w:pPr>
          </w:p>
        </w:tc>
      </w:tr>
      <w:tr>
        <w:trPr>
          <w:trHeight w:val="192"/>
        </w:trPr>
        <w:tc>
          <w:tcPr>
            <w:tcW w:w="3360" w:type="dxa"/>
            <w:vAlign w:val="bottom"/>
          </w:tcPr>
          <w:p>
            <w:pPr>
              <w:ind w:left="20"/>
              <w:spacing w:after="0"/>
              <w:rPr>
                <w:sz w:val="20"/>
                <w:szCs w:val="20"/>
                <w:color w:val="auto"/>
              </w:rPr>
            </w:pPr>
            <w:r>
              <w:rPr>
                <w:rFonts w:ascii="Arial" w:cs="Arial" w:eastAsia="Arial" w:hAnsi="Arial"/>
                <w:sz w:val="13"/>
                <w:szCs w:val="13"/>
                <w:b w:val="1"/>
                <w:bCs w:val="1"/>
                <w:color w:val="auto"/>
              </w:rPr>
              <w:t>Operating Revenues</w:t>
            </w:r>
          </w:p>
        </w:tc>
        <w:tc>
          <w:tcPr>
            <w:tcW w:w="160" w:type="dxa"/>
            <w:vAlign w:val="bottom"/>
          </w:tcPr>
          <w:p>
            <w:pPr>
              <w:jc w:val="right"/>
              <w:ind w:right="17"/>
              <w:spacing w:after="0"/>
              <w:rPr>
                <w:sz w:val="20"/>
                <w:szCs w:val="20"/>
                <w:color w:val="auto"/>
              </w:rPr>
            </w:pPr>
            <w:r>
              <w:rPr>
                <w:rFonts w:ascii="Arial" w:cs="Arial" w:eastAsia="Arial" w:hAnsi="Arial"/>
                <w:sz w:val="13"/>
                <w:szCs w:val="13"/>
                <w:b w:val="1"/>
                <w:bCs w:val="1"/>
                <w:color w:val="auto"/>
                <w:w w:val="82"/>
              </w:rPr>
              <w:t>$</w:t>
            </w:r>
          </w:p>
        </w:tc>
        <w:tc>
          <w:tcPr>
            <w:tcW w:w="1100" w:type="dxa"/>
            <w:vAlign w:val="bottom"/>
          </w:tcPr>
          <w:p>
            <w:pPr>
              <w:jc w:val="right"/>
              <w:ind w:right="37"/>
              <w:spacing w:after="0"/>
              <w:rPr>
                <w:sz w:val="20"/>
                <w:szCs w:val="20"/>
                <w:color w:val="auto"/>
              </w:rPr>
            </w:pPr>
            <w:r>
              <w:rPr>
                <w:rFonts w:ascii="Arial" w:cs="Arial" w:eastAsia="Arial" w:hAnsi="Arial"/>
                <w:sz w:val="13"/>
                <w:szCs w:val="13"/>
                <w:b w:val="1"/>
                <w:bCs w:val="1"/>
                <w:color w:val="auto"/>
              </w:rPr>
              <w:t>230,134</w:t>
            </w:r>
          </w:p>
        </w:tc>
        <w:tc>
          <w:tcPr>
            <w:tcW w:w="500" w:type="dxa"/>
            <w:vAlign w:val="bottom"/>
          </w:tcPr>
          <w:p>
            <w:pPr>
              <w:jc w:val="right"/>
              <w:ind w:right="277"/>
              <w:spacing w:after="0"/>
              <w:rPr>
                <w:sz w:val="20"/>
                <w:szCs w:val="20"/>
                <w:color w:val="auto"/>
              </w:rPr>
            </w:pPr>
            <w:r>
              <w:rPr>
                <w:rFonts w:ascii="Arial" w:cs="Arial" w:eastAsia="Arial" w:hAnsi="Arial"/>
                <w:sz w:val="13"/>
                <w:szCs w:val="13"/>
                <w:b w:val="1"/>
                <w:bCs w:val="1"/>
                <w:color w:val="auto"/>
              </w:rPr>
              <w:t>$</w:t>
            </w:r>
          </w:p>
        </w:tc>
        <w:tc>
          <w:tcPr>
            <w:tcW w:w="800" w:type="dxa"/>
            <w:vAlign w:val="bottom"/>
          </w:tcPr>
          <w:p>
            <w:pPr>
              <w:jc w:val="right"/>
              <w:ind w:right="17"/>
              <w:spacing w:after="0"/>
              <w:rPr>
                <w:sz w:val="20"/>
                <w:szCs w:val="20"/>
                <w:color w:val="auto"/>
              </w:rPr>
            </w:pPr>
            <w:r>
              <w:rPr>
                <w:rFonts w:ascii="Arial" w:cs="Arial" w:eastAsia="Arial" w:hAnsi="Arial"/>
                <w:sz w:val="13"/>
                <w:szCs w:val="13"/>
                <w:b w:val="1"/>
                <w:bCs w:val="1"/>
                <w:color w:val="auto"/>
              </w:rPr>
              <w:t>93,865</w:t>
            </w:r>
          </w:p>
        </w:tc>
        <w:tc>
          <w:tcPr>
            <w:tcW w:w="2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120" w:type="dxa"/>
            <w:vAlign w:val="bottom"/>
          </w:tcPr>
          <w:p>
            <w:pPr>
              <w:jc w:val="right"/>
              <w:ind w:right="17"/>
              <w:spacing w:after="0"/>
              <w:rPr>
                <w:sz w:val="20"/>
                <w:szCs w:val="20"/>
                <w:color w:val="auto"/>
              </w:rPr>
            </w:pPr>
            <w:r>
              <w:rPr>
                <w:rFonts w:ascii="Arial" w:cs="Arial" w:eastAsia="Arial" w:hAnsi="Arial"/>
                <w:sz w:val="13"/>
                <w:szCs w:val="13"/>
                <w:b w:val="1"/>
                <w:bCs w:val="1"/>
                <w:color w:val="auto"/>
              </w:rPr>
              <w:t>80,805</w:t>
            </w:r>
          </w:p>
        </w:tc>
        <w:tc>
          <w:tcPr>
            <w:tcW w:w="1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180" w:type="dxa"/>
            <w:vAlign w:val="bottom"/>
          </w:tcPr>
          <w:p>
            <w:pPr>
              <w:jc w:val="right"/>
              <w:ind w:right="37"/>
              <w:spacing w:after="0"/>
              <w:rPr>
                <w:sz w:val="20"/>
                <w:szCs w:val="20"/>
                <w:color w:val="auto"/>
              </w:rPr>
            </w:pPr>
            <w:r>
              <w:rPr>
                <w:rFonts w:ascii="Arial" w:cs="Arial" w:eastAsia="Arial" w:hAnsi="Arial"/>
                <w:sz w:val="13"/>
                <w:szCs w:val="13"/>
                <w:b w:val="1"/>
                <w:bCs w:val="1"/>
                <w:color w:val="auto"/>
              </w:rPr>
              <w:t>369</w:t>
            </w:r>
          </w:p>
        </w:tc>
        <w:tc>
          <w:tcPr>
            <w:tcW w:w="2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140" w:type="dxa"/>
            <w:vAlign w:val="bottom"/>
          </w:tcPr>
          <w:p>
            <w:pPr>
              <w:jc w:val="right"/>
              <w:ind w:right="17"/>
              <w:spacing w:after="0"/>
              <w:rPr>
                <w:sz w:val="20"/>
                <w:szCs w:val="20"/>
                <w:color w:val="auto"/>
              </w:rPr>
            </w:pPr>
            <w:r>
              <w:rPr>
                <w:rFonts w:ascii="Arial" w:cs="Arial" w:eastAsia="Arial" w:hAnsi="Arial"/>
                <w:sz w:val="13"/>
                <w:szCs w:val="13"/>
                <w:b w:val="1"/>
                <w:bCs w:val="1"/>
                <w:color w:val="auto"/>
              </w:rPr>
              <w:t>(891)</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404,282</w:t>
            </w:r>
          </w:p>
        </w:tc>
        <w:tc>
          <w:tcPr>
            <w:tcW w:w="0" w:type="dxa"/>
            <w:vAlign w:val="bottom"/>
          </w:tcPr>
          <w:p>
            <w:pPr>
              <w:spacing w:after="0"/>
              <w:rPr>
                <w:sz w:val="1"/>
                <w:szCs w:val="1"/>
                <w:color w:val="auto"/>
              </w:rPr>
            </w:pPr>
          </w:p>
        </w:tc>
      </w:tr>
      <w:tr>
        <w:trPr>
          <w:trHeight w:val="331"/>
        </w:trPr>
        <w:tc>
          <w:tcPr>
            <w:tcW w:w="3360" w:type="dxa"/>
            <w:vAlign w:val="bottom"/>
          </w:tcPr>
          <w:p>
            <w:pPr>
              <w:ind w:left="20"/>
              <w:spacing w:after="0"/>
              <w:rPr>
                <w:sz w:val="20"/>
                <w:szCs w:val="20"/>
                <w:color w:val="auto"/>
              </w:rPr>
            </w:pPr>
            <w:r>
              <w:rPr>
                <w:rFonts w:ascii="Arial" w:cs="Arial" w:eastAsia="Arial" w:hAnsi="Arial"/>
                <w:sz w:val="13"/>
                <w:szCs w:val="13"/>
                <w:i w:val="1"/>
                <w:iCs w:val="1"/>
                <w:color w:val="auto"/>
              </w:rPr>
              <w:t xml:space="preserve">Less: Significant Expenses </w:t>
            </w:r>
            <w:r>
              <w:rPr>
                <w:rFonts w:ascii="Arial" w:cs="Arial" w:eastAsia="Arial" w:hAnsi="Arial"/>
                <w:sz w:val="16"/>
                <w:szCs w:val="16"/>
                <w:i w:val="1"/>
                <w:iCs w:val="1"/>
                <w:color w:val="auto"/>
                <w:vertAlign w:val="superscript"/>
              </w:rPr>
              <w:t>(1)</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360" w:type="dxa"/>
            <w:vAlign w:val="bottom"/>
          </w:tcPr>
          <w:p>
            <w:pPr>
              <w:ind w:left="140"/>
              <w:spacing w:after="0"/>
              <w:rPr>
                <w:sz w:val="20"/>
                <w:szCs w:val="20"/>
                <w:color w:val="auto"/>
              </w:rPr>
            </w:pPr>
            <w:r>
              <w:rPr>
                <w:rFonts w:ascii="Arial" w:cs="Arial" w:eastAsia="Arial" w:hAnsi="Arial"/>
                <w:sz w:val="13"/>
                <w:szCs w:val="13"/>
                <w:color w:val="auto"/>
              </w:rPr>
              <w:t xml:space="preserve">Cost of Revenue </w:t>
            </w:r>
            <w:r>
              <w:rPr>
                <w:rFonts w:ascii="Arial" w:cs="Arial" w:eastAsia="Arial" w:hAnsi="Arial"/>
                <w:sz w:val="16"/>
                <w:szCs w:val="16"/>
                <w:color w:val="auto"/>
                <w:vertAlign w:val="superscript"/>
              </w:rPr>
              <w:t>(2)</w:t>
            </w:r>
          </w:p>
        </w:tc>
        <w:tc>
          <w:tcPr>
            <w:tcW w:w="160" w:type="dxa"/>
            <w:vAlign w:val="bottom"/>
          </w:tcPr>
          <w:p>
            <w:pPr>
              <w:spacing w:after="0"/>
              <w:rPr>
                <w:sz w:val="17"/>
                <w:szCs w:val="17"/>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b w:val="1"/>
                <w:bCs w:val="1"/>
                <w:color w:val="auto"/>
              </w:rPr>
              <w:t>90,588</w:t>
            </w:r>
          </w:p>
        </w:tc>
        <w:tc>
          <w:tcPr>
            <w:tcW w:w="500" w:type="dxa"/>
            <w:vAlign w:val="bottom"/>
          </w:tcPr>
          <w:p>
            <w:pPr>
              <w:spacing w:after="0"/>
              <w:rPr>
                <w:sz w:val="17"/>
                <w:szCs w:val="17"/>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b w:val="1"/>
                <w:bCs w:val="1"/>
                <w:color w:val="auto"/>
              </w:rPr>
              <w:t>67,770</w:t>
            </w:r>
          </w:p>
        </w:tc>
        <w:tc>
          <w:tcPr>
            <w:tcW w:w="240" w:type="dxa"/>
            <w:vAlign w:val="bottom"/>
          </w:tcPr>
          <w:p>
            <w:pPr>
              <w:spacing w:after="0"/>
              <w:rPr>
                <w:sz w:val="17"/>
                <w:szCs w:val="17"/>
                <w:color w:val="auto"/>
              </w:rPr>
            </w:pPr>
          </w:p>
        </w:tc>
        <w:tc>
          <w:tcPr>
            <w:tcW w:w="1120" w:type="dxa"/>
            <w:vAlign w:val="bottom"/>
          </w:tcPr>
          <w:p>
            <w:pPr>
              <w:jc w:val="right"/>
              <w:ind w:right="17"/>
              <w:spacing w:after="0"/>
              <w:rPr>
                <w:sz w:val="20"/>
                <w:szCs w:val="20"/>
                <w:color w:val="auto"/>
              </w:rPr>
            </w:pPr>
            <w:r>
              <w:rPr>
                <w:rFonts w:ascii="Arial" w:cs="Arial" w:eastAsia="Arial" w:hAnsi="Arial"/>
                <w:sz w:val="13"/>
                <w:szCs w:val="13"/>
                <w:b w:val="1"/>
                <w:bCs w:val="1"/>
                <w:color w:val="auto"/>
              </w:rPr>
              <w:t>13,537</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17"/>
              <w:spacing w:after="0"/>
              <w:rPr>
                <w:sz w:val="20"/>
                <w:szCs w:val="20"/>
                <w:color w:val="auto"/>
              </w:rPr>
            </w:pPr>
            <w:r>
              <w:rPr>
                <w:rFonts w:ascii="Arial" w:cs="Arial" w:eastAsia="Arial" w:hAnsi="Arial"/>
                <w:sz w:val="13"/>
                <w:szCs w:val="13"/>
                <w:b w:val="1"/>
                <w:bCs w:val="1"/>
                <w:color w:val="auto"/>
              </w:rPr>
              <w:t>(358)</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171,537</w:t>
            </w:r>
          </w:p>
        </w:tc>
        <w:tc>
          <w:tcPr>
            <w:tcW w:w="0" w:type="dxa"/>
            <w:vAlign w:val="bottom"/>
          </w:tcPr>
          <w:p>
            <w:pPr>
              <w:spacing w:after="0"/>
              <w:rPr>
                <w:sz w:val="1"/>
                <w:szCs w:val="1"/>
                <w:color w:val="auto"/>
              </w:rPr>
            </w:pPr>
          </w:p>
        </w:tc>
      </w:tr>
      <w:tr>
        <w:trPr>
          <w:trHeight w:val="213"/>
        </w:trPr>
        <w:tc>
          <w:tcPr>
            <w:tcW w:w="3360" w:type="dxa"/>
            <w:vAlign w:val="bottom"/>
          </w:tcPr>
          <w:p>
            <w:pPr>
              <w:ind w:left="140"/>
              <w:spacing w:after="0"/>
              <w:rPr>
                <w:sz w:val="20"/>
                <w:szCs w:val="20"/>
                <w:color w:val="auto"/>
              </w:rPr>
            </w:pPr>
            <w:r>
              <w:rPr>
                <w:rFonts w:ascii="Arial" w:cs="Arial" w:eastAsia="Arial" w:hAnsi="Arial"/>
                <w:sz w:val="13"/>
                <w:szCs w:val="13"/>
                <w:color w:val="auto"/>
              </w:rPr>
              <w:t xml:space="preserve">Payroll and Fringe Benefits Expense </w:t>
            </w:r>
            <w:r>
              <w:rPr>
                <w:rFonts w:ascii="Arial" w:cs="Arial" w:eastAsia="Arial" w:hAnsi="Arial"/>
                <w:sz w:val="16"/>
                <w:szCs w:val="16"/>
                <w:color w:val="auto"/>
                <w:vertAlign w:val="superscript"/>
              </w:rPr>
              <w:t>(3)</w:t>
            </w:r>
          </w:p>
        </w:tc>
        <w:tc>
          <w:tcPr>
            <w:tcW w:w="160" w:type="dxa"/>
            <w:vAlign w:val="bottom"/>
          </w:tcPr>
          <w:p>
            <w:pPr>
              <w:spacing w:after="0"/>
              <w:rPr>
                <w:sz w:val="18"/>
                <w:szCs w:val="18"/>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b w:val="1"/>
                <w:bCs w:val="1"/>
                <w:color w:val="auto"/>
              </w:rPr>
              <w:t>67,592</w:t>
            </w:r>
          </w:p>
        </w:tc>
        <w:tc>
          <w:tcPr>
            <w:tcW w:w="500" w:type="dxa"/>
            <w:vAlign w:val="bottom"/>
          </w:tcPr>
          <w:p>
            <w:pPr>
              <w:spacing w:after="0"/>
              <w:rPr>
                <w:sz w:val="18"/>
                <w:szCs w:val="18"/>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b w:val="1"/>
                <w:bCs w:val="1"/>
                <w:color w:val="auto"/>
              </w:rPr>
              <w:t>3,851</w:t>
            </w:r>
          </w:p>
        </w:tc>
        <w:tc>
          <w:tcPr>
            <w:tcW w:w="240" w:type="dxa"/>
            <w:vAlign w:val="bottom"/>
          </w:tcPr>
          <w:p>
            <w:pPr>
              <w:spacing w:after="0"/>
              <w:rPr>
                <w:sz w:val="18"/>
                <w:szCs w:val="18"/>
                <w:color w:val="auto"/>
              </w:rPr>
            </w:pPr>
          </w:p>
        </w:tc>
        <w:tc>
          <w:tcPr>
            <w:tcW w:w="1120" w:type="dxa"/>
            <w:vAlign w:val="bottom"/>
          </w:tcPr>
          <w:p>
            <w:pPr>
              <w:jc w:val="right"/>
              <w:ind w:right="17"/>
              <w:spacing w:after="0"/>
              <w:rPr>
                <w:sz w:val="20"/>
                <w:szCs w:val="20"/>
                <w:color w:val="auto"/>
              </w:rPr>
            </w:pPr>
            <w:r>
              <w:rPr>
                <w:rFonts w:ascii="Arial" w:cs="Arial" w:eastAsia="Arial" w:hAnsi="Arial"/>
                <w:sz w:val="13"/>
                <w:szCs w:val="13"/>
                <w:b w:val="1"/>
                <w:bCs w:val="1"/>
                <w:color w:val="auto"/>
              </w:rPr>
              <w:t>33,455</w:t>
            </w:r>
          </w:p>
        </w:tc>
        <w:tc>
          <w:tcPr>
            <w:tcW w:w="180" w:type="dxa"/>
            <w:vAlign w:val="bottom"/>
          </w:tcPr>
          <w:p>
            <w:pPr>
              <w:spacing w:after="0"/>
              <w:rPr>
                <w:sz w:val="18"/>
                <w:szCs w:val="18"/>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b w:val="1"/>
                <w:bCs w:val="1"/>
                <w:color w:val="auto"/>
              </w:rPr>
              <w:t>3,174</w:t>
            </w:r>
          </w:p>
        </w:tc>
        <w:tc>
          <w:tcPr>
            <w:tcW w:w="220" w:type="dxa"/>
            <w:vAlign w:val="bottom"/>
          </w:tcPr>
          <w:p>
            <w:pPr>
              <w:spacing w:after="0"/>
              <w:rPr>
                <w:sz w:val="18"/>
                <w:szCs w:val="18"/>
                <w:color w:val="auto"/>
              </w:rPr>
            </w:pPr>
          </w:p>
        </w:tc>
        <w:tc>
          <w:tcPr>
            <w:tcW w:w="1140" w:type="dxa"/>
            <w:vAlign w:val="bottom"/>
          </w:tcPr>
          <w:p>
            <w:pPr>
              <w:jc w:val="right"/>
              <w:ind w:right="17"/>
              <w:spacing w:after="0"/>
              <w:rPr>
                <w:sz w:val="20"/>
                <w:szCs w:val="20"/>
                <w:color w:val="auto"/>
              </w:rPr>
            </w:pPr>
            <w:r>
              <w:rPr>
                <w:rFonts w:ascii="Arial" w:cs="Arial" w:eastAsia="Arial" w:hAnsi="Arial"/>
                <w:sz w:val="13"/>
                <w:szCs w:val="13"/>
                <w:b w:val="1"/>
                <w:bCs w:val="1"/>
                <w:color w:val="auto"/>
              </w:rPr>
              <w:t>(213)</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107,859</w:t>
            </w:r>
          </w:p>
        </w:tc>
        <w:tc>
          <w:tcPr>
            <w:tcW w:w="0" w:type="dxa"/>
            <w:vAlign w:val="bottom"/>
          </w:tcPr>
          <w:p>
            <w:pPr>
              <w:spacing w:after="0"/>
              <w:rPr>
                <w:sz w:val="1"/>
                <w:szCs w:val="1"/>
                <w:color w:val="auto"/>
              </w:rPr>
            </w:pPr>
          </w:p>
        </w:tc>
      </w:tr>
      <w:tr>
        <w:trPr>
          <w:trHeight w:val="172"/>
        </w:trPr>
        <w:tc>
          <w:tcPr>
            <w:tcW w:w="3360" w:type="dxa"/>
            <w:vAlign w:val="bottom"/>
          </w:tcPr>
          <w:p>
            <w:pPr>
              <w:ind w:left="140"/>
              <w:spacing w:after="0"/>
              <w:rPr>
                <w:sz w:val="20"/>
                <w:szCs w:val="20"/>
                <w:color w:val="auto"/>
              </w:rPr>
            </w:pPr>
            <w:r>
              <w:rPr>
                <w:rFonts w:ascii="Arial" w:cs="Arial" w:eastAsia="Arial" w:hAnsi="Arial"/>
                <w:sz w:val="13"/>
                <w:szCs w:val="13"/>
                <w:color w:val="auto"/>
              </w:rPr>
              <w:t>Occupancy Expense</w:t>
            </w:r>
          </w:p>
        </w:tc>
        <w:tc>
          <w:tcPr>
            <w:tcW w:w="160" w:type="dxa"/>
            <w:vAlign w:val="bottom"/>
          </w:tcPr>
          <w:p>
            <w:pPr>
              <w:spacing w:after="0"/>
              <w:rPr>
                <w:sz w:val="14"/>
                <w:szCs w:val="14"/>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b w:val="1"/>
                <w:bCs w:val="1"/>
                <w:color w:val="auto"/>
              </w:rPr>
              <w:t>21,905</w:t>
            </w:r>
          </w:p>
        </w:tc>
        <w:tc>
          <w:tcPr>
            <w:tcW w:w="50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b w:val="1"/>
                <w:bCs w:val="1"/>
                <w:color w:val="auto"/>
              </w:rPr>
              <w:t>169</w:t>
            </w:r>
          </w:p>
        </w:tc>
        <w:tc>
          <w:tcPr>
            <w:tcW w:w="240" w:type="dxa"/>
            <w:vAlign w:val="bottom"/>
          </w:tcPr>
          <w:p>
            <w:pPr>
              <w:spacing w:after="0"/>
              <w:rPr>
                <w:sz w:val="14"/>
                <w:szCs w:val="14"/>
                <w:color w:val="auto"/>
              </w:rPr>
            </w:pPr>
          </w:p>
        </w:tc>
        <w:tc>
          <w:tcPr>
            <w:tcW w:w="1120" w:type="dxa"/>
            <w:vAlign w:val="bottom"/>
          </w:tcPr>
          <w:p>
            <w:pPr>
              <w:jc w:val="right"/>
              <w:ind w:right="17"/>
              <w:spacing w:after="0"/>
              <w:rPr>
                <w:sz w:val="20"/>
                <w:szCs w:val="20"/>
                <w:color w:val="auto"/>
              </w:rPr>
            </w:pPr>
            <w:r>
              <w:rPr>
                <w:rFonts w:ascii="Arial" w:cs="Arial" w:eastAsia="Arial" w:hAnsi="Arial"/>
                <w:sz w:val="13"/>
                <w:szCs w:val="13"/>
                <w:b w:val="1"/>
                <w:bCs w:val="1"/>
                <w:color w:val="auto"/>
              </w:rPr>
              <w:t>823</w:t>
            </w:r>
          </w:p>
        </w:tc>
        <w:tc>
          <w:tcPr>
            <w:tcW w:w="180" w:type="dxa"/>
            <w:vAlign w:val="bottom"/>
          </w:tcPr>
          <w:p>
            <w:pPr>
              <w:spacing w:after="0"/>
              <w:rPr>
                <w:sz w:val="14"/>
                <w:szCs w:val="14"/>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b w:val="1"/>
                <w:bCs w:val="1"/>
                <w:color w:val="auto"/>
              </w:rPr>
              <w:t>368</w:t>
            </w:r>
          </w:p>
        </w:tc>
        <w:tc>
          <w:tcPr>
            <w:tcW w:w="220" w:type="dxa"/>
            <w:vAlign w:val="bottom"/>
          </w:tcPr>
          <w:p>
            <w:pPr>
              <w:spacing w:after="0"/>
              <w:rPr>
                <w:sz w:val="14"/>
                <w:szCs w:val="14"/>
                <w:color w:val="auto"/>
              </w:rPr>
            </w:pPr>
          </w:p>
        </w:tc>
        <w:tc>
          <w:tcPr>
            <w:tcW w:w="1140" w:type="dxa"/>
            <w:vAlign w:val="bottom"/>
          </w:tcPr>
          <w:p>
            <w:pPr>
              <w:jc w:val="right"/>
              <w:ind w:right="17"/>
              <w:spacing w:after="0"/>
              <w:rPr>
                <w:sz w:val="20"/>
                <w:szCs w:val="20"/>
                <w:color w:val="auto"/>
              </w:rPr>
            </w:pPr>
            <w:r>
              <w:rPr>
                <w:rFonts w:ascii="Arial" w:cs="Arial" w:eastAsia="Arial" w:hAnsi="Arial"/>
                <w:sz w:val="13"/>
                <w:szCs w:val="13"/>
                <w:b w:val="1"/>
                <w:bCs w:val="1"/>
                <w:color w:val="auto"/>
              </w:rPr>
              <w:t>(275)</w:t>
            </w: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22,990</w:t>
            </w:r>
          </w:p>
        </w:tc>
        <w:tc>
          <w:tcPr>
            <w:tcW w:w="0" w:type="dxa"/>
            <w:vAlign w:val="bottom"/>
          </w:tcPr>
          <w:p>
            <w:pPr>
              <w:spacing w:after="0"/>
              <w:rPr>
                <w:sz w:val="1"/>
                <w:szCs w:val="1"/>
                <w:color w:val="auto"/>
              </w:rPr>
            </w:pPr>
          </w:p>
        </w:tc>
      </w:tr>
      <w:tr>
        <w:trPr>
          <w:trHeight w:val="203"/>
        </w:trPr>
        <w:tc>
          <w:tcPr>
            <w:tcW w:w="3360" w:type="dxa"/>
            <w:vAlign w:val="bottom"/>
          </w:tcPr>
          <w:p>
            <w:pPr>
              <w:ind w:left="140"/>
              <w:spacing w:after="0"/>
              <w:rPr>
                <w:sz w:val="20"/>
                <w:szCs w:val="20"/>
                <w:color w:val="auto"/>
              </w:rPr>
            </w:pPr>
            <w:r>
              <w:rPr>
                <w:rFonts w:ascii="Arial" w:cs="Arial" w:eastAsia="Arial" w:hAnsi="Arial"/>
                <w:sz w:val="13"/>
                <w:szCs w:val="13"/>
                <w:color w:val="auto"/>
              </w:rPr>
              <w:t>Advertising and Marketing Expense</w:t>
            </w:r>
          </w:p>
        </w:tc>
        <w:tc>
          <w:tcPr>
            <w:tcW w:w="160" w:type="dxa"/>
            <w:vAlign w:val="bottom"/>
          </w:tcPr>
          <w:p>
            <w:pPr>
              <w:spacing w:after="0"/>
              <w:rPr>
                <w:sz w:val="17"/>
                <w:szCs w:val="17"/>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b w:val="1"/>
                <w:bCs w:val="1"/>
                <w:color w:val="auto"/>
              </w:rPr>
              <w:t>7,366</w:t>
            </w:r>
          </w:p>
        </w:tc>
        <w:tc>
          <w:tcPr>
            <w:tcW w:w="500" w:type="dxa"/>
            <w:vAlign w:val="bottom"/>
          </w:tcPr>
          <w:p>
            <w:pPr>
              <w:spacing w:after="0"/>
              <w:rPr>
                <w:sz w:val="17"/>
                <w:szCs w:val="17"/>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b w:val="1"/>
                <w:bCs w:val="1"/>
                <w:color w:val="auto"/>
              </w:rPr>
              <w:t>1,547</w:t>
            </w:r>
          </w:p>
        </w:tc>
        <w:tc>
          <w:tcPr>
            <w:tcW w:w="240" w:type="dxa"/>
            <w:vAlign w:val="bottom"/>
          </w:tcPr>
          <w:p>
            <w:pPr>
              <w:spacing w:after="0"/>
              <w:rPr>
                <w:sz w:val="17"/>
                <w:szCs w:val="17"/>
                <w:color w:val="auto"/>
              </w:rPr>
            </w:pPr>
          </w:p>
        </w:tc>
        <w:tc>
          <w:tcPr>
            <w:tcW w:w="1120" w:type="dxa"/>
            <w:vAlign w:val="bottom"/>
          </w:tcPr>
          <w:p>
            <w:pPr>
              <w:jc w:val="right"/>
              <w:ind w:right="17"/>
              <w:spacing w:after="0"/>
              <w:rPr>
                <w:sz w:val="20"/>
                <w:szCs w:val="20"/>
                <w:color w:val="auto"/>
              </w:rPr>
            </w:pPr>
            <w:r>
              <w:rPr>
                <w:rFonts w:ascii="Arial" w:cs="Arial" w:eastAsia="Arial" w:hAnsi="Arial"/>
                <w:sz w:val="13"/>
                <w:szCs w:val="13"/>
                <w:b w:val="1"/>
                <w:bCs w:val="1"/>
                <w:color w:val="auto"/>
              </w:rPr>
              <w:t>9,313</w:t>
            </w:r>
          </w:p>
        </w:tc>
        <w:tc>
          <w:tcPr>
            <w:tcW w:w="180" w:type="dxa"/>
            <w:vAlign w:val="bottom"/>
          </w:tcPr>
          <w:p>
            <w:pPr>
              <w:spacing w:after="0"/>
              <w:rPr>
                <w:sz w:val="17"/>
                <w:szCs w:val="17"/>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b w:val="1"/>
                <w:bCs w:val="1"/>
                <w:color w:val="auto"/>
              </w:rPr>
              <w:t>37</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18,263</w:t>
            </w:r>
          </w:p>
        </w:tc>
        <w:tc>
          <w:tcPr>
            <w:tcW w:w="0" w:type="dxa"/>
            <w:vAlign w:val="bottom"/>
          </w:tcPr>
          <w:p>
            <w:pPr>
              <w:spacing w:after="0"/>
              <w:rPr>
                <w:sz w:val="1"/>
                <w:szCs w:val="1"/>
                <w:color w:val="auto"/>
              </w:rPr>
            </w:pPr>
          </w:p>
        </w:tc>
      </w:tr>
      <w:tr>
        <w:trPr>
          <w:trHeight w:val="211"/>
        </w:trPr>
        <w:tc>
          <w:tcPr>
            <w:tcW w:w="3360" w:type="dxa"/>
            <w:vAlign w:val="bottom"/>
          </w:tcPr>
          <w:p>
            <w:pPr>
              <w:ind w:left="140"/>
              <w:spacing w:after="0"/>
              <w:rPr>
                <w:sz w:val="20"/>
                <w:szCs w:val="20"/>
                <w:color w:val="auto"/>
              </w:rPr>
            </w:pPr>
            <w:r>
              <w:rPr>
                <w:rFonts w:ascii="Arial" w:cs="Arial" w:eastAsia="Arial" w:hAnsi="Arial"/>
                <w:sz w:val="13"/>
                <w:szCs w:val="13"/>
                <w:color w:val="auto"/>
              </w:rPr>
              <w:t xml:space="preserve">Other Segment Items </w:t>
            </w:r>
            <w:r>
              <w:rPr>
                <w:rFonts w:ascii="Arial" w:cs="Arial" w:eastAsia="Arial" w:hAnsi="Arial"/>
                <w:sz w:val="16"/>
                <w:szCs w:val="16"/>
                <w:color w:val="auto"/>
                <w:vertAlign w:val="superscript"/>
              </w:rPr>
              <w:t>(4)</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21,025</w:t>
            </w:r>
          </w:p>
        </w:tc>
        <w:tc>
          <w:tcPr>
            <w:tcW w:w="5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262</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11,236</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1,617</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42</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34,182</w:t>
            </w:r>
          </w:p>
        </w:tc>
        <w:tc>
          <w:tcPr>
            <w:tcW w:w="0" w:type="dxa"/>
            <w:vAlign w:val="bottom"/>
          </w:tcPr>
          <w:p>
            <w:pPr>
              <w:spacing w:after="0"/>
              <w:rPr>
                <w:sz w:val="1"/>
                <w:szCs w:val="1"/>
                <w:color w:val="auto"/>
              </w:rPr>
            </w:pPr>
          </w:p>
        </w:tc>
      </w:tr>
      <w:tr>
        <w:trPr>
          <w:trHeight w:val="192"/>
        </w:trPr>
        <w:tc>
          <w:tcPr>
            <w:tcW w:w="3360" w:type="dxa"/>
            <w:vAlign w:val="bottom"/>
          </w:tcPr>
          <w:p>
            <w:pPr>
              <w:ind w:left="20"/>
              <w:spacing w:after="0"/>
              <w:rPr>
                <w:sz w:val="20"/>
                <w:szCs w:val="20"/>
                <w:color w:val="auto"/>
              </w:rPr>
            </w:pPr>
            <w:r>
              <w:rPr>
                <w:rFonts w:ascii="Arial" w:cs="Arial" w:eastAsia="Arial" w:hAnsi="Arial"/>
                <w:sz w:val="13"/>
                <w:szCs w:val="13"/>
                <w:b w:val="1"/>
                <w:bCs w:val="1"/>
                <w:color w:val="auto"/>
              </w:rPr>
              <w:t>EBITDAP</w:t>
            </w: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82"/>
              </w:rPr>
              <w:t>$</w:t>
            </w: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21,658</w:t>
            </w:r>
          </w:p>
        </w:tc>
        <w:tc>
          <w:tcPr>
            <w:tcW w:w="50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w:t>
            </w:r>
          </w:p>
        </w:tc>
        <w:tc>
          <w:tcPr>
            <w:tcW w:w="8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20,266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1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12,441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(4,827)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1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(87)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49,451</w:t>
            </w:r>
          </w:p>
        </w:tc>
        <w:tc>
          <w:tcPr>
            <w:tcW w:w="0" w:type="dxa"/>
            <w:vAlign w:val="bottom"/>
          </w:tcPr>
          <w:p>
            <w:pPr>
              <w:spacing w:after="0"/>
              <w:rPr>
                <w:sz w:val="1"/>
                <w:szCs w:val="1"/>
                <w:color w:val="auto"/>
              </w:rPr>
            </w:pPr>
          </w:p>
        </w:tc>
      </w:tr>
      <w:tr>
        <w:trPr>
          <w:trHeight w:val="327"/>
        </w:trPr>
        <w:tc>
          <w:tcPr>
            <w:tcW w:w="3360" w:type="dxa"/>
            <w:vAlign w:val="bottom"/>
          </w:tcPr>
          <w:p>
            <w:pPr>
              <w:ind w:left="20"/>
              <w:spacing w:after="0"/>
              <w:rPr>
                <w:sz w:val="20"/>
                <w:szCs w:val="20"/>
                <w:color w:val="auto"/>
              </w:rPr>
            </w:pPr>
            <w:r>
              <w:rPr>
                <w:rFonts w:ascii="Arial" w:cs="Arial" w:eastAsia="Arial" w:hAnsi="Arial"/>
                <w:sz w:val="13"/>
                <w:szCs w:val="13"/>
                <w:color w:val="auto"/>
              </w:rPr>
              <w:t>Pension Service Cost</w:t>
            </w:r>
          </w:p>
        </w:tc>
        <w:tc>
          <w:tcPr>
            <w:tcW w:w="160" w:type="dxa"/>
            <w:vAlign w:val="bottom"/>
          </w:tcPr>
          <w:p>
            <w:pPr>
              <w:spacing w:after="0"/>
              <w:rPr>
                <w:sz w:val="24"/>
                <w:szCs w:val="24"/>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b w:val="1"/>
                <w:bCs w:val="1"/>
                <w:color w:val="auto"/>
              </w:rPr>
              <w:t>—</w:t>
            </w:r>
          </w:p>
        </w:tc>
        <w:tc>
          <w:tcPr>
            <w:tcW w:w="500" w:type="dxa"/>
            <w:vAlign w:val="bottom"/>
          </w:tcPr>
          <w:p>
            <w:pPr>
              <w:spacing w:after="0"/>
              <w:rPr>
                <w:sz w:val="24"/>
                <w:szCs w:val="24"/>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b w:val="1"/>
                <w:bCs w:val="1"/>
                <w:color w:val="auto"/>
              </w:rPr>
              <w:t>1,984</w:t>
            </w:r>
          </w:p>
        </w:tc>
        <w:tc>
          <w:tcPr>
            <w:tcW w:w="240" w:type="dxa"/>
            <w:vAlign w:val="bottom"/>
          </w:tcPr>
          <w:p>
            <w:pPr>
              <w:spacing w:after="0"/>
              <w:rPr>
                <w:sz w:val="24"/>
                <w:szCs w:val="24"/>
                <w:color w:val="auto"/>
              </w:rPr>
            </w:pPr>
          </w:p>
        </w:tc>
        <w:tc>
          <w:tcPr>
            <w:tcW w:w="1120" w:type="dxa"/>
            <w:vAlign w:val="bottom"/>
          </w:tcPr>
          <w:p>
            <w:pPr>
              <w:jc w:val="right"/>
              <w:ind w:right="17"/>
              <w:spacing w:after="0"/>
              <w:rPr>
                <w:sz w:val="20"/>
                <w:szCs w:val="20"/>
                <w:color w:val="auto"/>
              </w:rPr>
            </w:pPr>
            <w:r>
              <w:rPr>
                <w:rFonts w:ascii="Arial" w:cs="Arial" w:eastAsia="Arial" w:hAnsi="Arial"/>
                <w:sz w:val="13"/>
                <w:szCs w:val="13"/>
                <w:b w:val="1"/>
                <w:bCs w:val="1"/>
                <w:color w:val="auto"/>
              </w:rPr>
              <w:t>2,017</w:t>
            </w:r>
          </w:p>
        </w:tc>
        <w:tc>
          <w:tcPr>
            <w:tcW w:w="180" w:type="dxa"/>
            <w:vAlign w:val="bottom"/>
          </w:tcPr>
          <w:p>
            <w:pPr>
              <w:spacing w:after="0"/>
              <w:rPr>
                <w:sz w:val="24"/>
                <w:szCs w:val="24"/>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b w:val="1"/>
                <w:bCs w:val="1"/>
                <w:color w:val="auto"/>
              </w:rPr>
              <w:t>554</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4,555</w:t>
            </w:r>
          </w:p>
        </w:tc>
        <w:tc>
          <w:tcPr>
            <w:tcW w:w="0" w:type="dxa"/>
            <w:vAlign w:val="bottom"/>
          </w:tcPr>
          <w:p>
            <w:pPr>
              <w:spacing w:after="0"/>
              <w:rPr>
                <w:sz w:val="1"/>
                <w:szCs w:val="1"/>
                <w:color w:val="auto"/>
              </w:rPr>
            </w:pPr>
          </w:p>
        </w:tc>
      </w:tr>
      <w:tr>
        <w:trPr>
          <w:trHeight w:val="203"/>
        </w:trPr>
        <w:tc>
          <w:tcPr>
            <w:tcW w:w="3360" w:type="dxa"/>
            <w:vAlign w:val="bottom"/>
          </w:tcPr>
          <w:p>
            <w:pPr>
              <w:ind w:left="20"/>
              <w:spacing w:after="0"/>
              <w:rPr>
                <w:sz w:val="20"/>
                <w:szCs w:val="20"/>
                <w:color w:val="auto"/>
              </w:rPr>
            </w:pPr>
            <w:r>
              <w:rPr>
                <w:rFonts w:ascii="Arial" w:cs="Arial" w:eastAsia="Arial" w:hAnsi="Arial"/>
                <w:sz w:val="13"/>
                <w:szCs w:val="13"/>
                <w:color w:val="auto"/>
              </w:rPr>
              <w:t>Depreciation Expense</w:t>
            </w:r>
          </w:p>
        </w:tc>
        <w:tc>
          <w:tcPr>
            <w:tcW w:w="160" w:type="dxa"/>
            <w:vAlign w:val="bottom"/>
          </w:tcPr>
          <w:p>
            <w:pPr>
              <w:spacing w:after="0"/>
              <w:rPr>
                <w:sz w:val="17"/>
                <w:szCs w:val="17"/>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b w:val="1"/>
                <w:bCs w:val="1"/>
                <w:color w:val="auto"/>
              </w:rPr>
              <w:t>4,366</w:t>
            </w:r>
          </w:p>
        </w:tc>
        <w:tc>
          <w:tcPr>
            <w:tcW w:w="500" w:type="dxa"/>
            <w:vAlign w:val="bottom"/>
          </w:tcPr>
          <w:p>
            <w:pPr>
              <w:spacing w:after="0"/>
              <w:rPr>
                <w:sz w:val="17"/>
                <w:szCs w:val="17"/>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b w:val="1"/>
                <w:bCs w:val="1"/>
                <w:color w:val="auto"/>
              </w:rPr>
              <w:t>378</w:t>
            </w:r>
          </w:p>
        </w:tc>
        <w:tc>
          <w:tcPr>
            <w:tcW w:w="240" w:type="dxa"/>
            <w:vAlign w:val="bottom"/>
          </w:tcPr>
          <w:p>
            <w:pPr>
              <w:spacing w:after="0"/>
              <w:rPr>
                <w:sz w:val="17"/>
                <w:szCs w:val="17"/>
                <w:color w:val="auto"/>
              </w:rPr>
            </w:pPr>
          </w:p>
        </w:tc>
        <w:tc>
          <w:tcPr>
            <w:tcW w:w="1120" w:type="dxa"/>
            <w:vAlign w:val="bottom"/>
          </w:tcPr>
          <w:p>
            <w:pPr>
              <w:jc w:val="right"/>
              <w:ind w:right="17"/>
              <w:spacing w:after="0"/>
              <w:rPr>
                <w:sz w:val="20"/>
                <w:szCs w:val="20"/>
                <w:color w:val="auto"/>
              </w:rPr>
            </w:pPr>
            <w:r>
              <w:rPr>
                <w:rFonts w:ascii="Arial" w:cs="Arial" w:eastAsia="Arial" w:hAnsi="Arial"/>
                <w:sz w:val="13"/>
                <w:szCs w:val="13"/>
                <w:b w:val="1"/>
                <w:bCs w:val="1"/>
                <w:color w:val="auto"/>
              </w:rPr>
              <w:t>769</w:t>
            </w:r>
          </w:p>
        </w:tc>
        <w:tc>
          <w:tcPr>
            <w:tcW w:w="180" w:type="dxa"/>
            <w:vAlign w:val="bottom"/>
          </w:tcPr>
          <w:p>
            <w:pPr>
              <w:spacing w:after="0"/>
              <w:rPr>
                <w:sz w:val="17"/>
                <w:szCs w:val="17"/>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b w:val="1"/>
                <w:bCs w:val="1"/>
                <w:color w:val="auto"/>
              </w:rPr>
              <w:t>11</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5,524</w:t>
            </w:r>
          </w:p>
        </w:tc>
        <w:tc>
          <w:tcPr>
            <w:tcW w:w="0" w:type="dxa"/>
            <w:vAlign w:val="bottom"/>
          </w:tcPr>
          <w:p>
            <w:pPr>
              <w:spacing w:after="0"/>
              <w:rPr>
                <w:sz w:val="1"/>
                <w:szCs w:val="1"/>
                <w:color w:val="auto"/>
              </w:rPr>
            </w:pPr>
          </w:p>
        </w:tc>
      </w:tr>
      <w:tr>
        <w:trPr>
          <w:trHeight w:val="157"/>
        </w:trPr>
        <w:tc>
          <w:tcPr>
            <w:tcW w:w="3360" w:type="dxa"/>
            <w:vAlign w:val="bottom"/>
            <w:vMerge w:val="restart"/>
          </w:tcPr>
          <w:p>
            <w:pPr>
              <w:ind w:left="20"/>
              <w:spacing w:after="0"/>
              <w:rPr>
                <w:sz w:val="20"/>
                <w:szCs w:val="20"/>
                <w:color w:val="auto"/>
              </w:rPr>
            </w:pPr>
            <w:r>
              <w:rPr>
                <w:rFonts w:ascii="Arial" w:cs="Arial" w:eastAsia="Arial" w:hAnsi="Arial"/>
                <w:sz w:val="13"/>
                <w:szCs w:val="13"/>
                <w:b w:val="1"/>
                <w:bCs w:val="1"/>
                <w:color w:val="auto"/>
                <w:w w:val="99"/>
              </w:rPr>
              <w:t>Income (Loss) from Operations before Amortization of</w:t>
            </w:r>
          </w:p>
        </w:tc>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3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360" w:type="dxa"/>
            <w:vAlign w:val="bottom"/>
          </w:tcPr>
          <w:p>
            <w:pPr>
              <w:ind w:left="100"/>
              <w:spacing w:after="0"/>
              <w:rPr>
                <w:sz w:val="20"/>
                <w:szCs w:val="20"/>
                <w:color w:val="auto"/>
              </w:rPr>
            </w:pPr>
            <w:r>
              <w:rPr>
                <w:rFonts w:ascii="Arial" w:cs="Arial" w:eastAsia="Arial" w:hAnsi="Arial"/>
                <w:sz w:val="13"/>
                <w:szCs w:val="13"/>
                <w:b w:val="1"/>
                <w:bCs w:val="1"/>
                <w:color w:val="auto"/>
              </w:rPr>
              <w:t>Intangible Assets</w:t>
            </w: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82"/>
              </w:rPr>
              <w:t>$</w:t>
            </w: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17,292</w:t>
            </w:r>
          </w:p>
        </w:tc>
        <w:tc>
          <w:tcPr>
            <w:tcW w:w="50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w:t>
            </w:r>
          </w:p>
        </w:tc>
        <w:tc>
          <w:tcPr>
            <w:tcW w:w="8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17,904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1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9,655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(5,392)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1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(87)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39,372</w:t>
            </w:r>
          </w:p>
        </w:tc>
        <w:tc>
          <w:tcPr>
            <w:tcW w:w="0" w:type="dxa"/>
            <w:vAlign w:val="bottom"/>
          </w:tcPr>
          <w:p>
            <w:pPr>
              <w:spacing w:after="0"/>
              <w:rPr>
                <w:sz w:val="1"/>
                <w:szCs w:val="1"/>
                <w:color w:val="auto"/>
              </w:rPr>
            </w:pPr>
          </w:p>
        </w:tc>
      </w:tr>
      <w:tr>
        <w:trPr>
          <w:trHeight w:val="327"/>
        </w:trPr>
        <w:tc>
          <w:tcPr>
            <w:tcW w:w="3360" w:type="dxa"/>
            <w:vAlign w:val="bottom"/>
          </w:tcPr>
          <w:p>
            <w:pPr>
              <w:ind w:left="20"/>
              <w:spacing w:after="0"/>
              <w:rPr>
                <w:sz w:val="20"/>
                <w:szCs w:val="20"/>
                <w:color w:val="auto"/>
              </w:rPr>
            </w:pPr>
            <w:r>
              <w:rPr>
                <w:rFonts w:ascii="Arial" w:cs="Arial" w:eastAsia="Arial" w:hAnsi="Arial"/>
                <w:sz w:val="13"/>
                <w:szCs w:val="13"/>
                <w:b w:val="1"/>
                <w:bCs w:val="1"/>
                <w:color w:val="auto"/>
              </w:rPr>
              <w:t>Capital Expenditures</w:t>
            </w:r>
          </w:p>
        </w:tc>
        <w:tc>
          <w:tcPr>
            <w:tcW w:w="160" w:type="dxa"/>
            <w:vAlign w:val="bottom"/>
          </w:tcPr>
          <w:p>
            <w:pPr>
              <w:jc w:val="right"/>
              <w:ind w:right="17"/>
              <w:spacing w:after="0"/>
              <w:rPr>
                <w:sz w:val="20"/>
                <w:szCs w:val="20"/>
                <w:color w:val="auto"/>
              </w:rPr>
            </w:pPr>
            <w:r>
              <w:rPr>
                <w:rFonts w:ascii="Arial" w:cs="Arial" w:eastAsia="Arial" w:hAnsi="Arial"/>
                <w:sz w:val="13"/>
                <w:szCs w:val="13"/>
                <w:b w:val="1"/>
                <w:bCs w:val="1"/>
                <w:color w:val="auto"/>
                <w:w w:val="82"/>
              </w:rPr>
              <w:t>$</w:t>
            </w:r>
          </w:p>
        </w:tc>
        <w:tc>
          <w:tcPr>
            <w:tcW w:w="1100" w:type="dxa"/>
            <w:vAlign w:val="bottom"/>
          </w:tcPr>
          <w:p>
            <w:pPr>
              <w:jc w:val="right"/>
              <w:ind w:right="37"/>
              <w:spacing w:after="0"/>
              <w:rPr>
                <w:sz w:val="20"/>
                <w:szCs w:val="20"/>
                <w:color w:val="auto"/>
              </w:rPr>
            </w:pPr>
            <w:r>
              <w:rPr>
                <w:rFonts w:ascii="Arial" w:cs="Arial" w:eastAsia="Arial" w:hAnsi="Arial"/>
                <w:sz w:val="13"/>
                <w:szCs w:val="13"/>
                <w:b w:val="1"/>
                <w:bCs w:val="1"/>
                <w:color w:val="auto"/>
              </w:rPr>
              <w:t>4,941</w:t>
            </w:r>
          </w:p>
        </w:tc>
        <w:tc>
          <w:tcPr>
            <w:tcW w:w="500" w:type="dxa"/>
            <w:vAlign w:val="bottom"/>
          </w:tcPr>
          <w:p>
            <w:pPr>
              <w:jc w:val="right"/>
              <w:ind w:right="277"/>
              <w:spacing w:after="0"/>
              <w:rPr>
                <w:sz w:val="20"/>
                <w:szCs w:val="20"/>
                <w:color w:val="auto"/>
              </w:rPr>
            </w:pPr>
            <w:r>
              <w:rPr>
                <w:rFonts w:ascii="Arial" w:cs="Arial" w:eastAsia="Arial" w:hAnsi="Arial"/>
                <w:sz w:val="13"/>
                <w:szCs w:val="13"/>
                <w:b w:val="1"/>
                <w:bCs w:val="1"/>
                <w:color w:val="auto"/>
              </w:rPr>
              <w:t>$</w:t>
            </w:r>
          </w:p>
        </w:tc>
        <w:tc>
          <w:tcPr>
            <w:tcW w:w="800" w:type="dxa"/>
            <w:vAlign w:val="bottom"/>
          </w:tcPr>
          <w:p>
            <w:pPr>
              <w:jc w:val="right"/>
              <w:ind w:right="17"/>
              <w:spacing w:after="0"/>
              <w:rPr>
                <w:sz w:val="20"/>
                <w:szCs w:val="20"/>
                <w:color w:val="auto"/>
              </w:rPr>
            </w:pPr>
            <w:r>
              <w:rPr>
                <w:rFonts w:ascii="Arial" w:cs="Arial" w:eastAsia="Arial" w:hAnsi="Arial"/>
                <w:sz w:val="13"/>
                <w:szCs w:val="13"/>
                <w:b w:val="1"/>
                <w:bCs w:val="1"/>
                <w:color w:val="auto"/>
              </w:rPr>
              <w:t>289</w:t>
            </w:r>
          </w:p>
        </w:tc>
        <w:tc>
          <w:tcPr>
            <w:tcW w:w="2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120" w:type="dxa"/>
            <w:vAlign w:val="bottom"/>
          </w:tcPr>
          <w:p>
            <w:pPr>
              <w:jc w:val="right"/>
              <w:ind w:right="17"/>
              <w:spacing w:after="0"/>
              <w:rPr>
                <w:sz w:val="20"/>
                <w:szCs w:val="20"/>
                <w:color w:val="auto"/>
              </w:rPr>
            </w:pPr>
            <w:r>
              <w:rPr>
                <w:rFonts w:ascii="Arial" w:cs="Arial" w:eastAsia="Arial" w:hAnsi="Arial"/>
                <w:sz w:val="13"/>
                <w:szCs w:val="13"/>
                <w:b w:val="1"/>
                <w:bCs w:val="1"/>
                <w:color w:val="auto"/>
              </w:rPr>
              <w:t>733</w:t>
            </w:r>
          </w:p>
        </w:tc>
        <w:tc>
          <w:tcPr>
            <w:tcW w:w="1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180" w:type="dxa"/>
            <w:vAlign w:val="bottom"/>
          </w:tcPr>
          <w:p>
            <w:pPr>
              <w:jc w:val="right"/>
              <w:ind w:right="37"/>
              <w:spacing w:after="0"/>
              <w:rPr>
                <w:sz w:val="20"/>
                <w:szCs w:val="20"/>
                <w:color w:val="auto"/>
              </w:rPr>
            </w:pPr>
            <w:r>
              <w:rPr>
                <w:rFonts w:ascii="Arial" w:cs="Arial" w:eastAsia="Arial" w:hAnsi="Arial"/>
                <w:sz w:val="13"/>
                <w:szCs w:val="13"/>
                <w:b w:val="1"/>
                <w:bCs w:val="1"/>
                <w:color w:val="auto"/>
              </w:rPr>
              <w:t>14</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5,977</w:t>
            </w:r>
          </w:p>
        </w:tc>
        <w:tc>
          <w:tcPr>
            <w:tcW w:w="0" w:type="dxa"/>
            <w:vAlign w:val="bottom"/>
          </w:tcPr>
          <w:p>
            <w:pPr>
              <w:spacing w:after="0"/>
              <w:rPr>
                <w:sz w:val="1"/>
                <w:szCs w:val="1"/>
                <w:color w:val="auto"/>
              </w:rPr>
            </w:pPr>
          </w:p>
        </w:tc>
      </w:tr>
    </w:tbl>
    <w:p>
      <w:pPr>
        <w:spacing w:after="0" w:line="301" w:lineRule="exact"/>
        <w:rPr>
          <w:sz w:val="20"/>
          <w:szCs w:val="20"/>
          <w:color w:val="auto"/>
        </w:rPr>
      </w:pPr>
    </w:p>
    <w:p>
      <w:pPr>
        <w:ind w:left="360" w:hanging="334"/>
        <w:spacing w:after="0"/>
        <w:tabs>
          <w:tab w:leader="none" w:pos="36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 significant expense categories and amounts align with the segment-level information that is regularly provided to the CODM.</w:t>
      </w:r>
    </w:p>
    <w:p>
      <w:pPr>
        <w:spacing w:after="0" w:line="53" w:lineRule="exact"/>
        <w:rPr>
          <w:rFonts w:ascii="Arial" w:cs="Arial" w:eastAsia="Arial" w:hAnsi="Arial"/>
          <w:sz w:val="13"/>
          <w:szCs w:val="13"/>
          <w:color w:val="auto"/>
        </w:rPr>
      </w:pPr>
    </w:p>
    <w:p>
      <w:pPr>
        <w:ind w:left="360" w:right="200" w:hanging="334"/>
        <w:spacing w:after="0" w:line="264" w:lineRule="auto"/>
        <w:tabs>
          <w:tab w:leader="none" w:pos="360" w:val="left"/>
        </w:tabs>
        <w:numPr>
          <w:ilvl w:val="0"/>
          <w:numId w:val="9"/>
        </w:numPr>
        <w:rPr>
          <w:rFonts w:ascii="Arial" w:cs="Arial" w:eastAsia="Arial" w:hAnsi="Arial"/>
          <w:sz w:val="13"/>
          <w:szCs w:val="13"/>
          <w:color w:val="auto"/>
        </w:rPr>
      </w:pPr>
      <w:r>
        <w:rPr>
          <w:rFonts w:ascii="Arial" w:cs="Arial" w:eastAsia="Arial" w:hAnsi="Arial"/>
          <w:sz w:val="13"/>
          <w:szCs w:val="13"/>
          <w:color w:val="auto"/>
        </w:rPr>
        <w:t>Cost of revenue reflects the amounts reported and provided to the CODM and does not necessarily reconcile to the Company's Consolidated Statement of Operations or align across reportable segments. Cost of revenue excludes charges related to depreciation, which is shown separately above.</w:t>
      </w:r>
    </w:p>
    <w:p>
      <w:pPr>
        <w:spacing w:after="0" w:line="22" w:lineRule="exact"/>
        <w:rPr>
          <w:rFonts w:ascii="Arial" w:cs="Arial" w:eastAsia="Arial" w:hAnsi="Arial"/>
          <w:sz w:val="13"/>
          <w:szCs w:val="13"/>
          <w:color w:val="auto"/>
        </w:rPr>
      </w:pPr>
    </w:p>
    <w:p>
      <w:pPr>
        <w:ind w:left="360" w:hanging="334"/>
        <w:spacing w:after="0"/>
        <w:tabs>
          <w:tab w:leader="none" w:pos="360" w:val="left"/>
        </w:tabs>
        <w:numPr>
          <w:ilvl w:val="0"/>
          <w:numId w:val="9"/>
        </w:numPr>
        <w:rPr>
          <w:rFonts w:ascii="Arial" w:cs="Arial" w:eastAsia="Arial" w:hAnsi="Arial"/>
          <w:sz w:val="13"/>
          <w:szCs w:val="13"/>
          <w:color w:val="auto"/>
        </w:rPr>
      </w:pPr>
      <w:r>
        <w:rPr>
          <w:rFonts w:ascii="Arial" w:cs="Arial" w:eastAsia="Arial" w:hAnsi="Arial"/>
          <w:sz w:val="13"/>
          <w:szCs w:val="13"/>
          <w:color w:val="auto"/>
        </w:rPr>
        <w:t>Excludes pension service cost, which is shown separately above. Excludes any payroll and related benefits costs captured in cost of revenue.</w:t>
      </w:r>
    </w:p>
    <w:p>
      <w:pPr>
        <w:spacing w:after="0" w:line="53" w:lineRule="exact"/>
        <w:rPr>
          <w:rFonts w:ascii="Arial" w:cs="Arial" w:eastAsia="Arial" w:hAnsi="Arial"/>
          <w:sz w:val="13"/>
          <w:szCs w:val="13"/>
          <w:color w:val="auto"/>
        </w:rPr>
      </w:pPr>
    </w:p>
    <w:p>
      <w:pPr>
        <w:ind w:left="360" w:hanging="334"/>
        <w:spacing w:after="0"/>
        <w:tabs>
          <w:tab w:leader="none" w:pos="360" w:val="left"/>
        </w:tabs>
        <w:numPr>
          <w:ilvl w:val="0"/>
          <w:numId w:val="9"/>
        </w:numPr>
        <w:rPr>
          <w:rFonts w:ascii="Arial" w:cs="Arial" w:eastAsia="Arial" w:hAnsi="Arial"/>
          <w:sz w:val="13"/>
          <w:szCs w:val="13"/>
          <w:color w:val="auto"/>
        </w:rPr>
      </w:pPr>
      <w:r>
        <w:rPr>
          <w:rFonts w:ascii="Arial" w:cs="Arial" w:eastAsia="Arial" w:hAnsi="Arial"/>
          <w:sz w:val="13"/>
          <w:szCs w:val="13"/>
          <w:color w:val="auto"/>
        </w:rPr>
        <w:t>Other segment items for each reportable segment include:</w:t>
      </w:r>
    </w:p>
    <w:p>
      <w:pPr>
        <w:spacing w:after="0" w:line="53" w:lineRule="exact"/>
        <w:rPr>
          <w:rFonts w:ascii="Arial" w:cs="Arial" w:eastAsia="Arial" w:hAnsi="Arial"/>
          <w:sz w:val="13"/>
          <w:szCs w:val="13"/>
          <w:color w:val="auto"/>
        </w:rPr>
      </w:pPr>
    </w:p>
    <w:p>
      <w:pPr>
        <w:ind w:left="680" w:hanging="330"/>
        <w:spacing w:after="0"/>
        <w:tabs>
          <w:tab w:leader="none" w:pos="680" w:val="left"/>
        </w:tabs>
        <w:numPr>
          <w:ilvl w:val="1"/>
          <w:numId w:val="9"/>
        </w:numPr>
        <w:rPr>
          <w:rFonts w:ascii="Arial" w:cs="Arial" w:eastAsia="Arial" w:hAnsi="Arial"/>
          <w:sz w:val="13"/>
          <w:szCs w:val="13"/>
          <w:color w:val="auto"/>
        </w:rPr>
      </w:pPr>
      <w:r>
        <w:rPr>
          <w:rFonts w:ascii="Arial" w:cs="Arial" w:eastAsia="Arial" w:hAnsi="Arial"/>
          <w:sz w:val="13"/>
          <w:szCs w:val="13"/>
          <w:color w:val="auto"/>
        </w:rPr>
        <w:t>Kaplan international - travel meals and entertainment expense, training and employment expense, operating fees and other G&amp;A expenses.</w:t>
      </w:r>
    </w:p>
    <w:p>
      <w:pPr>
        <w:spacing w:after="0" w:line="53" w:lineRule="exact"/>
        <w:rPr>
          <w:rFonts w:ascii="Arial" w:cs="Arial" w:eastAsia="Arial" w:hAnsi="Arial"/>
          <w:sz w:val="13"/>
          <w:szCs w:val="13"/>
          <w:color w:val="auto"/>
        </w:rPr>
      </w:pPr>
    </w:p>
    <w:p>
      <w:pPr>
        <w:ind w:left="680" w:hanging="330"/>
        <w:spacing w:after="0"/>
        <w:tabs>
          <w:tab w:leader="none" w:pos="680" w:val="left"/>
        </w:tabs>
        <w:numPr>
          <w:ilvl w:val="1"/>
          <w:numId w:val="9"/>
        </w:numPr>
        <w:rPr>
          <w:rFonts w:ascii="Arial" w:cs="Arial" w:eastAsia="Arial" w:hAnsi="Arial"/>
          <w:sz w:val="13"/>
          <w:szCs w:val="13"/>
          <w:color w:val="auto"/>
        </w:rPr>
      </w:pPr>
      <w:r>
        <w:rPr>
          <w:rFonts w:ascii="Arial" w:cs="Arial" w:eastAsia="Arial" w:hAnsi="Arial"/>
          <w:sz w:val="13"/>
          <w:szCs w:val="13"/>
          <w:color w:val="auto"/>
        </w:rPr>
        <w:t>Higher education - training and employment expense, operating fees and other G&amp;A expenses.</w:t>
      </w:r>
    </w:p>
    <w:p>
      <w:pPr>
        <w:spacing w:after="0" w:line="53" w:lineRule="exact"/>
        <w:rPr>
          <w:rFonts w:ascii="Arial" w:cs="Arial" w:eastAsia="Arial" w:hAnsi="Arial"/>
          <w:sz w:val="13"/>
          <w:szCs w:val="13"/>
          <w:color w:val="auto"/>
        </w:rPr>
      </w:pPr>
    </w:p>
    <w:p>
      <w:pPr>
        <w:ind w:left="680" w:hanging="330"/>
        <w:spacing w:after="0"/>
        <w:tabs>
          <w:tab w:leader="none" w:pos="680" w:val="left"/>
        </w:tabs>
        <w:numPr>
          <w:ilvl w:val="1"/>
          <w:numId w:val="9"/>
        </w:numPr>
        <w:rPr>
          <w:rFonts w:ascii="Arial" w:cs="Arial" w:eastAsia="Arial" w:hAnsi="Arial"/>
          <w:sz w:val="13"/>
          <w:szCs w:val="13"/>
          <w:color w:val="auto"/>
        </w:rPr>
      </w:pPr>
      <w:r>
        <w:rPr>
          <w:rFonts w:ascii="Arial" w:cs="Arial" w:eastAsia="Arial" w:hAnsi="Arial"/>
          <w:sz w:val="13"/>
          <w:szCs w:val="13"/>
          <w:color w:val="auto"/>
        </w:rPr>
        <w:t>Supplemental education - training and employment expense, operating fees and other G&amp;A expenses.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The Company’s healthcare division segment information is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3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580" w:type="dxa"/>
            <w:vAlign w:val="bottom"/>
            <w:tcBorders>
              <w:bottom w:val="single" w:sz="8" w:color="auto"/>
            </w:tcBorders>
            <w:gridSpan w:val="5"/>
          </w:tcPr>
          <w:p>
            <w:pPr>
              <w:jc w:val="right"/>
              <w:ind w:right="637"/>
              <w:spacing w:after="0"/>
              <w:rPr>
                <w:sz w:val="20"/>
                <w:szCs w:val="20"/>
                <w:color w:val="auto"/>
              </w:rPr>
            </w:pPr>
            <w:r>
              <w:rPr>
                <w:rFonts w:ascii="Arial" w:cs="Arial" w:eastAsia="Arial" w:hAnsi="Arial"/>
                <w:sz w:val="13"/>
                <w:szCs w:val="13"/>
                <w:b w:val="1"/>
                <w:bCs w:val="1"/>
                <w:color w:val="auto"/>
              </w:rPr>
              <w:t>Three Months Ended September 30, 2026</w:t>
            </w:r>
          </w:p>
        </w:tc>
        <w:tc>
          <w:tcPr>
            <w:tcW w:w="0" w:type="dxa"/>
            <w:vAlign w:val="bottom"/>
          </w:tcPr>
          <w:p>
            <w:pPr>
              <w:spacing w:after="0"/>
              <w:rPr>
                <w:sz w:val="1"/>
                <w:szCs w:val="1"/>
                <w:color w:val="auto"/>
              </w:rPr>
            </w:pPr>
          </w:p>
        </w:tc>
      </w:tr>
      <w:tr>
        <w:trPr>
          <w:trHeight w:val="196"/>
        </w:trPr>
        <w:tc>
          <w:tcPr>
            <w:tcW w:w="73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thousands)</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77"/>
              <w:spacing w:after="0"/>
              <w:rPr>
                <w:sz w:val="20"/>
                <w:szCs w:val="20"/>
                <w:color w:val="auto"/>
              </w:rPr>
            </w:pPr>
            <w:r>
              <w:rPr>
                <w:rFonts w:ascii="Arial" w:cs="Arial" w:eastAsia="Arial" w:hAnsi="Arial"/>
                <w:sz w:val="13"/>
                <w:szCs w:val="13"/>
                <w:b w:val="1"/>
                <w:bCs w:val="1"/>
                <w:color w:val="auto"/>
              </w:rPr>
              <w:t>CSI</w:t>
            </w: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97"/>
              </w:rPr>
              <w:t>Other Healthcare</w:t>
            </w: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94"/>
              </w:rPr>
              <w:t>Total Healthcare</w:t>
            </w:r>
          </w:p>
        </w:tc>
        <w:tc>
          <w:tcPr>
            <w:tcW w:w="0" w:type="dxa"/>
            <w:vAlign w:val="bottom"/>
          </w:tcPr>
          <w:p>
            <w:pPr>
              <w:spacing w:after="0"/>
              <w:rPr>
                <w:sz w:val="1"/>
                <w:szCs w:val="1"/>
                <w:color w:val="auto"/>
              </w:rPr>
            </w:pPr>
          </w:p>
        </w:tc>
      </w:tr>
      <w:tr>
        <w:trPr>
          <w:trHeight w:val="192"/>
        </w:trPr>
        <w:tc>
          <w:tcPr>
            <w:tcW w:w="7360" w:type="dxa"/>
            <w:vAlign w:val="bottom"/>
          </w:tcPr>
          <w:p>
            <w:pPr>
              <w:ind w:left="20"/>
              <w:spacing w:after="0"/>
              <w:rPr>
                <w:sz w:val="20"/>
                <w:szCs w:val="20"/>
                <w:color w:val="auto"/>
              </w:rPr>
            </w:pPr>
            <w:r>
              <w:rPr>
                <w:rFonts w:ascii="Arial" w:cs="Arial" w:eastAsia="Arial" w:hAnsi="Arial"/>
                <w:sz w:val="13"/>
                <w:szCs w:val="13"/>
                <w:b w:val="1"/>
                <w:bCs w:val="1"/>
                <w:color w:val="auto"/>
              </w:rPr>
              <w:t>Operating Revenues</w:t>
            </w:r>
          </w:p>
        </w:tc>
        <w:tc>
          <w:tcPr>
            <w:tcW w:w="300" w:type="dxa"/>
            <w:vAlign w:val="bottom"/>
          </w:tcPr>
          <w:p>
            <w:pPr>
              <w:jc w:val="right"/>
              <w:ind w:right="137"/>
              <w:spacing w:after="0"/>
              <w:rPr>
                <w:sz w:val="20"/>
                <w:szCs w:val="20"/>
                <w:color w:val="auto"/>
              </w:rPr>
            </w:pPr>
            <w:r>
              <w:rPr>
                <w:rFonts w:ascii="Arial" w:cs="Arial" w:eastAsia="Arial" w:hAnsi="Arial"/>
                <w:sz w:val="13"/>
                <w:szCs w:val="13"/>
                <w:b w:val="1"/>
                <w:bCs w:val="1"/>
                <w:color w:val="auto"/>
              </w:rPr>
              <w:t>$</w:t>
            </w:r>
          </w:p>
        </w:tc>
        <w:tc>
          <w:tcPr>
            <w:tcW w:w="980" w:type="dxa"/>
            <w:vAlign w:val="bottom"/>
          </w:tcPr>
          <w:p>
            <w:pPr>
              <w:jc w:val="right"/>
              <w:ind w:right="37"/>
              <w:spacing w:after="0"/>
              <w:rPr>
                <w:sz w:val="20"/>
                <w:szCs w:val="20"/>
                <w:color w:val="auto"/>
              </w:rPr>
            </w:pPr>
            <w:r>
              <w:rPr>
                <w:rFonts w:ascii="Arial" w:cs="Arial" w:eastAsia="Arial" w:hAnsi="Arial"/>
                <w:sz w:val="13"/>
                <w:szCs w:val="13"/>
                <w:b w:val="1"/>
                <w:bCs w:val="1"/>
                <w:color w:val="auto"/>
              </w:rPr>
              <w:t>162,289</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160" w:type="dxa"/>
            <w:vAlign w:val="bottom"/>
          </w:tcPr>
          <w:p>
            <w:pPr>
              <w:jc w:val="right"/>
              <w:ind w:right="37"/>
              <w:spacing w:after="0"/>
              <w:rPr>
                <w:sz w:val="20"/>
                <w:szCs w:val="20"/>
                <w:color w:val="auto"/>
              </w:rPr>
            </w:pPr>
            <w:r>
              <w:rPr>
                <w:rFonts w:ascii="Arial" w:cs="Arial" w:eastAsia="Arial" w:hAnsi="Arial"/>
                <w:sz w:val="13"/>
                <w:szCs w:val="13"/>
                <w:b w:val="1"/>
                <w:bCs w:val="1"/>
                <w:color w:val="auto"/>
              </w:rPr>
              <w:t>97,963</w:t>
            </w:r>
          </w:p>
        </w:tc>
        <w:tc>
          <w:tcPr>
            <w:tcW w:w="1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260,252</w:t>
            </w:r>
          </w:p>
        </w:tc>
        <w:tc>
          <w:tcPr>
            <w:tcW w:w="0" w:type="dxa"/>
            <w:vAlign w:val="bottom"/>
          </w:tcPr>
          <w:p>
            <w:pPr>
              <w:spacing w:after="0"/>
              <w:rPr>
                <w:sz w:val="1"/>
                <w:szCs w:val="1"/>
                <w:color w:val="auto"/>
              </w:rPr>
            </w:pPr>
          </w:p>
        </w:tc>
      </w:tr>
      <w:tr>
        <w:trPr>
          <w:trHeight w:val="331"/>
        </w:trPr>
        <w:tc>
          <w:tcPr>
            <w:tcW w:w="7360" w:type="dxa"/>
            <w:vAlign w:val="bottom"/>
          </w:tcPr>
          <w:p>
            <w:pPr>
              <w:ind w:left="20"/>
              <w:spacing w:after="0"/>
              <w:rPr>
                <w:sz w:val="20"/>
                <w:szCs w:val="20"/>
                <w:color w:val="auto"/>
              </w:rPr>
            </w:pPr>
            <w:r>
              <w:rPr>
                <w:rFonts w:ascii="Arial" w:cs="Arial" w:eastAsia="Arial" w:hAnsi="Arial"/>
                <w:sz w:val="13"/>
                <w:szCs w:val="13"/>
                <w:i w:val="1"/>
                <w:iCs w:val="1"/>
                <w:color w:val="auto"/>
              </w:rPr>
              <w:t xml:space="preserve">Less: Significant Expenses </w:t>
            </w:r>
            <w:r>
              <w:rPr>
                <w:rFonts w:ascii="Arial" w:cs="Arial" w:eastAsia="Arial" w:hAnsi="Arial"/>
                <w:sz w:val="16"/>
                <w:szCs w:val="16"/>
                <w:i w:val="1"/>
                <w:iCs w:val="1"/>
                <w:color w:val="auto"/>
                <w:vertAlign w:val="superscript"/>
              </w:rPr>
              <w:t>(1)</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360" w:type="dxa"/>
            <w:vAlign w:val="bottom"/>
          </w:tcPr>
          <w:p>
            <w:pPr>
              <w:ind w:left="140"/>
              <w:spacing w:after="0"/>
              <w:rPr>
                <w:sz w:val="20"/>
                <w:szCs w:val="20"/>
                <w:color w:val="auto"/>
              </w:rPr>
            </w:pPr>
            <w:r>
              <w:rPr>
                <w:rFonts w:ascii="Arial" w:cs="Arial" w:eastAsia="Arial" w:hAnsi="Arial"/>
                <w:sz w:val="13"/>
                <w:szCs w:val="13"/>
                <w:color w:val="auto"/>
              </w:rPr>
              <w:t xml:space="preserve">Cost of Revenue </w:t>
            </w:r>
            <w:r>
              <w:rPr>
                <w:rFonts w:ascii="Arial" w:cs="Arial" w:eastAsia="Arial" w:hAnsi="Arial"/>
                <w:sz w:val="16"/>
                <w:szCs w:val="16"/>
                <w:color w:val="auto"/>
                <w:vertAlign w:val="superscript"/>
              </w:rPr>
              <w:t>(2)</w:t>
            </w:r>
          </w:p>
        </w:tc>
        <w:tc>
          <w:tcPr>
            <w:tcW w:w="300" w:type="dxa"/>
            <w:vAlign w:val="bottom"/>
          </w:tcPr>
          <w:p>
            <w:pPr>
              <w:spacing w:after="0"/>
              <w:rPr>
                <w:sz w:val="17"/>
                <w:szCs w:val="17"/>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b w:val="1"/>
                <w:bCs w:val="1"/>
                <w:color w:val="auto"/>
              </w:rPr>
              <w:t>124,564</w:t>
            </w:r>
          </w:p>
        </w:tc>
        <w:tc>
          <w:tcPr>
            <w:tcW w:w="160" w:type="dxa"/>
            <w:vAlign w:val="bottom"/>
          </w:tcPr>
          <w:p>
            <w:pPr>
              <w:spacing w:after="0"/>
              <w:rPr>
                <w:sz w:val="17"/>
                <w:szCs w:val="17"/>
                <w:color w:val="auto"/>
              </w:rPr>
            </w:pPr>
          </w:p>
        </w:tc>
        <w:tc>
          <w:tcPr>
            <w:tcW w:w="1160" w:type="dxa"/>
            <w:vAlign w:val="bottom"/>
          </w:tcPr>
          <w:p>
            <w:pPr>
              <w:jc w:val="right"/>
              <w:ind w:right="37"/>
              <w:spacing w:after="0"/>
              <w:rPr>
                <w:sz w:val="20"/>
                <w:szCs w:val="20"/>
                <w:color w:val="auto"/>
              </w:rPr>
            </w:pPr>
            <w:r>
              <w:rPr>
                <w:rFonts w:ascii="Arial" w:cs="Arial" w:eastAsia="Arial" w:hAnsi="Arial"/>
                <w:sz w:val="13"/>
                <w:szCs w:val="13"/>
                <w:b w:val="1"/>
                <w:bCs w:val="1"/>
                <w:color w:val="auto"/>
              </w:rPr>
              <w:t>50,518</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175,082</w:t>
            </w:r>
          </w:p>
        </w:tc>
        <w:tc>
          <w:tcPr>
            <w:tcW w:w="0" w:type="dxa"/>
            <w:vAlign w:val="bottom"/>
          </w:tcPr>
          <w:p>
            <w:pPr>
              <w:spacing w:after="0"/>
              <w:rPr>
                <w:sz w:val="1"/>
                <w:szCs w:val="1"/>
                <w:color w:val="auto"/>
              </w:rPr>
            </w:pPr>
          </w:p>
        </w:tc>
      </w:tr>
      <w:tr>
        <w:trPr>
          <w:trHeight w:val="190"/>
        </w:trPr>
        <w:tc>
          <w:tcPr>
            <w:tcW w:w="7360" w:type="dxa"/>
            <w:vAlign w:val="bottom"/>
          </w:tcPr>
          <w:p>
            <w:pPr>
              <w:ind w:left="140"/>
              <w:spacing w:after="0"/>
              <w:rPr>
                <w:sz w:val="20"/>
                <w:szCs w:val="20"/>
                <w:color w:val="auto"/>
              </w:rPr>
            </w:pPr>
            <w:r>
              <w:rPr>
                <w:rFonts w:ascii="Arial" w:cs="Arial" w:eastAsia="Arial" w:hAnsi="Arial"/>
                <w:sz w:val="13"/>
                <w:szCs w:val="13"/>
                <w:color w:val="auto"/>
              </w:rPr>
              <w:t xml:space="preserve">Other Segment Items </w:t>
            </w:r>
            <w:r>
              <w:rPr>
                <w:rFonts w:ascii="Arial" w:cs="Arial" w:eastAsia="Arial" w:hAnsi="Arial"/>
                <w:sz w:val="16"/>
                <w:szCs w:val="16"/>
                <w:color w:val="auto"/>
                <w:vertAlign w:val="superscript"/>
              </w:rPr>
              <w:t>(3)</w:t>
            </w: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22,068</w:t>
            </w: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35,470</w:t>
            </w: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57,538</w:t>
            </w:r>
          </w:p>
        </w:tc>
        <w:tc>
          <w:tcPr>
            <w:tcW w:w="0" w:type="dxa"/>
            <w:vAlign w:val="bottom"/>
          </w:tcPr>
          <w:p>
            <w:pPr>
              <w:spacing w:after="0"/>
              <w:rPr>
                <w:sz w:val="1"/>
                <w:szCs w:val="1"/>
                <w:color w:val="auto"/>
              </w:rPr>
            </w:pPr>
          </w:p>
        </w:tc>
      </w:tr>
      <w:tr>
        <w:trPr>
          <w:trHeight w:val="192"/>
        </w:trPr>
        <w:tc>
          <w:tcPr>
            <w:tcW w:w="7360" w:type="dxa"/>
            <w:vAlign w:val="bottom"/>
          </w:tcPr>
          <w:p>
            <w:pPr>
              <w:ind w:left="20"/>
              <w:spacing w:after="0"/>
              <w:rPr>
                <w:sz w:val="20"/>
                <w:szCs w:val="20"/>
                <w:color w:val="auto"/>
              </w:rPr>
            </w:pPr>
            <w:r>
              <w:rPr>
                <w:rFonts w:ascii="Arial" w:cs="Arial" w:eastAsia="Arial" w:hAnsi="Arial"/>
                <w:sz w:val="13"/>
                <w:szCs w:val="13"/>
                <w:b w:val="1"/>
                <w:bCs w:val="1"/>
                <w:color w:val="auto"/>
              </w:rPr>
              <w:t>EBITDAP</w:t>
            </w:r>
          </w:p>
        </w:tc>
        <w:tc>
          <w:tcPr>
            <w:tcW w:w="30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w:t>
            </w: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15,657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1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11,975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27,632</w:t>
            </w:r>
          </w:p>
        </w:tc>
        <w:tc>
          <w:tcPr>
            <w:tcW w:w="0" w:type="dxa"/>
            <w:vAlign w:val="bottom"/>
          </w:tcPr>
          <w:p>
            <w:pPr>
              <w:spacing w:after="0"/>
              <w:rPr>
                <w:sz w:val="1"/>
                <w:szCs w:val="1"/>
                <w:color w:val="auto"/>
              </w:rPr>
            </w:pPr>
          </w:p>
        </w:tc>
      </w:tr>
      <w:tr>
        <w:trPr>
          <w:trHeight w:val="327"/>
        </w:trPr>
        <w:tc>
          <w:tcPr>
            <w:tcW w:w="7360" w:type="dxa"/>
            <w:vAlign w:val="bottom"/>
          </w:tcPr>
          <w:p>
            <w:pPr>
              <w:ind w:left="20"/>
              <w:spacing w:after="0"/>
              <w:rPr>
                <w:sz w:val="20"/>
                <w:szCs w:val="20"/>
                <w:color w:val="auto"/>
              </w:rPr>
            </w:pPr>
            <w:r>
              <w:rPr>
                <w:rFonts w:ascii="Arial" w:cs="Arial" w:eastAsia="Arial" w:hAnsi="Arial"/>
                <w:sz w:val="13"/>
                <w:szCs w:val="13"/>
                <w:color w:val="auto"/>
              </w:rPr>
              <w:t>Pension Service Cost</w:t>
            </w:r>
          </w:p>
        </w:tc>
        <w:tc>
          <w:tcPr>
            <w:tcW w:w="300" w:type="dxa"/>
            <w:vAlign w:val="bottom"/>
          </w:tcPr>
          <w:p>
            <w:pPr>
              <w:spacing w:after="0"/>
              <w:rPr>
                <w:sz w:val="24"/>
                <w:szCs w:val="24"/>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b w:val="1"/>
                <w:bCs w:val="1"/>
                <w:color w:val="auto"/>
              </w:rPr>
              <w:t>602</w:t>
            </w:r>
          </w:p>
        </w:tc>
        <w:tc>
          <w:tcPr>
            <w:tcW w:w="160" w:type="dxa"/>
            <w:vAlign w:val="bottom"/>
          </w:tcPr>
          <w:p>
            <w:pPr>
              <w:spacing w:after="0"/>
              <w:rPr>
                <w:sz w:val="24"/>
                <w:szCs w:val="24"/>
                <w:color w:val="auto"/>
              </w:rPr>
            </w:pPr>
          </w:p>
        </w:tc>
        <w:tc>
          <w:tcPr>
            <w:tcW w:w="1160" w:type="dxa"/>
            <w:vAlign w:val="bottom"/>
          </w:tcPr>
          <w:p>
            <w:pPr>
              <w:jc w:val="right"/>
              <w:ind w:right="37"/>
              <w:spacing w:after="0"/>
              <w:rPr>
                <w:sz w:val="20"/>
                <w:szCs w:val="20"/>
                <w:color w:val="auto"/>
              </w:rPr>
            </w:pPr>
            <w:r>
              <w:rPr>
                <w:rFonts w:ascii="Arial" w:cs="Arial" w:eastAsia="Arial" w:hAnsi="Arial"/>
                <w:sz w:val="13"/>
                <w:szCs w:val="13"/>
                <w:b w:val="1"/>
                <w:bCs w:val="1"/>
                <w:color w:val="auto"/>
              </w:rPr>
              <w:t>1,763</w:t>
            </w: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2,365</w:t>
            </w:r>
          </w:p>
        </w:tc>
        <w:tc>
          <w:tcPr>
            <w:tcW w:w="0" w:type="dxa"/>
            <w:vAlign w:val="bottom"/>
          </w:tcPr>
          <w:p>
            <w:pPr>
              <w:spacing w:after="0"/>
              <w:rPr>
                <w:sz w:val="1"/>
                <w:szCs w:val="1"/>
                <w:color w:val="auto"/>
              </w:rPr>
            </w:pPr>
          </w:p>
        </w:tc>
      </w:tr>
      <w:tr>
        <w:trPr>
          <w:trHeight w:val="203"/>
        </w:trPr>
        <w:tc>
          <w:tcPr>
            <w:tcW w:w="7360" w:type="dxa"/>
            <w:vAlign w:val="bottom"/>
          </w:tcPr>
          <w:p>
            <w:pPr>
              <w:ind w:left="20"/>
              <w:spacing w:after="0"/>
              <w:rPr>
                <w:sz w:val="20"/>
                <w:szCs w:val="20"/>
                <w:color w:val="auto"/>
              </w:rPr>
            </w:pPr>
            <w:r>
              <w:rPr>
                <w:rFonts w:ascii="Arial" w:cs="Arial" w:eastAsia="Arial" w:hAnsi="Arial"/>
                <w:sz w:val="13"/>
                <w:szCs w:val="13"/>
                <w:color w:val="auto"/>
              </w:rPr>
              <w:t>Depreciation Expense</w:t>
            </w:r>
          </w:p>
        </w:tc>
        <w:tc>
          <w:tcPr>
            <w:tcW w:w="300" w:type="dxa"/>
            <w:vAlign w:val="bottom"/>
          </w:tcPr>
          <w:p>
            <w:pPr>
              <w:spacing w:after="0"/>
              <w:rPr>
                <w:sz w:val="17"/>
                <w:szCs w:val="17"/>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b w:val="1"/>
                <w:bCs w:val="1"/>
                <w:color w:val="auto"/>
              </w:rPr>
              <w:t>293</w:t>
            </w:r>
          </w:p>
        </w:tc>
        <w:tc>
          <w:tcPr>
            <w:tcW w:w="160" w:type="dxa"/>
            <w:vAlign w:val="bottom"/>
          </w:tcPr>
          <w:p>
            <w:pPr>
              <w:spacing w:after="0"/>
              <w:rPr>
                <w:sz w:val="17"/>
                <w:szCs w:val="17"/>
                <w:color w:val="auto"/>
              </w:rPr>
            </w:pPr>
          </w:p>
        </w:tc>
        <w:tc>
          <w:tcPr>
            <w:tcW w:w="1160" w:type="dxa"/>
            <w:vAlign w:val="bottom"/>
          </w:tcPr>
          <w:p>
            <w:pPr>
              <w:jc w:val="right"/>
              <w:ind w:right="37"/>
              <w:spacing w:after="0"/>
              <w:rPr>
                <w:sz w:val="20"/>
                <w:szCs w:val="20"/>
                <w:color w:val="auto"/>
              </w:rPr>
            </w:pPr>
            <w:r>
              <w:rPr>
                <w:rFonts w:ascii="Arial" w:cs="Arial" w:eastAsia="Arial" w:hAnsi="Arial"/>
                <w:sz w:val="13"/>
                <w:szCs w:val="13"/>
                <w:b w:val="1"/>
                <w:bCs w:val="1"/>
                <w:color w:val="auto"/>
              </w:rPr>
              <w:t>1,659</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1,952</w:t>
            </w:r>
          </w:p>
        </w:tc>
        <w:tc>
          <w:tcPr>
            <w:tcW w:w="0" w:type="dxa"/>
            <w:vAlign w:val="bottom"/>
          </w:tcPr>
          <w:p>
            <w:pPr>
              <w:spacing w:after="0"/>
              <w:rPr>
                <w:sz w:val="1"/>
                <w:szCs w:val="1"/>
                <w:color w:val="auto"/>
              </w:rPr>
            </w:pPr>
          </w:p>
        </w:tc>
      </w:tr>
      <w:tr>
        <w:trPr>
          <w:trHeight w:val="157"/>
        </w:trPr>
        <w:tc>
          <w:tcPr>
            <w:tcW w:w="73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Income from Operations before Amortization of Intangible Assets</w:t>
            </w: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7360" w:type="dxa"/>
            <w:vAlign w:val="bottom"/>
            <w:vMerge w:val="continue"/>
          </w:tcPr>
          <w:p>
            <w:pPr>
              <w:spacing w:after="0"/>
              <w:rPr>
                <w:sz w:val="16"/>
                <w:szCs w:val="16"/>
                <w:color w:val="auto"/>
              </w:rPr>
            </w:pPr>
          </w:p>
        </w:tc>
        <w:tc>
          <w:tcPr>
            <w:tcW w:w="30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w:t>
            </w: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14,762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1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8,553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23,315</w:t>
            </w:r>
          </w:p>
        </w:tc>
        <w:tc>
          <w:tcPr>
            <w:tcW w:w="0" w:type="dxa"/>
            <w:vAlign w:val="bottom"/>
          </w:tcPr>
          <w:p>
            <w:pPr>
              <w:spacing w:after="0"/>
              <w:rPr>
                <w:sz w:val="1"/>
                <w:szCs w:val="1"/>
                <w:color w:val="auto"/>
              </w:rPr>
            </w:pPr>
          </w:p>
        </w:tc>
      </w:tr>
      <w:tr>
        <w:trPr>
          <w:trHeight w:val="327"/>
        </w:trPr>
        <w:tc>
          <w:tcPr>
            <w:tcW w:w="7360" w:type="dxa"/>
            <w:vAlign w:val="bottom"/>
          </w:tcPr>
          <w:p>
            <w:pPr>
              <w:ind w:left="20"/>
              <w:spacing w:after="0"/>
              <w:rPr>
                <w:sz w:val="20"/>
                <w:szCs w:val="20"/>
                <w:color w:val="auto"/>
              </w:rPr>
            </w:pPr>
            <w:r>
              <w:rPr>
                <w:rFonts w:ascii="Arial" w:cs="Arial" w:eastAsia="Arial" w:hAnsi="Arial"/>
                <w:sz w:val="13"/>
                <w:szCs w:val="13"/>
                <w:b w:val="1"/>
                <w:bCs w:val="1"/>
                <w:color w:val="auto"/>
              </w:rPr>
              <w:t>Capital Expenditures</w:t>
            </w:r>
          </w:p>
        </w:tc>
        <w:tc>
          <w:tcPr>
            <w:tcW w:w="300" w:type="dxa"/>
            <w:vAlign w:val="bottom"/>
          </w:tcPr>
          <w:p>
            <w:pPr>
              <w:jc w:val="right"/>
              <w:ind w:right="137"/>
              <w:spacing w:after="0"/>
              <w:rPr>
                <w:sz w:val="20"/>
                <w:szCs w:val="20"/>
                <w:color w:val="auto"/>
              </w:rPr>
            </w:pPr>
            <w:r>
              <w:rPr>
                <w:rFonts w:ascii="Arial" w:cs="Arial" w:eastAsia="Arial" w:hAnsi="Arial"/>
                <w:sz w:val="13"/>
                <w:szCs w:val="13"/>
                <w:b w:val="1"/>
                <w:bCs w:val="1"/>
                <w:color w:val="auto"/>
              </w:rPr>
              <w:t>$</w:t>
            </w:r>
          </w:p>
        </w:tc>
        <w:tc>
          <w:tcPr>
            <w:tcW w:w="980" w:type="dxa"/>
            <w:vAlign w:val="bottom"/>
          </w:tcPr>
          <w:p>
            <w:pPr>
              <w:jc w:val="right"/>
              <w:ind w:right="37"/>
              <w:spacing w:after="0"/>
              <w:rPr>
                <w:sz w:val="20"/>
                <w:szCs w:val="20"/>
                <w:color w:val="auto"/>
              </w:rPr>
            </w:pPr>
            <w:r>
              <w:rPr>
                <w:rFonts w:ascii="Arial" w:cs="Arial" w:eastAsia="Arial" w:hAnsi="Arial"/>
                <w:sz w:val="13"/>
                <w:szCs w:val="13"/>
                <w:b w:val="1"/>
                <w:bCs w:val="1"/>
                <w:color w:val="auto"/>
              </w:rPr>
              <w:t>1,194</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160" w:type="dxa"/>
            <w:vAlign w:val="bottom"/>
          </w:tcPr>
          <w:p>
            <w:pPr>
              <w:jc w:val="right"/>
              <w:ind w:right="37"/>
              <w:spacing w:after="0"/>
              <w:rPr>
                <w:sz w:val="20"/>
                <w:szCs w:val="20"/>
                <w:color w:val="auto"/>
              </w:rPr>
            </w:pPr>
            <w:r>
              <w:rPr>
                <w:rFonts w:ascii="Arial" w:cs="Arial" w:eastAsia="Arial" w:hAnsi="Arial"/>
                <w:sz w:val="13"/>
                <w:szCs w:val="13"/>
                <w:b w:val="1"/>
                <w:bCs w:val="1"/>
                <w:color w:val="auto"/>
              </w:rPr>
              <w:t>13,340</w:t>
            </w:r>
          </w:p>
        </w:tc>
        <w:tc>
          <w:tcPr>
            <w:tcW w:w="1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14,534</w:t>
            </w:r>
          </w:p>
        </w:tc>
        <w:tc>
          <w:tcPr>
            <w:tcW w:w="0" w:type="dxa"/>
            <w:vAlign w:val="bottom"/>
          </w:tcPr>
          <w:p>
            <w:pPr>
              <w:spacing w:after="0"/>
              <w:rPr>
                <w:sz w:val="1"/>
                <w:szCs w:val="1"/>
                <w:color w:val="auto"/>
              </w:rPr>
            </w:pPr>
          </w:p>
        </w:tc>
      </w:tr>
    </w:tbl>
    <w:p>
      <w:pPr>
        <w:spacing w:after="0" w:line="301" w:lineRule="exact"/>
        <w:rPr>
          <w:sz w:val="20"/>
          <w:szCs w:val="20"/>
          <w:color w:val="auto"/>
        </w:rPr>
      </w:pPr>
    </w:p>
    <w:p>
      <w:pPr>
        <w:ind w:left="360" w:hanging="334"/>
        <w:spacing w:after="0"/>
        <w:tabs>
          <w:tab w:leader="none" w:pos="360" w:val="left"/>
        </w:tabs>
        <w:numPr>
          <w:ilvl w:val="0"/>
          <w:numId w:val="10"/>
        </w:numPr>
        <w:rPr>
          <w:rFonts w:ascii="Arial" w:cs="Arial" w:eastAsia="Arial" w:hAnsi="Arial"/>
          <w:sz w:val="13"/>
          <w:szCs w:val="13"/>
          <w:color w:val="auto"/>
        </w:rPr>
      </w:pPr>
      <w:r>
        <w:rPr>
          <w:rFonts w:ascii="Arial" w:cs="Arial" w:eastAsia="Arial" w:hAnsi="Arial"/>
          <w:sz w:val="13"/>
          <w:szCs w:val="13"/>
          <w:color w:val="auto"/>
        </w:rPr>
        <w:t>The significant expense categories and amounts align with the segment-level information that is regularly provided to the CODM.</w:t>
      </w:r>
    </w:p>
    <w:p>
      <w:pPr>
        <w:spacing w:after="0" w:line="53" w:lineRule="exact"/>
        <w:rPr>
          <w:rFonts w:ascii="Arial" w:cs="Arial" w:eastAsia="Arial" w:hAnsi="Arial"/>
          <w:sz w:val="13"/>
          <w:szCs w:val="13"/>
          <w:color w:val="auto"/>
        </w:rPr>
      </w:pPr>
    </w:p>
    <w:p>
      <w:pPr>
        <w:ind w:left="360" w:right="160" w:hanging="334"/>
        <w:spacing w:after="0" w:line="264" w:lineRule="auto"/>
        <w:tabs>
          <w:tab w:leader="none" w:pos="360" w:val="left"/>
        </w:tabs>
        <w:numPr>
          <w:ilvl w:val="0"/>
          <w:numId w:val="10"/>
        </w:numPr>
        <w:rPr>
          <w:rFonts w:ascii="Arial" w:cs="Arial" w:eastAsia="Arial" w:hAnsi="Arial"/>
          <w:sz w:val="13"/>
          <w:szCs w:val="13"/>
          <w:color w:val="auto"/>
        </w:rPr>
      </w:pPr>
      <w:r>
        <w:rPr>
          <w:rFonts w:ascii="Arial" w:cs="Arial" w:eastAsia="Arial" w:hAnsi="Arial"/>
          <w:sz w:val="13"/>
          <w:szCs w:val="13"/>
          <w:color w:val="auto"/>
        </w:rPr>
        <w:t>Cost of revenue reflects the amounts reported and provided to the CODM and does not necessarily reconcile to the Company's Consolidated Statement of Operations. Cost of revenue excludes charges related to depreciation, which is shown separately.</w:t>
      </w:r>
    </w:p>
    <w:p>
      <w:pPr>
        <w:spacing w:after="0" w:line="22" w:lineRule="exact"/>
        <w:rPr>
          <w:rFonts w:ascii="Arial" w:cs="Arial" w:eastAsia="Arial" w:hAnsi="Arial"/>
          <w:sz w:val="13"/>
          <w:szCs w:val="13"/>
          <w:color w:val="auto"/>
        </w:rPr>
      </w:pPr>
    </w:p>
    <w:p>
      <w:pPr>
        <w:ind w:left="360" w:hanging="334"/>
        <w:spacing w:after="0"/>
        <w:tabs>
          <w:tab w:leader="none" w:pos="360" w:val="left"/>
        </w:tabs>
        <w:numPr>
          <w:ilvl w:val="0"/>
          <w:numId w:val="10"/>
        </w:numPr>
        <w:rPr>
          <w:rFonts w:ascii="Arial" w:cs="Arial" w:eastAsia="Arial" w:hAnsi="Arial"/>
          <w:sz w:val="13"/>
          <w:szCs w:val="13"/>
          <w:color w:val="auto"/>
        </w:rPr>
      </w:pPr>
      <w:r>
        <w:rPr>
          <w:rFonts w:ascii="Arial" w:cs="Arial" w:eastAsia="Arial" w:hAnsi="Arial"/>
          <w:sz w:val="13"/>
          <w:szCs w:val="13"/>
          <w:color w:val="auto"/>
        </w:rPr>
        <w:t>Other segment items for CSI include indirect costs (e.g. payroll and benefits expenses, G&amp;A expenses) and other SG&amp;A expenses.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The Company’s segment information is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3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6"/>
              </w:rPr>
              <w:t>Three Months Ended September 30, 2025</w:t>
            </w: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r>
      <w:tr>
        <w:trPr>
          <w:trHeight w:val="155"/>
        </w:trPr>
        <w:tc>
          <w:tcPr>
            <w:tcW w:w="3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jc w:val="center"/>
              <w:ind w:right="97"/>
              <w:spacing w:after="0"/>
              <w:rPr>
                <w:sz w:val="20"/>
                <w:szCs w:val="20"/>
                <w:color w:val="auto"/>
              </w:rPr>
            </w:pPr>
            <w:r>
              <w:rPr>
                <w:rFonts w:ascii="Arial" w:cs="Arial" w:eastAsia="Arial" w:hAnsi="Arial"/>
                <w:sz w:val="13"/>
                <w:szCs w:val="13"/>
                <w:b w:val="1"/>
                <w:bCs w:val="1"/>
                <w:color w:val="auto"/>
                <w:w w:val="94"/>
              </w:rPr>
              <w:t>Television</w:t>
            </w: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89"/>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thousands)</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Education</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96"/>
              </w:rPr>
              <w:t>Broadcasting</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Healthcare</w:t>
            </w: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Manufacturing</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Automotive</w:t>
            </w: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97"/>
              </w:rPr>
              <w:t>Total Segments</w:t>
            </w:r>
          </w:p>
        </w:tc>
      </w:tr>
      <w:tr>
        <w:trPr>
          <w:trHeight w:val="192"/>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Operating Revenues</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472,662</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105,087</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208,415</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77"/>
              <w:spacing w:after="0"/>
              <w:rPr>
                <w:sz w:val="20"/>
                <w:szCs w:val="20"/>
                <w:color w:val="auto"/>
              </w:rPr>
            </w:pPr>
            <w:r>
              <w:rPr>
                <w:rFonts w:ascii="Arial" w:cs="Arial" w:eastAsia="Arial" w:hAnsi="Arial"/>
                <w:sz w:val="13"/>
                <w:szCs w:val="13"/>
                <w:color w:val="auto"/>
              </w:rPr>
              <w:t>124,257</w:t>
            </w:r>
          </w:p>
        </w:tc>
        <w:tc>
          <w:tcPr>
            <w:tcW w:w="2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37"/>
              <w:spacing w:after="0"/>
              <w:rPr>
                <w:sz w:val="20"/>
                <w:szCs w:val="20"/>
                <w:color w:val="auto"/>
              </w:rPr>
            </w:pPr>
            <w:r>
              <w:rPr>
                <w:rFonts w:ascii="Arial" w:cs="Arial" w:eastAsia="Arial" w:hAnsi="Arial"/>
                <w:sz w:val="13"/>
                <w:szCs w:val="13"/>
                <w:color w:val="auto"/>
              </w:rPr>
              <w:t>285,228</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1,195,649</w:t>
            </w:r>
          </w:p>
        </w:tc>
      </w:tr>
      <w:tr>
        <w:trPr>
          <w:trHeight w:val="197"/>
        </w:trPr>
        <w:tc>
          <w:tcPr>
            <w:tcW w:w="3320" w:type="dxa"/>
            <w:vAlign w:val="bottom"/>
          </w:tcPr>
          <w:p>
            <w:pPr>
              <w:ind w:left="20"/>
              <w:spacing w:after="0"/>
              <w:rPr>
                <w:sz w:val="20"/>
                <w:szCs w:val="20"/>
                <w:color w:val="auto"/>
              </w:rPr>
            </w:pPr>
            <w:r>
              <w:rPr>
                <w:rFonts w:ascii="Arial" w:cs="Arial" w:eastAsia="Arial" w:hAnsi="Arial"/>
                <w:sz w:val="13"/>
                <w:szCs w:val="13"/>
                <w:i w:val="1"/>
                <w:iCs w:val="1"/>
                <w:color w:val="auto"/>
              </w:rPr>
              <w:t>Reconciliation of Revenue</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r>
    </w:tbl>
    <w:p>
      <w:pPr>
        <w:spacing w:after="0" w:line="26" w:lineRule="exact"/>
        <w:rPr>
          <w:sz w:val="20"/>
          <w:szCs w:val="20"/>
          <w:color w:val="auto"/>
        </w:rPr>
      </w:pPr>
    </w:p>
    <w:p>
      <w:pPr>
        <w:sectPr>
          <w:pgSz w:w="11900" w:h="16838" w:orient="portrait"/>
          <w:cols w:equalWidth="0" w:num="1">
            <w:col w:w="11040"/>
          </w:cols>
          <w:pgMar w:left="320" w:top="931" w:right="539" w:bottom="1440" w:gutter="0" w:footer="0" w:header="0"/>
        </w:sectPr>
      </w:pPr>
    </w:p>
    <w:p>
      <w:pPr>
        <w:ind w:left="140" w:right="240" w:hanging="26"/>
        <w:spacing w:after="0" w:line="298" w:lineRule="auto"/>
        <w:rPr>
          <w:sz w:val="20"/>
          <w:szCs w:val="20"/>
          <w:color w:val="auto"/>
        </w:rPr>
      </w:pPr>
      <w:r>
        <w:rPr>
          <w:rFonts w:ascii="Arial" w:cs="Arial" w:eastAsia="Arial" w:hAnsi="Arial"/>
          <w:sz w:val="13"/>
          <w:szCs w:val="13"/>
          <w:color w:val="auto"/>
        </w:rPr>
        <w:t xml:space="preserve">Other Businesses and Corporate Office Revenues </w:t>
      </w:r>
      <w:r>
        <w:rPr>
          <w:rFonts w:ascii="Arial" w:cs="Arial" w:eastAsia="Arial" w:hAnsi="Arial"/>
          <w:sz w:val="16"/>
          <w:szCs w:val="16"/>
          <w:color w:val="auto"/>
          <w:vertAlign w:val="superscript"/>
        </w:rPr>
        <w:t>(1)</w:t>
      </w:r>
      <w:r>
        <w:rPr>
          <w:rFonts w:ascii="Arial" w:cs="Arial" w:eastAsia="Arial" w:hAnsi="Arial"/>
          <w:sz w:val="13"/>
          <w:szCs w:val="13"/>
          <w:color w:val="auto"/>
        </w:rPr>
        <w:t xml:space="preserve"> Intersegment Elimination</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Total Consolidated Revenues</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 xml:space="preserve">Less: Significant Expenses </w:t>
      </w:r>
      <w:r>
        <w:rPr>
          <w:rFonts w:ascii="Arial" w:cs="Arial" w:eastAsia="Arial" w:hAnsi="Arial"/>
          <w:sz w:val="16"/>
          <w:szCs w:val="16"/>
          <w:i w:val="1"/>
          <w:iCs w:val="1"/>
          <w:color w:val="auto"/>
          <w:vertAlign w:val="superscript"/>
        </w:rPr>
        <w:t>(2)</w:t>
      </w:r>
    </w:p>
    <w:p>
      <w:pPr>
        <w:spacing w:after="0" w:line="25" w:lineRule="exact"/>
        <w:rPr>
          <w:sz w:val="20"/>
          <w:szCs w:val="20"/>
          <w:color w:val="auto"/>
        </w:rPr>
      </w:pPr>
    </w:p>
    <w:p>
      <w:pPr>
        <w:ind w:left="140"/>
        <w:spacing w:after="0"/>
        <w:rPr>
          <w:sz w:val="20"/>
          <w:szCs w:val="20"/>
          <w:color w:val="auto"/>
        </w:rPr>
      </w:pPr>
      <w:r>
        <w:rPr>
          <w:rFonts w:ascii="Arial" w:cs="Arial" w:eastAsia="Arial" w:hAnsi="Arial"/>
          <w:sz w:val="13"/>
          <w:szCs w:val="13"/>
          <w:color w:val="auto"/>
        </w:rPr>
        <w:t xml:space="preserve">Cost of Revenue </w:t>
      </w:r>
      <w:r>
        <w:rPr>
          <w:rFonts w:ascii="Arial" w:cs="Arial" w:eastAsia="Arial" w:hAnsi="Arial"/>
          <w:sz w:val="16"/>
          <w:szCs w:val="16"/>
          <w:color w:val="auto"/>
          <w:vertAlign w:val="superscript"/>
        </w:rPr>
        <w:t>(3)</w:t>
      </w:r>
    </w:p>
    <w:p>
      <w:pPr>
        <w:spacing w:after="0" w:line="19" w:lineRule="exact"/>
        <w:rPr>
          <w:sz w:val="20"/>
          <w:szCs w:val="20"/>
          <w:color w:val="auto"/>
        </w:rPr>
      </w:pPr>
    </w:p>
    <w:p>
      <w:pPr>
        <w:ind w:left="140"/>
        <w:spacing w:after="0"/>
        <w:rPr>
          <w:sz w:val="20"/>
          <w:szCs w:val="20"/>
          <w:color w:val="auto"/>
        </w:rPr>
      </w:pPr>
      <w:r>
        <w:rPr>
          <w:rFonts w:ascii="Arial" w:cs="Arial" w:eastAsia="Arial" w:hAnsi="Arial"/>
          <w:sz w:val="13"/>
          <w:szCs w:val="13"/>
          <w:color w:val="auto"/>
        </w:rPr>
        <w:t xml:space="preserve">Payroll and Fringe Benefits Expense </w:t>
      </w:r>
      <w:r>
        <w:rPr>
          <w:rFonts w:ascii="Arial" w:cs="Arial" w:eastAsia="Arial" w:hAnsi="Arial"/>
          <w:sz w:val="16"/>
          <w:szCs w:val="16"/>
          <w:color w:val="auto"/>
          <w:vertAlign w:val="superscript"/>
        </w:rPr>
        <w:t>(4)</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13"/>
          <w:szCs w:val="13"/>
          <w:color w:val="auto"/>
        </w:rPr>
        <w:t>Occupancy Expense</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3"/>
          <w:szCs w:val="13"/>
          <w:color w:val="auto"/>
        </w:rPr>
        <w:t>Advertising and Marketing Expense</w:t>
      </w:r>
    </w:p>
    <w:p>
      <w:pPr>
        <w:spacing w:after="0" w:line="53" w:lineRule="exact"/>
        <w:rPr>
          <w:sz w:val="20"/>
          <w:szCs w:val="20"/>
          <w:color w:val="auto"/>
        </w:rPr>
      </w:pPr>
    </w:p>
    <w:p>
      <w:pPr>
        <w:ind w:left="140"/>
        <w:spacing w:after="0"/>
        <w:rPr>
          <w:sz w:val="20"/>
          <w:szCs w:val="20"/>
          <w:color w:val="auto"/>
        </w:rPr>
      </w:pPr>
      <w:r>
        <w:rPr>
          <w:rFonts w:ascii="Arial" w:cs="Arial" w:eastAsia="Arial" w:hAnsi="Arial"/>
          <w:sz w:val="13"/>
          <w:szCs w:val="13"/>
          <w:color w:val="auto"/>
        </w:rPr>
        <w:t>Networking and Programming Expense</w:t>
      </w:r>
    </w:p>
    <w:p>
      <w:pPr>
        <w:spacing w:after="0" w:line="43" w:lineRule="exact"/>
        <w:rPr>
          <w:sz w:val="20"/>
          <w:szCs w:val="20"/>
          <w:color w:val="auto"/>
        </w:rPr>
      </w:pPr>
    </w:p>
    <w:p>
      <w:pPr>
        <w:ind w:left="140"/>
        <w:spacing w:after="0"/>
        <w:rPr>
          <w:sz w:val="20"/>
          <w:szCs w:val="20"/>
          <w:color w:val="auto"/>
        </w:rPr>
      </w:pPr>
      <w:r>
        <w:rPr>
          <w:rFonts w:ascii="Arial" w:cs="Arial" w:eastAsia="Arial" w:hAnsi="Arial"/>
          <w:sz w:val="13"/>
          <w:szCs w:val="13"/>
          <w:color w:val="auto"/>
        </w:rPr>
        <w:t xml:space="preserve">Management Services </w:t>
      </w:r>
      <w:r>
        <w:rPr>
          <w:rFonts w:ascii="Arial" w:cs="Arial" w:eastAsia="Arial" w:hAnsi="Arial"/>
          <w:sz w:val="16"/>
          <w:szCs w:val="16"/>
          <w:color w:val="auto"/>
          <w:vertAlign w:val="superscript"/>
        </w:rPr>
        <w:t>(5)</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13"/>
          <w:szCs w:val="13"/>
          <w:color w:val="auto"/>
        </w:rPr>
        <w:t xml:space="preserve">Other Segment Items </w:t>
      </w:r>
      <w:r>
        <w:rPr>
          <w:rFonts w:ascii="Arial" w:cs="Arial" w:eastAsia="Arial" w:hAnsi="Arial"/>
          <w:sz w:val="16"/>
          <w:szCs w:val="16"/>
          <w:color w:val="auto"/>
          <w:vertAlign w:val="superscript"/>
        </w:rPr>
        <w:t>(6)</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EBITDAP</w:t>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3"/>
          <w:szCs w:val="13"/>
          <w:color w:val="auto"/>
        </w:rPr>
        <w:t>Pension Service Cost</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3"/>
          <w:szCs w:val="13"/>
          <w:color w:val="auto"/>
        </w:rPr>
        <w:t>Depreciation Expense</w:t>
      </w:r>
    </w:p>
    <w:p>
      <w:pPr>
        <w:spacing w:after="0" w:line="107" w:lineRule="exact"/>
        <w:rPr>
          <w:sz w:val="20"/>
          <w:szCs w:val="20"/>
          <w:color w:val="auto"/>
        </w:rPr>
      </w:pPr>
    </w:p>
    <w:p>
      <w:pPr>
        <w:ind w:left="100" w:right="120" w:hanging="80"/>
        <w:spacing w:after="0" w:line="236" w:lineRule="auto"/>
        <w:rPr>
          <w:sz w:val="20"/>
          <w:szCs w:val="20"/>
          <w:color w:val="auto"/>
        </w:rPr>
      </w:pPr>
      <w:r>
        <w:rPr>
          <w:rFonts w:ascii="Arial" w:cs="Arial" w:eastAsia="Arial" w:hAnsi="Arial"/>
          <w:sz w:val="13"/>
          <w:szCs w:val="13"/>
          <w:b w:val="1"/>
          <w:bCs w:val="1"/>
          <w:color w:val="auto"/>
        </w:rPr>
        <w:t>Income from Operations before Amortization of Intangible Assets and Impairment of Intangible and Other Long-Lived Assets</w:t>
      </w:r>
    </w:p>
    <w:p>
      <w:pPr>
        <w:spacing w:after="0" w:line="89"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 xml:space="preserve">Other Businesses </w:t>
      </w:r>
      <w:r>
        <w:rPr>
          <w:rFonts w:ascii="Arial" w:cs="Arial" w:eastAsia="Arial" w:hAnsi="Arial"/>
          <w:sz w:val="16"/>
          <w:szCs w:val="16"/>
          <w:b w:val="1"/>
          <w:bCs w:val="1"/>
          <w:color w:val="auto"/>
          <w:vertAlign w:val="superscript"/>
        </w:rPr>
        <w:t>(7)</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Corporate Costs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Amortization of Intangible Assets</w:t>
      </w:r>
    </w:p>
    <w:p>
      <w:pPr>
        <w:spacing w:after="0" w:line="53" w:lineRule="exact"/>
        <w:rPr>
          <w:sz w:val="20"/>
          <w:szCs w:val="20"/>
          <w:color w:val="auto"/>
        </w:rPr>
      </w:pPr>
    </w:p>
    <w:p>
      <w:pPr>
        <w:ind w:left="20"/>
        <w:spacing w:after="0" w:line="346" w:lineRule="auto"/>
        <w:rPr>
          <w:sz w:val="20"/>
          <w:szCs w:val="20"/>
          <w:color w:val="auto"/>
        </w:rPr>
      </w:pPr>
      <w:r>
        <w:rPr>
          <w:rFonts w:ascii="Arial" w:cs="Arial" w:eastAsia="Arial" w:hAnsi="Arial"/>
          <w:sz w:val="13"/>
          <w:szCs w:val="13"/>
          <w:b w:val="1"/>
          <w:bCs w:val="1"/>
          <w:color w:val="auto"/>
        </w:rPr>
        <w:t>Impairment of Intangible and Other Long-Lived Assets Income from Operations</w:t>
      </w:r>
    </w:p>
    <w:p>
      <w:pPr>
        <w:spacing w:after="0" w:line="1" w:lineRule="exact"/>
        <w:rPr>
          <w:sz w:val="20"/>
          <w:szCs w:val="20"/>
          <w:color w:val="auto"/>
        </w:rPr>
      </w:pPr>
    </w:p>
    <w:p>
      <w:pPr>
        <w:ind w:left="20" w:right="1160"/>
        <w:spacing w:after="0" w:line="325" w:lineRule="auto"/>
        <w:rPr>
          <w:sz w:val="20"/>
          <w:szCs w:val="20"/>
          <w:color w:val="auto"/>
        </w:rPr>
      </w:pPr>
      <w:r>
        <w:rPr>
          <w:rFonts w:ascii="Arial" w:cs="Arial" w:eastAsia="Arial" w:hAnsi="Arial"/>
          <w:sz w:val="13"/>
          <w:szCs w:val="13"/>
          <w:b w:val="1"/>
          <w:bCs w:val="1"/>
          <w:color w:val="auto"/>
        </w:rPr>
        <w:t>Equity in Earnings of Affiliates, Net Interest Expense, Net</w:t>
      </w:r>
    </w:p>
    <w:p>
      <w:pPr>
        <w:ind w:left="100" w:right="200" w:hanging="80"/>
        <w:spacing w:after="0" w:line="252" w:lineRule="auto"/>
        <w:rPr>
          <w:sz w:val="20"/>
          <w:szCs w:val="20"/>
          <w:color w:val="auto"/>
        </w:rPr>
      </w:pPr>
      <w:r>
        <w:rPr>
          <w:rFonts w:ascii="Arial" w:cs="Arial" w:eastAsia="Arial" w:hAnsi="Arial"/>
          <w:sz w:val="13"/>
          <w:szCs w:val="13"/>
          <w:b w:val="1"/>
          <w:bCs w:val="1"/>
          <w:color w:val="auto"/>
        </w:rPr>
        <w:t>Non-Operating Pension and Postretirement Benefit Income, Net</w:t>
      </w:r>
    </w:p>
    <w:p>
      <w:pPr>
        <w:spacing w:after="0" w:line="37" w:lineRule="exact"/>
        <w:rPr>
          <w:sz w:val="20"/>
          <w:szCs w:val="20"/>
          <w:color w:val="auto"/>
        </w:rPr>
      </w:pPr>
    </w:p>
    <w:p>
      <w:pPr>
        <w:ind w:left="20" w:right="760"/>
        <w:spacing w:after="0" w:line="357" w:lineRule="auto"/>
        <w:rPr>
          <w:sz w:val="20"/>
          <w:szCs w:val="20"/>
          <w:color w:val="auto"/>
        </w:rPr>
      </w:pPr>
      <w:r>
        <w:rPr>
          <w:rFonts w:ascii="Arial" w:cs="Arial" w:eastAsia="Arial" w:hAnsi="Arial"/>
          <w:sz w:val="13"/>
          <w:szCs w:val="13"/>
          <w:b w:val="1"/>
          <w:bCs w:val="1"/>
          <w:color w:val="auto"/>
        </w:rPr>
        <w:t>Gain on Marketable Equity Securities, Net Other Income, Net</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Income Before Income Taxes</w:t>
      </w:r>
    </w:p>
    <w:p>
      <w:pPr>
        <w:spacing w:after="0" w:line="21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Capital Expenditures</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Reconciliation of Capital Expenditures</w:t>
      </w:r>
    </w:p>
    <w:p>
      <w:pPr>
        <w:spacing w:after="0" w:line="51" w:lineRule="exact"/>
        <w:rPr>
          <w:sz w:val="20"/>
          <w:szCs w:val="20"/>
          <w:color w:val="auto"/>
        </w:rPr>
      </w:pPr>
    </w:p>
    <w:p>
      <w:pPr>
        <w:ind w:left="220" w:right="520" w:hanging="80"/>
        <w:spacing w:after="0" w:line="262" w:lineRule="auto"/>
        <w:rPr>
          <w:sz w:val="20"/>
          <w:szCs w:val="20"/>
          <w:color w:val="auto"/>
        </w:rPr>
      </w:pPr>
      <w:r>
        <w:rPr>
          <w:rFonts w:ascii="Arial" w:cs="Arial" w:eastAsia="Arial" w:hAnsi="Arial"/>
          <w:sz w:val="13"/>
          <w:szCs w:val="13"/>
          <w:color w:val="auto"/>
        </w:rPr>
        <w:t xml:space="preserve">Other Businesses and Corporate Office Capital Expenditures </w:t>
      </w:r>
      <w:r>
        <w:rPr>
          <w:rFonts w:ascii="Arial" w:cs="Arial" w:eastAsia="Arial" w:hAnsi="Arial"/>
          <w:sz w:val="16"/>
          <w:szCs w:val="16"/>
          <w:color w:val="auto"/>
          <w:vertAlign w:val="superscript"/>
        </w:rPr>
        <w:t>(8)</w:t>
      </w:r>
    </w:p>
    <w:p>
      <w:pPr>
        <w:ind w:left="20"/>
        <w:spacing w:after="0"/>
        <w:rPr>
          <w:sz w:val="20"/>
          <w:szCs w:val="20"/>
          <w:color w:val="auto"/>
        </w:rPr>
      </w:pPr>
      <w:r>
        <w:rPr>
          <w:rFonts w:ascii="Arial" w:cs="Arial" w:eastAsia="Arial" w:hAnsi="Arial"/>
          <w:sz w:val="13"/>
          <w:szCs w:val="13"/>
          <w:b w:val="1"/>
          <w:bCs w:val="1"/>
          <w:color w:val="auto"/>
        </w:rPr>
        <w:t>Total Capital Expenditures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83,835</w:t>
            </w:r>
          </w:p>
        </w:tc>
      </w:tr>
      <w:tr>
        <w:trPr>
          <w:trHeight w:val="210"/>
        </w:trPr>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(625)</w:t>
            </w:r>
          </w:p>
        </w:tc>
      </w:tr>
      <w:tr>
        <w:trPr>
          <w:trHeight w:val="196"/>
        </w:trPr>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1,278,859</w:t>
            </w:r>
          </w:p>
        </w:tc>
      </w:tr>
      <w:tr>
        <w:trPr>
          <w:trHeight w:val="432"/>
        </w:trPr>
        <w:tc>
          <w:tcPr>
            <w:tcW w:w="400" w:type="dxa"/>
            <w:vAlign w:val="bottom"/>
          </w:tcPr>
          <w:p>
            <w:pPr>
              <w:spacing w:after="0"/>
              <w:rPr>
                <w:sz w:val="24"/>
                <w:szCs w:val="24"/>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187,485</w:t>
            </w: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130,564</w:t>
            </w:r>
          </w:p>
        </w:tc>
        <w:tc>
          <w:tcPr>
            <w:tcW w:w="520" w:type="dxa"/>
            <w:vAlign w:val="bottom"/>
          </w:tcPr>
          <w:p>
            <w:pPr>
              <w:spacing w:after="0"/>
              <w:rPr>
                <w:sz w:val="24"/>
                <w:szCs w:val="24"/>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88,082</w:t>
            </w:r>
          </w:p>
        </w:tc>
        <w:tc>
          <w:tcPr>
            <w:tcW w:w="480" w:type="dxa"/>
            <w:vAlign w:val="bottom"/>
          </w:tcPr>
          <w:p>
            <w:pPr>
              <w:spacing w:after="0"/>
              <w:rPr>
                <w:sz w:val="24"/>
                <w:szCs w:val="24"/>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243,239</w:t>
            </w:r>
          </w:p>
        </w:tc>
        <w:tc>
          <w:tcPr>
            <w:tcW w:w="3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649,370</w:t>
            </w:r>
          </w:p>
        </w:tc>
      </w:tr>
      <w:tr>
        <w:trPr>
          <w:trHeight w:val="203"/>
        </w:trPr>
        <w:tc>
          <w:tcPr>
            <w:tcW w:w="400" w:type="dxa"/>
            <w:vAlign w:val="bottom"/>
          </w:tcPr>
          <w:p>
            <w:pPr>
              <w:spacing w:after="0"/>
              <w:rPr>
                <w:sz w:val="17"/>
                <w:szCs w:val="17"/>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122,056</w:t>
            </w:r>
          </w:p>
        </w:tc>
        <w:tc>
          <w:tcPr>
            <w:tcW w:w="500" w:type="dxa"/>
            <w:vAlign w:val="bottom"/>
          </w:tcPr>
          <w:p>
            <w:pPr>
              <w:spacing w:after="0"/>
              <w:rPr>
                <w:sz w:val="17"/>
                <w:szCs w:val="17"/>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26,218</w:t>
            </w: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20,233</w:t>
            </w:r>
          </w:p>
        </w:tc>
        <w:tc>
          <w:tcPr>
            <w:tcW w:w="3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168,507</w:t>
            </w:r>
          </w:p>
        </w:tc>
      </w:tr>
      <w:tr>
        <w:trPr>
          <w:trHeight w:val="203"/>
        </w:trPr>
        <w:tc>
          <w:tcPr>
            <w:tcW w:w="400" w:type="dxa"/>
            <w:vAlign w:val="bottom"/>
          </w:tcPr>
          <w:p>
            <w:pPr>
              <w:spacing w:after="0"/>
              <w:rPr>
                <w:sz w:val="17"/>
                <w:szCs w:val="17"/>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26,486</w:t>
            </w: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1,978</w:t>
            </w:r>
          </w:p>
        </w:tc>
        <w:tc>
          <w:tcPr>
            <w:tcW w:w="3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28,464</w:t>
            </w:r>
          </w:p>
        </w:tc>
      </w:tr>
      <w:tr>
        <w:trPr>
          <w:trHeight w:val="202"/>
        </w:trPr>
        <w:tc>
          <w:tcPr>
            <w:tcW w:w="400" w:type="dxa"/>
            <w:vAlign w:val="bottom"/>
          </w:tcPr>
          <w:p>
            <w:pPr>
              <w:spacing w:after="0"/>
              <w:rPr>
                <w:sz w:val="17"/>
                <w:szCs w:val="17"/>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18,465</w:t>
            </w: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18,465</w:t>
            </w:r>
          </w:p>
        </w:tc>
      </w:tr>
      <w:tr>
        <w:trPr>
          <w:trHeight w:val="203"/>
        </w:trPr>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30,943</w:t>
            </w: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30,943</w:t>
            </w:r>
          </w:p>
        </w:tc>
      </w:tr>
      <w:tr>
        <w:trPr>
          <w:trHeight w:val="203"/>
        </w:trPr>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2,075</w:t>
            </w:r>
          </w:p>
        </w:tc>
        <w:tc>
          <w:tcPr>
            <w:tcW w:w="3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2,075</w:t>
            </w:r>
          </w:p>
        </w:tc>
      </w:tr>
      <w:tr>
        <w:trPr>
          <w:trHeight w:val="210"/>
        </w:trPr>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56,311</w:t>
            </w:r>
          </w:p>
        </w:tc>
        <w:tc>
          <w:tcPr>
            <w:tcW w:w="5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15,720</w:t>
            </w: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51,431</w:t>
            </w: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20,953</w:t>
            </w: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9,118</w:t>
            </w: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153,533</w:t>
            </w:r>
          </w:p>
        </w:tc>
      </w:tr>
      <w:tr>
        <w:trPr>
          <w:trHeight w:val="196"/>
        </w:trPr>
        <w:tc>
          <w:tcPr>
            <w:tcW w:w="40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61,859</w:t>
            </w:r>
          </w:p>
        </w:tc>
        <w:tc>
          <w:tcPr>
            <w:tcW w:w="50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32,206</w:t>
            </w:r>
          </w:p>
        </w:tc>
        <w:tc>
          <w:tcPr>
            <w:tcW w:w="36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26,420</w:t>
            </w:r>
          </w:p>
        </w:tc>
        <w:tc>
          <w:tcPr>
            <w:tcW w:w="52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15,222</w:t>
            </w:r>
          </w:p>
        </w:tc>
        <w:tc>
          <w:tcPr>
            <w:tcW w:w="4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8,585</w:t>
            </w:r>
          </w:p>
        </w:tc>
        <w:tc>
          <w:tcPr>
            <w:tcW w:w="36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144,292</w:t>
            </w:r>
          </w:p>
        </w:tc>
      </w:tr>
      <w:tr>
        <w:trPr>
          <w:trHeight w:val="229"/>
        </w:trPr>
        <w:tc>
          <w:tcPr>
            <w:tcW w:w="400" w:type="dxa"/>
            <w:vAlign w:val="bottom"/>
          </w:tcPr>
          <w:p>
            <w:pPr>
              <w:spacing w:after="0"/>
              <w:rPr>
                <w:sz w:val="19"/>
                <w:szCs w:val="19"/>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4,318</w:t>
            </w:r>
          </w:p>
        </w:tc>
        <w:tc>
          <w:tcPr>
            <w:tcW w:w="500" w:type="dxa"/>
            <w:vAlign w:val="bottom"/>
          </w:tcPr>
          <w:p>
            <w:pPr>
              <w:spacing w:after="0"/>
              <w:rPr>
                <w:sz w:val="19"/>
                <w:szCs w:val="19"/>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1,475</w:t>
            </w:r>
          </w:p>
        </w:tc>
        <w:tc>
          <w:tcPr>
            <w:tcW w:w="360" w:type="dxa"/>
            <w:vAlign w:val="bottom"/>
          </w:tcPr>
          <w:p>
            <w:pPr>
              <w:spacing w:after="0"/>
              <w:rPr>
                <w:sz w:val="19"/>
                <w:szCs w:val="19"/>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2,496</w:t>
            </w:r>
          </w:p>
        </w:tc>
        <w:tc>
          <w:tcPr>
            <w:tcW w:w="520" w:type="dxa"/>
            <w:vAlign w:val="bottom"/>
          </w:tcPr>
          <w:p>
            <w:pPr>
              <w:spacing w:after="0"/>
              <w:rPr>
                <w:sz w:val="19"/>
                <w:szCs w:val="19"/>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866</w:t>
            </w:r>
          </w:p>
        </w:tc>
        <w:tc>
          <w:tcPr>
            <w:tcW w:w="480" w:type="dxa"/>
            <w:vAlign w:val="bottom"/>
          </w:tcPr>
          <w:p>
            <w:pPr>
              <w:spacing w:after="0"/>
              <w:rPr>
                <w:sz w:val="19"/>
                <w:szCs w:val="19"/>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9,154</w:t>
            </w:r>
          </w:p>
        </w:tc>
      </w:tr>
      <w:tr>
        <w:trPr>
          <w:trHeight w:val="203"/>
        </w:trPr>
        <w:tc>
          <w:tcPr>
            <w:tcW w:w="400" w:type="dxa"/>
            <w:vAlign w:val="bottom"/>
          </w:tcPr>
          <w:p>
            <w:pPr>
              <w:spacing w:after="0"/>
              <w:rPr>
                <w:sz w:val="17"/>
                <w:szCs w:val="17"/>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7,085</w:t>
            </w:r>
          </w:p>
        </w:tc>
        <w:tc>
          <w:tcPr>
            <w:tcW w:w="500" w:type="dxa"/>
            <w:vAlign w:val="bottom"/>
          </w:tcPr>
          <w:p>
            <w:pPr>
              <w:spacing w:after="0"/>
              <w:rPr>
                <w:sz w:val="17"/>
                <w:szCs w:val="17"/>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2,597</w:t>
            </w:r>
          </w:p>
        </w:tc>
        <w:tc>
          <w:tcPr>
            <w:tcW w:w="360" w:type="dxa"/>
            <w:vAlign w:val="bottom"/>
          </w:tcPr>
          <w:p>
            <w:pPr>
              <w:spacing w:after="0"/>
              <w:rPr>
                <w:sz w:val="17"/>
                <w:szCs w:val="17"/>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1,837</w:t>
            </w:r>
          </w:p>
        </w:tc>
        <w:tc>
          <w:tcPr>
            <w:tcW w:w="520" w:type="dxa"/>
            <w:vAlign w:val="bottom"/>
          </w:tcPr>
          <w:p>
            <w:pPr>
              <w:spacing w:after="0"/>
              <w:rPr>
                <w:sz w:val="17"/>
                <w:szCs w:val="17"/>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3,219</w:t>
            </w:r>
          </w:p>
        </w:tc>
        <w:tc>
          <w:tcPr>
            <w:tcW w:w="480" w:type="dxa"/>
            <w:vAlign w:val="bottom"/>
          </w:tcPr>
          <w:p>
            <w:pPr>
              <w:spacing w:after="0"/>
              <w:rPr>
                <w:sz w:val="17"/>
                <w:szCs w:val="17"/>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1,718</w:t>
            </w:r>
          </w:p>
        </w:tc>
        <w:tc>
          <w:tcPr>
            <w:tcW w:w="3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16,456</w:t>
            </w:r>
          </w:p>
        </w:tc>
      </w:tr>
      <w:tr>
        <w:trPr>
          <w:trHeight w:val="68"/>
        </w:trPr>
        <w:tc>
          <w:tcPr>
            <w:tcW w:w="4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r>
      <w:tr>
        <w:trPr>
          <w:trHeight w:val="459"/>
        </w:trPr>
        <w:tc>
          <w:tcPr>
            <w:tcW w:w="40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50,456</w:t>
            </w:r>
          </w:p>
        </w:tc>
        <w:tc>
          <w:tcPr>
            <w:tcW w:w="50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28,134</w:t>
            </w:r>
          </w:p>
        </w:tc>
        <w:tc>
          <w:tcPr>
            <w:tcW w:w="36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22,087</w:t>
            </w:r>
          </w:p>
        </w:tc>
        <w:tc>
          <w:tcPr>
            <w:tcW w:w="52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11,137</w:t>
            </w:r>
          </w:p>
        </w:tc>
        <w:tc>
          <w:tcPr>
            <w:tcW w:w="4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6,868</w:t>
            </w:r>
          </w:p>
        </w:tc>
        <w:tc>
          <w:tcPr>
            <w:tcW w:w="36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118,682</w:t>
            </w:r>
          </w:p>
        </w:tc>
      </w:tr>
      <w:tr>
        <w:trPr>
          <w:trHeight w:val="229"/>
        </w:trPr>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(21,949)</w:t>
            </w:r>
          </w:p>
        </w:tc>
      </w:tr>
      <w:tr>
        <w:trPr>
          <w:trHeight w:val="203"/>
        </w:trPr>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(17,670)</w:t>
            </w:r>
          </w:p>
        </w:tc>
      </w:tr>
      <w:tr>
        <w:trPr>
          <w:trHeight w:val="203"/>
        </w:trPr>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(9,692)</w:t>
            </w:r>
          </w:p>
        </w:tc>
      </w:tr>
      <w:tr>
        <w:trPr>
          <w:trHeight w:val="210"/>
        </w:trPr>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(2,235)</w:t>
            </w:r>
          </w:p>
        </w:tc>
      </w:tr>
      <w:tr>
        <w:trPr>
          <w:trHeight w:val="196"/>
        </w:trPr>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67,136</w:t>
            </w:r>
          </w:p>
        </w:tc>
      </w:tr>
      <w:tr>
        <w:trPr>
          <w:trHeight w:val="189"/>
        </w:trPr>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15,780</w:t>
            </w:r>
          </w:p>
        </w:tc>
      </w:tr>
      <w:tr>
        <w:trPr>
          <w:trHeight w:val="203"/>
        </w:trPr>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(15,700)</w:t>
            </w:r>
          </w:p>
        </w:tc>
      </w:tr>
      <w:tr>
        <w:trPr>
          <w:trHeight w:val="351"/>
        </w:trPr>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31,047</w:t>
            </w:r>
          </w:p>
        </w:tc>
      </w:tr>
      <w:tr>
        <w:trPr>
          <w:trHeight w:val="203"/>
        </w:trPr>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84,768</w:t>
            </w:r>
          </w:p>
        </w:tc>
      </w:tr>
      <w:tr>
        <w:trPr>
          <w:trHeight w:val="210"/>
        </w:trPr>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w:t>
            </w:r>
          </w:p>
        </w:tc>
      </w:tr>
      <w:tr>
        <w:trPr>
          <w:trHeight w:val="196"/>
        </w:trPr>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183,038</w:t>
            </w:r>
          </w:p>
        </w:tc>
      </w:tr>
      <w:tr>
        <w:trPr>
          <w:trHeight w:val="27"/>
        </w:trPr>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317"/>
        </w:trPr>
        <w:tc>
          <w:tcPr>
            <w:tcW w:w="400" w:type="dxa"/>
            <w:vAlign w:val="bottom"/>
          </w:tcPr>
          <w:p>
            <w:pPr>
              <w:jc w:val="right"/>
              <w:ind w:right="257"/>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3,624</w:t>
            </w:r>
          </w:p>
        </w:tc>
        <w:tc>
          <w:tcPr>
            <w:tcW w:w="50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1,288</w:t>
            </w:r>
          </w:p>
        </w:tc>
        <w:tc>
          <w:tcPr>
            <w:tcW w:w="36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5,138</w:t>
            </w:r>
          </w:p>
        </w:tc>
        <w:tc>
          <w:tcPr>
            <w:tcW w:w="52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1,591</w:t>
            </w:r>
          </w:p>
        </w:tc>
        <w:tc>
          <w:tcPr>
            <w:tcW w:w="48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2,179</w:t>
            </w:r>
          </w:p>
        </w:tc>
        <w:tc>
          <w:tcPr>
            <w:tcW w:w="36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13,820</w:t>
            </w:r>
          </w:p>
        </w:tc>
      </w:tr>
      <w:tr>
        <w:trPr>
          <w:trHeight w:val="561"/>
        </w:trPr>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6,356</w:t>
            </w:r>
          </w:p>
        </w:tc>
      </w:tr>
      <w:tr>
        <w:trPr>
          <w:trHeight w:val="196"/>
        </w:trPr>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20,176</w:t>
            </w:r>
          </w:p>
        </w:tc>
      </w:tr>
    </w:tbl>
    <w:p>
      <w:pPr>
        <w:spacing w:after="0" w:line="200" w:lineRule="exact"/>
        <w:rPr>
          <w:sz w:val="20"/>
          <w:szCs w:val="20"/>
          <w:color w:val="auto"/>
        </w:rPr>
      </w:pPr>
    </w:p>
    <w:p>
      <w:pPr>
        <w:sectPr>
          <w:pgSz w:w="11900" w:h="16838" w:orient="portrait"/>
          <w:cols w:equalWidth="0" w:num="2">
            <w:col w:w="3280" w:space="40"/>
            <w:col w:w="7720"/>
          </w:cols>
          <w:pgMar w:left="320" w:top="931" w:right="539" w:bottom="1440" w:gutter="0" w:footer="0" w:header="0"/>
          <w:type w:val="continuous"/>
        </w:sectPr>
      </w:pPr>
    </w:p>
    <w:p>
      <w:pPr>
        <w:spacing w:after="0" w:line="124" w:lineRule="exact"/>
        <w:rPr>
          <w:sz w:val="20"/>
          <w:szCs w:val="20"/>
          <w:color w:val="auto"/>
        </w:rPr>
      </w:pPr>
    </w:p>
    <w:p>
      <w:pPr>
        <w:ind w:left="360" w:hanging="334"/>
        <w:spacing w:after="0" w:line="259" w:lineRule="auto"/>
        <w:tabs>
          <w:tab w:leader="none" w:pos="360" w:val="left"/>
        </w:tabs>
        <w:numPr>
          <w:ilvl w:val="0"/>
          <w:numId w:val="11"/>
        </w:numPr>
        <w:rPr>
          <w:rFonts w:ascii="Arial" w:cs="Arial" w:eastAsia="Arial" w:hAnsi="Arial"/>
          <w:sz w:val="11"/>
          <w:szCs w:val="11"/>
          <w:color w:val="auto"/>
        </w:rPr>
      </w:pPr>
      <w:r>
        <w:rPr>
          <w:rFonts w:ascii="Arial" w:cs="Arial" w:eastAsia="Arial" w:hAnsi="Arial"/>
          <w:sz w:val="11"/>
          <w:szCs w:val="11"/>
          <w:color w:val="auto"/>
        </w:rPr>
        <w:t>Revenue from segments below the quantitative thresholds is attributable to Other Businesses and the Corporate Office, as described above. None of these operating segments meet the quantitative thresholds for determining reportable segments.</w:t>
      </w:r>
    </w:p>
    <w:p>
      <w:pPr>
        <w:spacing w:after="0" w:line="37" w:lineRule="exact"/>
        <w:rPr>
          <w:rFonts w:ascii="Arial" w:cs="Arial" w:eastAsia="Arial" w:hAnsi="Arial"/>
          <w:sz w:val="11"/>
          <w:szCs w:val="11"/>
          <w:color w:val="auto"/>
        </w:rPr>
      </w:pPr>
    </w:p>
    <w:p>
      <w:pPr>
        <w:ind w:left="360" w:hanging="334"/>
        <w:spacing w:after="0"/>
        <w:tabs>
          <w:tab w:leader="none" w:pos="360" w:val="left"/>
        </w:tabs>
        <w:numPr>
          <w:ilvl w:val="0"/>
          <w:numId w:val="11"/>
        </w:numPr>
        <w:rPr>
          <w:rFonts w:ascii="Arial" w:cs="Arial" w:eastAsia="Arial" w:hAnsi="Arial"/>
          <w:sz w:val="11"/>
          <w:szCs w:val="11"/>
          <w:color w:val="auto"/>
        </w:rPr>
      </w:pPr>
      <w:r>
        <w:rPr>
          <w:rFonts w:ascii="Arial" w:cs="Arial" w:eastAsia="Arial" w:hAnsi="Arial"/>
          <w:sz w:val="11"/>
          <w:szCs w:val="11"/>
          <w:color w:val="auto"/>
        </w:rPr>
        <w:t>The significant expense categories and amounts align with the segment-level information that is regularly provided to the CODM.</w:t>
      </w:r>
    </w:p>
    <w:p>
      <w:pPr>
        <w:spacing w:after="0" w:line="62" w:lineRule="exact"/>
        <w:rPr>
          <w:rFonts w:ascii="Arial" w:cs="Arial" w:eastAsia="Arial" w:hAnsi="Arial"/>
          <w:sz w:val="11"/>
          <w:szCs w:val="11"/>
          <w:color w:val="auto"/>
        </w:rPr>
      </w:pPr>
    </w:p>
    <w:p>
      <w:pPr>
        <w:ind w:left="360" w:right="200" w:hanging="334"/>
        <w:spacing w:after="0" w:line="259" w:lineRule="auto"/>
        <w:tabs>
          <w:tab w:leader="none" w:pos="360" w:val="left"/>
        </w:tabs>
        <w:numPr>
          <w:ilvl w:val="0"/>
          <w:numId w:val="11"/>
        </w:numPr>
        <w:rPr>
          <w:rFonts w:ascii="Arial" w:cs="Arial" w:eastAsia="Arial" w:hAnsi="Arial"/>
          <w:sz w:val="11"/>
          <w:szCs w:val="11"/>
          <w:color w:val="auto"/>
        </w:rPr>
      </w:pPr>
      <w:r>
        <w:rPr>
          <w:rFonts w:ascii="Arial" w:cs="Arial" w:eastAsia="Arial" w:hAnsi="Arial"/>
          <w:sz w:val="11"/>
          <w:szCs w:val="11"/>
          <w:color w:val="auto"/>
        </w:rPr>
        <w:t>Cost of revenue reflects the amounts reported and provided to the CODM and does not necessarily reconcile to the Company's Consolidated Statement of Operations or align across reportable segments. Cost of revenue excludes charges related to depreciation, which is shown separately above.</w:t>
      </w:r>
    </w:p>
    <w:p>
      <w:pPr>
        <w:spacing w:after="0" w:line="37" w:lineRule="exact"/>
        <w:rPr>
          <w:rFonts w:ascii="Arial" w:cs="Arial" w:eastAsia="Arial" w:hAnsi="Arial"/>
          <w:sz w:val="11"/>
          <w:szCs w:val="11"/>
          <w:color w:val="auto"/>
        </w:rPr>
      </w:pPr>
    </w:p>
    <w:p>
      <w:pPr>
        <w:ind w:left="360" w:hanging="334"/>
        <w:spacing w:after="0"/>
        <w:tabs>
          <w:tab w:leader="none" w:pos="360" w:val="left"/>
        </w:tabs>
        <w:numPr>
          <w:ilvl w:val="0"/>
          <w:numId w:val="11"/>
        </w:numPr>
        <w:rPr>
          <w:rFonts w:ascii="Arial" w:cs="Arial" w:eastAsia="Arial" w:hAnsi="Arial"/>
          <w:sz w:val="11"/>
          <w:szCs w:val="11"/>
          <w:color w:val="auto"/>
        </w:rPr>
      </w:pPr>
      <w:r>
        <w:rPr>
          <w:rFonts w:ascii="Arial" w:cs="Arial" w:eastAsia="Arial" w:hAnsi="Arial"/>
          <w:sz w:val="11"/>
          <w:szCs w:val="11"/>
          <w:color w:val="auto"/>
        </w:rPr>
        <w:t>Excludes pension service cost, which is shown separately above. Excludes any payroll and related benefits costs captured in cost of revenue.</w:t>
      </w:r>
    </w:p>
    <w:p>
      <w:pPr>
        <w:spacing w:after="0" w:line="62" w:lineRule="exact"/>
        <w:rPr>
          <w:rFonts w:ascii="Arial" w:cs="Arial" w:eastAsia="Arial" w:hAnsi="Arial"/>
          <w:sz w:val="11"/>
          <w:szCs w:val="11"/>
          <w:color w:val="auto"/>
        </w:rPr>
      </w:pPr>
    </w:p>
    <w:p>
      <w:pPr>
        <w:ind w:left="360" w:hanging="334"/>
        <w:spacing w:after="0"/>
        <w:tabs>
          <w:tab w:leader="none" w:pos="360" w:val="left"/>
        </w:tabs>
        <w:numPr>
          <w:ilvl w:val="0"/>
          <w:numId w:val="11"/>
        </w:numPr>
        <w:rPr>
          <w:rFonts w:ascii="Arial" w:cs="Arial" w:eastAsia="Arial" w:hAnsi="Arial"/>
          <w:sz w:val="11"/>
          <w:szCs w:val="11"/>
          <w:color w:val="auto"/>
        </w:rPr>
      </w:pPr>
      <w:r>
        <w:rPr>
          <w:rFonts w:ascii="Arial" w:cs="Arial" w:eastAsia="Arial" w:hAnsi="Arial"/>
          <w:sz w:val="11"/>
          <w:szCs w:val="11"/>
          <w:color w:val="auto"/>
        </w:rPr>
        <w:t>Management and operating services provided by Christopher J. Ourisman and his team of industry professionals.</w:t>
      </w:r>
    </w:p>
    <w:p>
      <w:pPr>
        <w:spacing w:after="0" w:line="62" w:lineRule="exact"/>
        <w:rPr>
          <w:rFonts w:ascii="Arial" w:cs="Arial" w:eastAsia="Arial" w:hAnsi="Arial"/>
          <w:sz w:val="11"/>
          <w:szCs w:val="11"/>
          <w:color w:val="auto"/>
        </w:rPr>
      </w:pPr>
    </w:p>
    <w:p>
      <w:pPr>
        <w:ind w:left="360" w:hanging="334"/>
        <w:spacing w:after="0"/>
        <w:tabs>
          <w:tab w:leader="none" w:pos="360" w:val="left"/>
        </w:tabs>
        <w:numPr>
          <w:ilvl w:val="0"/>
          <w:numId w:val="11"/>
        </w:numPr>
        <w:rPr>
          <w:rFonts w:ascii="Arial" w:cs="Arial" w:eastAsia="Arial" w:hAnsi="Arial"/>
          <w:sz w:val="11"/>
          <w:szCs w:val="11"/>
          <w:color w:val="auto"/>
        </w:rPr>
      </w:pPr>
      <w:r>
        <w:rPr>
          <w:rFonts w:ascii="Arial" w:cs="Arial" w:eastAsia="Arial" w:hAnsi="Arial"/>
          <w:sz w:val="11"/>
          <w:szCs w:val="11"/>
          <w:color w:val="auto"/>
        </w:rPr>
        <w:t>Other segment items for each reportable segment include:</w:t>
      </w:r>
    </w:p>
    <w:p>
      <w:pPr>
        <w:spacing w:after="0" w:line="62" w:lineRule="exact"/>
        <w:rPr>
          <w:rFonts w:ascii="Arial" w:cs="Arial" w:eastAsia="Arial" w:hAnsi="Arial"/>
          <w:sz w:val="11"/>
          <w:szCs w:val="11"/>
          <w:color w:val="auto"/>
        </w:rPr>
      </w:pPr>
    </w:p>
    <w:p>
      <w:pPr>
        <w:ind w:left="660" w:right="200" w:hanging="310"/>
        <w:spacing w:after="0" w:line="259" w:lineRule="auto"/>
        <w:tabs>
          <w:tab w:leader="none" w:pos="660" w:val="left"/>
        </w:tabs>
        <w:numPr>
          <w:ilvl w:val="1"/>
          <w:numId w:val="11"/>
        </w:numPr>
        <w:rPr>
          <w:rFonts w:ascii="Arial" w:cs="Arial" w:eastAsia="Arial" w:hAnsi="Arial"/>
          <w:sz w:val="11"/>
          <w:szCs w:val="11"/>
          <w:color w:val="auto"/>
        </w:rPr>
      </w:pPr>
      <w:r>
        <w:rPr>
          <w:rFonts w:ascii="Arial" w:cs="Arial" w:eastAsia="Arial" w:hAnsi="Arial"/>
          <w:sz w:val="11"/>
          <w:szCs w:val="11"/>
          <w:color w:val="auto"/>
        </w:rPr>
        <w:t>Education (includes Kaplan International, Kaplan Higher Education and Kaplan Supplemental Education) - training and employment expense, travel meals and entertainment expense, operating fees and other G&amp;A expenses.</w:t>
      </w:r>
    </w:p>
    <w:p>
      <w:pPr>
        <w:spacing w:after="0" w:line="37" w:lineRule="exact"/>
        <w:rPr>
          <w:rFonts w:ascii="Arial" w:cs="Arial" w:eastAsia="Arial" w:hAnsi="Arial"/>
          <w:sz w:val="11"/>
          <w:szCs w:val="11"/>
          <w:color w:val="auto"/>
        </w:rPr>
      </w:pPr>
    </w:p>
    <w:p>
      <w:pPr>
        <w:ind w:left="660" w:hanging="310"/>
        <w:spacing w:after="0"/>
        <w:tabs>
          <w:tab w:leader="none" w:pos="660" w:val="left"/>
        </w:tabs>
        <w:numPr>
          <w:ilvl w:val="1"/>
          <w:numId w:val="11"/>
        </w:numPr>
        <w:rPr>
          <w:rFonts w:ascii="Arial" w:cs="Arial" w:eastAsia="Arial" w:hAnsi="Arial"/>
          <w:sz w:val="11"/>
          <w:szCs w:val="11"/>
          <w:color w:val="auto"/>
        </w:rPr>
      </w:pPr>
      <w:r>
        <w:rPr>
          <w:rFonts w:ascii="Arial" w:cs="Arial" w:eastAsia="Arial" w:hAnsi="Arial"/>
          <w:sz w:val="11"/>
          <w:szCs w:val="11"/>
          <w:color w:val="auto"/>
        </w:rPr>
        <w:t>Television Broadcasting - other broadcast expenses, facilities expenses, third-party commission costs and other SG&amp;A expenses.</w:t>
      </w:r>
    </w:p>
    <w:p>
      <w:pPr>
        <w:spacing w:after="0" w:line="62" w:lineRule="exact"/>
        <w:rPr>
          <w:rFonts w:ascii="Arial" w:cs="Arial" w:eastAsia="Arial" w:hAnsi="Arial"/>
          <w:sz w:val="11"/>
          <w:szCs w:val="11"/>
          <w:color w:val="auto"/>
        </w:rPr>
      </w:pPr>
    </w:p>
    <w:p>
      <w:pPr>
        <w:ind w:left="660" w:hanging="310"/>
        <w:spacing w:after="0"/>
        <w:tabs>
          <w:tab w:leader="none" w:pos="660" w:val="left"/>
        </w:tabs>
        <w:numPr>
          <w:ilvl w:val="1"/>
          <w:numId w:val="11"/>
        </w:numPr>
        <w:rPr>
          <w:rFonts w:ascii="Arial" w:cs="Arial" w:eastAsia="Arial" w:hAnsi="Arial"/>
          <w:sz w:val="11"/>
          <w:szCs w:val="11"/>
          <w:color w:val="auto"/>
        </w:rPr>
      </w:pPr>
      <w:r>
        <w:rPr>
          <w:rFonts w:ascii="Arial" w:cs="Arial" w:eastAsia="Arial" w:hAnsi="Arial"/>
          <w:sz w:val="11"/>
          <w:szCs w:val="11"/>
          <w:color w:val="auto"/>
        </w:rPr>
        <w:t>Healthcare - indirect costs (e.g. payroll and benefits expenses, G&amp;A expenses) and other SG&amp;A expenses.</w:t>
      </w:r>
    </w:p>
    <w:p>
      <w:pPr>
        <w:spacing w:after="0" w:line="62" w:lineRule="exact"/>
        <w:rPr>
          <w:rFonts w:ascii="Arial" w:cs="Arial" w:eastAsia="Arial" w:hAnsi="Arial"/>
          <w:sz w:val="11"/>
          <w:szCs w:val="11"/>
          <w:color w:val="auto"/>
        </w:rPr>
      </w:pPr>
    </w:p>
    <w:p>
      <w:pPr>
        <w:ind w:left="660" w:hanging="310"/>
        <w:spacing w:after="0"/>
        <w:tabs>
          <w:tab w:leader="none" w:pos="660" w:val="left"/>
        </w:tabs>
        <w:numPr>
          <w:ilvl w:val="1"/>
          <w:numId w:val="11"/>
        </w:numPr>
        <w:rPr>
          <w:rFonts w:ascii="Arial" w:cs="Arial" w:eastAsia="Arial" w:hAnsi="Arial"/>
          <w:sz w:val="11"/>
          <w:szCs w:val="11"/>
          <w:color w:val="auto"/>
        </w:rPr>
      </w:pPr>
      <w:r>
        <w:rPr>
          <w:rFonts w:ascii="Arial" w:cs="Arial" w:eastAsia="Arial" w:hAnsi="Arial"/>
          <w:sz w:val="11"/>
          <w:szCs w:val="11"/>
          <w:color w:val="auto"/>
        </w:rPr>
        <w:t>Manufacturing - payroll and fringe benefits expense (SG&amp;A) and other SG&amp;A expenses.</w:t>
      </w:r>
    </w:p>
    <w:p>
      <w:pPr>
        <w:spacing w:after="0" w:line="62" w:lineRule="exact"/>
        <w:rPr>
          <w:rFonts w:ascii="Arial" w:cs="Arial" w:eastAsia="Arial" w:hAnsi="Arial"/>
          <w:sz w:val="11"/>
          <w:szCs w:val="11"/>
          <w:color w:val="auto"/>
        </w:rPr>
      </w:pPr>
    </w:p>
    <w:p>
      <w:pPr>
        <w:ind w:left="660" w:hanging="310"/>
        <w:spacing w:after="0"/>
        <w:tabs>
          <w:tab w:leader="none" w:pos="660" w:val="left"/>
        </w:tabs>
        <w:numPr>
          <w:ilvl w:val="1"/>
          <w:numId w:val="11"/>
        </w:numPr>
        <w:rPr>
          <w:rFonts w:ascii="Arial" w:cs="Arial" w:eastAsia="Arial" w:hAnsi="Arial"/>
          <w:sz w:val="11"/>
          <w:szCs w:val="11"/>
          <w:color w:val="auto"/>
        </w:rPr>
      </w:pPr>
      <w:r>
        <w:rPr>
          <w:rFonts w:ascii="Arial" w:cs="Arial" w:eastAsia="Arial" w:hAnsi="Arial"/>
          <w:sz w:val="11"/>
          <w:szCs w:val="11"/>
          <w:color w:val="auto"/>
        </w:rPr>
        <w:t>Automotive - advertising and marketing expense and other G&amp;A expenses.</w:t>
      </w:r>
    </w:p>
    <w:p>
      <w:pPr>
        <w:spacing w:after="0" w:line="62" w:lineRule="exact"/>
        <w:rPr>
          <w:rFonts w:ascii="Arial" w:cs="Arial" w:eastAsia="Arial" w:hAnsi="Arial"/>
          <w:sz w:val="11"/>
          <w:szCs w:val="11"/>
          <w:color w:val="auto"/>
        </w:rPr>
      </w:pPr>
    </w:p>
    <w:p>
      <w:pPr>
        <w:ind w:left="360" w:right="400" w:hanging="334"/>
        <w:spacing w:after="0" w:line="259" w:lineRule="auto"/>
        <w:tabs>
          <w:tab w:leader="none" w:pos="360" w:val="left"/>
        </w:tabs>
        <w:numPr>
          <w:ilvl w:val="0"/>
          <w:numId w:val="11"/>
        </w:numPr>
        <w:rPr>
          <w:rFonts w:ascii="Arial" w:cs="Arial" w:eastAsia="Arial" w:hAnsi="Arial"/>
          <w:sz w:val="11"/>
          <w:szCs w:val="11"/>
          <w:color w:val="auto"/>
        </w:rPr>
      </w:pPr>
      <w:r>
        <w:rPr>
          <w:rFonts w:ascii="Arial" w:cs="Arial" w:eastAsia="Arial" w:hAnsi="Arial"/>
          <w:sz w:val="11"/>
          <w:szCs w:val="11"/>
          <w:color w:val="auto"/>
        </w:rPr>
        <w:t>Profit or loss from operating segments below the quantitative thresholds attributable to Other Businesses as described above. These operating segments did not meet any of the quantitative thresholds for determining reportable segments.</w:t>
      </w:r>
    </w:p>
    <w:p>
      <w:pPr>
        <w:spacing w:after="0" w:line="37" w:lineRule="exact"/>
        <w:rPr>
          <w:rFonts w:ascii="Arial" w:cs="Arial" w:eastAsia="Arial" w:hAnsi="Arial"/>
          <w:sz w:val="11"/>
          <w:szCs w:val="11"/>
          <w:color w:val="auto"/>
        </w:rPr>
      </w:pPr>
    </w:p>
    <w:p>
      <w:pPr>
        <w:ind w:left="360" w:right="160" w:hanging="334"/>
        <w:spacing w:after="0" w:line="259" w:lineRule="auto"/>
        <w:tabs>
          <w:tab w:leader="none" w:pos="360" w:val="left"/>
        </w:tabs>
        <w:numPr>
          <w:ilvl w:val="0"/>
          <w:numId w:val="11"/>
        </w:numPr>
        <w:rPr>
          <w:rFonts w:ascii="Arial" w:cs="Arial" w:eastAsia="Arial" w:hAnsi="Arial"/>
          <w:sz w:val="11"/>
          <w:szCs w:val="11"/>
          <w:color w:val="auto"/>
        </w:rPr>
      </w:pPr>
      <w:r>
        <w:rPr>
          <w:rFonts w:ascii="Arial" w:cs="Arial" w:eastAsia="Arial" w:hAnsi="Arial"/>
          <w:sz w:val="11"/>
          <w:szCs w:val="11"/>
          <w:color w:val="auto"/>
        </w:rPr>
        <w:t>Capital Expenditures from operating segments below the quantitative thresholds are attributable to Other Businesses and the Corporate Office, as described above. None of these operating segments meet the quantitative thresholds for determining reportable segments.</w:t>
      </w:r>
    </w:p>
    <w:p>
      <w:pPr>
        <w:sectPr>
          <w:pgSz w:w="11900" w:h="16838" w:orient="portrait"/>
          <w:cols w:equalWidth="0" w:num="1">
            <w:col w:w="11040"/>
          </w:cols>
          <w:pgMar w:left="320" w:top="931" w:right="5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931" w:right="5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color w:val="auto"/>
        </w:rPr>
        <w:t>The Company’s education division segment information is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3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4"/>
          </w:tcPr>
          <w:p>
            <w:pPr>
              <w:jc w:val="right"/>
              <w:ind w:right="57"/>
              <w:spacing w:after="0"/>
              <w:rPr>
                <w:sz w:val="20"/>
                <w:szCs w:val="20"/>
                <w:color w:val="auto"/>
              </w:rPr>
            </w:pPr>
            <w:r>
              <w:rPr>
                <w:rFonts w:ascii="Arial" w:cs="Arial" w:eastAsia="Arial" w:hAnsi="Arial"/>
                <w:sz w:val="13"/>
                <w:szCs w:val="13"/>
                <w:b w:val="1"/>
                <w:bCs w:val="1"/>
                <w:color w:val="auto"/>
              </w:rPr>
              <w:t>Three Months Ended September 30, 2025</w:t>
            </w: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ind w:right="377"/>
              <w:spacing w:after="0"/>
              <w:rPr>
                <w:sz w:val="20"/>
                <w:szCs w:val="20"/>
                <w:color w:val="auto"/>
              </w:rPr>
            </w:pPr>
            <w:r>
              <w:rPr>
                <w:rFonts w:ascii="Arial" w:cs="Arial" w:eastAsia="Arial" w:hAnsi="Arial"/>
                <w:sz w:val="13"/>
                <w:szCs w:val="13"/>
                <w:b w:val="1"/>
                <w:bCs w:val="1"/>
                <w:color w:val="auto"/>
              </w:rPr>
              <w:t>Kaplan</w:t>
            </w:r>
          </w:p>
        </w:tc>
        <w:tc>
          <w:tcPr>
            <w:tcW w:w="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jc w:val="right"/>
              <w:ind w:right="177"/>
              <w:spacing w:after="0"/>
              <w:rPr>
                <w:sz w:val="20"/>
                <w:szCs w:val="20"/>
                <w:color w:val="auto"/>
              </w:rPr>
            </w:pPr>
            <w:r>
              <w:rPr>
                <w:rFonts w:ascii="Arial" w:cs="Arial" w:eastAsia="Arial" w:hAnsi="Arial"/>
                <w:sz w:val="13"/>
                <w:szCs w:val="13"/>
                <w:b w:val="1"/>
                <w:bCs w:val="1"/>
                <w:color w:val="auto"/>
              </w:rPr>
              <w:t>Supplemental</w:t>
            </w:r>
          </w:p>
        </w:tc>
        <w:tc>
          <w:tcPr>
            <w:tcW w:w="180" w:type="dxa"/>
            <w:vAlign w:val="bottom"/>
          </w:tcPr>
          <w:p>
            <w:pPr>
              <w:spacing w:after="0"/>
              <w:rPr>
                <w:sz w:val="13"/>
                <w:szCs w:val="13"/>
                <w:color w:val="auto"/>
              </w:rPr>
            </w:pPr>
          </w:p>
        </w:tc>
        <w:tc>
          <w:tcPr>
            <w:tcW w:w="1180" w:type="dxa"/>
            <w:vAlign w:val="bottom"/>
          </w:tcPr>
          <w:p>
            <w:pPr>
              <w:jc w:val="right"/>
              <w:ind w:right="77"/>
              <w:spacing w:after="0"/>
              <w:rPr>
                <w:sz w:val="20"/>
                <w:szCs w:val="20"/>
                <w:color w:val="auto"/>
              </w:rPr>
            </w:pPr>
            <w:r>
              <w:rPr>
                <w:rFonts w:ascii="Arial" w:cs="Arial" w:eastAsia="Arial" w:hAnsi="Arial"/>
                <w:sz w:val="13"/>
                <w:szCs w:val="13"/>
                <w:b w:val="1"/>
                <w:bCs w:val="1"/>
                <w:color w:val="auto"/>
                <w:w w:val="93"/>
              </w:rPr>
              <w:t>Kaplan Corporate</w:t>
            </w:r>
          </w:p>
        </w:tc>
        <w:tc>
          <w:tcPr>
            <w:tcW w:w="220" w:type="dxa"/>
            <w:vAlign w:val="bottom"/>
          </w:tcPr>
          <w:p>
            <w:pPr>
              <w:spacing w:after="0"/>
              <w:rPr>
                <w:sz w:val="13"/>
                <w:szCs w:val="13"/>
                <w:color w:val="auto"/>
              </w:rPr>
            </w:pPr>
          </w:p>
        </w:tc>
        <w:tc>
          <w:tcPr>
            <w:tcW w:w="1140" w:type="dxa"/>
            <w:vAlign w:val="bottom"/>
          </w:tcPr>
          <w:p>
            <w:pPr>
              <w:jc w:val="right"/>
              <w:ind w:right="217"/>
              <w:spacing w:after="0"/>
              <w:rPr>
                <w:sz w:val="20"/>
                <w:szCs w:val="20"/>
                <w:color w:val="auto"/>
              </w:rPr>
            </w:pPr>
            <w:r>
              <w:rPr>
                <w:rFonts w:ascii="Arial" w:cs="Arial" w:eastAsia="Arial" w:hAnsi="Arial"/>
                <w:sz w:val="13"/>
                <w:szCs w:val="13"/>
                <w:b w:val="1"/>
                <w:bCs w:val="1"/>
                <w:color w:val="auto"/>
              </w:rPr>
              <w:t>Intersegment</w:t>
            </w: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3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thousands)</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International</w:t>
            </w:r>
          </w:p>
        </w:tc>
        <w:tc>
          <w:tcPr>
            <w:tcW w:w="1300" w:type="dxa"/>
            <w:vAlign w:val="bottom"/>
            <w:tcBorders>
              <w:bottom w:val="single" w:sz="8" w:color="auto"/>
            </w:tcBorders>
            <w:gridSpan w:val="2"/>
          </w:tcPr>
          <w:p>
            <w:pPr>
              <w:jc w:val="right"/>
              <w:ind w:right="37"/>
              <w:spacing w:after="0"/>
              <w:rPr>
                <w:sz w:val="20"/>
                <w:szCs w:val="20"/>
                <w:color w:val="auto"/>
              </w:rPr>
            </w:pPr>
            <w:r>
              <w:rPr>
                <w:rFonts w:ascii="Arial" w:cs="Arial" w:eastAsia="Arial" w:hAnsi="Arial"/>
                <w:sz w:val="13"/>
                <w:szCs w:val="13"/>
                <w:b w:val="1"/>
                <w:bCs w:val="1"/>
                <w:color w:val="auto"/>
              </w:rPr>
              <w:t>Higher Education</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Education</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and Other</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Elimination</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96"/>
              </w:rPr>
              <w:t>Total Education</w:t>
            </w:r>
          </w:p>
        </w:tc>
        <w:tc>
          <w:tcPr>
            <w:tcW w:w="0" w:type="dxa"/>
            <w:vAlign w:val="bottom"/>
          </w:tcPr>
          <w:p>
            <w:pPr>
              <w:spacing w:after="0"/>
              <w:rPr>
                <w:sz w:val="1"/>
                <w:szCs w:val="1"/>
                <w:color w:val="auto"/>
              </w:rPr>
            </w:pPr>
          </w:p>
        </w:tc>
      </w:tr>
      <w:tr>
        <w:trPr>
          <w:trHeight w:val="192"/>
        </w:trPr>
        <w:tc>
          <w:tcPr>
            <w:tcW w:w="3360" w:type="dxa"/>
            <w:vAlign w:val="bottom"/>
          </w:tcPr>
          <w:p>
            <w:pPr>
              <w:ind w:left="20"/>
              <w:spacing w:after="0"/>
              <w:rPr>
                <w:sz w:val="20"/>
                <w:szCs w:val="20"/>
                <w:color w:val="auto"/>
              </w:rPr>
            </w:pPr>
            <w:r>
              <w:rPr>
                <w:rFonts w:ascii="Arial" w:cs="Arial" w:eastAsia="Arial" w:hAnsi="Arial"/>
                <w:sz w:val="13"/>
                <w:szCs w:val="13"/>
                <w:b w:val="1"/>
                <w:bCs w:val="1"/>
                <w:color w:val="auto"/>
              </w:rPr>
              <w:t>Operating Revenues</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294,292</w:t>
            </w:r>
          </w:p>
        </w:tc>
        <w:tc>
          <w:tcPr>
            <w:tcW w:w="50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92,162</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17"/>
              <w:spacing w:after="0"/>
              <w:rPr>
                <w:sz w:val="20"/>
                <w:szCs w:val="20"/>
                <w:color w:val="auto"/>
              </w:rPr>
            </w:pPr>
            <w:r>
              <w:rPr>
                <w:rFonts w:ascii="Arial" w:cs="Arial" w:eastAsia="Arial" w:hAnsi="Arial"/>
                <w:sz w:val="13"/>
                <w:szCs w:val="13"/>
                <w:color w:val="auto"/>
              </w:rPr>
              <w:t>86,679</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280</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7"/>
              <w:spacing w:after="0"/>
              <w:rPr>
                <w:sz w:val="20"/>
                <w:szCs w:val="20"/>
                <w:color w:val="auto"/>
              </w:rPr>
            </w:pPr>
            <w:r>
              <w:rPr>
                <w:rFonts w:ascii="Arial" w:cs="Arial" w:eastAsia="Arial" w:hAnsi="Arial"/>
                <w:sz w:val="13"/>
                <w:szCs w:val="13"/>
                <w:color w:val="auto"/>
              </w:rPr>
              <w:t>(751)</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472,662</w:t>
            </w:r>
          </w:p>
        </w:tc>
        <w:tc>
          <w:tcPr>
            <w:tcW w:w="0" w:type="dxa"/>
            <w:vAlign w:val="bottom"/>
          </w:tcPr>
          <w:p>
            <w:pPr>
              <w:spacing w:after="0"/>
              <w:rPr>
                <w:sz w:val="1"/>
                <w:szCs w:val="1"/>
                <w:color w:val="auto"/>
              </w:rPr>
            </w:pPr>
          </w:p>
        </w:tc>
      </w:tr>
      <w:tr>
        <w:trPr>
          <w:trHeight w:val="331"/>
        </w:trPr>
        <w:tc>
          <w:tcPr>
            <w:tcW w:w="3360" w:type="dxa"/>
            <w:vAlign w:val="bottom"/>
          </w:tcPr>
          <w:p>
            <w:pPr>
              <w:ind w:left="20"/>
              <w:spacing w:after="0"/>
              <w:rPr>
                <w:sz w:val="20"/>
                <w:szCs w:val="20"/>
                <w:color w:val="auto"/>
              </w:rPr>
            </w:pPr>
            <w:r>
              <w:rPr>
                <w:rFonts w:ascii="Arial" w:cs="Arial" w:eastAsia="Arial" w:hAnsi="Arial"/>
                <w:sz w:val="13"/>
                <w:szCs w:val="13"/>
                <w:i w:val="1"/>
                <w:iCs w:val="1"/>
                <w:color w:val="auto"/>
              </w:rPr>
              <w:t xml:space="preserve">Less: Significant Expenses </w:t>
            </w:r>
            <w:r>
              <w:rPr>
                <w:rFonts w:ascii="Arial" w:cs="Arial" w:eastAsia="Arial" w:hAnsi="Arial"/>
                <w:sz w:val="16"/>
                <w:szCs w:val="16"/>
                <w:i w:val="1"/>
                <w:iCs w:val="1"/>
                <w:color w:val="auto"/>
                <w:vertAlign w:val="superscript"/>
              </w:rPr>
              <w:t>(1)</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360" w:type="dxa"/>
            <w:vAlign w:val="bottom"/>
          </w:tcPr>
          <w:p>
            <w:pPr>
              <w:ind w:left="140"/>
              <w:spacing w:after="0"/>
              <w:rPr>
                <w:sz w:val="20"/>
                <w:szCs w:val="20"/>
                <w:color w:val="auto"/>
              </w:rPr>
            </w:pPr>
            <w:r>
              <w:rPr>
                <w:rFonts w:ascii="Arial" w:cs="Arial" w:eastAsia="Arial" w:hAnsi="Arial"/>
                <w:sz w:val="13"/>
                <w:szCs w:val="13"/>
                <w:color w:val="auto"/>
              </w:rPr>
              <w:t xml:space="preserve">Cost of Revenue </w:t>
            </w:r>
            <w:r>
              <w:rPr>
                <w:rFonts w:ascii="Arial" w:cs="Arial" w:eastAsia="Arial" w:hAnsi="Arial"/>
                <w:sz w:val="16"/>
                <w:szCs w:val="16"/>
                <w:color w:val="auto"/>
                <w:vertAlign w:val="superscript"/>
              </w:rPr>
              <w:t>(2)</w:t>
            </w:r>
          </w:p>
        </w:tc>
        <w:tc>
          <w:tcPr>
            <w:tcW w:w="160" w:type="dxa"/>
            <w:vAlign w:val="bottom"/>
          </w:tcPr>
          <w:p>
            <w:pPr>
              <w:spacing w:after="0"/>
              <w:rPr>
                <w:sz w:val="17"/>
                <w:szCs w:val="17"/>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106,644</w:t>
            </w:r>
          </w:p>
        </w:tc>
        <w:tc>
          <w:tcPr>
            <w:tcW w:w="500" w:type="dxa"/>
            <w:vAlign w:val="bottom"/>
          </w:tcPr>
          <w:p>
            <w:pPr>
              <w:spacing w:after="0"/>
              <w:rPr>
                <w:sz w:val="17"/>
                <w:szCs w:val="17"/>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67,237</w:t>
            </w:r>
          </w:p>
        </w:tc>
        <w:tc>
          <w:tcPr>
            <w:tcW w:w="240" w:type="dxa"/>
            <w:vAlign w:val="bottom"/>
          </w:tcPr>
          <w:p>
            <w:pPr>
              <w:spacing w:after="0"/>
              <w:rPr>
                <w:sz w:val="17"/>
                <w:szCs w:val="17"/>
                <w:color w:val="auto"/>
              </w:rPr>
            </w:pPr>
          </w:p>
        </w:tc>
        <w:tc>
          <w:tcPr>
            <w:tcW w:w="1120" w:type="dxa"/>
            <w:vAlign w:val="bottom"/>
          </w:tcPr>
          <w:p>
            <w:pPr>
              <w:jc w:val="right"/>
              <w:ind w:right="17"/>
              <w:spacing w:after="0"/>
              <w:rPr>
                <w:sz w:val="20"/>
                <w:szCs w:val="20"/>
                <w:color w:val="auto"/>
              </w:rPr>
            </w:pPr>
            <w:r>
              <w:rPr>
                <w:rFonts w:ascii="Arial" w:cs="Arial" w:eastAsia="Arial" w:hAnsi="Arial"/>
                <w:sz w:val="13"/>
                <w:szCs w:val="13"/>
                <w:color w:val="auto"/>
              </w:rPr>
              <w:t>14,293</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17"/>
              <w:spacing w:after="0"/>
              <w:rPr>
                <w:sz w:val="20"/>
                <w:szCs w:val="20"/>
                <w:color w:val="auto"/>
              </w:rPr>
            </w:pPr>
            <w:r>
              <w:rPr>
                <w:rFonts w:ascii="Arial" w:cs="Arial" w:eastAsia="Arial" w:hAnsi="Arial"/>
                <w:sz w:val="13"/>
                <w:szCs w:val="13"/>
                <w:color w:val="auto"/>
              </w:rPr>
              <w:t>(689)</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187,485</w:t>
            </w:r>
          </w:p>
        </w:tc>
        <w:tc>
          <w:tcPr>
            <w:tcW w:w="0" w:type="dxa"/>
            <w:vAlign w:val="bottom"/>
          </w:tcPr>
          <w:p>
            <w:pPr>
              <w:spacing w:after="0"/>
              <w:rPr>
                <w:sz w:val="1"/>
                <w:szCs w:val="1"/>
                <w:color w:val="auto"/>
              </w:rPr>
            </w:pPr>
          </w:p>
        </w:tc>
      </w:tr>
      <w:tr>
        <w:trPr>
          <w:trHeight w:val="213"/>
        </w:trPr>
        <w:tc>
          <w:tcPr>
            <w:tcW w:w="3360" w:type="dxa"/>
            <w:vAlign w:val="bottom"/>
          </w:tcPr>
          <w:p>
            <w:pPr>
              <w:ind w:left="140"/>
              <w:spacing w:after="0"/>
              <w:rPr>
                <w:sz w:val="20"/>
                <w:szCs w:val="20"/>
                <w:color w:val="auto"/>
              </w:rPr>
            </w:pPr>
            <w:r>
              <w:rPr>
                <w:rFonts w:ascii="Arial" w:cs="Arial" w:eastAsia="Arial" w:hAnsi="Arial"/>
                <w:sz w:val="13"/>
                <w:szCs w:val="13"/>
                <w:color w:val="auto"/>
              </w:rPr>
              <w:t xml:space="preserve">Payroll and Fringe Benefits Expense </w:t>
            </w:r>
            <w:r>
              <w:rPr>
                <w:rFonts w:ascii="Arial" w:cs="Arial" w:eastAsia="Arial" w:hAnsi="Arial"/>
                <w:sz w:val="16"/>
                <w:szCs w:val="16"/>
                <w:color w:val="auto"/>
                <w:vertAlign w:val="superscript"/>
              </w:rPr>
              <w:t>(3)</w:t>
            </w:r>
          </w:p>
        </w:tc>
        <w:tc>
          <w:tcPr>
            <w:tcW w:w="160" w:type="dxa"/>
            <w:vAlign w:val="bottom"/>
          </w:tcPr>
          <w:p>
            <w:pPr>
              <w:spacing w:after="0"/>
              <w:rPr>
                <w:sz w:val="18"/>
                <w:szCs w:val="18"/>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74,935</w:t>
            </w:r>
          </w:p>
        </w:tc>
        <w:tc>
          <w:tcPr>
            <w:tcW w:w="500" w:type="dxa"/>
            <w:vAlign w:val="bottom"/>
          </w:tcPr>
          <w:p>
            <w:pPr>
              <w:spacing w:after="0"/>
              <w:rPr>
                <w:sz w:val="18"/>
                <w:szCs w:val="18"/>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5,881</w:t>
            </w:r>
          </w:p>
        </w:tc>
        <w:tc>
          <w:tcPr>
            <w:tcW w:w="240" w:type="dxa"/>
            <w:vAlign w:val="bottom"/>
          </w:tcPr>
          <w:p>
            <w:pPr>
              <w:spacing w:after="0"/>
              <w:rPr>
                <w:sz w:val="18"/>
                <w:szCs w:val="18"/>
                <w:color w:val="auto"/>
              </w:rPr>
            </w:pPr>
          </w:p>
        </w:tc>
        <w:tc>
          <w:tcPr>
            <w:tcW w:w="1120" w:type="dxa"/>
            <w:vAlign w:val="bottom"/>
          </w:tcPr>
          <w:p>
            <w:pPr>
              <w:jc w:val="right"/>
              <w:ind w:right="17"/>
              <w:spacing w:after="0"/>
              <w:rPr>
                <w:sz w:val="20"/>
                <w:szCs w:val="20"/>
                <w:color w:val="auto"/>
              </w:rPr>
            </w:pPr>
            <w:r>
              <w:rPr>
                <w:rFonts w:ascii="Arial" w:cs="Arial" w:eastAsia="Arial" w:hAnsi="Arial"/>
                <w:sz w:val="13"/>
                <w:szCs w:val="13"/>
                <w:color w:val="auto"/>
              </w:rPr>
              <w:t>34,892</w:t>
            </w:r>
          </w:p>
        </w:tc>
        <w:tc>
          <w:tcPr>
            <w:tcW w:w="180" w:type="dxa"/>
            <w:vAlign w:val="bottom"/>
          </w:tcPr>
          <w:p>
            <w:pPr>
              <w:spacing w:after="0"/>
              <w:rPr>
                <w:sz w:val="18"/>
                <w:szCs w:val="18"/>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6,390</w:t>
            </w:r>
          </w:p>
        </w:tc>
        <w:tc>
          <w:tcPr>
            <w:tcW w:w="220" w:type="dxa"/>
            <w:vAlign w:val="bottom"/>
          </w:tcPr>
          <w:p>
            <w:pPr>
              <w:spacing w:after="0"/>
              <w:rPr>
                <w:sz w:val="18"/>
                <w:szCs w:val="18"/>
                <w:color w:val="auto"/>
              </w:rPr>
            </w:pPr>
          </w:p>
        </w:tc>
        <w:tc>
          <w:tcPr>
            <w:tcW w:w="1140" w:type="dxa"/>
            <w:vAlign w:val="bottom"/>
          </w:tcPr>
          <w:p>
            <w:pPr>
              <w:jc w:val="right"/>
              <w:ind w:right="17"/>
              <w:spacing w:after="0"/>
              <w:rPr>
                <w:sz w:val="20"/>
                <w:szCs w:val="20"/>
                <w:color w:val="auto"/>
              </w:rPr>
            </w:pPr>
            <w:r>
              <w:rPr>
                <w:rFonts w:ascii="Arial" w:cs="Arial" w:eastAsia="Arial" w:hAnsi="Arial"/>
                <w:sz w:val="13"/>
                <w:szCs w:val="13"/>
                <w:color w:val="auto"/>
              </w:rPr>
              <w:t>(42)</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122,056</w:t>
            </w:r>
          </w:p>
        </w:tc>
        <w:tc>
          <w:tcPr>
            <w:tcW w:w="0" w:type="dxa"/>
            <w:vAlign w:val="bottom"/>
          </w:tcPr>
          <w:p>
            <w:pPr>
              <w:spacing w:after="0"/>
              <w:rPr>
                <w:sz w:val="1"/>
                <w:szCs w:val="1"/>
                <w:color w:val="auto"/>
              </w:rPr>
            </w:pPr>
          </w:p>
        </w:tc>
      </w:tr>
      <w:tr>
        <w:trPr>
          <w:trHeight w:val="166"/>
        </w:trPr>
        <w:tc>
          <w:tcPr>
            <w:tcW w:w="3360" w:type="dxa"/>
            <w:vAlign w:val="bottom"/>
          </w:tcPr>
          <w:p>
            <w:pPr>
              <w:ind w:left="140"/>
              <w:spacing w:after="0"/>
              <w:rPr>
                <w:sz w:val="20"/>
                <w:szCs w:val="20"/>
                <w:color w:val="auto"/>
              </w:rPr>
            </w:pPr>
            <w:r>
              <w:rPr>
                <w:rFonts w:ascii="Arial" w:cs="Arial" w:eastAsia="Arial" w:hAnsi="Arial"/>
                <w:sz w:val="13"/>
                <w:szCs w:val="13"/>
                <w:color w:val="auto"/>
              </w:rPr>
              <w:t>Occupancy Expense</w:t>
            </w:r>
          </w:p>
        </w:tc>
        <w:tc>
          <w:tcPr>
            <w:tcW w:w="160" w:type="dxa"/>
            <w:vAlign w:val="bottom"/>
          </w:tcPr>
          <w:p>
            <w:pPr>
              <w:spacing w:after="0"/>
              <w:rPr>
                <w:sz w:val="14"/>
                <w:szCs w:val="14"/>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25,772</w:t>
            </w:r>
          </w:p>
        </w:tc>
        <w:tc>
          <w:tcPr>
            <w:tcW w:w="50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183</w:t>
            </w:r>
          </w:p>
        </w:tc>
        <w:tc>
          <w:tcPr>
            <w:tcW w:w="240" w:type="dxa"/>
            <w:vAlign w:val="bottom"/>
          </w:tcPr>
          <w:p>
            <w:pPr>
              <w:spacing w:after="0"/>
              <w:rPr>
                <w:sz w:val="14"/>
                <w:szCs w:val="14"/>
                <w:color w:val="auto"/>
              </w:rPr>
            </w:pPr>
          </w:p>
        </w:tc>
        <w:tc>
          <w:tcPr>
            <w:tcW w:w="1120" w:type="dxa"/>
            <w:vAlign w:val="bottom"/>
          </w:tcPr>
          <w:p>
            <w:pPr>
              <w:jc w:val="right"/>
              <w:ind w:right="17"/>
              <w:spacing w:after="0"/>
              <w:rPr>
                <w:sz w:val="20"/>
                <w:szCs w:val="20"/>
                <w:color w:val="auto"/>
              </w:rPr>
            </w:pPr>
            <w:r>
              <w:rPr>
                <w:rFonts w:ascii="Arial" w:cs="Arial" w:eastAsia="Arial" w:hAnsi="Arial"/>
                <w:sz w:val="13"/>
                <w:szCs w:val="13"/>
                <w:color w:val="auto"/>
              </w:rPr>
              <w:t>213</w:t>
            </w:r>
          </w:p>
        </w:tc>
        <w:tc>
          <w:tcPr>
            <w:tcW w:w="180" w:type="dxa"/>
            <w:vAlign w:val="bottom"/>
          </w:tcPr>
          <w:p>
            <w:pPr>
              <w:spacing w:after="0"/>
              <w:rPr>
                <w:sz w:val="14"/>
                <w:szCs w:val="14"/>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328</w:t>
            </w:r>
          </w:p>
        </w:tc>
        <w:tc>
          <w:tcPr>
            <w:tcW w:w="220" w:type="dxa"/>
            <w:vAlign w:val="bottom"/>
          </w:tcPr>
          <w:p>
            <w:pPr>
              <w:spacing w:after="0"/>
              <w:rPr>
                <w:sz w:val="14"/>
                <w:szCs w:val="14"/>
                <w:color w:val="auto"/>
              </w:rPr>
            </w:pPr>
          </w:p>
        </w:tc>
        <w:tc>
          <w:tcPr>
            <w:tcW w:w="1140" w:type="dxa"/>
            <w:vAlign w:val="bottom"/>
          </w:tcPr>
          <w:p>
            <w:pPr>
              <w:jc w:val="right"/>
              <w:ind w:right="17"/>
              <w:spacing w:after="0"/>
              <w:rPr>
                <w:sz w:val="20"/>
                <w:szCs w:val="20"/>
                <w:color w:val="auto"/>
              </w:rPr>
            </w:pPr>
            <w:r>
              <w:rPr>
                <w:rFonts w:ascii="Arial" w:cs="Arial" w:eastAsia="Arial" w:hAnsi="Arial"/>
                <w:sz w:val="13"/>
                <w:szCs w:val="13"/>
                <w:color w:val="auto"/>
              </w:rPr>
              <w:t>(10)</w:t>
            </w: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26,486</w:t>
            </w:r>
          </w:p>
        </w:tc>
        <w:tc>
          <w:tcPr>
            <w:tcW w:w="0" w:type="dxa"/>
            <w:vAlign w:val="bottom"/>
          </w:tcPr>
          <w:p>
            <w:pPr>
              <w:spacing w:after="0"/>
              <w:rPr>
                <w:sz w:val="1"/>
                <w:szCs w:val="1"/>
                <w:color w:val="auto"/>
              </w:rPr>
            </w:pPr>
          </w:p>
        </w:tc>
      </w:tr>
      <w:tr>
        <w:trPr>
          <w:trHeight w:val="203"/>
        </w:trPr>
        <w:tc>
          <w:tcPr>
            <w:tcW w:w="3360" w:type="dxa"/>
            <w:vAlign w:val="bottom"/>
          </w:tcPr>
          <w:p>
            <w:pPr>
              <w:ind w:left="140"/>
              <w:spacing w:after="0"/>
              <w:rPr>
                <w:sz w:val="20"/>
                <w:szCs w:val="20"/>
                <w:color w:val="auto"/>
              </w:rPr>
            </w:pPr>
            <w:r>
              <w:rPr>
                <w:rFonts w:ascii="Arial" w:cs="Arial" w:eastAsia="Arial" w:hAnsi="Arial"/>
                <w:sz w:val="13"/>
                <w:szCs w:val="13"/>
                <w:color w:val="auto"/>
              </w:rPr>
              <w:t>Advertising and Marketing Expense</w:t>
            </w:r>
          </w:p>
        </w:tc>
        <w:tc>
          <w:tcPr>
            <w:tcW w:w="160" w:type="dxa"/>
            <w:vAlign w:val="bottom"/>
          </w:tcPr>
          <w:p>
            <w:pPr>
              <w:spacing w:after="0"/>
              <w:rPr>
                <w:sz w:val="17"/>
                <w:szCs w:val="17"/>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7,933</w:t>
            </w:r>
          </w:p>
        </w:tc>
        <w:tc>
          <w:tcPr>
            <w:tcW w:w="500" w:type="dxa"/>
            <w:vAlign w:val="bottom"/>
          </w:tcPr>
          <w:p>
            <w:pPr>
              <w:spacing w:after="0"/>
              <w:rPr>
                <w:sz w:val="17"/>
                <w:szCs w:val="17"/>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1,733</w:t>
            </w:r>
          </w:p>
        </w:tc>
        <w:tc>
          <w:tcPr>
            <w:tcW w:w="240" w:type="dxa"/>
            <w:vAlign w:val="bottom"/>
          </w:tcPr>
          <w:p>
            <w:pPr>
              <w:spacing w:after="0"/>
              <w:rPr>
                <w:sz w:val="17"/>
                <w:szCs w:val="17"/>
                <w:color w:val="auto"/>
              </w:rPr>
            </w:pPr>
          </w:p>
        </w:tc>
        <w:tc>
          <w:tcPr>
            <w:tcW w:w="1120" w:type="dxa"/>
            <w:vAlign w:val="bottom"/>
          </w:tcPr>
          <w:p>
            <w:pPr>
              <w:jc w:val="right"/>
              <w:ind w:right="17"/>
              <w:spacing w:after="0"/>
              <w:rPr>
                <w:sz w:val="20"/>
                <w:szCs w:val="20"/>
                <w:color w:val="auto"/>
              </w:rPr>
            </w:pPr>
            <w:r>
              <w:rPr>
                <w:rFonts w:ascii="Arial" w:cs="Arial" w:eastAsia="Arial" w:hAnsi="Arial"/>
                <w:sz w:val="13"/>
                <w:szCs w:val="13"/>
                <w:color w:val="auto"/>
              </w:rPr>
              <w:t>8,729</w:t>
            </w:r>
          </w:p>
        </w:tc>
        <w:tc>
          <w:tcPr>
            <w:tcW w:w="180" w:type="dxa"/>
            <w:vAlign w:val="bottom"/>
          </w:tcPr>
          <w:p>
            <w:pPr>
              <w:spacing w:after="0"/>
              <w:rPr>
                <w:sz w:val="17"/>
                <w:szCs w:val="17"/>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70</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18,465</w:t>
            </w:r>
          </w:p>
        </w:tc>
        <w:tc>
          <w:tcPr>
            <w:tcW w:w="0" w:type="dxa"/>
            <w:vAlign w:val="bottom"/>
          </w:tcPr>
          <w:p>
            <w:pPr>
              <w:spacing w:after="0"/>
              <w:rPr>
                <w:sz w:val="1"/>
                <w:szCs w:val="1"/>
                <w:color w:val="auto"/>
              </w:rPr>
            </w:pPr>
          </w:p>
        </w:tc>
      </w:tr>
      <w:tr>
        <w:trPr>
          <w:trHeight w:val="217"/>
        </w:trPr>
        <w:tc>
          <w:tcPr>
            <w:tcW w:w="3360" w:type="dxa"/>
            <w:vAlign w:val="bottom"/>
          </w:tcPr>
          <w:p>
            <w:pPr>
              <w:ind w:left="140"/>
              <w:spacing w:after="0"/>
              <w:rPr>
                <w:sz w:val="20"/>
                <w:szCs w:val="20"/>
                <w:color w:val="auto"/>
              </w:rPr>
            </w:pPr>
            <w:r>
              <w:rPr>
                <w:rFonts w:ascii="Arial" w:cs="Arial" w:eastAsia="Arial" w:hAnsi="Arial"/>
                <w:sz w:val="13"/>
                <w:szCs w:val="13"/>
                <w:color w:val="auto"/>
              </w:rPr>
              <w:t xml:space="preserve">Other Segment Items </w:t>
            </w:r>
            <w:r>
              <w:rPr>
                <w:rFonts w:ascii="Arial" w:cs="Arial" w:eastAsia="Arial" w:hAnsi="Arial"/>
                <w:sz w:val="16"/>
                <w:szCs w:val="16"/>
                <w:color w:val="auto"/>
                <w:vertAlign w:val="superscript"/>
              </w:rPr>
              <w:t>(4)</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43,901</w:t>
            </w:r>
          </w:p>
        </w:tc>
        <w:tc>
          <w:tcPr>
            <w:tcW w:w="5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282</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10,952</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1,224</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(48)</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56,311</w:t>
            </w:r>
          </w:p>
        </w:tc>
        <w:tc>
          <w:tcPr>
            <w:tcW w:w="0" w:type="dxa"/>
            <w:vAlign w:val="bottom"/>
          </w:tcPr>
          <w:p>
            <w:pPr>
              <w:spacing w:after="0"/>
              <w:rPr>
                <w:sz w:val="1"/>
                <w:szCs w:val="1"/>
                <w:color w:val="auto"/>
              </w:rPr>
            </w:pPr>
          </w:p>
        </w:tc>
      </w:tr>
      <w:tr>
        <w:trPr>
          <w:trHeight w:val="192"/>
        </w:trPr>
        <w:tc>
          <w:tcPr>
            <w:tcW w:w="3360" w:type="dxa"/>
            <w:vAlign w:val="bottom"/>
          </w:tcPr>
          <w:p>
            <w:pPr>
              <w:ind w:left="20"/>
              <w:spacing w:after="0"/>
              <w:rPr>
                <w:sz w:val="20"/>
                <w:szCs w:val="20"/>
                <w:color w:val="auto"/>
              </w:rPr>
            </w:pPr>
            <w:r>
              <w:rPr>
                <w:rFonts w:ascii="Arial" w:cs="Arial" w:eastAsia="Arial" w:hAnsi="Arial"/>
                <w:sz w:val="13"/>
                <w:szCs w:val="13"/>
                <w:b w:val="1"/>
                <w:bCs w:val="1"/>
                <w:color w:val="auto"/>
              </w:rPr>
              <w:t>EBITDAP</w:t>
            </w: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35,107</w:t>
            </w:r>
          </w:p>
        </w:tc>
        <w:tc>
          <w:tcPr>
            <w:tcW w:w="50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16,846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17,600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(7,732)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61,859</w:t>
            </w:r>
          </w:p>
        </w:tc>
        <w:tc>
          <w:tcPr>
            <w:tcW w:w="0" w:type="dxa"/>
            <w:vAlign w:val="bottom"/>
          </w:tcPr>
          <w:p>
            <w:pPr>
              <w:spacing w:after="0"/>
              <w:rPr>
                <w:sz w:val="1"/>
                <w:szCs w:val="1"/>
                <w:color w:val="auto"/>
              </w:rPr>
            </w:pPr>
          </w:p>
        </w:tc>
      </w:tr>
      <w:tr>
        <w:trPr>
          <w:trHeight w:val="321"/>
        </w:trPr>
        <w:tc>
          <w:tcPr>
            <w:tcW w:w="3360" w:type="dxa"/>
            <w:vAlign w:val="bottom"/>
          </w:tcPr>
          <w:p>
            <w:pPr>
              <w:ind w:left="20"/>
              <w:spacing w:after="0"/>
              <w:rPr>
                <w:sz w:val="20"/>
                <w:szCs w:val="20"/>
                <w:color w:val="auto"/>
              </w:rPr>
            </w:pPr>
            <w:r>
              <w:rPr>
                <w:rFonts w:ascii="Arial" w:cs="Arial" w:eastAsia="Arial" w:hAnsi="Arial"/>
                <w:sz w:val="13"/>
                <w:szCs w:val="13"/>
                <w:color w:val="auto"/>
              </w:rPr>
              <w:t>Pension Service Cost</w:t>
            </w:r>
          </w:p>
        </w:tc>
        <w:tc>
          <w:tcPr>
            <w:tcW w:w="160" w:type="dxa"/>
            <w:vAlign w:val="bottom"/>
          </w:tcPr>
          <w:p>
            <w:pPr>
              <w:spacing w:after="0"/>
              <w:rPr>
                <w:sz w:val="24"/>
                <w:szCs w:val="24"/>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142</w:t>
            </w:r>
          </w:p>
        </w:tc>
        <w:tc>
          <w:tcPr>
            <w:tcW w:w="500" w:type="dxa"/>
            <w:vAlign w:val="bottom"/>
          </w:tcPr>
          <w:p>
            <w:pPr>
              <w:spacing w:after="0"/>
              <w:rPr>
                <w:sz w:val="24"/>
                <w:szCs w:val="24"/>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1,849</w:t>
            </w:r>
          </w:p>
        </w:tc>
        <w:tc>
          <w:tcPr>
            <w:tcW w:w="240" w:type="dxa"/>
            <w:vAlign w:val="bottom"/>
          </w:tcPr>
          <w:p>
            <w:pPr>
              <w:spacing w:after="0"/>
              <w:rPr>
                <w:sz w:val="24"/>
                <w:szCs w:val="24"/>
                <w:color w:val="auto"/>
              </w:rPr>
            </w:pPr>
          </w:p>
        </w:tc>
        <w:tc>
          <w:tcPr>
            <w:tcW w:w="1120" w:type="dxa"/>
            <w:vAlign w:val="bottom"/>
          </w:tcPr>
          <w:p>
            <w:pPr>
              <w:jc w:val="right"/>
              <w:ind w:right="17"/>
              <w:spacing w:after="0"/>
              <w:rPr>
                <w:sz w:val="20"/>
                <w:szCs w:val="20"/>
                <w:color w:val="auto"/>
              </w:rPr>
            </w:pPr>
            <w:r>
              <w:rPr>
                <w:rFonts w:ascii="Arial" w:cs="Arial" w:eastAsia="Arial" w:hAnsi="Arial"/>
                <w:sz w:val="13"/>
                <w:szCs w:val="13"/>
                <w:color w:val="auto"/>
              </w:rPr>
              <w:t>1,929</w:t>
            </w:r>
          </w:p>
        </w:tc>
        <w:tc>
          <w:tcPr>
            <w:tcW w:w="180" w:type="dxa"/>
            <w:vAlign w:val="bottom"/>
          </w:tcPr>
          <w:p>
            <w:pPr>
              <w:spacing w:after="0"/>
              <w:rPr>
                <w:sz w:val="24"/>
                <w:szCs w:val="24"/>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398</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4,318</w:t>
            </w:r>
          </w:p>
        </w:tc>
        <w:tc>
          <w:tcPr>
            <w:tcW w:w="0" w:type="dxa"/>
            <w:vAlign w:val="bottom"/>
          </w:tcPr>
          <w:p>
            <w:pPr>
              <w:spacing w:after="0"/>
              <w:rPr>
                <w:sz w:val="1"/>
                <w:szCs w:val="1"/>
                <w:color w:val="auto"/>
              </w:rPr>
            </w:pPr>
          </w:p>
        </w:tc>
      </w:tr>
      <w:tr>
        <w:trPr>
          <w:trHeight w:val="203"/>
        </w:trPr>
        <w:tc>
          <w:tcPr>
            <w:tcW w:w="3360" w:type="dxa"/>
            <w:vAlign w:val="bottom"/>
          </w:tcPr>
          <w:p>
            <w:pPr>
              <w:ind w:left="20"/>
              <w:spacing w:after="0"/>
              <w:rPr>
                <w:sz w:val="20"/>
                <w:szCs w:val="20"/>
                <w:color w:val="auto"/>
              </w:rPr>
            </w:pPr>
            <w:r>
              <w:rPr>
                <w:rFonts w:ascii="Arial" w:cs="Arial" w:eastAsia="Arial" w:hAnsi="Arial"/>
                <w:sz w:val="13"/>
                <w:szCs w:val="13"/>
                <w:color w:val="auto"/>
              </w:rPr>
              <w:t>Depreciation Expense</w:t>
            </w:r>
          </w:p>
        </w:tc>
        <w:tc>
          <w:tcPr>
            <w:tcW w:w="160" w:type="dxa"/>
            <w:vAlign w:val="bottom"/>
          </w:tcPr>
          <w:p>
            <w:pPr>
              <w:spacing w:after="0"/>
              <w:rPr>
                <w:sz w:val="17"/>
                <w:szCs w:val="17"/>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6,072</w:t>
            </w:r>
          </w:p>
        </w:tc>
        <w:tc>
          <w:tcPr>
            <w:tcW w:w="500" w:type="dxa"/>
            <w:vAlign w:val="bottom"/>
          </w:tcPr>
          <w:p>
            <w:pPr>
              <w:spacing w:after="0"/>
              <w:rPr>
                <w:sz w:val="17"/>
                <w:szCs w:val="17"/>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314</w:t>
            </w:r>
          </w:p>
        </w:tc>
        <w:tc>
          <w:tcPr>
            <w:tcW w:w="240" w:type="dxa"/>
            <w:vAlign w:val="bottom"/>
          </w:tcPr>
          <w:p>
            <w:pPr>
              <w:spacing w:after="0"/>
              <w:rPr>
                <w:sz w:val="17"/>
                <w:szCs w:val="17"/>
                <w:color w:val="auto"/>
              </w:rPr>
            </w:pPr>
          </w:p>
        </w:tc>
        <w:tc>
          <w:tcPr>
            <w:tcW w:w="1120" w:type="dxa"/>
            <w:vAlign w:val="bottom"/>
          </w:tcPr>
          <w:p>
            <w:pPr>
              <w:jc w:val="right"/>
              <w:ind w:right="17"/>
              <w:spacing w:after="0"/>
              <w:rPr>
                <w:sz w:val="20"/>
                <w:szCs w:val="20"/>
                <w:color w:val="auto"/>
              </w:rPr>
            </w:pPr>
            <w:r>
              <w:rPr>
                <w:rFonts w:ascii="Arial" w:cs="Arial" w:eastAsia="Arial" w:hAnsi="Arial"/>
                <w:sz w:val="13"/>
                <w:szCs w:val="13"/>
                <w:color w:val="auto"/>
              </w:rPr>
              <w:t>692</w:t>
            </w:r>
          </w:p>
        </w:tc>
        <w:tc>
          <w:tcPr>
            <w:tcW w:w="180" w:type="dxa"/>
            <w:vAlign w:val="bottom"/>
          </w:tcPr>
          <w:p>
            <w:pPr>
              <w:spacing w:after="0"/>
              <w:rPr>
                <w:sz w:val="17"/>
                <w:szCs w:val="17"/>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7</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7,085</w:t>
            </w:r>
          </w:p>
        </w:tc>
        <w:tc>
          <w:tcPr>
            <w:tcW w:w="0" w:type="dxa"/>
            <w:vAlign w:val="bottom"/>
          </w:tcPr>
          <w:p>
            <w:pPr>
              <w:spacing w:after="0"/>
              <w:rPr>
                <w:sz w:val="1"/>
                <w:szCs w:val="1"/>
                <w:color w:val="auto"/>
              </w:rPr>
            </w:pPr>
          </w:p>
        </w:tc>
      </w:tr>
      <w:tr>
        <w:trPr>
          <w:trHeight w:val="162"/>
        </w:trPr>
        <w:tc>
          <w:tcPr>
            <w:tcW w:w="3360" w:type="dxa"/>
            <w:vAlign w:val="bottom"/>
            <w:vMerge w:val="restart"/>
          </w:tcPr>
          <w:p>
            <w:pPr>
              <w:ind w:left="20"/>
              <w:spacing w:after="0"/>
              <w:rPr>
                <w:sz w:val="20"/>
                <w:szCs w:val="20"/>
                <w:color w:val="auto"/>
              </w:rPr>
            </w:pPr>
            <w:r>
              <w:rPr>
                <w:rFonts w:ascii="Arial" w:cs="Arial" w:eastAsia="Arial" w:hAnsi="Arial"/>
                <w:sz w:val="13"/>
                <w:szCs w:val="13"/>
                <w:b w:val="1"/>
                <w:bCs w:val="1"/>
                <w:color w:val="auto"/>
                <w:w w:val="99"/>
              </w:rPr>
              <w:t>Income (Loss) from Operations before Amortization of</w:t>
            </w: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33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3360" w:type="dxa"/>
            <w:vAlign w:val="bottom"/>
          </w:tcPr>
          <w:p>
            <w:pPr>
              <w:ind w:left="100"/>
              <w:spacing w:after="0"/>
              <w:rPr>
                <w:sz w:val="20"/>
                <w:szCs w:val="20"/>
                <w:color w:val="auto"/>
              </w:rPr>
            </w:pPr>
            <w:r>
              <w:rPr>
                <w:rFonts w:ascii="Arial" w:cs="Arial" w:eastAsia="Arial" w:hAnsi="Arial"/>
                <w:sz w:val="13"/>
                <w:szCs w:val="13"/>
                <w:b w:val="1"/>
                <w:bCs w:val="1"/>
                <w:color w:val="auto"/>
              </w:rPr>
              <w:t>Intangible Assets</w:t>
            </w: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28,893</w:t>
            </w:r>
          </w:p>
        </w:tc>
        <w:tc>
          <w:tcPr>
            <w:tcW w:w="50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14,683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14,979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(8,137)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50,456</w:t>
            </w:r>
          </w:p>
        </w:tc>
        <w:tc>
          <w:tcPr>
            <w:tcW w:w="0" w:type="dxa"/>
            <w:vAlign w:val="bottom"/>
          </w:tcPr>
          <w:p>
            <w:pPr>
              <w:spacing w:after="0"/>
              <w:rPr>
                <w:sz w:val="1"/>
                <w:szCs w:val="1"/>
                <w:color w:val="auto"/>
              </w:rPr>
            </w:pPr>
          </w:p>
        </w:tc>
      </w:tr>
      <w:tr>
        <w:trPr>
          <w:trHeight w:val="329"/>
        </w:trPr>
        <w:tc>
          <w:tcPr>
            <w:tcW w:w="3360" w:type="dxa"/>
            <w:vAlign w:val="bottom"/>
          </w:tcPr>
          <w:p>
            <w:pPr>
              <w:ind w:left="20"/>
              <w:spacing w:after="0"/>
              <w:rPr>
                <w:sz w:val="20"/>
                <w:szCs w:val="20"/>
                <w:color w:val="auto"/>
              </w:rPr>
            </w:pPr>
            <w:r>
              <w:rPr>
                <w:rFonts w:ascii="Arial" w:cs="Arial" w:eastAsia="Arial" w:hAnsi="Arial"/>
                <w:sz w:val="13"/>
                <w:szCs w:val="13"/>
                <w:b w:val="1"/>
                <w:bCs w:val="1"/>
                <w:color w:val="auto"/>
              </w:rPr>
              <w:t>Capital Expenditures</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2,470</w:t>
            </w:r>
          </w:p>
        </w:tc>
        <w:tc>
          <w:tcPr>
            <w:tcW w:w="50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163</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17"/>
              <w:spacing w:after="0"/>
              <w:rPr>
                <w:sz w:val="20"/>
                <w:szCs w:val="20"/>
                <w:color w:val="auto"/>
              </w:rPr>
            </w:pPr>
            <w:r>
              <w:rPr>
                <w:rFonts w:ascii="Arial" w:cs="Arial" w:eastAsia="Arial" w:hAnsi="Arial"/>
                <w:sz w:val="13"/>
                <w:szCs w:val="13"/>
                <w:color w:val="auto"/>
              </w:rPr>
              <w:t>975</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16</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3,624</w:t>
            </w:r>
          </w:p>
        </w:tc>
        <w:tc>
          <w:tcPr>
            <w:tcW w:w="0" w:type="dxa"/>
            <w:vAlign w:val="bottom"/>
          </w:tcPr>
          <w:p>
            <w:pPr>
              <w:spacing w:after="0"/>
              <w:rPr>
                <w:sz w:val="1"/>
                <w:szCs w:val="1"/>
                <w:color w:val="auto"/>
              </w:rPr>
            </w:pPr>
          </w:p>
        </w:tc>
      </w:tr>
    </w:tbl>
    <w:p>
      <w:pPr>
        <w:spacing w:after="0" w:line="301" w:lineRule="exact"/>
        <w:rPr>
          <w:sz w:val="20"/>
          <w:szCs w:val="20"/>
          <w:color w:val="auto"/>
        </w:rPr>
      </w:pPr>
    </w:p>
    <w:p>
      <w:pPr>
        <w:ind w:left="360" w:hanging="334"/>
        <w:spacing w:after="0"/>
        <w:tabs>
          <w:tab w:leader="none" w:pos="36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significant expense categories and amounts align with the segment-level information that is regularly provided to the CODM.</w:t>
      </w:r>
    </w:p>
    <w:p>
      <w:pPr>
        <w:spacing w:after="0" w:line="53" w:lineRule="exact"/>
        <w:rPr>
          <w:rFonts w:ascii="Arial" w:cs="Arial" w:eastAsia="Arial" w:hAnsi="Arial"/>
          <w:sz w:val="13"/>
          <w:szCs w:val="13"/>
          <w:color w:val="auto"/>
        </w:rPr>
      </w:pPr>
    </w:p>
    <w:p>
      <w:pPr>
        <w:ind w:left="360" w:right="200" w:hanging="334"/>
        <w:spacing w:after="0" w:line="264" w:lineRule="auto"/>
        <w:tabs>
          <w:tab w:leader="none" w:pos="360" w:val="left"/>
        </w:tabs>
        <w:numPr>
          <w:ilvl w:val="0"/>
          <w:numId w:val="12"/>
        </w:numPr>
        <w:rPr>
          <w:rFonts w:ascii="Arial" w:cs="Arial" w:eastAsia="Arial" w:hAnsi="Arial"/>
          <w:sz w:val="13"/>
          <w:szCs w:val="13"/>
          <w:color w:val="auto"/>
        </w:rPr>
      </w:pPr>
      <w:r>
        <w:rPr>
          <w:rFonts w:ascii="Arial" w:cs="Arial" w:eastAsia="Arial" w:hAnsi="Arial"/>
          <w:sz w:val="13"/>
          <w:szCs w:val="13"/>
          <w:color w:val="auto"/>
        </w:rPr>
        <w:t>Cost of revenue reflects the amounts reported and provided to the CODM and does not necessarily reconcile to the Company's Consolidated Statement of Operations or align across reportable segments. Cost of revenue excludes charges related to depreciation, which is shown separately above.</w:t>
      </w:r>
    </w:p>
    <w:p>
      <w:pPr>
        <w:spacing w:after="0" w:line="22" w:lineRule="exact"/>
        <w:rPr>
          <w:rFonts w:ascii="Arial" w:cs="Arial" w:eastAsia="Arial" w:hAnsi="Arial"/>
          <w:sz w:val="13"/>
          <w:szCs w:val="13"/>
          <w:color w:val="auto"/>
        </w:rPr>
      </w:pPr>
    </w:p>
    <w:p>
      <w:pPr>
        <w:ind w:left="360" w:hanging="334"/>
        <w:spacing w:after="0"/>
        <w:tabs>
          <w:tab w:leader="none" w:pos="360" w:val="left"/>
        </w:tabs>
        <w:numPr>
          <w:ilvl w:val="0"/>
          <w:numId w:val="12"/>
        </w:numPr>
        <w:rPr>
          <w:rFonts w:ascii="Arial" w:cs="Arial" w:eastAsia="Arial" w:hAnsi="Arial"/>
          <w:sz w:val="13"/>
          <w:szCs w:val="13"/>
          <w:color w:val="auto"/>
        </w:rPr>
      </w:pPr>
      <w:r>
        <w:rPr>
          <w:rFonts w:ascii="Arial" w:cs="Arial" w:eastAsia="Arial" w:hAnsi="Arial"/>
          <w:sz w:val="13"/>
          <w:szCs w:val="13"/>
          <w:color w:val="auto"/>
        </w:rPr>
        <w:t>Excludes pension service cost, which is shown separately above. Excludes any payroll and related benefits costs captured in cost of revenue.</w:t>
      </w:r>
    </w:p>
    <w:p>
      <w:pPr>
        <w:spacing w:after="0" w:line="53" w:lineRule="exact"/>
        <w:rPr>
          <w:rFonts w:ascii="Arial" w:cs="Arial" w:eastAsia="Arial" w:hAnsi="Arial"/>
          <w:sz w:val="13"/>
          <w:szCs w:val="13"/>
          <w:color w:val="auto"/>
        </w:rPr>
      </w:pPr>
    </w:p>
    <w:p>
      <w:pPr>
        <w:ind w:left="360" w:hanging="334"/>
        <w:spacing w:after="0"/>
        <w:tabs>
          <w:tab w:leader="none" w:pos="360" w:val="left"/>
        </w:tabs>
        <w:numPr>
          <w:ilvl w:val="0"/>
          <w:numId w:val="12"/>
        </w:numPr>
        <w:rPr>
          <w:rFonts w:ascii="Arial" w:cs="Arial" w:eastAsia="Arial" w:hAnsi="Arial"/>
          <w:sz w:val="13"/>
          <w:szCs w:val="13"/>
          <w:color w:val="auto"/>
        </w:rPr>
      </w:pPr>
      <w:r>
        <w:rPr>
          <w:rFonts w:ascii="Arial" w:cs="Arial" w:eastAsia="Arial" w:hAnsi="Arial"/>
          <w:sz w:val="13"/>
          <w:szCs w:val="13"/>
          <w:color w:val="auto"/>
        </w:rPr>
        <w:t>Other segment items for each reportable segment include:</w:t>
      </w:r>
    </w:p>
    <w:p>
      <w:pPr>
        <w:spacing w:after="0" w:line="53" w:lineRule="exact"/>
        <w:rPr>
          <w:rFonts w:ascii="Arial" w:cs="Arial" w:eastAsia="Arial" w:hAnsi="Arial"/>
          <w:sz w:val="13"/>
          <w:szCs w:val="13"/>
          <w:color w:val="auto"/>
        </w:rPr>
      </w:pPr>
    </w:p>
    <w:p>
      <w:pPr>
        <w:ind w:left="680" w:hanging="330"/>
        <w:spacing w:after="0"/>
        <w:tabs>
          <w:tab w:leader="none" w:pos="680" w:val="left"/>
        </w:tabs>
        <w:numPr>
          <w:ilvl w:val="1"/>
          <w:numId w:val="12"/>
        </w:numPr>
        <w:rPr>
          <w:rFonts w:ascii="Arial" w:cs="Arial" w:eastAsia="Arial" w:hAnsi="Arial"/>
          <w:sz w:val="13"/>
          <w:szCs w:val="13"/>
          <w:color w:val="auto"/>
        </w:rPr>
      </w:pPr>
      <w:r>
        <w:rPr>
          <w:rFonts w:ascii="Arial" w:cs="Arial" w:eastAsia="Arial" w:hAnsi="Arial"/>
          <w:sz w:val="13"/>
          <w:szCs w:val="13"/>
          <w:color w:val="auto"/>
        </w:rPr>
        <w:t>Kaplan international - travel meals and entertainment expense, training and employment expense, operating fees and other G&amp;A expenses.</w:t>
      </w:r>
    </w:p>
    <w:p>
      <w:pPr>
        <w:spacing w:after="0" w:line="53" w:lineRule="exact"/>
        <w:rPr>
          <w:rFonts w:ascii="Arial" w:cs="Arial" w:eastAsia="Arial" w:hAnsi="Arial"/>
          <w:sz w:val="13"/>
          <w:szCs w:val="13"/>
          <w:color w:val="auto"/>
        </w:rPr>
      </w:pPr>
    </w:p>
    <w:p>
      <w:pPr>
        <w:ind w:left="680" w:hanging="330"/>
        <w:spacing w:after="0"/>
        <w:tabs>
          <w:tab w:leader="none" w:pos="680" w:val="left"/>
        </w:tabs>
        <w:numPr>
          <w:ilvl w:val="1"/>
          <w:numId w:val="12"/>
        </w:numPr>
        <w:rPr>
          <w:rFonts w:ascii="Arial" w:cs="Arial" w:eastAsia="Arial" w:hAnsi="Arial"/>
          <w:sz w:val="13"/>
          <w:szCs w:val="13"/>
          <w:color w:val="auto"/>
        </w:rPr>
      </w:pPr>
      <w:r>
        <w:rPr>
          <w:rFonts w:ascii="Arial" w:cs="Arial" w:eastAsia="Arial" w:hAnsi="Arial"/>
          <w:sz w:val="13"/>
          <w:szCs w:val="13"/>
          <w:color w:val="auto"/>
        </w:rPr>
        <w:t>Higher education - training and employment expense, operating fees and other G&amp;A expenses.</w:t>
      </w:r>
    </w:p>
    <w:p>
      <w:pPr>
        <w:spacing w:after="0" w:line="53" w:lineRule="exact"/>
        <w:rPr>
          <w:rFonts w:ascii="Arial" w:cs="Arial" w:eastAsia="Arial" w:hAnsi="Arial"/>
          <w:sz w:val="13"/>
          <w:szCs w:val="13"/>
          <w:color w:val="auto"/>
        </w:rPr>
      </w:pPr>
    </w:p>
    <w:p>
      <w:pPr>
        <w:ind w:left="680" w:hanging="330"/>
        <w:spacing w:after="0"/>
        <w:tabs>
          <w:tab w:leader="none" w:pos="680" w:val="left"/>
        </w:tabs>
        <w:numPr>
          <w:ilvl w:val="1"/>
          <w:numId w:val="12"/>
        </w:numPr>
        <w:rPr>
          <w:rFonts w:ascii="Arial" w:cs="Arial" w:eastAsia="Arial" w:hAnsi="Arial"/>
          <w:sz w:val="13"/>
          <w:szCs w:val="13"/>
          <w:color w:val="auto"/>
        </w:rPr>
      </w:pPr>
      <w:r>
        <w:rPr>
          <w:rFonts w:ascii="Arial" w:cs="Arial" w:eastAsia="Arial" w:hAnsi="Arial"/>
          <w:sz w:val="13"/>
          <w:szCs w:val="13"/>
          <w:color w:val="auto"/>
        </w:rPr>
        <w:t>Supplemental education - training and employment expense, operating fees and other G&amp;A expenses.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The Company’s healthcare division segment information is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3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580" w:type="dxa"/>
            <w:vAlign w:val="bottom"/>
            <w:tcBorders>
              <w:bottom w:val="single" w:sz="8" w:color="auto"/>
            </w:tcBorders>
            <w:gridSpan w:val="5"/>
          </w:tcPr>
          <w:p>
            <w:pPr>
              <w:jc w:val="right"/>
              <w:ind w:right="637"/>
              <w:spacing w:after="0"/>
              <w:rPr>
                <w:sz w:val="20"/>
                <w:szCs w:val="20"/>
                <w:color w:val="auto"/>
              </w:rPr>
            </w:pPr>
            <w:r>
              <w:rPr>
                <w:rFonts w:ascii="Arial" w:cs="Arial" w:eastAsia="Arial" w:hAnsi="Arial"/>
                <w:sz w:val="13"/>
                <w:szCs w:val="13"/>
                <w:b w:val="1"/>
                <w:bCs w:val="1"/>
                <w:color w:val="auto"/>
              </w:rPr>
              <w:t>Three Months Ended September 30, 2025</w:t>
            </w:r>
          </w:p>
        </w:tc>
        <w:tc>
          <w:tcPr>
            <w:tcW w:w="0" w:type="dxa"/>
            <w:vAlign w:val="bottom"/>
          </w:tcPr>
          <w:p>
            <w:pPr>
              <w:spacing w:after="0"/>
              <w:rPr>
                <w:sz w:val="1"/>
                <w:szCs w:val="1"/>
                <w:color w:val="auto"/>
              </w:rPr>
            </w:pPr>
          </w:p>
        </w:tc>
      </w:tr>
      <w:tr>
        <w:trPr>
          <w:trHeight w:val="196"/>
        </w:trPr>
        <w:tc>
          <w:tcPr>
            <w:tcW w:w="73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thousands)</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77"/>
              <w:spacing w:after="0"/>
              <w:rPr>
                <w:sz w:val="20"/>
                <w:szCs w:val="20"/>
                <w:color w:val="auto"/>
              </w:rPr>
            </w:pPr>
            <w:r>
              <w:rPr>
                <w:rFonts w:ascii="Arial" w:cs="Arial" w:eastAsia="Arial" w:hAnsi="Arial"/>
                <w:sz w:val="13"/>
                <w:szCs w:val="13"/>
                <w:b w:val="1"/>
                <w:bCs w:val="1"/>
                <w:color w:val="auto"/>
              </w:rPr>
              <w:t>CSI</w:t>
            </w: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97"/>
              </w:rPr>
              <w:t>Other Healthcare</w:t>
            </w: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94"/>
              </w:rPr>
              <w:t>Total Healthcare</w:t>
            </w:r>
          </w:p>
        </w:tc>
        <w:tc>
          <w:tcPr>
            <w:tcW w:w="0" w:type="dxa"/>
            <w:vAlign w:val="bottom"/>
          </w:tcPr>
          <w:p>
            <w:pPr>
              <w:spacing w:after="0"/>
              <w:rPr>
                <w:sz w:val="1"/>
                <w:szCs w:val="1"/>
                <w:color w:val="auto"/>
              </w:rPr>
            </w:pPr>
          </w:p>
        </w:tc>
      </w:tr>
      <w:tr>
        <w:trPr>
          <w:trHeight w:val="192"/>
        </w:trPr>
        <w:tc>
          <w:tcPr>
            <w:tcW w:w="7360" w:type="dxa"/>
            <w:vAlign w:val="bottom"/>
          </w:tcPr>
          <w:p>
            <w:pPr>
              <w:ind w:left="20"/>
              <w:spacing w:after="0"/>
              <w:rPr>
                <w:sz w:val="20"/>
                <w:szCs w:val="20"/>
                <w:color w:val="auto"/>
              </w:rPr>
            </w:pPr>
            <w:r>
              <w:rPr>
                <w:rFonts w:ascii="Arial" w:cs="Arial" w:eastAsia="Arial" w:hAnsi="Arial"/>
                <w:sz w:val="13"/>
                <w:szCs w:val="13"/>
                <w:b w:val="1"/>
                <w:bCs w:val="1"/>
                <w:color w:val="auto"/>
              </w:rPr>
              <w:t>Operating Revenues</w:t>
            </w:r>
          </w:p>
        </w:tc>
        <w:tc>
          <w:tcPr>
            <w:tcW w:w="30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120,382</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37"/>
              <w:spacing w:after="0"/>
              <w:rPr>
                <w:sz w:val="20"/>
                <w:szCs w:val="20"/>
                <w:color w:val="auto"/>
              </w:rPr>
            </w:pPr>
            <w:r>
              <w:rPr>
                <w:rFonts w:ascii="Arial" w:cs="Arial" w:eastAsia="Arial" w:hAnsi="Arial"/>
                <w:sz w:val="13"/>
                <w:szCs w:val="13"/>
                <w:color w:val="auto"/>
              </w:rPr>
              <w:t>88,033</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208,415</w:t>
            </w:r>
          </w:p>
        </w:tc>
        <w:tc>
          <w:tcPr>
            <w:tcW w:w="0" w:type="dxa"/>
            <w:vAlign w:val="bottom"/>
          </w:tcPr>
          <w:p>
            <w:pPr>
              <w:spacing w:after="0"/>
              <w:rPr>
                <w:sz w:val="1"/>
                <w:szCs w:val="1"/>
                <w:color w:val="auto"/>
              </w:rPr>
            </w:pPr>
          </w:p>
        </w:tc>
      </w:tr>
      <w:tr>
        <w:trPr>
          <w:trHeight w:val="331"/>
        </w:trPr>
        <w:tc>
          <w:tcPr>
            <w:tcW w:w="7360" w:type="dxa"/>
            <w:vAlign w:val="bottom"/>
          </w:tcPr>
          <w:p>
            <w:pPr>
              <w:ind w:left="20"/>
              <w:spacing w:after="0"/>
              <w:rPr>
                <w:sz w:val="20"/>
                <w:szCs w:val="20"/>
                <w:color w:val="auto"/>
              </w:rPr>
            </w:pPr>
            <w:r>
              <w:rPr>
                <w:rFonts w:ascii="Arial" w:cs="Arial" w:eastAsia="Arial" w:hAnsi="Arial"/>
                <w:sz w:val="13"/>
                <w:szCs w:val="13"/>
                <w:i w:val="1"/>
                <w:iCs w:val="1"/>
                <w:color w:val="auto"/>
              </w:rPr>
              <w:t xml:space="preserve">Less: Significant Expenses </w:t>
            </w:r>
            <w:r>
              <w:rPr>
                <w:rFonts w:ascii="Arial" w:cs="Arial" w:eastAsia="Arial" w:hAnsi="Arial"/>
                <w:sz w:val="16"/>
                <w:szCs w:val="16"/>
                <w:i w:val="1"/>
                <w:iCs w:val="1"/>
                <w:color w:val="auto"/>
                <w:vertAlign w:val="superscript"/>
              </w:rPr>
              <w:t>(1)</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360" w:type="dxa"/>
            <w:vAlign w:val="bottom"/>
          </w:tcPr>
          <w:p>
            <w:pPr>
              <w:ind w:left="140"/>
              <w:spacing w:after="0"/>
              <w:rPr>
                <w:sz w:val="20"/>
                <w:szCs w:val="20"/>
                <w:color w:val="auto"/>
              </w:rPr>
            </w:pPr>
            <w:r>
              <w:rPr>
                <w:rFonts w:ascii="Arial" w:cs="Arial" w:eastAsia="Arial" w:hAnsi="Arial"/>
                <w:sz w:val="13"/>
                <w:szCs w:val="13"/>
                <w:color w:val="auto"/>
              </w:rPr>
              <w:t xml:space="preserve">Cost of Revenue </w:t>
            </w:r>
            <w:r>
              <w:rPr>
                <w:rFonts w:ascii="Arial" w:cs="Arial" w:eastAsia="Arial" w:hAnsi="Arial"/>
                <w:sz w:val="16"/>
                <w:szCs w:val="16"/>
                <w:color w:val="auto"/>
                <w:vertAlign w:val="superscript"/>
              </w:rPr>
              <w:t>(2)</w:t>
            </w:r>
          </w:p>
        </w:tc>
        <w:tc>
          <w:tcPr>
            <w:tcW w:w="300" w:type="dxa"/>
            <w:vAlign w:val="bottom"/>
          </w:tcPr>
          <w:p>
            <w:pPr>
              <w:spacing w:after="0"/>
              <w:rPr>
                <w:sz w:val="17"/>
                <w:szCs w:val="17"/>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91,710</w:t>
            </w:r>
          </w:p>
        </w:tc>
        <w:tc>
          <w:tcPr>
            <w:tcW w:w="160" w:type="dxa"/>
            <w:vAlign w:val="bottom"/>
          </w:tcPr>
          <w:p>
            <w:pPr>
              <w:spacing w:after="0"/>
              <w:rPr>
                <w:sz w:val="17"/>
                <w:szCs w:val="17"/>
                <w:color w:val="auto"/>
              </w:rPr>
            </w:pPr>
          </w:p>
        </w:tc>
        <w:tc>
          <w:tcPr>
            <w:tcW w:w="1160" w:type="dxa"/>
            <w:vAlign w:val="bottom"/>
          </w:tcPr>
          <w:p>
            <w:pPr>
              <w:jc w:val="right"/>
              <w:ind w:right="37"/>
              <w:spacing w:after="0"/>
              <w:rPr>
                <w:sz w:val="20"/>
                <w:szCs w:val="20"/>
                <w:color w:val="auto"/>
              </w:rPr>
            </w:pPr>
            <w:r>
              <w:rPr>
                <w:rFonts w:ascii="Arial" w:cs="Arial" w:eastAsia="Arial" w:hAnsi="Arial"/>
                <w:sz w:val="13"/>
                <w:szCs w:val="13"/>
                <w:color w:val="auto"/>
              </w:rPr>
              <w:t>38,854</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130,564</w:t>
            </w:r>
          </w:p>
        </w:tc>
        <w:tc>
          <w:tcPr>
            <w:tcW w:w="0" w:type="dxa"/>
            <w:vAlign w:val="bottom"/>
          </w:tcPr>
          <w:p>
            <w:pPr>
              <w:spacing w:after="0"/>
              <w:rPr>
                <w:sz w:val="1"/>
                <w:szCs w:val="1"/>
                <w:color w:val="auto"/>
              </w:rPr>
            </w:pPr>
          </w:p>
        </w:tc>
      </w:tr>
      <w:tr>
        <w:trPr>
          <w:trHeight w:val="190"/>
        </w:trPr>
        <w:tc>
          <w:tcPr>
            <w:tcW w:w="7360" w:type="dxa"/>
            <w:vAlign w:val="bottom"/>
          </w:tcPr>
          <w:p>
            <w:pPr>
              <w:ind w:left="140"/>
              <w:spacing w:after="0"/>
              <w:rPr>
                <w:sz w:val="20"/>
                <w:szCs w:val="20"/>
                <w:color w:val="auto"/>
              </w:rPr>
            </w:pPr>
            <w:r>
              <w:rPr>
                <w:rFonts w:ascii="Arial" w:cs="Arial" w:eastAsia="Arial" w:hAnsi="Arial"/>
                <w:sz w:val="13"/>
                <w:szCs w:val="13"/>
                <w:color w:val="auto"/>
              </w:rPr>
              <w:t xml:space="preserve">Other Segment Items </w:t>
            </w:r>
            <w:r>
              <w:rPr>
                <w:rFonts w:ascii="Arial" w:cs="Arial" w:eastAsia="Arial" w:hAnsi="Arial"/>
                <w:sz w:val="16"/>
                <w:szCs w:val="16"/>
                <w:color w:val="auto"/>
                <w:vertAlign w:val="superscript"/>
              </w:rPr>
              <w:t>(3)</w:t>
            </w: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15,049</w:t>
            </w: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36,382</w:t>
            </w: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51,431</w:t>
            </w:r>
          </w:p>
        </w:tc>
        <w:tc>
          <w:tcPr>
            <w:tcW w:w="0" w:type="dxa"/>
            <w:vAlign w:val="bottom"/>
          </w:tcPr>
          <w:p>
            <w:pPr>
              <w:spacing w:after="0"/>
              <w:rPr>
                <w:sz w:val="1"/>
                <w:szCs w:val="1"/>
                <w:color w:val="auto"/>
              </w:rPr>
            </w:pPr>
          </w:p>
        </w:tc>
      </w:tr>
      <w:tr>
        <w:trPr>
          <w:trHeight w:val="192"/>
        </w:trPr>
        <w:tc>
          <w:tcPr>
            <w:tcW w:w="7360" w:type="dxa"/>
            <w:vAlign w:val="bottom"/>
          </w:tcPr>
          <w:p>
            <w:pPr>
              <w:ind w:left="20"/>
              <w:spacing w:after="0"/>
              <w:rPr>
                <w:sz w:val="20"/>
                <w:szCs w:val="20"/>
                <w:color w:val="auto"/>
              </w:rPr>
            </w:pPr>
            <w:r>
              <w:rPr>
                <w:rFonts w:ascii="Arial" w:cs="Arial" w:eastAsia="Arial" w:hAnsi="Arial"/>
                <w:sz w:val="13"/>
                <w:szCs w:val="13"/>
                <w:b w:val="1"/>
                <w:bCs w:val="1"/>
                <w:color w:val="auto"/>
              </w:rPr>
              <w:t>EBITDAP</w:t>
            </w:r>
          </w:p>
        </w:tc>
        <w:tc>
          <w:tcPr>
            <w:tcW w:w="30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13,623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12,797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26,420</w:t>
            </w:r>
          </w:p>
        </w:tc>
        <w:tc>
          <w:tcPr>
            <w:tcW w:w="0" w:type="dxa"/>
            <w:vAlign w:val="bottom"/>
          </w:tcPr>
          <w:p>
            <w:pPr>
              <w:spacing w:after="0"/>
              <w:rPr>
                <w:sz w:val="1"/>
                <w:szCs w:val="1"/>
                <w:color w:val="auto"/>
              </w:rPr>
            </w:pPr>
          </w:p>
        </w:tc>
      </w:tr>
      <w:tr>
        <w:trPr>
          <w:trHeight w:val="321"/>
        </w:trPr>
        <w:tc>
          <w:tcPr>
            <w:tcW w:w="7360" w:type="dxa"/>
            <w:vAlign w:val="bottom"/>
          </w:tcPr>
          <w:p>
            <w:pPr>
              <w:ind w:left="20"/>
              <w:spacing w:after="0"/>
              <w:rPr>
                <w:sz w:val="20"/>
                <w:szCs w:val="20"/>
                <w:color w:val="auto"/>
              </w:rPr>
            </w:pPr>
            <w:r>
              <w:rPr>
                <w:rFonts w:ascii="Arial" w:cs="Arial" w:eastAsia="Arial" w:hAnsi="Arial"/>
                <w:sz w:val="13"/>
                <w:szCs w:val="13"/>
                <w:color w:val="auto"/>
              </w:rPr>
              <w:t>Pension Service Cost</w:t>
            </w:r>
          </w:p>
        </w:tc>
        <w:tc>
          <w:tcPr>
            <w:tcW w:w="300" w:type="dxa"/>
            <w:vAlign w:val="bottom"/>
          </w:tcPr>
          <w:p>
            <w:pPr>
              <w:spacing w:after="0"/>
              <w:rPr>
                <w:sz w:val="24"/>
                <w:szCs w:val="24"/>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160" w:type="dxa"/>
            <w:vAlign w:val="bottom"/>
          </w:tcPr>
          <w:p>
            <w:pPr>
              <w:jc w:val="right"/>
              <w:ind w:right="37"/>
              <w:spacing w:after="0"/>
              <w:rPr>
                <w:sz w:val="20"/>
                <w:szCs w:val="20"/>
                <w:color w:val="auto"/>
              </w:rPr>
            </w:pPr>
            <w:r>
              <w:rPr>
                <w:rFonts w:ascii="Arial" w:cs="Arial" w:eastAsia="Arial" w:hAnsi="Arial"/>
                <w:sz w:val="13"/>
                <w:szCs w:val="13"/>
                <w:color w:val="auto"/>
              </w:rPr>
              <w:t>2,496</w:t>
            </w: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2,496</w:t>
            </w:r>
          </w:p>
        </w:tc>
        <w:tc>
          <w:tcPr>
            <w:tcW w:w="0" w:type="dxa"/>
            <w:vAlign w:val="bottom"/>
          </w:tcPr>
          <w:p>
            <w:pPr>
              <w:spacing w:after="0"/>
              <w:rPr>
                <w:sz w:val="1"/>
                <w:szCs w:val="1"/>
                <w:color w:val="auto"/>
              </w:rPr>
            </w:pPr>
          </w:p>
        </w:tc>
      </w:tr>
      <w:tr>
        <w:trPr>
          <w:trHeight w:val="203"/>
        </w:trPr>
        <w:tc>
          <w:tcPr>
            <w:tcW w:w="7360" w:type="dxa"/>
            <w:vAlign w:val="bottom"/>
          </w:tcPr>
          <w:p>
            <w:pPr>
              <w:ind w:left="20"/>
              <w:spacing w:after="0"/>
              <w:rPr>
                <w:sz w:val="20"/>
                <w:szCs w:val="20"/>
                <w:color w:val="auto"/>
              </w:rPr>
            </w:pPr>
            <w:r>
              <w:rPr>
                <w:rFonts w:ascii="Arial" w:cs="Arial" w:eastAsia="Arial" w:hAnsi="Arial"/>
                <w:sz w:val="13"/>
                <w:szCs w:val="13"/>
                <w:color w:val="auto"/>
              </w:rPr>
              <w:t>Depreciation Expense</w:t>
            </w:r>
          </w:p>
        </w:tc>
        <w:tc>
          <w:tcPr>
            <w:tcW w:w="300" w:type="dxa"/>
            <w:vAlign w:val="bottom"/>
          </w:tcPr>
          <w:p>
            <w:pPr>
              <w:spacing w:after="0"/>
              <w:rPr>
                <w:sz w:val="17"/>
                <w:szCs w:val="17"/>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186</w:t>
            </w:r>
          </w:p>
        </w:tc>
        <w:tc>
          <w:tcPr>
            <w:tcW w:w="160" w:type="dxa"/>
            <w:vAlign w:val="bottom"/>
          </w:tcPr>
          <w:p>
            <w:pPr>
              <w:spacing w:after="0"/>
              <w:rPr>
                <w:sz w:val="17"/>
                <w:szCs w:val="17"/>
                <w:color w:val="auto"/>
              </w:rPr>
            </w:pPr>
          </w:p>
        </w:tc>
        <w:tc>
          <w:tcPr>
            <w:tcW w:w="1160" w:type="dxa"/>
            <w:vAlign w:val="bottom"/>
          </w:tcPr>
          <w:p>
            <w:pPr>
              <w:jc w:val="right"/>
              <w:ind w:right="37"/>
              <w:spacing w:after="0"/>
              <w:rPr>
                <w:sz w:val="20"/>
                <w:szCs w:val="20"/>
                <w:color w:val="auto"/>
              </w:rPr>
            </w:pPr>
            <w:r>
              <w:rPr>
                <w:rFonts w:ascii="Arial" w:cs="Arial" w:eastAsia="Arial" w:hAnsi="Arial"/>
                <w:sz w:val="13"/>
                <w:szCs w:val="13"/>
                <w:color w:val="auto"/>
              </w:rPr>
              <w:t>1,651</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1,837</w:t>
            </w:r>
          </w:p>
        </w:tc>
        <w:tc>
          <w:tcPr>
            <w:tcW w:w="0" w:type="dxa"/>
            <w:vAlign w:val="bottom"/>
          </w:tcPr>
          <w:p>
            <w:pPr>
              <w:spacing w:after="0"/>
              <w:rPr>
                <w:sz w:val="1"/>
                <w:szCs w:val="1"/>
                <w:color w:val="auto"/>
              </w:rPr>
            </w:pPr>
          </w:p>
        </w:tc>
      </w:tr>
      <w:tr>
        <w:trPr>
          <w:trHeight w:val="163"/>
        </w:trPr>
        <w:tc>
          <w:tcPr>
            <w:tcW w:w="73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Income from Operations before Amortization of Intangible Assets</w:t>
            </w: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360" w:type="dxa"/>
            <w:vAlign w:val="bottom"/>
            <w:vMerge w:val="continue"/>
          </w:tcPr>
          <w:p>
            <w:pPr>
              <w:spacing w:after="0"/>
              <w:rPr>
                <w:sz w:val="16"/>
                <w:szCs w:val="16"/>
                <w:color w:val="auto"/>
              </w:rPr>
            </w:pPr>
          </w:p>
        </w:tc>
        <w:tc>
          <w:tcPr>
            <w:tcW w:w="30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13,437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8,650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22,087</w:t>
            </w:r>
          </w:p>
        </w:tc>
        <w:tc>
          <w:tcPr>
            <w:tcW w:w="0" w:type="dxa"/>
            <w:vAlign w:val="bottom"/>
          </w:tcPr>
          <w:p>
            <w:pPr>
              <w:spacing w:after="0"/>
              <w:rPr>
                <w:sz w:val="1"/>
                <w:szCs w:val="1"/>
                <w:color w:val="auto"/>
              </w:rPr>
            </w:pPr>
          </w:p>
        </w:tc>
      </w:tr>
      <w:tr>
        <w:trPr>
          <w:trHeight w:val="330"/>
        </w:trPr>
        <w:tc>
          <w:tcPr>
            <w:tcW w:w="7360" w:type="dxa"/>
            <w:vAlign w:val="bottom"/>
          </w:tcPr>
          <w:p>
            <w:pPr>
              <w:ind w:left="20"/>
              <w:spacing w:after="0"/>
              <w:rPr>
                <w:sz w:val="20"/>
                <w:szCs w:val="20"/>
                <w:color w:val="auto"/>
              </w:rPr>
            </w:pPr>
            <w:r>
              <w:rPr>
                <w:rFonts w:ascii="Arial" w:cs="Arial" w:eastAsia="Arial" w:hAnsi="Arial"/>
                <w:sz w:val="13"/>
                <w:szCs w:val="13"/>
                <w:b w:val="1"/>
                <w:bCs w:val="1"/>
                <w:color w:val="auto"/>
              </w:rPr>
              <w:t>Capital Expenditures</w:t>
            </w:r>
          </w:p>
        </w:tc>
        <w:tc>
          <w:tcPr>
            <w:tcW w:w="30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365</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37"/>
              <w:spacing w:after="0"/>
              <w:rPr>
                <w:sz w:val="20"/>
                <w:szCs w:val="20"/>
                <w:color w:val="auto"/>
              </w:rPr>
            </w:pPr>
            <w:r>
              <w:rPr>
                <w:rFonts w:ascii="Arial" w:cs="Arial" w:eastAsia="Arial" w:hAnsi="Arial"/>
                <w:sz w:val="13"/>
                <w:szCs w:val="13"/>
                <w:color w:val="auto"/>
              </w:rPr>
              <w:t>4,773</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5,138</w:t>
            </w:r>
          </w:p>
        </w:tc>
        <w:tc>
          <w:tcPr>
            <w:tcW w:w="0" w:type="dxa"/>
            <w:vAlign w:val="bottom"/>
          </w:tcPr>
          <w:p>
            <w:pPr>
              <w:spacing w:after="0"/>
              <w:rPr>
                <w:sz w:val="1"/>
                <w:szCs w:val="1"/>
                <w:color w:val="auto"/>
              </w:rPr>
            </w:pPr>
          </w:p>
        </w:tc>
      </w:tr>
    </w:tbl>
    <w:p>
      <w:pPr>
        <w:spacing w:after="0" w:line="301" w:lineRule="exact"/>
        <w:rPr>
          <w:sz w:val="20"/>
          <w:szCs w:val="20"/>
          <w:color w:val="auto"/>
        </w:rPr>
      </w:pPr>
    </w:p>
    <w:p>
      <w:pPr>
        <w:ind w:left="360" w:hanging="334"/>
        <w:spacing w:after="0"/>
        <w:tabs>
          <w:tab w:leader="none" w:pos="36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significant expense categories and amounts align with the segment-level information that is regularly provided to the CODM.</w:t>
      </w:r>
    </w:p>
    <w:p>
      <w:pPr>
        <w:spacing w:after="0" w:line="53" w:lineRule="exact"/>
        <w:rPr>
          <w:rFonts w:ascii="Arial" w:cs="Arial" w:eastAsia="Arial" w:hAnsi="Arial"/>
          <w:sz w:val="13"/>
          <w:szCs w:val="13"/>
          <w:color w:val="auto"/>
        </w:rPr>
      </w:pPr>
    </w:p>
    <w:p>
      <w:pPr>
        <w:ind w:left="360" w:right="160" w:hanging="334"/>
        <w:spacing w:after="0" w:line="264" w:lineRule="auto"/>
        <w:tabs>
          <w:tab w:leader="none" w:pos="360" w:val="left"/>
        </w:tabs>
        <w:numPr>
          <w:ilvl w:val="0"/>
          <w:numId w:val="13"/>
        </w:numPr>
        <w:rPr>
          <w:rFonts w:ascii="Arial" w:cs="Arial" w:eastAsia="Arial" w:hAnsi="Arial"/>
          <w:sz w:val="13"/>
          <w:szCs w:val="13"/>
          <w:color w:val="auto"/>
        </w:rPr>
      </w:pPr>
      <w:r>
        <w:rPr>
          <w:rFonts w:ascii="Arial" w:cs="Arial" w:eastAsia="Arial" w:hAnsi="Arial"/>
          <w:sz w:val="13"/>
          <w:szCs w:val="13"/>
          <w:color w:val="auto"/>
        </w:rPr>
        <w:t>Cost of revenue reflects the amounts reported and provided to the CODM and does not necessarily reconcile to the Company's Consolidated Statement of Operations. Cost of revenue excludes charges related to depreciation, which is shown separately.</w:t>
      </w:r>
    </w:p>
    <w:p>
      <w:pPr>
        <w:spacing w:after="0" w:line="22" w:lineRule="exact"/>
        <w:rPr>
          <w:rFonts w:ascii="Arial" w:cs="Arial" w:eastAsia="Arial" w:hAnsi="Arial"/>
          <w:sz w:val="13"/>
          <w:szCs w:val="13"/>
          <w:color w:val="auto"/>
        </w:rPr>
      </w:pPr>
    </w:p>
    <w:p>
      <w:pPr>
        <w:ind w:left="360" w:hanging="334"/>
        <w:spacing w:after="0"/>
        <w:tabs>
          <w:tab w:leader="none" w:pos="360" w:val="left"/>
        </w:tabs>
        <w:numPr>
          <w:ilvl w:val="0"/>
          <w:numId w:val="13"/>
        </w:numPr>
        <w:rPr>
          <w:rFonts w:ascii="Arial" w:cs="Arial" w:eastAsia="Arial" w:hAnsi="Arial"/>
          <w:sz w:val="13"/>
          <w:szCs w:val="13"/>
          <w:color w:val="auto"/>
        </w:rPr>
      </w:pPr>
      <w:r>
        <w:rPr>
          <w:rFonts w:ascii="Arial" w:cs="Arial" w:eastAsia="Arial" w:hAnsi="Arial"/>
          <w:sz w:val="13"/>
          <w:szCs w:val="13"/>
          <w:color w:val="auto"/>
        </w:rPr>
        <w:t>Other segment items for CSI include indirect costs (e.g. payroll and benefits expenses, G&amp;A expenses) and other SG&amp;A expenses.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The Company’s segment information is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3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6"/>
              </w:rPr>
              <w:t>Nine Months Ended September 30, 2026</w:t>
            </w: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r>
      <w:tr>
        <w:trPr>
          <w:trHeight w:val="155"/>
        </w:trPr>
        <w:tc>
          <w:tcPr>
            <w:tcW w:w="3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center"/>
              <w:ind w:right="117"/>
              <w:spacing w:after="0"/>
              <w:rPr>
                <w:sz w:val="20"/>
                <w:szCs w:val="20"/>
                <w:color w:val="auto"/>
              </w:rPr>
            </w:pPr>
            <w:r>
              <w:rPr>
                <w:rFonts w:ascii="Arial" w:cs="Arial" w:eastAsia="Arial" w:hAnsi="Arial"/>
                <w:sz w:val="13"/>
                <w:szCs w:val="13"/>
                <w:b w:val="1"/>
                <w:bCs w:val="1"/>
                <w:color w:val="auto"/>
                <w:w w:val="94"/>
              </w:rPr>
              <w:t>Television</w:t>
            </w: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89"/>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thousands)</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Education</w:t>
            </w: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17"/>
              <w:spacing w:after="0"/>
              <w:rPr>
                <w:sz w:val="20"/>
                <w:szCs w:val="20"/>
                <w:color w:val="auto"/>
              </w:rPr>
            </w:pPr>
            <w:r>
              <w:rPr>
                <w:rFonts w:ascii="Arial" w:cs="Arial" w:eastAsia="Arial" w:hAnsi="Arial"/>
                <w:sz w:val="13"/>
                <w:szCs w:val="13"/>
                <w:b w:val="1"/>
                <w:bCs w:val="1"/>
                <w:color w:val="auto"/>
                <w:w w:val="96"/>
              </w:rPr>
              <w:t>Broadcasting</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Healthcare</w:t>
            </w: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Manufacturing</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Automotive</w:t>
            </w: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97"/>
              </w:rPr>
              <w:t>Total Segments</w:t>
            </w:r>
          </w:p>
        </w:tc>
      </w:tr>
      <w:tr>
        <w:trPr>
          <w:trHeight w:val="192"/>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Operating Revenues</w:t>
            </w:r>
          </w:p>
        </w:tc>
        <w:tc>
          <w:tcPr>
            <w:tcW w:w="200" w:type="dxa"/>
            <w:vAlign w:val="bottom"/>
          </w:tcPr>
          <w:p>
            <w:pPr>
              <w:jc w:val="right"/>
              <w:ind w:right="57"/>
              <w:spacing w:after="0"/>
              <w:rPr>
                <w:sz w:val="20"/>
                <w:szCs w:val="20"/>
                <w:color w:val="auto"/>
              </w:rPr>
            </w:pPr>
            <w:r>
              <w:rPr>
                <w:rFonts w:ascii="Arial" w:cs="Arial" w:eastAsia="Arial" w:hAnsi="Arial"/>
                <w:sz w:val="13"/>
                <w:szCs w:val="13"/>
                <w:b w:val="1"/>
                <w:bCs w:val="1"/>
                <w:color w:val="auto"/>
                <w:w w:val="82"/>
              </w:rPr>
              <w:t>$</w:t>
            </w:r>
          </w:p>
        </w:tc>
        <w:tc>
          <w:tcPr>
            <w:tcW w:w="1060" w:type="dxa"/>
            <w:vAlign w:val="bottom"/>
          </w:tcPr>
          <w:p>
            <w:pPr>
              <w:jc w:val="right"/>
              <w:ind w:right="37"/>
              <w:spacing w:after="0"/>
              <w:rPr>
                <w:sz w:val="20"/>
                <w:szCs w:val="20"/>
                <w:color w:val="auto"/>
              </w:rPr>
            </w:pPr>
            <w:r>
              <w:rPr>
                <w:rFonts w:ascii="Arial" w:cs="Arial" w:eastAsia="Arial" w:hAnsi="Arial"/>
                <w:sz w:val="13"/>
                <w:szCs w:val="13"/>
                <w:b w:val="1"/>
                <w:bCs w:val="1"/>
                <w:color w:val="auto"/>
              </w:rPr>
              <w:t>1,262,569</w:t>
            </w:r>
          </w:p>
        </w:tc>
        <w:tc>
          <w:tcPr>
            <w:tcW w:w="2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100" w:type="dxa"/>
            <w:vAlign w:val="bottom"/>
          </w:tcPr>
          <w:p>
            <w:pPr>
              <w:jc w:val="right"/>
              <w:ind w:right="17"/>
              <w:spacing w:after="0"/>
              <w:rPr>
                <w:sz w:val="20"/>
                <w:szCs w:val="20"/>
                <w:color w:val="auto"/>
              </w:rPr>
            </w:pPr>
            <w:r>
              <w:rPr>
                <w:rFonts w:ascii="Arial" w:cs="Arial" w:eastAsia="Arial" w:hAnsi="Arial"/>
                <w:sz w:val="13"/>
                <w:szCs w:val="13"/>
                <w:b w:val="1"/>
                <w:bCs w:val="1"/>
                <w:color w:val="auto"/>
              </w:rPr>
              <w:t>346,487</w:t>
            </w:r>
          </w:p>
        </w:tc>
        <w:tc>
          <w:tcPr>
            <w:tcW w:w="2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920" w:type="dxa"/>
            <w:vAlign w:val="bottom"/>
          </w:tcPr>
          <w:p>
            <w:pPr>
              <w:jc w:val="right"/>
              <w:ind w:right="17"/>
              <w:spacing w:after="0"/>
              <w:rPr>
                <w:sz w:val="20"/>
                <w:szCs w:val="20"/>
                <w:color w:val="auto"/>
              </w:rPr>
            </w:pPr>
            <w:r>
              <w:rPr>
                <w:rFonts w:ascii="Arial" w:cs="Arial" w:eastAsia="Arial" w:hAnsi="Arial"/>
                <w:sz w:val="13"/>
                <w:szCs w:val="13"/>
                <w:b w:val="1"/>
                <w:bCs w:val="1"/>
                <w:color w:val="auto"/>
              </w:rPr>
              <w:t>717,243</w:t>
            </w:r>
          </w:p>
        </w:tc>
        <w:tc>
          <w:tcPr>
            <w:tcW w:w="2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180" w:type="dxa"/>
            <w:vAlign w:val="bottom"/>
          </w:tcPr>
          <w:p>
            <w:pPr>
              <w:jc w:val="right"/>
              <w:ind w:right="77"/>
              <w:spacing w:after="0"/>
              <w:rPr>
                <w:sz w:val="20"/>
                <w:szCs w:val="20"/>
                <w:color w:val="auto"/>
              </w:rPr>
            </w:pPr>
            <w:r>
              <w:rPr>
                <w:rFonts w:ascii="Arial" w:cs="Arial" w:eastAsia="Arial" w:hAnsi="Arial"/>
                <w:sz w:val="13"/>
                <w:szCs w:val="13"/>
                <w:b w:val="1"/>
                <w:bCs w:val="1"/>
                <w:color w:val="auto"/>
              </w:rPr>
              <w:t>405,915</w:t>
            </w:r>
          </w:p>
        </w:tc>
        <w:tc>
          <w:tcPr>
            <w:tcW w:w="220" w:type="dxa"/>
            <w:vAlign w:val="bottom"/>
          </w:tcPr>
          <w:p>
            <w:pPr>
              <w:jc w:val="right"/>
              <w:ind w:right="37"/>
              <w:spacing w:after="0"/>
              <w:rPr>
                <w:sz w:val="20"/>
                <w:szCs w:val="20"/>
                <w:color w:val="auto"/>
              </w:rPr>
            </w:pPr>
            <w:r>
              <w:rPr>
                <w:rFonts w:ascii="Arial" w:cs="Arial" w:eastAsia="Arial" w:hAnsi="Arial"/>
                <w:sz w:val="13"/>
                <w:szCs w:val="13"/>
                <w:b w:val="1"/>
                <w:bCs w:val="1"/>
                <w:color w:val="auto"/>
              </w:rPr>
              <w:t>$</w:t>
            </w:r>
          </w:p>
        </w:tc>
        <w:tc>
          <w:tcPr>
            <w:tcW w:w="1080" w:type="dxa"/>
            <w:vAlign w:val="bottom"/>
          </w:tcPr>
          <w:p>
            <w:pPr>
              <w:jc w:val="right"/>
              <w:ind w:right="37"/>
              <w:spacing w:after="0"/>
              <w:rPr>
                <w:sz w:val="20"/>
                <w:szCs w:val="20"/>
                <w:color w:val="auto"/>
              </w:rPr>
            </w:pPr>
            <w:r>
              <w:rPr>
                <w:rFonts w:ascii="Arial" w:cs="Arial" w:eastAsia="Arial" w:hAnsi="Arial"/>
                <w:sz w:val="13"/>
                <w:szCs w:val="13"/>
                <w:b w:val="1"/>
                <w:bCs w:val="1"/>
                <w:color w:val="auto"/>
              </w:rPr>
              <w:t>868,036</w:t>
            </w:r>
          </w:p>
        </w:tc>
        <w:tc>
          <w:tcPr>
            <w:tcW w:w="1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3"/>
                <w:szCs w:val="13"/>
                <w:b w:val="1"/>
                <w:bCs w:val="1"/>
                <w:color w:val="auto"/>
              </w:rPr>
              <w:t>3,600,250</w:t>
            </w:r>
          </w:p>
        </w:tc>
      </w:tr>
      <w:tr>
        <w:trPr>
          <w:trHeight w:val="197"/>
        </w:trPr>
        <w:tc>
          <w:tcPr>
            <w:tcW w:w="3320" w:type="dxa"/>
            <w:vAlign w:val="bottom"/>
          </w:tcPr>
          <w:p>
            <w:pPr>
              <w:ind w:left="20"/>
              <w:spacing w:after="0"/>
              <w:rPr>
                <w:sz w:val="20"/>
                <w:szCs w:val="20"/>
                <w:color w:val="auto"/>
              </w:rPr>
            </w:pPr>
            <w:r>
              <w:rPr>
                <w:rFonts w:ascii="Arial" w:cs="Arial" w:eastAsia="Arial" w:hAnsi="Arial"/>
                <w:sz w:val="13"/>
                <w:szCs w:val="13"/>
                <w:i w:val="1"/>
                <w:iCs w:val="1"/>
                <w:color w:val="auto"/>
              </w:rPr>
              <w:t>Reconciliation of Revenue</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r>
    </w:tbl>
    <w:p>
      <w:pPr>
        <w:spacing w:after="0" w:line="26" w:lineRule="exact"/>
        <w:rPr>
          <w:sz w:val="20"/>
          <w:szCs w:val="20"/>
          <w:color w:val="auto"/>
        </w:rPr>
      </w:pPr>
    </w:p>
    <w:p>
      <w:pPr>
        <w:sectPr>
          <w:pgSz w:w="11900" w:h="16838" w:orient="portrait"/>
          <w:cols w:equalWidth="0" w:num="1">
            <w:col w:w="11040"/>
          </w:cols>
          <w:pgMar w:left="320" w:top="931" w:right="539" w:bottom="1440" w:gutter="0" w:footer="0" w:header="0"/>
        </w:sectPr>
      </w:pPr>
    </w:p>
    <w:p>
      <w:pPr>
        <w:ind w:left="140" w:right="240" w:hanging="26"/>
        <w:spacing w:after="0" w:line="298" w:lineRule="auto"/>
        <w:rPr>
          <w:sz w:val="20"/>
          <w:szCs w:val="20"/>
          <w:color w:val="auto"/>
        </w:rPr>
      </w:pPr>
      <w:r>
        <w:rPr>
          <w:rFonts w:ascii="Arial" w:cs="Arial" w:eastAsia="Arial" w:hAnsi="Arial"/>
          <w:sz w:val="13"/>
          <w:szCs w:val="13"/>
          <w:color w:val="auto"/>
        </w:rPr>
        <w:t xml:space="preserve">Other Businesses and Corporate Office Revenues </w:t>
      </w:r>
      <w:r>
        <w:rPr>
          <w:rFonts w:ascii="Arial" w:cs="Arial" w:eastAsia="Arial" w:hAnsi="Arial"/>
          <w:sz w:val="16"/>
          <w:szCs w:val="16"/>
          <w:color w:val="auto"/>
          <w:vertAlign w:val="superscript"/>
        </w:rPr>
        <w:t>(1)</w:t>
      </w:r>
      <w:r>
        <w:rPr>
          <w:rFonts w:ascii="Arial" w:cs="Arial" w:eastAsia="Arial" w:hAnsi="Arial"/>
          <w:sz w:val="13"/>
          <w:szCs w:val="13"/>
          <w:color w:val="auto"/>
        </w:rPr>
        <w:t xml:space="preserve"> Intersegment Elimination</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Total Consolidated Revenues</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 xml:space="preserve">Less: Significant Expenses </w:t>
      </w:r>
      <w:r>
        <w:rPr>
          <w:rFonts w:ascii="Arial" w:cs="Arial" w:eastAsia="Arial" w:hAnsi="Arial"/>
          <w:sz w:val="16"/>
          <w:szCs w:val="16"/>
          <w:i w:val="1"/>
          <w:iCs w:val="1"/>
          <w:color w:val="auto"/>
          <w:vertAlign w:val="superscript"/>
        </w:rPr>
        <w:t>(2)</w:t>
      </w:r>
    </w:p>
    <w:p>
      <w:pPr>
        <w:spacing w:after="0" w:line="25" w:lineRule="exact"/>
        <w:rPr>
          <w:sz w:val="20"/>
          <w:szCs w:val="20"/>
          <w:color w:val="auto"/>
        </w:rPr>
      </w:pPr>
    </w:p>
    <w:p>
      <w:pPr>
        <w:ind w:left="140"/>
        <w:spacing w:after="0"/>
        <w:rPr>
          <w:sz w:val="20"/>
          <w:szCs w:val="20"/>
          <w:color w:val="auto"/>
        </w:rPr>
      </w:pPr>
      <w:r>
        <w:rPr>
          <w:rFonts w:ascii="Arial" w:cs="Arial" w:eastAsia="Arial" w:hAnsi="Arial"/>
          <w:sz w:val="13"/>
          <w:szCs w:val="13"/>
          <w:color w:val="auto"/>
        </w:rPr>
        <w:t xml:space="preserve">Cost of Revenue </w:t>
      </w:r>
      <w:r>
        <w:rPr>
          <w:rFonts w:ascii="Arial" w:cs="Arial" w:eastAsia="Arial" w:hAnsi="Arial"/>
          <w:sz w:val="16"/>
          <w:szCs w:val="16"/>
          <w:color w:val="auto"/>
          <w:vertAlign w:val="superscript"/>
        </w:rPr>
        <w:t>(3)</w:t>
      </w:r>
    </w:p>
    <w:p>
      <w:pPr>
        <w:spacing w:after="0" w:line="19" w:lineRule="exact"/>
        <w:rPr>
          <w:sz w:val="20"/>
          <w:szCs w:val="20"/>
          <w:color w:val="auto"/>
        </w:rPr>
      </w:pPr>
    </w:p>
    <w:p>
      <w:pPr>
        <w:ind w:left="140"/>
        <w:spacing w:after="0"/>
        <w:rPr>
          <w:sz w:val="20"/>
          <w:szCs w:val="20"/>
          <w:color w:val="auto"/>
        </w:rPr>
      </w:pPr>
      <w:r>
        <w:rPr>
          <w:rFonts w:ascii="Arial" w:cs="Arial" w:eastAsia="Arial" w:hAnsi="Arial"/>
          <w:sz w:val="13"/>
          <w:szCs w:val="13"/>
          <w:color w:val="auto"/>
        </w:rPr>
        <w:t xml:space="preserve">Payroll and Fringe Benefits Expense </w:t>
      </w:r>
      <w:r>
        <w:rPr>
          <w:rFonts w:ascii="Arial" w:cs="Arial" w:eastAsia="Arial" w:hAnsi="Arial"/>
          <w:sz w:val="16"/>
          <w:szCs w:val="16"/>
          <w:color w:val="auto"/>
          <w:vertAlign w:val="superscript"/>
        </w:rPr>
        <w:t>(4)</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13"/>
          <w:szCs w:val="13"/>
          <w:color w:val="auto"/>
        </w:rPr>
        <w:t>Occupancy Expense</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3"/>
          <w:szCs w:val="13"/>
          <w:color w:val="auto"/>
        </w:rPr>
        <w:t>Advertising and Marketing Expense</w:t>
      </w:r>
    </w:p>
    <w:p>
      <w:pPr>
        <w:spacing w:after="0" w:line="53" w:lineRule="exact"/>
        <w:rPr>
          <w:sz w:val="20"/>
          <w:szCs w:val="20"/>
          <w:color w:val="auto"/>
        </w:rPr>
      </w:pPr>
    </w:p>
    <w:p>
      <w:pPr>
        <w:ind w:left="140"/>
        <w:spacing w:after="0"/>
        <w:rPr>
          <w:sz w:val="20"/>
          <w:szCs w:val="20"/>
          <w:color w:val="auto"/>
        </w:rPr>
      </w:pPr>
      <w:r>
        <w:rPr>
          <w:rFonts w:ascii="Arial" w:cs="Arial" w:eastAsia="Arial" w:hAnsi="Arial"/>
          <w:sz w:val="13"/>
          <w:szCs w:val="13"/>
          <w:color w:val="auto"/>
        </w:rPr>
        <w:t>Networking and Programming Expense</w:t>
      </w:r>
    </w:p>
    <w:p>
      <w:pPr>
        <w:spacing w:after="0" w:line="43" w:lineRule="exact"/>
        <w:rPr>
          <w:sz w:val="20"/>
          <w:szCs w:val="20"/>
          <w:color w:val="auto"/>
        </w:rPr>
      </w:pPr>
    </w:p>
    <w:p>
      <w:pPr>
        <w:ind w:left="140"/>
        <w:spacing w:after="0"/>
        <w:rPr>
          <w:sz w:val="20"/>
          <w:szCs w:val="20"/>
          <w:color w:val="auto"/>
        </w:rPr>
      </w:pPr>
      <w:r>
        <w:rPr>
          <w:rFonts w:ascii="Arial" w:cs="Arial" w:eastAsia="Arial" w:hAnsi="Arial"/>
          <w:sz w:val="13"/>
          <w:szCs w:val="13"/>
          <w:color w:val="auto"/>
        </w:rPr>
        <w:t xml:space="preserve">Management Services </w:t>
      </w:r>
      <w:r>
        <w:rPr>
          <w:rFonts w:ascii="Arial" w:cs="Arial" w:eastAsia="Arial" w:hAnsi="Arial"/>
          <w:sz w:val="16"/>
          <w:szCs w:val="16"/>
          <w:color w:val="auto"/>
          <w:vertAlign w:val="superscript"/>
        </w:rPr>
        <w:t>(5)</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13"/>
          <w:szCs w:val="13"/>
          <w:color w:val="auto"/>
        </w:rPr>
        <w:t xml:space="preserve">Other Segment Items </w:t>
      </w:r>
      <w:r>
        <w:rPr>
          <w:rFonts w:ascii="Arial" w:cs="Arial" w:eastAsia="Arial" w:hAnsi="Arial"/>
          <w:sz w:val="16"/>
          <w:szCs w:val="16"/>
          <w:color w:val="auto"/>
          <w:vertAlign w:val="superscript"/>
        </w:rPr>
        <w:t>(6)</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EBITDAP</w:t>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3"/>
          <w:szCs w:val="13"/>
          <w:color w:val="auto"/>
        </w:rPr>
        <w:t>Pension Service Cost</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3"/>
          <w:szCs w:val="13"/>
          <w:color w:val="auto"/>
        </w:rPr>
        <w:t>Depreciation Expense</w:t>
      </w:r>
    </w:p>
    <w:p>
      <w:pPr>
        <w:spacing w:after="0" w:line="107" w:lineRule="exact"/>
        <w:rPr>
          <w:sz w:val="20"/>
          <w:szCs w:val="20"/>
          <w:color w:val="auto"/>
        </w:rPr>
      </w:pPr>
    </w:p>
    <w:p>
      <w:pPr>
        <w:ind w:left="100" w:right="180" w:hanging="80"/>
        <w:spacing w:after="0" w:line="236" w:lineRule="auto"/>
        <w:rPr>
          <w:sz w:val="20"/>
          <w:szCs w:val="20"/>
          <w:color w:val="auto"/>
        </w:rPr>
      </w:pPr>
      <w:r>
        <w:rPr>
          <w:rFonts w:ascii="Arial" w:cs="Arial" w:eastAsia="Arial" w:hAnsi="Arial"/>
          <w:sz w:val="13"/>
          <w:szCs w:val="13"/>
          <w:b w:val="1"/>
          <w:bCs w:val="1"/>
          <w:color w:val="auto"/>
        </w:rPr>
        <w:t>Income from Operations before Amortization of Intangible Assets and Impairment of Goodwill and Asset Group Held for Sale</w:t>
      </w:r>
    </w:p>
    <w:p>
      <w:pPr>
        <w:spacing w:after="0" w:line="89"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 xml:space="preserve">Other Businesses </w:t>
      </w:r>
      <w:r>
        <w:rPr>
          <w:rFonts w:ascii="Arial" w:cs="Arial" w:eastAsia="Arial" w:hAnsi="Arial"/>
          <w:sz w:val="16"/>
          <w:szCs w:val="16"/>
          <w:b w:val="1"/>
          <w:bCs w:val="1"/>
          <w:color w:val="auto"/>
          <w:vertAlign w:val="superscript"/>
        </w:rPr>
        <w:t>(7)</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Corporate Costs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Amortization of Intangible Assets</w:t>
      </w:r>
    </w:p>
    <w:p>
      <w:pPr>
        <w:spacing w:after="0" w:line="53" w:lineRule="exact"/>
        <w:rPr>
          <w:sz w:val="20"/>
          <w:szCs w:val="20"/>
          <w:color w:val="auto"/>
        </w:rPr>
      </w:pPr>
    </w:p>
    <w:p>
      <w:pPr>
        <w:ind w:left="20"/>
        <w:spacing w:after="0" w:line="346" w:lineRule="auto"/>
        <w:rPr>
          <w:sz w:val="20"/>
          <w:szCs w:val="20"/>
          <w:color w:val="auto"/>
        </w:rPr>
      </w:pPr>
      <w:r>
        <w:rPr>
          <w:rFonts w:ascii="Arial" w:cs="Arial" w:eastAsia="Arial" w:hAnsi="Arial"/>
          <w:sz w:val="13"/>
          <w:szCs w:val="13"/>
          <w:b w:val="1"/>
          <w:bCs w:val="1"/>
          <w:color w:val="auto"/>
        </w:rPr>
        <w:t>Impairment of Goodwill and Asset Group Held for Sale Income from Operations</w:t>
      </w:r>
    </w:p>
    <w:p>
      <w:pPr>
        <w:spacing w:after="0" w:line="1" w:lineRule="exact"/>
        <w:rPr>
          <w:sz w:val="20"/>
          <w:szCs w:val="20"/>
          <w:color w:val="auto"/>
        </w:rPr>
      </w:pPr>
    </w:p>
    <w:p>
      <w:pPr>
        <w:ind w:left="20" w:right="1160"/>
        <w:spacing w:after="0" w:line="325" w:lineRule="auto"/>
        <w:rPr>
          <w:sz w:val="20"/>
          <w:szCs w:val="20"/>
          <w:color w:val="auto"/>
        </w:rPr>
      </w:pPr>
      <w:r>
        <w:rPr>
          <w:rFonts w:ascii="Arial" w:cs="Arial" w:eastAsia="Arial" w:hAnsi="Arial"/>
          <w:sz w:val="13"/>
          <w:szCs w:val="13"/>
          <w:b w:val="1"/>
          <w:bCs w:val="1"/>
          <w:color w:val="auto"/>
        </w:rPr>
        <w:t>Equity in Earnings of Affiliates, Net Interest Expense, Net</w:t>
      </w:r>
    </w:p>
    <w:p>
      <w:pPr>
        <w:ind w:left="100" w:right="200" w:hanging="80"/>
        <w:spacing w:after="0" w:line="252" w:lineRule="auto"/>
        <w:rPr>
          <w:sz w:val="20"/>
          <w:szCs w:val="20"/>
          <w:color w:val="auto"/>
        </w:rPr>
      </w:pPr>
      <w:r>
        <w:rPr>
          <w:rFonts w:ascii="Arial" w:cs="Arial" w:eastAsia="Arial" w:hAnsi="Arial"/>
          <w:sz w:val="13"/>
          <w:szCs w:val="13"/>
          <w:b w:val="1"/>
          <w:bCs w:val="1"/>
          <w:color w:val="auto"/>
        </w:rPr>
        <w:t>Non-Operating Pension and Postretirement Benefit Income, Net</w:t>
      </w:r>
    </w:p>
    <w:p>
      <w:pPr>
        <w:spacing w:after="0" w:line="37" w:lineRule="exact"/>
        <w:rPr>
          <w:sz w:val="20"/>
          <w:szCs w:val="20"/>
          <w:color w:val="auto"/>
        </w:rPr>
      </w:pPr>
    </w:p>
    <w:p>
      <w:pPr>
        <w:ind w:left="20" w:right="760"/>
        <w:spacing w:after="0" w:line="357" w:lineRule="auto"/>
        <w:rPr>
          <w:sz w:val="20"/>
          <w:szCs w:val="20"/>
          <w:color w:val="auto"/>
        </w:rPr>
      </w:pPr>
      <w:r>
        <w:rPr>
          <w:rFonts w:ascii="Arial" w:cs="Arial" w:eastAsia="Arial" w:hAnsi="Arial"/>
          <w:sz w:val="13"/>
          <w:szCs w:val="13"/>
          <w:b w:val="1"/>
          <w:bCs w:val="1"/>
          <w:color w:val="auto"/>
        </w:rPr>
        <w:t>Gain on Marketable Equity Securities, Net Other Expense, Net</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Income Before Income Taxes</w:t>
      </w:r>
    </w:p>
    <w:p>
      <w:pPr>
        <w:spacing w:after="0" w:line="21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Capital Expenditures</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Reconciliation of Capital Expenditures</w:t>
      </w:r>
    </w:p>
    <w:p>
      <w:pPr>
        <w:spacing w:after="0" w:line="51" w:lineRule="exact"/>
        <w:rPr>
          <w:sz w:val="20"/>
          <w:szCs w:val="20"/>
          <w:color w:val="auto"/>
        </w:rPr>
      </w:pPr>
    </w:p>
    <w:p>
      <w:pPr>
        <w:ind w:left="220" w:right="520" w:hanging="80"/>
        <w:spacing w:after="0" w:line="262" w:lineRule="auto"/>
        <w:rPr>
          <w:sz w:val="20"/>
          <w:szCs w:val="20"/>
          <w:color w:val="auto"/>
        </w:rPr>
      </w:pPr>
      <w:r>
        <w:rPr>
          <w:rFonts w:ascii="Arial" w:cs="Arial" w:eastAsia="Arial" w:hAnsi="Arial"/>
          <w:sz w:val="13"/>
          <w:szCs w:val="13"/>
          <w:color w:val="auto"/>
        </w:rPr>
        <w:t xml:space="preserve">Other Businesses and Corporate Office Capital Expenditures </w:t>
      </w:r>
      <w:r>
        <w:rPr>
          <w:rFonts w:ascii="Arial" w:cs="Arial" w:eastAsia="Arial" w:hAnsi="Arial"/>
          <w:sz w:val="16"/>
          <w:szCs w:val="16"/>
          <w:color w:val="auto"/>
          <w:vertAlign w:val="superscript"/>
        </w:rPr>
        <w:t>(8)</w:t>
      </w:r>
    </w:p>
    <w:p>
      <w:pPr>
        <w:ind w:left="20"/>
        <w:spacing w:after="0"/>
        <w:rPr>
          <w:sz w:val="20"/>
          <w:szCs w:val="20"/>
          <w:color w:val="auto"/>
        </w:rPr>
      </w:pPr>
      <w:r>
        <w:rPr>
          <w:rFonts w:ascii="Arial" w:cs="Arial" w:eastAsia="Arial" w:hAnsi="Arial"/>
          <w:sz w:val="13"/>
          <w:szCs w:val="13"/>
          <w:b w:val="1"/>
          <w:bCs w:val="1"/>
          <w:color w:val="auto"/>
        </w:rPr>
        <w:t>Total Capital Expenditures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266,487</w:t>
            </w:r>
          </w:p>
        </w:tc>
      </w:tr>
      <w:tr>
        <w:trPr>
          <w:trHeight w:val="207"/>
        </w:trPr>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(2,202)</w:t>
            </w:r>
          </w:p>
        </w:tc>
      </w:tr>
      <w:tr>
        <w:trPr>
          <w:trHeight w:val="196"/>
        </w:trPr>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3,864,535</w:t>
            </w:r>
          </w:p>
        </w:tc>
      </w:tr>
      <w:tr>
        <w:trPr>
          <w:trHeight w:val="435"/>
        </w:trPr>
        <w:tc>
          <w:tcPr>
            <w:tcW w:w="400" w:type="dxa"/>
            <w:vAlign w:val="bottom"/>
          </w:tcPr>
          <w:p>
            <w:pPr>
              <w:spacing w:after="0"/>
              <w:rPr>
                <w:sz w:val="24"/>
                <w:szCs w:val="24"/>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b w:val="1"/>
                <w:bCs w:val="1"/>
                <w:color w:val="auto"/>
              </w:rPr>
              <w:t>498,211</w:t>
            </w: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b w:val="1"/>
                <w:bCs w:val="1"/>
                <w:color w:val="auto"/>
              </w:rPr>
              <w:t>471,514</w:t>
            </w:r>
          </w:p>
        </w:tc>
        <w:tc>
          <w:tcPr>
            <w:tcW w:w="480" w:type="dxa"/>
            <w:vAlign w:val="bottom"/>
          </w:tcPr>
          <w:p>
            <w:pPr>
              <w:spacing w:after="0"/>
              <w:rPr>
                <w:sz w:val="24"/>
                <w:szCs w:val="24"/>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b w:val="1"/>
                <w:bCs w:val="1"/>
                <w:color w:val="auto"/>
              </w:rPr>
              <w:t>295,336</w:t>
            </w:r>
          </w:p>
        </w:tc>
        <w:tc>
          <w:tcPr>
            <w:tcW w:w="480" w:type="dxa"/>
            <w:vAlign w:val="bottom"/>
          </w:tcPr>
          <w:p>
            <w:pPr>
              <w:spacing w:after="0"/>
              <w:rPr>
                <w:sz w:val="24"/>
                <w:szCs w:val="24"/>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b w:val="1"/>
                <w:bCs w:val="1"/>
                <w:color w:val="auto"/>
              </w:rPr>
              <w:t>733,998</w:t>
            </w:r>
          </w:p>
        </w:tc>
        <w:tc>
          <w:tcPr>
            <w:tcW w:w="3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1,999,059</w:t>
            </w:r>
          </w:p>
        </w:tc>
      </w:tr>
      <w:tr>
        <w:trPr>
          <w:trHeight w:val="203"/>
        </w:trPr>
        <w:tc>
          <w:tcPr>
            <w:tcW w:w="400" w:type="dxa"/>
            <w:vAlign w:val="bottom"/>
          </w:tcPr>
          <w:p>
            <w:pPr>
              <w:spacing w:after="0"/>
              <w:rPr>
                <w:sz w:val="17"/>
                <w:szCs w:val="17"/>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b w:val="1"/>
                <w:bCs w:val="1"/>
                <w:color w:val="auto"/>
              </w:rPr>
              <w:t>339,286</w:t>
            </w:r>
          </w:p>
        </w:tc>
        <w:tc>
          <w:tcPr>
            <w:tcW w:w="480" w:type="dxa"/>
            <w:vAlign w:val="bottom"/>
          </w:tcPr>
          <w:p>
            <w:pPr>
              <w:spacing w:after="0"/>
              <w:rPr>
                <w:sz w:val="17"/>
                <w:szCs w:val="17"/>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b w:val="1"/>
                <w:bCs w:val="1"/>
                <w:color w:val="auto"/>
              </w:rPr>
              <w:t>81,013</w:t>
            </w: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b w:val="1"/>
                <w:bCs w:val="1"/>
                <w:color w:val="auto"/>
              </w:rPr>
              <w:t>61,154</w:t>
            </w:r>
          </w:p>
        </w:tc>
        <w:tc>
          <w:tcPr>
            <w:tcW w:w="3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481,453</w:t>
            </w:r>
          </w:p>
        </w:tc>
      </w:tr>
      <w:tr>
        <w:trPr>
          <w:trHeight w:val="203"/>
        </w:trPr>
        <w:tc>
          <w:tcPr>
            <w:tcW w:w="400" w:type="dxa"/>
            <w:vAlign w:val="bottom"/>
          </w:tcPr>
          <w:p>
            <w:pPr>
              <w:spacing w:after="0"/>
              <w:rPr>
                <w:sz w:val="17"/>
                <w:szCs w:val="17"/>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b w:val="1"/>
                <w:bCs w:val="1"/>
                <w:color w:val="auto"/>
              </w:rPr>
              <w:t>75,864</w:t>
            </w: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b w:val="1"/>
                <w:bCs w:val="1"/>
                <w:color w:val="auto"/>
              </w:rPr>
              <w:t>6,082</w:t>
            </w:r>
          </w:p>
        </w:tc>
        <w:tc>
          <w:tcPr>
            <w:tcW w:w="3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81,946</w:t>
            </w:r>
          </w:p>
        </w:tc>
      </w:tr>
      <w:tr>
        <w:trPr>
          <w:trHeight w:val="203"/>
        </w:trPr>
        <w:tc>
          <w:tcPr>
            <w:tcW w:w="400" w:type="dxa"/>
            <w:vAlign w:val="bottom"/>
          </w:tcPr>
          <w:p>
            <w:pPr>
              <w:spacing w:after="0"/>
              <w:rPr>
                <w:sz w:val="17"/>
                <w:szCs w:val="17"/>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b w:val="1"/>
                <w:bCs w:val="1"/>
                <w:color w:val="auto"/>
              </w:rPr>
              <w:t>57,261</w:t>
            </w: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57,261</w:t>
            </w:r>
          </w:p>
        </w:tc>
      </w:tr>
      <w:tr>
        <w:trPr>
          <w:trHeight w:val="203"/>
        </w:trPr>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b w:val="1"/>
                <w:bCs w:val="1"/>
                <w:color w:val="auto"/>
              </w:rPr>
              <w:t>88,106</w:t>
            </w: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88,106</w:t>
            </w:r>
          </w:p>
        </w:tc>
      </w:tr>
      <w:tr>
        <w:trPr>
          <w:trHeight w:val="203"/>
        </w:trPr>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b w:val="1"/>
                <w:bCs w:val="1"/>
                <w:color w:val="auto"/>
              </w:rPr>
              <w:t>6,940</w:t>
            </w:r>
          </w:p>
        </w:tc>
        <w:tc>
          <w:tcPr>
            <w:tcW w:w="3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6,940</w:t>
            </w:r>
          </w:p>
        </w:tc>
      </w:tr>
      <w:tr>
        <w:trPr>
          <w:trHeight w:val="207"/>
        </w:trPr>
        <w:tc>
          <w:tcPr>
            <w:tcW w:w="4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119,428</w:t>
            </w:r>
          </w:p>
        </w:tc>
        <w:tc>
          <w:tcPr>
            <w:tcW w:w="4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48,790</w:t>
            </w:r>
          </w:p>
        </w:tc>
        <w:tc>
          <w:tcPr>
            <w:tcW w:w="3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168,519</w:t>
            </w: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62,523</w:t>
            </w:r>
          </w:p>
        </w:tc>
        <w:tc>
          <w:tcPr>
            <w:tcW w:w="4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31,259</w:t>
            </w:r>
          </w:p>
        </w:tc>
        <w:tc>
          <w:tcPr>
            <w:tcW w:w="3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430,519</w:t>
            </w:r>
          </w:p>
        </w:tc>
      </w:tr>
      <w:tr>
        <w:trPr>
          <w:trHeight w:val="196"/>
        </w:trPr>
        <w:tc>
          <w:tcPr>
            <w:tcW w:w="40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w w:val="82"/>
              </w:rPr>
              <w:t>$</w:t>
            </w: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172,519</w:t>
            </w:r>
          </w:p>
        </w:tc>
        <w:tc>
          <w:tcPr>
            <w:tcW w:w="4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w:t>
            </w: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128,578</w:t>
            </w:r>
          </w:p>
        </w:tc>
        <w:tc>
          <w:tcPr>
            <w:tcW w:w="36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w:t>
            </w:r>
          </w:p>
        </w:tc>
        <w:tc>
          <w:tcPr>
            <w:tcW w:w="7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77,210</w:t>
            </w:r>
          </w:p>
        </w:tc>
        <w:tc>
          <w:tcPr>
            <w:tcW w:w="48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w:t>
            </w: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48,056</w:t>
            </w:r>
          </w:p>
        </w:tc>
        <w:tc>
          <w:tcPr>
            <w:tcW w:w="4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w:t>
            </w:r>
          </w:p>
        </w:tc>
        <w:tc>
          <w:tcPr>
            <w:tcW w:w="9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28,603</w:t>
            </w:r>
          </w:p>
        </w:tc>
        <w:tc>
          <w:tcPr>
            <w:tcW w:w="36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454,966</w:t>
            </w:r>
          </w:p>
        </w:tc>
      </w:tr>
      <w:tr>
        <w:trPr>
          <w:trHeight w:val="233"/>
        </w:trPr>
        <w:tc>
          <w:tcPr>
            <w:tcW w:w="400" w:type="dxa"/>
            <w:vAlign w:val="bottom"/>
          </w:tcPr>
          <w:p>
            <w:pPr>
              <w:spacing w:after="0"/>
              <w:rPr>
                <w:sz w:val="20"/>
                <w:szCs w:val="20"/>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b w:val="1"/>
                <w:bCs w:val="1"/>
                <w:color w:val="auto"/>
              </w:rPr>
              <w:t>13,666</w:t>
            </w:r>
          </w:p>
        </w:tc>
        <w:tc>
          <w:tcPr>
            <w:tcW w:w="480" w:type="dxa"/>
            <w:vAlign w:val="bottom"/>
          </w:tcPr>
          <w:p>
            <w:pPr>
              <w:spacing w:after="0"/>
              <w:rPr>
                <w:sz w:val="20"/>
                <w:szCs w:val="20"/>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b w:val="1"/>
                <w:bCs w:val="1"/>
                <w:color w:val="auto"/>
              </w:rPr>
              <w:t>4,661</w:t>
            </w:r>
          </w:p>
        </w:tc>
        <w:tc>
          <w:tcPr>
            <w:tcW w:w="360" w:type="dxa"/>
            <w:vAlign w:val="bottom"/>
          </w:tcPr>
          <w:p>
            <w:pPr>
              <w:spacing w:after="0"/>
              <w:rPr>
                <w:sz w:val="20"/>
                <w:szCs w:val="20"/>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b w:val="1"/>
                <w:bCs w:val="1"/>
                <w:color w:val="auto"/>
              </w:rPr>
              <w:t>5,894</w:t>
            </w:r>
          </w:p>
        </w:tc>
        <w:tc>
          <w:tcPr>
            <w:tcW w:w="480" w:type="dxa"/>
            <w:vAlign w:val="bottom"/>
          </w:tcPr>
          <w:p>
            <w:pPr>
              <w:spacing w:after="0"/>
              <w:rPr>
                <w:sz w:val="20"/>
                <w:szCs w:val="20"/>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b w:val="1"/>
                <w:bCs w:val="1"/>
                <w:color w:val="auto"/>
              </w:rPr>
              <w:t>3,727</w:t>
            </w:r>
          </w:p>
        </w:tc>
        <w:tc>
          <w:tcPr>
            <w:tcW w:w="480" w:type="dxa"/>
            <w:vAlign w:val="bottom"/>
          </w:tcPr>
          <w:p>
            <w:pPr>
              <w:spacing w:after="0"/>
              <w:rPr>
                <w:sz w:val="20"/>
                <w:szCs w:val="20"/>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b w:val="1"/>
                <w:bCs w:val="1"/>
                <w:color w:val="auto"/>
              </w:rPr>
              <w:t>102</w:t>
            </w: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28,050</w:t>
            </w:r>
          </w:p>
        </w:tc>
      </w:tr>
      <w:tr>
        <w:trPr>
          <w:trHeight w:val="203"/>
        </w:trPr>
        <w:tc>
          <w:tcPr>
            <w:tcW w:w="400" w:type="dxa"/>
            <w:vAlign w:val="bottom"/>
          </w:tcPr>
          <w:p>
            <w:pPr>
              <w:spacing w:after="0"/>
              <w:rPr>
                <w:sz w:val="17"/>
                <w:szCs w:val="17"/>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b w:val="1"/>
                <w:bCs w:val="1"/>
                <w:color w:val="auto"/>
              </w:rPr>
              <w:t>17,237</w:t>
            </w:r>
          </w:p>
        </w:tc>
        <w:tc>
          <w:tcPr>
            <w:tcW w:w="480" w:type="dxa"/>
            <w:vAlign w:val="bottom"/>
          </w:tcPr>
          <w:p>
            <w:pPr>
              <w:spacing w:after="0"/>
              <w:rPr>
                <w:sz w:val="17"/>
                <w:szCs w:val="17"/>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b w:val="1"/>
                <w:bCs w:val="1"/>
                <w:color w:val="auto"/>
              </w:rPr>
              <w:t>6,952</w:t>
            </w:r>
          </w:p>
        </w:tc>
        <w:tc>
          <w:tcPr>
            <w:tcW w:w="360" w:type="dxa"/>
            <w:vAlign w:val="bottom"/>
          </w:tcPr>
          <w:p>
            <w:pPr>
              <w:spacing w:after="0"/>
              <w:rPr>
                <w:sz w:val="17"/>
                <w:szCs w:val="17"/>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b w:val="1"/>
                <w:bCs w:val="1"/>
                <w:color w:val="auto"/>
              </w:rPr>
              <w:t>5,779</w:t>
            </w:r>
          </w:p>
        </w:tc>
        <w:tc>
          <w:tcPr>
            <w:tcW w:w="480" w:type="dxa"/>
            <w:vAlign w:val="bottom"/>
          </w:tcPr>
          <w:p>
            <w:pPr>
              <w:spacing w:after="0"/>
              <w:rPr>
                <w:sz w:val="17"/>
                <w:szCs w:val="17"/>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b w:val="1"/>
                <w:bCs w:val="1"/>
                <w:color w:val="auto"/>
              </w:rPr>
              <w:t>9,027</w:t>
            </w:r>
          </w:p>
        </w:tc>
        <w:tc>
          <w:tcPr>
            <w:tcW w:w="480" w:type="dxa"/>
            <w:vAlign w:val="bottom"/>
          </w:tcPr>
          <w:p>
            <w:pPr>
              <w:spacing w:after="0"/>
              <w:rPr>
                <w:sz w:val="17"/>
                <w:szCs w:val="17"/>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b w:val="1"/>
                <w:bCs w:val="1"/>
                <w:color w:val="auto"/>
              </w:rPr>
              <w:t>5,775</w:t>
            </w:r>
          </w:p>
        </w:tc>
        <w:tc>
          <w:tcPr>
            <w:tcW w:w="3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44,770</w:t>
            </w:r>
          </w:p>
        </w:tc>
      </w:tr>
      <w:tr>
        <w:trPr>
          <w:trHeight w:val="62"/>
        </w:trPr>
        <w:tc>
          <w:tcPr>
            <w:tcW w:w="4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r>
      <w:tr>
        <w:trPr>
          <w:trHeight w:val="462"/>
        </w:trPr>
        <w:tc>
          <w:tcPr>
            <w:tcW w:w="40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w w:val="82"/>
              </w:rPr>
              <w:t>$</w:t>
            </w: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141,616</w:t>
            </w:r>
          </w:p>
        </w:tc>
        <w:tc>
          <w:tcPr>
            <w:tcW w:w="4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w:t>
            </w: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116,965</w:t>
            </w:r>
          </w:p>
        </w:tc>
        <w:tc>
          <w:tcPr>
            <w:tcW w:w="36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w:t>
            </w:r>
          </w:p>
        </w:tc>
        <w:tc>
          <w:tcPr>
            <w:tcW w:w="7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65,537</w:t>
            </w:r>
          </w:p>
        </w:tc>
        <w:tc>
          <w:tcPr>
            <w:tcW w:w="48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w:t>
            </w: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35,302</w:t>
            </w:r>
          </w:p>
        </w:tc>
        <w:tc>
          <w:tcPr>
            <w:tcW w:w="4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w:t>
            </w:r>
          </w:p>
        </w:tc>
        <w:tc>
          <w:tcPr>
            <w:tcW w:w="9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22,726</w:t>
            </w:r>
          </w:p>
        </w:tc>
        <w:tc>
          <w:tcPr>
            <w:tcW w:w="36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382,146</w:t>
            </w:r>
          </w:p>
        </w:tc>
      </w:tr>
      <w:tr>
        <w:trPr>
          <w:trHeight w:val="233"/>
        </w:trPr>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(61,602)</w:t>
            </w:r>
          </w:p>
        </w:tc>
      </w:tr>
      <w:tr>
        <w:trPr>
          <w:trHeight w:val="203"/>
        </w:trPr>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(56,719)</w:t>
            </w:r>
          </w:p>
        </w:tc>
      </w:tr>
      <w:tr>
        <w:trPr>
          <w:trHeight w:val="203"/>
        </w:trPr>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(17,808)</w:t>
            </w:r>
          </w:p>
        </w:tc>
      </w:tr>
      <w:tr>
        <w:trPr>
          <w:trHeight w:val="207"/>
        </w:trPr>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(19,029)</w:t>
            </w:r>
          </w:p>
        </w:tc>
      </w:tr>
      <w:tr>
        <w:trPr>
          <w:trHeight w:val="196"/>
        </w:trPr>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226,988</w:t>
            </w:r>
          </w:p>
        </w:tc>
      </w:tr>
      <w:tr>
        <w:trPr>
          <w:trHeight w:val="192"/>
        </w:trPr>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11,397</w:t>
            </w:r>
          </w:p>
        </w:tc>
      </w:tr>
      <w:tr>
        <w:trPr>
          <w:trHeight w:val="203"/>
        </w:trPr>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(43,221)</w:t>
            </w:r>
          </w:p>
        </w:tc>
      </w:tr>
      <w:tr>
        <w:trPr>
          <w:trHeight w:val="351"/>
        </w:trPr>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248,323</w:t>
            </w:r>
          </w:p>
        </w:tc>
      </w:tr>
      <w:tr>
        <w:trPr>
          <w:trHeight w:val="203"/>
        </w:trPr>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17,929</w:t>
            </w:r>
          </w:p>
        </w:tc>
      </w:tr>
      <w:tr>
        <w:trPr>
          <w:trHeight w:val="207"/>
        </w:trPr>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(4,146)</w:t>
            </w:r>
          </w:p>
        </w:tc>
      </w:tr>
      <w:tr>
        <w:trPr>
          <w:trHeight w:val="196"/>
        </w:trPr>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457,270</w:t>
            </w:r>
          </w:p>
        </w:tc>
      </w:tr>
      <w:tr>
        <w:trPr>
          <w:trHeight w:val="24"/>
        </w:trPr>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323"/>
        </w:trPr>
        <w:tc>
          <w:tcPr>
            <w:tcW w:w="400" w:type="dxa"/>
            <w:vAlign w:val="bottom"/>
          </w:tcPr>
          <w:p>
            <w:pPr>
              <w:jc w:val="right"/>
              <w:ind w:right="257"/>
              <w:spacing w:after="0"/>
              <w:rPr>
                <w:sz w:val="20"/>
                <w:szCs w:val="20"/>
                <w:color w:val="auto"/>
              </w:rPr>
            </w:pPr>
            <w:r>
              <w:rPr>
                <w:rFonts w:ascii="Arial" w:cs="Arial" w:eastAsia="Arial" w:hAnsi="Arial"/>
                <w:sz w:val="13"/>
                <w:szCs w:val="13"/>
                <w:b w:val="1"/>
                <w:bCs w:val="1"/>
                <w:color w:val="auto"/>
                <w:w w:val="82"/>
              </w:rPr>
              <w:t>$</w:t>
            </w:r>
          </w:p>
        </w:tc>
        <w:tc>
          <w:tcPr>
            <w:tcW w:w="860" w:type="dxa"/>
            <w:vAlign w:val="bottom"/>
          </w:tcPr>
          <w:p>
            <w:pPr>
              <w:jc w:val="right"/>
              <w:ind w:right="37"/>
              <w:spacing w:after="0"/>
              <w:rPr>
                <w:sz w:val="20"/>
                <w:szCs w:val="20"/>
                <w:color w:val="auto"/>
              </w:rPr>
            </w:pPr>
            <w:r>
              <w:rPr>
                <w:rFonts w:ascii="Arial" w:cs="Arial" w:eastAsia="Arial" w:hAnsi="Arial"/>
                <w:sz w:val="13"/>
                <w:szCs w:val="13"/>
                <w:b w:val="1"/>
                <w:bCs w:val="1"/>
                <w:color w:val="auto"/>
              </w:rPr>
              <w:t>14,430</w:t>
            </w:r>
          </w:p>
        </w:tc>
        <w:tc>
          <w:tcPr>
            <w:tcW w:w="480" w:type="dxa"/>
            <w:vAlign w:val="bottom"/>
          </w:tcPr>
          <w:p>
            <w:pPr>
              <w:jc w:val="right"/>
              <w:ind w:right="257"/>
              <w:spacing w:after="0"/>
              <w:rPr>
                <w:sz w:val="20"/>
                <w:szCs w:val="20"/>
                <w:color w:val="auto"/>
              </w:rPr>
            </w:pPr>
            <w:r>
              <w:rPr>
                <w:rFonts w:ascii="Arial" w:cs="Arial" w:eastAsia="Arial" w:hAnsi="Arial"/>
                <w:sz w:val="13"/>
                <w:szCs w:val="13"/>
                <w:b w:val="1"/>
                <w:bCs w:val="1"/>
                <w:color w:val="auto"/>
              </w:rPr>
              <w:t>$</w:t>
            </w:r>
          </w:p>
        </w:tc>
        <w:tc>
          <w:tcPr>
            <w:tcW w:w="860" w:type="dxa"/>
            <w:vAlign w:val="bottom"/>
          </w:tcPr>
          <w:p>
            <w:pPr>
              <w:jc w:val="right"/>
              <w:ind w:right="37"/>
              <w:spacing w:after="0"/>
              <w:rPr>
                <w:sz w:val="20"/>
                <w:szCs w:val="20"/>
                <w:color w:val="auto"/>
              </w:rPr>
            </w:pPr>
            <w:r>
              <w:rPr>
                <w:rFonts w:ascii="Arial" w:cs="Arial" w:eastAsia="Arial" w:hAnsi="Arial"/>
                <w:sz w:val="13"/>
                <w:szCs w:val="13"/>
                <w:b w:val="1"/>
                <w:bCs w:val="1"/>
                <w:color w:val="auto"/>
              </w:rPr>
              <w:t>5,908</w:t>
            </w:r>
          </w:p>
        </w:tc>
        <w:tc>
          <w:tcPr>
            <w:tcW w:w="360" w:type="dxa"/>
            <w:vAlign w:val="bottom"/>
          </w:tcPr>
          <w:p>
            <w:pPr>
              <w:jc w:val="right"/>
              <w:ind w:right="137"/>
              <w:spacing w:after="0"/>
              <w:rPr>
                <w:sz w:val="20"/>
                <w:szCs w:val="20"/>
                <w:color w:val="auto"/>
              </w:rPr>
            </w:pPr>
            <w:r>
              <w:rPr>
                <w:rFonts w:ascii="Arial" w:cs="Arial" w:eastAsia="Arial" w:hAnsi="Arial"/>
                <w:sz w:val="13"/>
                <w:szCs w:val="13"/>
                <w:b w:val="1"/>
                <w:bCs w:val="1"/>
                <w:color w:val="auto"/>
              </w:rPr>
              <w:t>$</w:t>
            </w:r>
          </w:p>
        </w:tc>
        <w:tc>
          <w:tcPr>
            <w:tcW w:w="760" w:type="dxa"/>
            <w:vAlign w:val="bottom"/>
          </w:tcPr>
          <w:p>
            <w:pPr>
              <w:jc w:val="right"/>
              <w:ind w:right="17"/>
              <w:spacing w:after="0"/>
              <w:rPr>
                <w:sz w:val="20"/>
                <w:szCs w:val="20"/>
                <w:color w:val="auto"/>
              </w:rPr>
            </w:pPr>
            <w:r>
              <w:rPr>
                <w:rFonts w:ascii="Arial" w:cs="Arial" w:eastAsia="Arial" w:hAnsi="Arial"/>
                <w:sz w:val="13"/>
                <w:szCs w:val="13"/>
                <w:b w:val="1"/>
                <w:bCs w:val="1"/>
                <w:color w:val="auto"/>
              </w:rPr>
              <w:t>20,267</w:t>
            </w:r>
          </w:p>
        </w:tc>
        <w:tc>
          <w:tcPr>
            <w:tcW w:w="480" w:type="dxa"/>
            <w:vAlign w:val="bottom"/>
          </w:tcPr>
          <w:p>
            <w:pPr>
              <w:jc w:val="right"/>
              <w:ind w:right="237"/>
              <w:spacing w:after="0"/>
              <w:rPr>
                <w:sz w:val="20"/>
                <w:szCs w:val="20"/>
                <w:color w:val="auto"/>
              </w:rPr>
            </w:pPr>
            <w:r>
              <w:rPr>
                <w:rFonts w:ascii="Arial" w:cs="Arial" w:eastAsia="Arial" w:hAnsi="Arial"/>
                <w:sz w:val="13"/>
                <w:szCs w:val="13"/>
                <w:b w:val="1"/>
                <w:bCs w:val="1"/>
                <w:color w:val="auto"/>
              </w:rPr>
              <w:t>$</w:t>
            </w:r>
          </w:p>
        </w:tc>
        <w:tc>
          <w:tcPr>
            <w:tcW w:w="880" w:type="dxa"/>
            <w:vAlign w:val="bottom"/>
          </w:tcPr>
          <w:p>
            <w:pPr>
              <w:jc w:val="right"/>
              <w:ind w:right="37"/>
              <w:spacing w:after="0"/>
              <w:rPr>
                <w:sz w:val="20"/>
                <w:szCs w:val="20"/>
                <w:color w:val="auto"/>
              </w:rPr>
            </w:pPr>
            <w:r>
              <w:rPr>
                <w:rFonts w:ascii="Arial" w:cs="Arial" w:eastAsia="Arial" w:hAnsi="Arial"/>
                <w:sz w:val="13"/>
                <w:szCs w:val="13"/>
                <w:b w:val="1"/>
                <w:bCs w:val="1"/>
                <w:color w:val="auto"/>
              </w:rPr>
              <w:t>7,568</w:t>
            </w:r>
          </w:p>
        </w:tc>
        <w:tc>
          <w:tcPr>
            <w:tcW w:w="480" w:type="dxa"/>
            <w:vAlign w:val="bottom"/>
          </w:tcPr>
          <w:p>
            <w:pPr>
              <w:jc w:val="right"/>
              <w:ind w:right="257"/>
              <w:spacing w:after="0"/>
              <w:rPr>
                <w:sz w:val="20"/>
                <w:szCs w:val="20"/>
                <w:color w:val="auto"/>
              </w:rPr>
            </w:pPr>
            <w:r>
              <w:rPr>
                <w:rFonts w:ascii="Arial" w:cs="Arial" w:eastAsia="Arial" w:hAnsi="Arial"/>
                <w:sz w:val="13"/>
                <w:szCs w:val="13"/>
                <w:b w:val="1"/>
                <w:bCs w:val="1"/>
                <w:color w:val="auto"/>
              </w:rPr>
              <w:t>$</w:t>
            </w:r>
          </w:p>
        </w:tc>
        <w:tc>
          <w:tcPr>
            <w:tcW w:w="920" w:type="dxa"/>
            <w:vAlign w:val="bottom"/>
          </w:tcPr>
          <w:p>
            <w:pPr>
              <w:jc w:val="right"/>
              <w:ind w:right="97"/>
              <w:spacing w:after="0"/>
              <w:rPr>
                <w:sz w:val="20"/>
                <w:szCs w:val="20"/>
                <w:color w:val="auto"/>
              </w:rPr>
            </w:pPr>
            <w:r>
              <w:rPr>
                <w:rFonts w:ascii="Arial" w:cs="Arial" w:eastAsia="Arial" w:hAnsi="Arial"/>
                <w:sz w:val="13"/>
                <w:szCs w:val="13"/>
                <w:b w:val="1"/>
                <w:bCs w:val="1"/>
                <w:color w:val="auto"/>
              </w:rPr>
              <w:t>10,473</w:t>
            </w:r>
          </w:p>
        </w:tc>
        <w:tc>
          <w:tcPr>
            <w:tcW w:w="360" w:type="dxa"/>
            <w:vAlign w:val="bottom"/>
          </w:tcPr>
          <w:p>
            <w:pPr>
              <w:jc w:val="right"/>
              <w:ind w:right="197"/>
              <w:spacing w:after="0"/>
              <w:rPr>
                <w:sz w:val="20"/>
                <w:szCs w:val="20"/>
                <w:color w:val="auto"/>
              </w:rPr>
            </w:pPr>
            <w:r>
              <w:rPr>
                <w:rFonts w:ascii="Arial" w:cs="Arial" w:eastAsia="Arial" w:hAnsi="Arial"/>
                <w:sz w:val="13"/>
                <w:szCs w:val="13"/>
                <w:b w:val="1"/>
                <w:bCs w:val="1"/>
                <w:color w:val="auto"/>
              </w:rPr>
              <w:t>$</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58,646</w:t>
            </w:r>
          </w:p>
        </w:tc>
      </w:tr>
      <w:tr>
        <w:trPr>
          <w:trHeight w:val="558"/>
        </w:trPr>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21,535</w:t>
            </w:r>
          </w:p>
        </w:tc>
      </w:tr>
      <w:tr>
        <w:trPr>
          <w:trHeight w:val="196"/>
        </w:trPr>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80,181</w:t>
            </w:r>
          </w:p>
        </w:tc>
      </w:tr>
    </w:tbl>
    <w:p>
      <w:pPr>
        <w:spacing w:after="0" w:line="200" w:lineRule="exact"/>
        <w:rPr>
          <w:sz w:val="20"/>
          <w:szCs w:val="20"/>
          <w:color w:val="auto"/>
        </w:rPr>
      </w:pPr>
    </w:p>
    <w:p>
      <w:pPr>
        <w:sectPr>
          <w:pgSz w:w="11900" w:h="16838" w:orient="portrait"/>
          <w:cols w:equalWidth="0" w:num="2">
            <w:col w:w="3280" w:space="40"/>
            <w:col w:w="7720"/>
          </w:cols>
          <w:pgMar w:left="320" w:top="931" w:right="539" w:bottom="1440" w:gutter="0" w:footer="0" w:header="0"/>
          <w:type w:val="continuous"/>
        </w:sectPr>
      </w:pPr>
    </w:p>
    <w:p>
      <w:pPr>
        <w:spacing w:after="0" w:line="70" w:lineRule="exact"/>
        <w:rPr>
          <w:sz w:val="20"/>
          <w:szCs w:val="20"/>
          <w:color w:val="auto"/>
        </w:rPr>
      </w:pPr>
    </w:p>
    <w:p>
      <w:pPr>
        <w:ind w:left="360" w:hanging="334"/>
        <w:spacing w:after="0" w:line="259" w:lineRule="auto"/>
        <w:tabs>
          <w:tab w:leader="none" w:pos="360" w:val="left"/>
        </w:tabs>
        <w:numPr>
          <w:ilvl w:val="0"/>
          <w:numId w:val="14"/>
        </w:numPr>
        <w:rPr>
          <w:rFonts w:ascii="Arial" w:cs="Arial" w:eastAsia="Arial" w:hAnsi="Arial"/>
          <w:sz w:val="11"/>
          <w:szCs w:val="11"/>
          <w:color w:val="auto"/>
        </w:rPr>
      </w:pPr>
      <w:r>
        <w:rPr>
          <w:rFonts w:ascii="Arial" w:cs="Arial" w:eastAsia="Arial" w:hAnsi="Arial"/>
          <w:sz w:val="11"/>
          <w:szCs w:val="11"/>
          <w:color w:val="auto"/>
        </w:rPr>
        <w:t>Revenue from segments below the quantitative thresholds is attributable to Other Businesses and the Corporate Office, as described above. None of these operating segments meet the quantitative thresholds for determining reportable segments.</w:t>
      </w:r>
    </w:p>
    <w:p>
      <w:pPr>
        <w:spacing w:after="0" w:line="37" w:lineRule="exact"/>
        <w:rPr>
          <w:rFonts w:ascii="Arial" w:cs="Arial" w:eastAsia="Arial" w:hAnsi="Arial"/>
          <w:sz w:val="11"/>
          <w:szCs w:val="11"/>
          <w:color w:val="auto"/>
        </w:rPr>
      </w:pPr>
    </w:p>
    <w:p>
      <w:pPr>
        <w:ind w:left="360" w:hanging="334"/>
        <w:spacing w:after="0"/>
        <w:tabs>
          <w:tab w:leader="none" w:pos="360" w:val="left"/>
        </w:tabs>
        <w:numPr>
          <w:ilvl w:val="0"/>
          <w:numId w:val="14"/>
        </w:numPr>
        <w:rPr>
          <w:rFonts w:ascii="Arial" w:cs="Arial" w:eastAsia="Arial" w:hAnsi="Arial"/>
          <w:sz w:val="11"/>
          <w:szCs w:val="11"/>
          <w:color w:val="auto"/>
        </w:rPr>
      </w:pPr>
      <w:r>
        <w:rPr>
          <w:rFonts w:ascii="Arial" w:cs="Arial" w:eastAsia="Arial" w:hAnsi="Arial"/>
          <w:sz w:val="11"/>
          <w:szCs w:val="11"/>
          <w:color w:val="auto"/>
        </w:rPr>
        <w:t>The significant expense categories and amounts align with the segment-level information that is regularly provided to the CODM.</w:t>
      </w:r>
    </w:p>
    <w:p>
      <w:pPr>
        <w:spacing w:after="0" w:line="62" w:lineRule="exact"/>
        <w:rPr>
          <w:rFonts w:ascii="Arial" w:cs="Arial" w:eastAsia="Arial" w:hAnsi="Arial"/>
          <w:sz w:val="11"/>
          <w:szCs w:val="11"/>
          <w:color w:val="auto"/>
        </w:rPr>
      </w:pPr>
    </w:p>
    <w:p>
      <w:pPr>
        <w:ind w:left="360" w:right="200" w:hanging="334"/>
        <w:spacing w:after="0" w:line="259" w:lineRule="auto"/>
        <w:tabs>
          <w:tab w:leader="none" w:pos="360" w:val="left"/>
        </w:tabs>
        <w:numPr>
          <w:ilvl w:val="0"/>
          <w:numId w:val="14"/>
        </w:numPr>
        <w:rPr>
          <w:rFonts w:ascii="Arial" w:cs="Arial" w:eastAsia="Arial" w:hAnsi="Arial"/>
          <w:sz w:val="11"/>
          <w:szCs w:val="11"/>
          <w:color w:val="auto"/>
        </w:rPr>
      </w:pPr>
      <w:r>
        <w:rPr>
          <w:rFonts w:ascii="Arial" w:cs="Arial" w:eastAsia="Arial" w:hAnsi="Arial"/>
          <w:sz w:val="11"/>
          <w:szCs w:val="11"/>
          <w:color w:val="auto"/>
        </w:rPr>
        <w:t>Cost of revenue reflects the amounts reported and provided to the CODM and does not necessarily reconcile to the Company's Consolidated Statement of Operations or align across reportable segments. Cost of revenue excludes charges related to depreciation, which is shown separately above.</w:t>
      </w:r>
    </w:p>
    <w:p>
      <w:pPr>
        <w:spacing w:after="0" w:line="37" w:lineRule="exact"/>
        <w:rPr>
          <w:rFonts w:ascii="Arial" w:cs="Arial" w:eastAsia="Arial" w:hAnsi="Arial"/>
          <w:sz w:val="11"/>
          <w:szCs w:val="11"/>
          <w:color w:val="auto"/>
        </w:rPr>
      </w:pPr>
    </w:p>
    <w:p>
      <w:pPr>
        <w:ind w:left="360" w:hanging="334"/>
        <w:spacing w:after="0"/>
        <w:tabs>
          <w:tab w:leader="none" w:pos="360" w:val="left"/>
        </w:tabs>
        <w:numPr>
          <w:ilvl w:val="0"/>
          <w:numId w:val="14"/>
        </w:numPr>
        <w:rPr>
          <w:rFonts w:ascii="Arial" w:cs="Arial" w:eastAsia="Arial" w:hAnsi="Arial"/>
          <w:sz w:val="11"/>
          <w:szCs w:val="11"/>
          <w:color w:val="auto"/>
        </w:rPr>
      </w:pPr>
      <w:r>
        <w:rPr>
          <w:rFonts w:ascii="Arial" w:cs="Arial" w:eastAsia="Arial" w:hAnsi="Arial"/>
          <w:sz w:val="11"/>
          <w:szCs w:val="11"/>
          <w:color w:val="auto"/>
        </w:rPr>
        <w:t>Excludes pension service cost, which is shown separately above. Excludes any payroll and related benefits costs captured in cost of revenue.</w:t>
      </w:r>
    </w:p>
    <w:p>
      <w:pPr>
        <w:spacing w:after="0" w:line="62" w:lineRule="exact"/>
        <w:rPr>
          <w:rFonts w:ascii="Arial" w:cs="Arial" w:eastAsia="Arial" w:hAnsi="Arial"/>
          <w:sz w:val="11"/>
          <w:szCs w:val="11"/>
          <w:color w:val="auto"/>
        </w:rPr>
      </w:pPr>
    </w:p>
    <w:p>
      <w:pPr>
        <w:ind w:left="360" w:hanging="334"/>
        <w:spacing w:after="0"/>
        <w:tabs>
          <w:tab w:leader="none" w:pos="360" w:val="left"/>
        </w:tabs>
        <w:numPr>
          <w:ilvl w:val="0"/>
          <w:numId w:val="14"/>
        </w:numPr>
        <w:rPr>
          <w:rFonts w:ascii="Arial" w:cs="Arial" w:eastAsia="Arial" w:hAnsi="Arial"/>
          <w:sz w:val="11"/>
          <w:szCs w:val="11"/>
          <w:color w:val="auto"/>
        </w:rPr>
      </w:pPr>
      <w:r>
        <w:rPr>
          <w:rFonts w:ascii="Arial" w:cs="Arial" w:eastAsia="Arial" w:hAnsi="Arial"/>
          <w:sz w:val="11"/>
          <w:szCs w:val="11"/>
          <w:color w:val="auto"/>
        </w:rPr>
        <w:t>Management and operating services provided by Christopher J. Ourisman and his team of industry professionals.</w:t>
      </w:r>
    </w:p>
    <w:p>
      <w:pPr>
        <w:spacing w:after="0" w:line="62" w:lineRule="exact"/>
        <w:rPr>
          <w:rFonts w:ascii="Arial" w:cs="Arial" w:eastAsia="Arial" w:hAnsi="Arial"/>
          <w:sz w:val="11"/>
          <w:szCs w:val="11"/>
          <w:color w:val="auto"/>
        </w:rPr>
      </w:pPr>
    </w:p>
    <w:p>
      <w:pPr>
        <w:ind w:left="360" w:hanging="334"/>
        <w:spacing w:after="0"/>
        <w:tabs>
          <w:tab w:leader="none" w:pos="360" w:val="left"/>
        </w:tabs>
        <w:numPr>
          <w:ilvl w:val="0"/>
          <w:numId w:val="14"/>
        </w:numPr>
        <w:rPr>
          <w:rFonts w:ascii="Arial" w:cs="Arial" w:eastAsia="Arial" w:hAnsi="Arial"/>
          <w:sz w:val="11"/>
          <w:szCs w:val="11"/>
          <w:color w:val="auto"/>
        </w:rPr>
      </w:pPr>
      <w:r>
        <w:rPr>
          <w:rFonts w:ascii="Arial" w:cs="Arial" w:eastAsia="Arial" w:hAnsi="Arial"/>
          <w:sz w:val="11"/>
          <w:szCs w:val="11"/>
          <w:color w:val="auto"/>
        </w:rPr>
        <w:t>Other segment items for each reportable segment include:</w:t>
      </w:r>
    </w:p>
    <w:p>
      <w:pPr>
        <w:spacing w:after="0" w:line="62" w:lineRule="exact"/>
        <w:rPr>
          <w:rFonts w:ascii="Arial" w:cs="Arial" w:eastAsia="Arial" w:hAnsi="Arial"/>
          <w:sz w:val="11"/>
          <w:szCs w:val="11"/>
          <w:color w:val="auto"/>
        </w:rPr>
      </w:pPr>
    </w:p>
    <w:p>
      <w:pPr>
        <w:ind w:left="660" w:right="200" w:hanging="310"/>
        <w:spacing w:after="0" w:line="259" w:lineRule="auto"/>
        <w:tabs>
          <w:tab w:leader="none" w:pos="660" w:val="left"/>
        </w:tabs>
        <w:numPr>
          <w:ilvl w:val="1"/>
          <w:numId w:val="14"/>
        </w:numPr>
        <w:rPr>
          <w:rFonts w:ascii="Arial" w:cs="Arial" w:eastAsia="Arial" w:hAnsi="Arial"/>
          <w:sz w:val="11"/>
          <w:szCs w:val="11"/>
          <w:color w:val="auto"/>
        </w:rPr>
      </w:pPr>
      <w:r>
        <w:rPr>
          <w:rFonts w:ascii="Arial" w:cs="Arial" w:eastAsia="Arial" w:hAnsi="Arial"/>
          <w:sz w:val="11"/>
          <w:szCs w:val="11"/>
          <w:color w:val="auto"/>
        </w:rPr>
        <w:t>Education (includes Kaplan International, Kaplan Higher Education and Kaplan Supplemental Education) - training and employment expense, travel meals and entertainment expense, operating fees and other G&amp;A expenses.</w:t>
      </w:r>
    </w:p>
    <w:p>
      <w:pPr>
        <w:spacing w:after="0" w:line="37" w:lineRule="exact"/>
        <w:rPr>
          <w:rFonts w:ascii="Arial" w:cs="Arial" w:eastAsia="Arial" w:hAnsi="Arial"/>
          <w:sz w:val="11"/>
          <w:szCs w:val="11"/>
          <w:color w:val="auto"/>
        </w:rPr>
      </w:pPr>
    </w:p>
    <w:p>
      <w:pPr>
        <w:ind w:left="660" w:hanging="310"/>
        <w:spacing w:after="0"/>
        <w:tabs>
          <w:tab w:leader="none" w:pos="660" w:val="left"/>
        </w:tabs>
        <w:numPr>
          <w:ilvl w:val="1"/>
          <w:numId w:val="14"/>
        </w:numPr>
        <w:rPr>
          <w:rFonts w:ascii="Arial" w:cs="Arial" w:eastAsia="Arial" w:hAnsi="Arial"/>
          <w:sz w:val="11"/>
          <w:szCs w:val="11"/>
          <w:color w:val="auto"/>
        </w:rPr>
      </w:pPr>
      <w:r>
        <w:rPr>
          <w:rFonts w:ascii="Arial" w:cs="Arial" w:eastAsia="Arial" w:hAnsi="Arial"/>
          <w:sz w:val="11"/>
          <w:szCs w:val="11"/>
          <w:color w:val="auto"/>
        </w:rPr>
        <w:t>Television Broadcasting - other broadcast expenses, facilities expenses, third-party commission costs and other SG&amp;A expenses.</w:t>
      </w:r>
    </w:p>
    <w:p>
      <w:pPr>
        <w:spacing w:after="0" w:line="62" w:lineRule="exact"/>
        <w:rPr>
          <w:rFonts w:ascii="Arial" w:cs="Arial" w:eastAsia="Arial" w:hAnsi="Arial"/>
          <w:sz w:val="11"/>
          <w:szCs w:val="11"/>
          <w:color w:val="auto"/>
        </w:rPr>
      </w:pPr>
    </w:p>
    <w:p>
      <w:pPr>
        <w:ind w:left="660" w:hanging="310"/>
        <w:spacing w:after="0"/>
        <w:tabs>
          <w:tab w:leader="none" w:pos="660" w:val="left"/>
        </w:tabs>
        <w:numPr>
          <w:ilvl w:val="1"/>
          <w:numId w:val="14"/>
        </w:numPr>
        <w:rPr>
          <w:rFonts w:ascii="Arial" w:cs="Arial" w:eastAsia="Arial" w:hAnsi="Arial"/>
          <w:sz w:val="11"/>
          <w:szCs w:val="11"/>
          <w:color w:val="auto"/>
        </w:rPr>
      </w:pPr>
      <w:r>
        <w:rPr>
          <w:rFonts w:ascii="Arial" w:cs="Arial" w:eastAsia="Arial" w:hAnsi="Arial"/>
          <w:sz w:val="11"/>
          <w:szCs w:val="11"/>
          <w:color w:val="auto"/>
        </w:rPr>
        <w:t>Healthcare - indirect costs (e.g. payroll and benefits expenses, G&amp;A expenses) and other SG&amp;A expenses.</w:t>
      </w:r>
    </w:p>
    <w:p>
      <w:pPr>
        <w:spacing w:after="0" w:line="62" w:lineRule="exact"/>
        <w:rPr>
          <w:rFonts w:ascii="Arial" w:cs="Arial" w:eastAsia="Arial" w:hAnsi="Arial"/>
          <w:sz w:val="11"/>
          <w:szCs w:val="11"/>
          <w:color w:val="auto"/>
        </w:rPr>
      </w:pPr>
    </w:p>
    <w:p>
      <w:pPr>
        <w:ind w:left="660" w:hanging="310"/>
        <w:spacing w:after="0"/>
        <w:tabs>
          <w:tab w:leader="none" w:pos="660" w:val="left"/>
        </w:tabs>
        <w:numPr>
          <w:ilvl w:val="1"/>
          <w:numId w:val="14"/>
        </w:numPr>
        <w:rPr>
          <w:rFonts w:ascii="Arial" w:cs="Arial" w:eastAsia="Arial" w:hAnsi="Arial"/>
          <w:sz w:val="11"/>
          <w:szCs w:val="11"/>
          <w:color w:val="auto"/>
        </w:rPr>
      </w:pPr>
      <w:r>
        <w:rPr>
          <w:rFonts w:ascii="Arial" w:cs="Arial" w:eastAsia="Arial" w:hAnsi="Arial"/>
          <w:sz w:val="11"/>
          <w:szCs w:val="11"/>
          <w:color w:val="auto"/>
        </w:rPr>
        <w:t>Manufacturing - payroll and fringe benefits expense (SG&amp;A) and other SG&amp;A expenses.</w:t>
      </w:r>
    </w:p>
    <w:p>
      <w:pPr>
        <w:spacing w:after="0" w:line="62" w:lineRule="exact"/>
        <w:rPr>
          <w:rFonts w:ascii="Arial" w:cs="Arial" w:eastAsia="Arial" w:hAnsi="Arial"/>
          <w:sz w:val="11"/>
          <w:szCs w:val="11"/>
          <w:color w:val="auto"/>
        </w:rPr>
      </w:pPr>
    </w:p>
    <w:p>
      <w:pPr>
        <w:ind w:left="660" w:hanging="310"/>
        <w:spacing w:after="0"/>
        <w:tabs>
          <w:tab w:leader="none" w:pos="660" w:val="left"/>
        </w:tabs>
        <w:numPr>
          <w:ilvl w:val="1"/>
          <w:numId w:val="14"/>
        </w:numPr>
        <w:rPr>
          <w:rFonts w:ascii="Arial" w:cs="Arial" w:eastAsia="Arial" w:hAnsi="Arial"/>
          <w:sz w:val="11"/>
          <w:szCs w:val="11"/>
          <w:color w:val="auto"/>
        </w:rPr>
      </w:pPr>
      <w:r>
        <w:rPr>
          <w:rFonts w:ascii="Arial" w:cs="Arial" w:eastAsia="Arial" w:hAnsi="Arial"/>
          <w:sz w:val="11"/>
          <w:szCs w:val="11"/>
          <w:color w:val="auto"/>
        </w:rPr>
        <w:t>Automotive - advertising and marketing expense and other G&amp;A expenses.</w:t>
      </w:r>
    </w:p>
    <w:p>
      <w:pPr>
        <w:spacing w:after="0" w:line="62" w:lineRule="exact"/>
        <w:rPr>
          <w:rFonts w:ascii="Arial" w:cs="Arial" w:eastAsia="Arial" w:hAnsi="Arial"/>
          <w:sz w:val="11"/>
          <w:szCs w:val="11"/>
          <w:color w:val="auto"/>
        </w:rPr>
      </w:pPr>
    </w:p>
    <w:p>
      <w:pPr>
        <w:ind w:left="360" w:right="400" w:hanging="334"/>
        <w:spacing w:after="0" w:line="259" w:lineRule="auto"/>
        <w:tabs>
          <w:tab w:leader="none" w:pos="360" w:val="left"/>
        </w:tabs>
        <w:numPr>
          <w:ilvl w:val="0"/>
          <w:numId w:val="14"/>
        </w:numPr>
        <w:rPr>
          <w:rFonts w:ascii="Arial" w:cs="Arial" w:eastAsia="Arial" w:hAnsi="Arial"/>
          <w:sz w:val="11"/>
          <w:szCs w:val="11"/>
          <w:color w:val="auto"/>
        </w:rPr>
      </w:pPr>
      <w:r>
        <w:rPr>
          <w:rFonts w:ascii="Arial" w:cs="Arial" w:eastAsia="Arial" w:hAnsi="Arial"/>
          <w:sz w:val="11"/>
          <w:szCs w:val="11"/>
          <w:color w:val="auto"/>
        </w:rPr>
        <w:t>Profit or loss from operating segments below the quantitative thresholds attributable to Other Businesses as described above. These operating segments did not meet any of the quantitative thresholds for determining reportable segments.</w:t>
      </w:r>
    </w:p>
    <w:p>
      <w:pPr>
        <w:spacing w:after="0" w:line="37" w:lineRule="exact"/>
        <w:rPr>
          <w:rFonts w:ascii="Arial" w:cs="Arial" w:eastAsia="Arial" w:hAnsi="Arial"/>
          <w:sz w:val="11"/>
          <w:szCs w:val="11"/>
          <w:color w:val="auto"/>
        </w:rPr>
      </w:pPr>
    </w:p>
    <w:p>
      <w:pPr>
        <w:ind w:left="360" w:right="160" w:hanging="334"/>
        <w:spacing w:after="0" w:line="259" w:lineRule="auto"/>
        <w:tabs>
          <w:tab w:leader="none" w:pos="360" w:val="left"/>
        </w:tabs>
        <w:numPr>
          <w:ilvl w:val="0"/>
          <w:numId w:val="14"/>
        </w:numPr>
        <w:rPr>
          <w:rFonts w:ascii="Arial" w:cs="Arial" w:eastAsia="Arial" w:hAnsi="Arial"/>
          <w:sz w:val="11"/>
          <w:szCs w:val="11"/>
          <w:color w:val="auto"/>
        </w:rPr>
      </w:pPr>
      <w:r>
        <w:rPr>
          <w:rFonts w:ascii="Arial" w:cs="Arial" w:eastAsia="Arial" w:hAnsi="Arial"/>
          <w:sz w:val="11"/>
          <w:szCs w:val="11"/>
          <w:color w:val="auto"/>
        </w:rPr>
        <w:t>Capital Expenditures from operating segments below the quantitative thresholds are attributable to Other Businesses and the Corporate Office, as described above. None of these operating segments meet the quantitative thresholds for determining reportable segments.</w:t>
      </w:r>
    </w:p>
    <w:p>
      <w:pPr>
        <w:sectPr>
          <w:pgSz w:w="11900" w:h="16838" w:orient="portrait"/>
          <w:cols w:equalWidth="0" w:num="1">
            <w:col w:w="11040"/>
          </w:cols>
          <w:pgMar w:left="320" w:top="931" w:right="5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931" w:right="5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color w:val="auto"/>
        </w:rPr>
        <w:t>The Company’s education division segment information is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3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3"/>
          </w:tcPr>
          <w:p>
            <w:pPr>
              <w:jc w:val="right"/>
              <w:ind w:right="77"/>
              <w:spacing w:after="0"/>
              <w:rPr>
                <w:sz w:val="20"/>
                <w:szCs w:val="20"/>
                <w:color w:val="auto"/>
              </w:rPr>
            </w:pPr>
            <w:r>
              <w:rPr>
                <w:rFonts w:ascii="Arial" w:cs="Arial" w:eastAsia="Arial" w:hAnsi="Arial"/>
                <w:sz w:val="13"/>
                <w:szCs w:val="13"/>
                <w:b w:val="1"/>
                <w:bCs w:val="1"/>
                <w:color w:val="auto"/>
                <w:w w:val="96"/>
              </w:rPr>
              <w:t>Nine Months Ended September 30, 2026</w:t>
            </w: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ind w:right="377"/>
              <w:spacing w:after="0"/>
              <w:rPr>
                <w:sz w:val="20"/>
                <w:szCs w:val="20"/>
                <w:color w:val="auto"/>
              </w:rPr>
            </w:pPr>
            <w:r>
              <w:rPr>
                <w:rFonts w:ascii="Arial" w:cs="Arial" w:eastAsia="Arial" w:hAnsi="Arial"/>
                <w:sz w:val="13"/>
                <w:szCs w:val="13"/>
                <w:b w:val="1"/>
                <w:bCs w:val="1"/>
                <w:color w:val="auto"/>
              </w:rPr>
              <w:t>Kaplan</w:t>
            </w:r>
          </w:p>
        </w:tc>
        <w:tc>
          <w:tcPr>
            <w:tcW w:w="4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right"/>
              <w:ind w:right="177"/>
              <w:spacing w:after="0"/>
              <w:rPr>
                <w:sz w:val="20"/>
                <w:szCs w:val="20"/>
                <w:color w:val="auto"/>
              </w:rPr>
            </w:pPr>
            <w:r>
              <w:rPr>
                <w:rFonts w:ascii="Arial" w:cs="Arial" w:eastAsia="Arial" w:hAnsi="Arial"/>
                <w:sz w:val="13"/>
                <w:szCs w:val="13"/>
                <w:b w:val="1"/>
                <w:bCs w:val="1"/>
                <w:color w:val="auto"/>
              </w:rPr>
              <w:t>Supplemental</w:t>
            </w:r>
          </w:p>
        </w:tc>
        <w:tc>
          <w:tcPr>
            <w:tcW w:w="180" w:type="dxa"/>
            <w:vAlign w:val="bottom"/>
          </w:tcPr>
          <w:p>
            <w:pPr>
              <w:spacing w:after="0"/>
              <w:rPr>
                <w:sz w:val="13"/>
                <w:szCs w:val="13"/>
                <w:color w:val="auto"/>
              </w:rPr>
            </w:pPr>
          </w:p>
        </w:tc>
        <w:tc>
          <w:tcPr>
            <w:tcW w:w="1180" w:type="dxa"/>
            <w:vAlign w:val="bottom"/>
          </w:tcPr>
          <w:p>
            <w:pPr>
              <w:jc w:val="right"/>
              <w:ind w:right="77"/>
              <w:spacing w:after="0"/>
              <w:rPr>
                <w:sz w:val="20"/>
                <w:szCs w:val="20"/>
                <w:color w:val="auto"/>
              </w:rPr>
            </w:pPr>
            <w:r>
              <w:rPr>
                <w:rFonts w:ascii="Arial" w:cs="Arial" w:eastAsia="Arial" w:hAnsi="Arial"/>
                <w:sz w:val="13"/>
                <w:szCs w:val="13"/>
                <w:b w:val="1"/>
                <w:bCs w:val="1"/>
                <w:color w:val="auto"/>
                <w:w w:val="93"/>
              </w:rPr>
              <w:t>Kaplan Corporate</w:t>
            </w:r>
          </w:p>
        </w:tc>
        <w:tc>
          <w:tcPr>
            <w:tcW w:w="220" w:type="dxa"/>
            <w:vAlign w:val="bottom"/>
          </w:tcPr>
          <w:p>
            <w:pPr>
              <w:spacing w:after="0"/>
              <w:rPr>
                <w:sz w:val="13"/>
                <w:szCs w:val="13"/>
                <w:color w:val="auto"/>
              </w:rPr>
            </w:pPr>
          </w:p>
        </w:tc>
        <w:tc>
          <w:tcPr>
            <w:tcW w:w="1140" w:type="dxa"/>
            <w:vAlign w:val="bottom"/>
          </w:tcPr>
          <w:p>
            <w:pPr>
              <w:jc w:val="right"/>
              <w:ind w:right="217"/>
              <w:spacing w:after="0"/>
              <w:rPr>
                <w:sz w:val="20"/>
                <w:szCs w:val="20"/>
                <w:color w:val="auto"/>
              </w:rPr>
            </w:pPr>
            <w:r>
              <w:rPr>
                <w:rFonts w:ascii="Arial" w:cs="Arial" w:eastAsia="Arial" w:hAnsi="Arial"/>
                <w:sz w:val="13"/>
                <w:szCs w:val="13"/>
                <w:b w:val="1"/>
                <w:bCs w:val="1"/>
                <w:color w:val="auto"/>
              </w:rPr>
              <w:t>Intersegment</w:t>
            </w: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3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thousands)</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International</w:t>
            </w:r>
          </w:p>
        </w:tc>
        <w:tc>
          <w:tcPr>
            <w:tcW w:w="1300" w:type="dxa"/>
            <w:vAlign w:val="bottom"/>
            <w:tcBorders>
              <w:bottom w:val="single" w:sz="8" w:color="auto"/>
            </w:tcBorders>
            <w:gridSpan w:val="2"/>
          </w:tcPr>
          <w:p>
            <w:pPr>
              <w:jc w:val="right"/>
              <w:ind w:right="37"/>
              <w:spacing w:after="0"/>
              <w:rPr>
                <w:sz w:val="20"/>
                <w:szCs w:val="20"/>
                <w:color w:val="auto"/>
              </w:rPr>
            </w:pPr>
            <w:r>
              <w:rPr>
                <w:rFonts w:ascii="Arial" w:cs="Arial" w:eastAsia="Arial" w:hAnsi="Arial"/>
                <w:sz w:val="13"/>
                <w:szCs w:val="13"/>
                <w:b w:val="1"/>
                <w:bCs w:val="1"/>
                <w:color w:val="auto"/>
              </w:rPr>
              <w:t>Higher Education</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Education</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and Other</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Elimination</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96"/>
              </w:rPr>
              <w:t>Total Education</w:t>
            </w:r>
          </w:p>
        </w:tc>
        <w:tc>
          <w:tcPr>
            <w:tcW w:w="0" w:type="dxa"/>
            <w:vAlign w:val="bottom"/>
          </w:tcPr>
          <w:p>
            <w:pPr>
              <w:spacing w:after="0"/>
              <w:rPr>
                <w:sz w:val="1"/>
                <w:szCs w:val="1"/>
                <w:color w:val="auto"/>
              </w:rPr>
            </w:pPr>
          </w:p>
        </w:tc>
      </w:tr>
      <w:tr>
        <w:trPr>
          <w:trHeight w:val="192"/>
        </w:trPr>
        <w:tc>
          <w:tcPr>
            <w:tcW w:w="3360" w:type="dxa"/>
            <w:vAlign w:val="bottom"/>
          </w:tcPr>
          <w:p>
            <w:pPr>
              <w:ind w:left="20"/>
              <w:spacing w:after="0"/>
              <w:rPr>
                <w:sz w:val="20"/>
                <w:szCs w:val="20"/>
                <w:color w:val="auto"/>
              </w:rPr>
            </w:pPr>
            <w:r>
              <w:rPr>
                <w:rFonts w:ascii="Arial" w:cs="Arial" w:eastAsia="Arial" w:hAnsi="Arial"/>
                <w:sz w:val="13"/>
                <w:szCs w:val="13"/>
                <w:b w:val="1"/>
                <w:bCs w:val="1"/>
                <w:color w:val="auto"/>
              </w:rPr>
              <w:t>Operating Revenues</w:t>
            </w:r>
          </w:p>
        </w:tc>
        <w:tc>
          <w:tcPr>
            <w:tcW w:w="160" w:type="dxa"/>
            <w:vAlign w:val="bottom"/>
          </w:tcPr>
          <w:p>
            <w:pPr>
              <w:jc w:val="right"/>
              <w:ind w:right="17"/>
              <w:spacing w:after="0"/>
              <w:rPr>
                <w:sz w:val="20"/>
                <w:szCs w:val="20"/>
                <w:color w:val="auto"/>
              </w:rPr>
            </w:pPr>
            <w:r>
              <w:rPr>
                <w:rFonts w:ascii="Arial" w:cs="Arial" w:eastAsia="Arial" w:hAnsi="Arial"/>
                <w:sz w:val="13"/>
                <w:szCs w:val="13"/>
                <w:b w:val="1"/>
                <w:bCs w:val="1"/>
                <w:color w:val="auto"/>
                <w:w w:val="82"/>
              </w:rPr>
              <w:t>$</w:t>
            </w:r>
          </w:p>
        </w:tc>
        <w:tc>
          <w:tcPr>
            <w:tcW w:w="1100" w:type="dxa"/>
            <w:vAlign w:val="bottom"/>
          </w:tcPr>
          <w:p>
            <w:pPr>
              <w:jc w:val="right"/>
              <w:ind w:right="37"/>
              <w:spacing w:after="0"/>
              <w:rPr>
                <w:sz w:val="20"/>
                <w:szCs w:val="20"/>
                <w:color w:val="auto"/>
              </w:rPr>
            </w:pPr>
            <w:r>
              <w:rPr>
                <w:rFonts w:ascii="Arial" w:cs="Arial" w:eastAsia="Arial" w:hAnsi="Arial"/>
                <w:sz w:val="13"/>
                <w:szCs w:val="13"/>
                <w:b w:val="1"/>
                <w:bCs w:val="1"/>
                <w:color w:val="auto"/>
              </w:rPr>
              <w:t>754,145</w:t>
            </w:r>
          </w:p>
        </w:tc>
        <w:tc>
          <w:tcPr>
            <w:tcW w:w="460" w:type="dxa"/>
            <w:vAlign w:val="bottom"/>
          </w:tcPr>
          <w:p>
            <w:pPr>
              <w:jc w:val="right"/>
              <w:ind w:right="237"/>
              <w:spacing w:after="0"/>
              <w:rPr>
                <w:sz w:val="20"/>
                <w:szCs w:val="20"/>
                <w:color w:val="auto"/>
              </w:rPr>
            </w:pPr>
            <w:r>
              <w:rPr>
                <w:rFonts w:ascii="Arial" w:cs="Arial" w:eastAsia="Arial" w:hAnsi="Arial"/>
                <w:sz w:val="13"/>
                <w:szCs w:val="13"/>
                <w:b w:val="1"/>
                <w:bCs w:val="1"/>
                <w:color w:val="auto"/>
              </w:rPr>
              <w:t>$</w:t>
            </w:r>
          </w:p>
        </w:tc>
        <w:tc>
          <w:tcPr>
            <w:tcW w:w="840" w:type="dxa"/>
            <w:vAlign w:val="bottom"/>
          </w:tcPr>
          <w:p>
            <w:pPr>
              <w:jc w:val="right"/>
              <w:ind w:right="17"/>
              <w:spacing w:after="0"/>
              <w:rPr>
                <w:sz w:val="20"/>
                <w:szCs w:val="20"/>
                <w:color w:val="auto"/>
              </w:rPr>
            </w:pPr>
            <w:r>
              <w:rPr>
                <w:rFonts w:ascii="Arial" w:cs="Arial" w:eastAsia="Arial" w:hAnsi="Arial"/>
                <w:sz w:val="13"/>
                <w:szCs w:val="13"/>
                <w:b w:val="1"/>
                <w:bCs w:val="1"/>
                <w:color w:val="auto"/>
              </w:rPr>
              <w:t>272,561</w:t>
            </w:r>
          </w:p>
        </w:tc>
        <w:tc>
          <w:tcPr>
            <w:tcW w:w="1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180" w:type="dxa"/>
            <w:vAlign w:val="bottom"/>
          </w:tcPr>
          <w:p>
            <w:pPr>
              <w:jc w:val="right"/>
              <w:ind w:right="17"/>
              <w:spacing w:after="0"/>
              <w:rPr>
                <w:sz w:val="20"/>
                <w:szCs w:val="20"/>
                <w:color w:val="auto"/>
              </w:rPr>
            </w:pPr>
            <w:r>
              <w:rPr>
                <w:rFonts w:ascii="Arial" w:cs="Arial" w:eastAsia="Arial" w:hAnsi="Arial"/>
                <w:sz w:val="13"/>
                <w:szCs w:val="13"/>
                <w:b w:val="1"/>
                <w:bCs w:val="1"/>
                <w:color w:val="auto"/>
              </w:rPr>
              <w:t>237,145</w:t>
            </w:r>
          </w:p>
        </w:tc>
        <w:tc>
          <w:tcPr>
            <w:tcW w:w="1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180" w:type="dxa"/>
            <w:vAlign w:val="bottom"/>
          </w:tcPr>
          <w:p>
            <w:pPr>
              <w:jc w:val="right"/>
              <w:ind w:right="37"/>
              <w:spacing w:after="0"/>
              <w:rPr>
                <w:sz w:val="20"/>
                <w:szCs w:val="20"/>
                <w:color w:val="auto"/>
              </w:rPr>
            </w:pPr>
            <w:r>
              <w:rPr>
                <w:rFonts w:ascii="Arial" w:cs="Arial" w:eastAsia="Arial" w:hAnsi="Arial"/>
                <w:sz w:val="13"/>
                <w:szCs w:val="13"/>
                <w:b w:val="1"/>
                <w:bCs w:val="1"/>
                <w:color w:val="auto"/>
              </w:rPr>
              <w:t>924</w:t>
            </w:r>
          </w:p>
        </w:tc>
        <w:tc>
          <w:tcPr>
            <w:tcW w:w="2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140" w:type="dxa"/>
            <w:vAlign w:val="bottom"/>
          </w:tcPr>
          <w:p>
            <w:pPr>
              <w:jc w:val="right"/>
              <w:ind w:right="17"/>
              <w:spacing w:after="0"/>
              <w:rPr>
                <w:sz w:val="20"/>
                <w:szCs w:val="20"/>
                <w:color w:val="auto"/>
              </w:rPr>
            </w:pPr>
            <w:r>
              <w:rPr>
                <w:rFonts w:ascii="Arial" w:cs="Arial" w:eastAsia="Arial" w:hAnsi="Arial"/>
                <w:sz w:val="13"/>
                <w:szCs w:val="13"/>
                <w:b w:val="1"/>
                <w:bCs w:val="1"/>
                <w:color w:val="auto"/>
              </w:rPr>
              <w:t>(2,206)</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1,262,569</w:t>
            </w:r>
          </w:p>
        </w:tc>
        <w:tc>
          <w:tcPr>
            <w:tcW w:w="0" w:type="dxa"/>
            <w:vAlign w:val="bottom"/>
          </w:tcPr>
          <w:p>
            <w:pPr>
              <w:spacing w:after="0"/>
              <w:rPr>
                <w:sz w:val="1"/>
                <w:szCs w:val="1"/>
                <w:color w:val="auto"/>
              </w:rPr>
            </w:pPr>
          </w:p>
        </w:tc>
      </w:tr>
      <w:tr>
        <w:trPr>
          <w:trHeight w:val="331"/>
        </w:trPr>
        <w:tc>
          <w:tcPr>
            <w:tcW w:w="3360" w:type="dxa"/>
            <w:vAlign w:val="bottom"/>
          </w:tcPr>
          <w:p>
            <w:pPr>
              <w:ind w:left="20"/>
              <w:spacing w:after="0"/>
              <w:rPr>
                <w:sz w:val="20"/>
                <w:szCs w:val="20"/>
                <w:color w:val="auto"/>
              </w:rPr>
            </w:pPr>
            <w:r>
              <w:rPr>
                <w:rFonts w:ascii="Arial" w:cs="Arial" w:eastAsia="Arial" w:hAnsi="Arial"/>
                <w:sz w:val="13"/>
                <w:szCs w:val="13"/>
                <w:i w:val="1"/>
                <w:iCs w:val="1"/>
                <w:color w:val="auto"/>
              </w:rPr>
              <w:t xml:space="preserve">Less: Significant Expenses </w:t>
            </w:r>
            <w:r>
              <w:rPr>
                <w:rFonts w:ascii="Arial" w:cs="Arial" w:eastAsia="Arial" w:hAnsi="Arial"/>
                <w:sz w:val="16"/>
                <w:szCs w:val="16"/>
                <w:i w:val="1"/>
                <w:iCs w:val="1"/>
                <w:color w:val="auto"/>
                <w:vertAlign w:val="superscript"/>
              </w:rPr>
              <w:t>(1)</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360" w:type="dxa"/>
            <w:vAlign w:val="bottom"/>
          </w:tcPr>
          <w:p>
            <w:pPr>
              <w:ind w:left="140"/>
              <w:spacing w:after="0"/>
              <w:rPr>
                <w:sz w:val="20"/>
                <w:szCs w:val="20"/>
                <w:color w:val="auto"/>
              </w:rPr>
            </w:pPr>
            <w:r>
              <w:rPr>
                <w:rFonts w:ascii="Arial" w:cs="Arial" w:eastAsia="Arial" w:hAnsi="Arial"/>
                <w:sz w:val="13"/>
                <w:szCs w:val="13"/>
                <w:color w:val="auto"/>
              </w:rPr>
              <w:t xml:space="preserve">Cost of Revenue </w:t>
            </w:r>
            <w:r>
              <w:rPr>
                <w:rFonts w:ascii="Arial" w:cs="Arial" w:eastAsia="Arial" w:hAnsi="Arial"/>
                <w:sz w:val="16"/>
                <w:szCs w:val="16"/>
                <w:color w:val="auto"/>
                <w:vertAlign w:val="superscript"/>
              </w:rPr>
              <w:t>(2)</w:t>
            </w:r>
          </w:p>
        </w:tc>
        <w:tc>
          <w:tcPr>
            <w:tcW w:w="160" w:type="dxa"/>
            <w:vAlign w:val="bottom"/>
          </w:tcPr>
          <w:p>
            <w:pPr>
              <w:spacing w:after="0"/>
              <w:rPr>
                <w:sz w:val="17"/>
                <w:szCs w:val="17"/>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b w:val="1"/>
                <w:bCs w:val="1"/>
                <w:color w:val="auto"/>
              </w:rPr>
              <w:t>265,681</w:t>
            </w:r>
          </w:p>
        </w:tc>
        <w:tc>
          <w:tcPr>
            <w:tcW w:w="460" w:type="dxa"/>
            <w:vAlign w:val="bottom"/>
          </w:tcPr>
          <w:p>
            <w:pPr>
              <w:spacing w:after="0"/>
              <w:rPr>
                <w:sz w:val="17"/>
                <w:szCs w:val="17"/>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b w:val="1"/>
                <w:bCs w:val="1"/>
                <w:color w:val="auto"/>
              </w:rPr>
              <w:t>195,171</w:t>
            </w:r>
          </w:p>
        </w:tc>
        <w:tc>
          <w:tcPr>
            <w:tcW w:w="180" w:type="dxa"/>
            <w:vAlign w:val="bottom"/>
          </w:tcPr>
          <w:p>
            <w:pPr>
              <w:spacing w:after="0"/>
              <w:rPr>
                <w:sz w:val="17"/>
                <w:szCs w:val="17"/>
                <w:color w:val="auto"/>
              </w:rPr>
            </w:pPr>
          </w:p>
        </w:tc>
        <w:tc>
          <w:tcPr>
            <w:tcW w:w="1180" w:type="dxa"/>
            <w:vAlign w:val="bottom"/>
          </w:tcPr>
          <w:p>
            <w:pPr>
              <w:jc w:val="right"/>
              <w:ind w:right="17"/>
              <w:spacing w:after="0"/>
              <w:rPr>
                <w:sz w:val="20"/>
                <w:szCs w:val="20"/>
                <w:color w:val="auto"/>
              </w:rPr>
            </w:pPr>
            <w:r>
              <w:rPr>
                <w:rFonts w:ascii="Arial" w:cs="Arial" w:eastAsia="Arial" w:hAnsi="Arial"/>
                <w:sz w:val="13"/>
                <w:szCs w:val="13"/>
                <w:b w:val="1"/>
                <w:bCs w:val="1"/>
                <w:color w:val="auto"/>
              </w:rPr>
              <w:t>38,279</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17"/>
              <w:spacing w:after="0"/>
              <w:rPr>
                <w:sz w:val="20"/>
                <w:szCs w:val="20"/>
                <w:color w:val="auto"/>
              </w:rPr>
            </w:pPr>
            <w:r>
              <w:rPr>
                <w:rFonts w:ascii="Arial" w:cs="Arial" w:eastAsia="Arial" w:hAnsi="Arial"/>
                <w:sz w:val="13"/>
                <w:szCs w:val="13"/>
                <w:b w:val="1"/>
                <w:bCs w:val="1"/>
                <w:color w:val="auto"/>
              </w:rPr>
              <w:t>(920)</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498,211</w:t>
            </w:r>
          </w:p>
        </w:tc>
        <w:tc>
          <w:tcPr>
            <w:tcW w:w="0" w:type="dxa"/>
            <w:vAlign w:val="bottom"/>
          </w:tcPr>
          <w:p>
            <w:pPr>
              <w:spacing w:after="0"/>
              <w:rPr>
                <w:sz w:val="1"/>
                <w:szCs w:val="1"/>
                <w:color w:val="auto"/>
              </w:rPr>
            </w:pPr>
          </w:p>
        </w:tc>
      </w:tr>
      <w:tr>
        <w:trPr>
          <w:trHeight w:val="213"/>
        </w:trPr>
        <w:tc>
          <w:tcPr>
            <w:tcW w:w="3360" w:type="dxa"/>
            <w:vAlign w:val="bottom"/>
          </w:tcPr>
          <w:p>
            <w:pPr>
              <w:ind w:left="140"/>
              <w:spacing w:after="0"/>
              <w:rPr>
                <w:sz w:val="20"/>
                <w:szCs w:val="20"/>
                <w:color w:val="auto"/>
              </w:rPr>
            </w:pPr>
            <w:r>
              <w:rPr>
                <w:rFonts w:ascii="Arial" w:cs="Arial" w:eastAsia="Arial" w:hAnsi="Arial"/>
                <w:sz w:val="13"/>
                <w:szCs w:val="13"/>
                <w:color w:val="auto"/>
              </w:rPr>
              <w:t xml:space="preserve">Payroll and Fringe Benefits Expense </w:t>
            </w:r>
            <w:r>
              <w:rPr>
                <w:rFonts w:ascii="Arial" w:cs="Arial" w:eastAsia="Arial" w:hAnsi="Arial"/>
                <w:sz w:val="16"/>
                <w:szCs w:val="16"/>
                <w:color w:val="auto"/>
                <w:vertAlign w:val="superscript"/>
              </w:rPr>
              <w:t>(3)</w:t>
            </w:r>
          </w:p>
        </w:tc>
        <w:tc>
          <w:tcPr>
            <w:tcW w:w="160" w:type="dxa"/>
            <w:vAlign w:val="bottom"/>
          </w:tcPr>
          <w:p>
            <w:pPr>
              <w:spacing w:after="0"/>
              <w:rPr>
                <w:sz w:val="18"/>
                <w:szCs w:val="18"/>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b w:val="1"/>
                <w:bCs w:val="1"/>
                <w:color w:val="auto"/>
              </w:rPr>
              <w:t>216,073</w:t>
            </w:r>
          </w:p>
        </w:tc>
        <w:tc>
          <w:tcPr>
            <w:tcW w:w="460" w:type="dxa"/>
            <w:vAlign w:val="bottom"/>
          </w:tcPr>
          <w:p>
            <w:pPr>
              <w:spacing w:after="0"/>
              <w:rPr>
                <w:sz w:val="18"/>
                <w:szCs w:val="18"/>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b w:val="1"/>
                <w:bCs w:val="1"/>
                <w:color w:val="auto"/>
              </w:rPr>
              <w:t>11,618</w:t>
            </w:r>
          </w:p>
        </w:tc>
        <w:tc>
          <w:tcPr>
            <w:tcW w:w="180" w:type="dxa"/>
            <w:vAlign w:val="bottom"/>
          </w:tcPr>
          <w:p>
            <w:pPr>
              <w:spacing w:after="0"/>
              <w:rPr>
                <w:sz w:val="18"/>
                <w:szCs w:val="18"/>
                <w:color w:val="auto"/>
              </w:rPr>
            </w:pPr>
          </w:p>
        </w:tc>
        <w:tc>
          <w:tcPr>
            <w:tcW w:w="1180" w:type="dxa"/>
            <w:vAlign w:val="bottom"/>
          </w:tcPr>
          <w:p>
            <w:pPr>
              <w:jc w:val="right"/>
              <w:ind w:right="17"/>
              <w:spacing w:after="0"/>
              <w:rPr>
                <w:sz w:val="20"/>
                <w:szCs w:val="20"/>
                <w:color w:val="auto"/>
              </w:rPr>
            </w:pPr>
            <w:r>
              <w:rPr>
                <w:rFonts w:ascii="Arial" w:cs="Arial" w:eastAsia="Arial" w:hAnsi="Arial"/>
                <w:sz w:val="13"/>
                <w:szCs w:val="13"/>
                <w:b w:val="1"/>
                <w:bCs w:val="1"/>
                <w:color w:val="auto"/>
              </w:rPr>
              <w:t>99,188</w:t>
            </w:r>
          </w:p>
        </w:tc>
        <w:tc>
          <w:tcPr>
            <w:tcW w:w="180" w:type="dxa"/>
            <w:vAlign w:val="bottom"/>
          </w:tcPr>
          <w:p>
            <w:pPr>
              <w:spacing w:after="0"/>
              <w:rPr>
                <w:sz w:val="18"/>
                <w:szCs w:val="18"/>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b w:val="1"/>
                <w:bCs w:val="1"/>
                <w:color w:val="auto"/>
              </w:rPr>
              <w:t>12,777</w:t>
            </w:r>
          </w:p>
        </w:tc>
        <w:tc>
          <w:tcPr>
            <w:tcW w:w="220" w:type="dxa"/>
            <w:vAlign w:val="bottom"/>
          </w:tcPr>
          <w:p>
            <w:pPr>
              <w:spacing w:after="0"/>
              <w:rPr>
                <w:sz w:val="18"/>
                <w:szCs w:val="18"/>
                <w:color w:val="auto"/>
              </w:rPr>
            </w:pPr>
          </w:p>
        </w:tc>
        <w:tc>
          <w:tcPr>
            <w:tcW w:w="1140" w:type="dxa"/>
            <w:vAlign w:val="bottom"/>
          </w:tcPr>
          <w:p>
            <w:pPr>
              <w:jc w:val="right"/>
              <w:ind w:right="17"/>
              <w:spacing w:after="0"/>
              <w:rPr>
                <w:sz w:val="20"/>
                <w:szCs w:val="20"/>
                <w:color w:val="auto"/>
              </w:rPr>
            </w:pPr>
            <w:r>
              <w:rPr>
                <w:rFonts w:ascii="Arial" w:cs="Arial" w:eastAsia="Arial" w:hAnsi="Arial"/>
                <w:sz w:val="13"/>
                <w:szCs w:val="13"/>
                <w:b w:val="1"/>
                <w:bCs w:val="1"/>
                <w:color w:val="auto"/>
              </w:rPr>
              <w:t>(370)</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339,286</w:t>
            </w:r>
          </w:p>
        </w:tc>
        <w:tc>
          <w:tcPr>
            <w:tcW w:w="0" w:type="dxa"/>
            <w:vAlign w:val="bottom"/>
          </w:tcPr>
          <w:p>
            <w:pPr>
              <w:spacing w:after="0"/>
              <w:rPr>
                <w:sz w:val="1"/>
                <w:szCs w:val="1"/>
                <w:color w:val="auto"/>
              </w:rPr>
            </w:pPr>
          </w:p>
        </w:tc>
      </w:tr>
      <w:tr>
        <w:trPr>
          <w:trHeight w:val="172"/>
        </w:trPr>
        <w:tc>
          <w:tcPr>
            <w:tcW w:w="3360" w:type="dxa"/>
            <w:vAlign w:val="bottom"/>
          </w:tcPr>
          <w:p>
            <w:pPr>
              <w:ind w:left="140"/>
              <w:spacing w:after="0"/>
              <w:rPr>
                <w:sz w:val="20"/>
                <w:szCs w:val="20"/>
                <w:color w:val="auto"/>
              </w:rPr>
            </w:pPr>
            <w:r>
              <w:rPr>
                <w:rFonts w:ascii="Arial" w:cs="Arial" w:eastAsia="Arial" w:hAnsi="Arial"/>
                <w:sz w:val="13"/>
                <w:szCs w:val="13"/>
                <w:color w:val="auto"/>
              </w:rPr>
              <w:t>Occupancy Expense</w:t>
            </w:r>
          </w:p>
        </w:tc>
        <w:tc>
          <w:tcPr>
            <w:tcW w:w="160" w:type="dxa"/>
            <w:vAlign w:val="bottom"/>
          </w:tcPr>
          <w:p>
            <w:pPr>
              <w:spacing w:after="0"/>
              <w:rPr>
                <w:sz w:val="14"/>
                <w:szCs w:val="14"/>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b w:val="1"/>
                <w:bCs w:val="1"/>
                <w:color w:val="auto"/>
              </w:rPr>
              <w:t>72,619</w:t>
            </w:r>
          </w:p>
        </w:tc>
        <w:tc>
          <w:tcPr>
            <w:tcW w:w="460" w:type="dxa"/>
            <w:vAlign w:val="bottom"/>
          </w:tcPr>
          <w:p>
            <w:pPr>
              <w:spacing w:after="0"/>
              <w:rPr>
                <w:sz w:val="14"/>
                <w:szCs w:val="14"/>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b w:val="1"/>
                <w:bCs w:val="1"/>
                <w:color w:val="auto"/>
              </w:rPr>
              <w:t>486</w:t>
            </w:r>
          </w:p>
        </w:tc>
        <w:tc>
          <w:tcPr>
            <w:tcW w:w="180" w:type="dxa"/>
            <w:vAlign w:val="bottom"/>
          </w:tcPr>
          <w:p>
            <w:pPr>
              <w:spacing w:after="0"/>
              <w:rPr>
                <w:sz w:val="14"/>
                <w:szCs w:val="14"/>
                <w:color w:val="auto"/>
              </w:rPr>
            </w:pPr>
          </w:p>
        </w:tc>
        <w:tc>
          <w:tcPr>
            <w:tcW w:w="1180" w:type="dxa"/>
            <w:vAlign w:val="bottom"/>
          </w:tcPr>
          <w:p>
            <w:pPr>
              <w:jc w:val="right"/>
              <w:ind w:right="17"/>
              <w:spacing w:after="0"/>
              <w:rPr>
                <w:sz w:val="20"/>
                <w:szCs w:val="20"/>
                <w:color w:val="auto"/>
              </w:rPr>
            </w:pPr>
            <w:r>
              <w:rPr>
                <w:rFonts w:ascii="Arial" w:cs="Arial" w:eastAsia="Arial" w:hAnsi="Arial"/>
                <w:sz w:val="13"/>
                <w:szCs w:val="13"/>
                <w:b w:val="1"/>
                <w:bCs w:val="1"/>
                <w:color w:val="auto"/>
              </w:rPr>
              <w:t>2,465</w:t>
            </w:r>
          </w:p>
        </w:tc>
        <w:tc>
          <w:tcPr>
            <w:tcW w:w="180" w:type="dxa"/>
            <w:vAlign w:val="bottom"/>
          </w:tcPr>
          <w:p>
            <w:pPr>
              <w:spacing w:after="0"/>
              <w:rPr>
                <w:sz w:val="14"/>
                <w:szCs w:val="14"/>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b w:val="1"/>
                <w:bCs w:val="1"/>
                <w:color w:val="auto"/>
              </w:rPr>
              <w:t>1,105</w:t>
            </w:r>
          </w:p>
        </w:tc>
        <w:tc>
          <w:tcPr>
            <w:tcW w:w="220" w:type="dxa"/>
            <w:vAlign w:val="bottom"/>
          </w:tcPr>
          <w:p>
            <w:pPr>
              <w:spacing w:after="0"/>
              <w:rPr>
                <w:sz w:val="14"/>
                <w:szCs w:val="14"/>
                <w:color w:val="auto"/>
              </w:rPr>
            </w:pPr>
          </w:p>
        </w:tc>
        <w:tc>
          <w:tcPr>
            <w:tcW w:w="1140" w:type="dxa"/>
            <w:vAlign w:val="bottom"/>
          </w:tcPr>
          <w:p>
            <w:pPr>
              <w:jc w:val="right"/>
              <w:ind w:right="17"/>
              <w:spacing w:after="0"/>
              <w:rPr>
                <w:sz w:val="20"/>
                <w:szCs w:val="20"/>
                <w:color w:val="auto"/>
              </w:rPr>
            </w:pPr>
            <w:r>
              <w:rPr>
                <w:rFonts w:ascii="Arial" w:cs="Arial" w:eastAsia="Arial" w:hAnsi="Arial"/>
                <w:sz w:val="13"/>
                <w:szCs w:val="13"/>
                <w:b w:val="1"/>
                <w:bCs w:val="1"/>
                <w:color w:val="auto"/>
              </w:rPr>
              <w:t>(811)</w:t>
            </w: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75,864</w:t>
            </w:r>
          </w:p>
        </w:tc>
        <w:tc>
          <w:tcPr>
            <w:tcW w:w="0" w:type="dxa"/>
            <w:vAlign w:val="bottom"/>
          </w:tcPr>
          <w:p>
            <w:pPr>
              <w:spacing w:after="0"/>
              <w:rPr>
                <w:sz w:val="1"/>
                <w:szCs w:val="1"/>
                <w:color w:val="auto"/>
              </w:rPr>
            </w:pPr>
          </w:p>
        </w:tc>
      </w:tr>
      <w:tr>
        <w:trPr>
          <w:trHeight w:val="203"/>
        </w:trPr>
        <w:tc>
          <w:tcPr>
            <w:tcW w:w="3360" w:type="dxa"/>
            <w:vAlign w:val="bottom"/>
          </w:tcPr>
          <w:p>
            <w:pPr>
              <w:ind w:left="140"/>
              <w:spacing w:after="0"/>
              <w:rPr>
                <w:sz w:val="20"/>
                <w:szCs w:val="20"/>
                <w:color w:val="auto"/>
              </w:rPr>
            </w:pPr>
            <w:r>
              <w:rPr>
                <w:rFonts w:ascii="Arial" w:cs="Arial" w:eastAsia="Arial" w:hAnsi="Arial"/>
                <w:sz w:val="13"/>
                <w:szCs w:val="13"/>
                <w:color w:val="auto"/>
              </w:rPr>
              <w:t>Advertising and Marketing Expense</w:t>
            </w:r>
          </w:p>
        </w:tc>
        <w:tc>
          <w:tcPr>
            <w:tcW w:w="160" w:type="dxa"/>
            <w:vAlign w:val="bottom"/>
          </w:tcPr>
          <w:p>
            <w:pPr>
              <w:spacing w:after="0"/>
              <w:rPr>
                <w:sz w:val="17"/>
                <w:szCs w:val="17"/>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b w:val="1"/>
                <w:bCs w:val="1"/>
                <w:color w:val="auto"/>
              </w:rPr>
              <w:t>22,885</w:t>
            </w:r>
          </w:p>
        </w:tc>
        <w:tc>
          <w:tcPr>
            <w:tcW w:w="460" w:type="dxa"/>
            <w:vAlign w:val="bottom"/>
          </w:tcPr>
          <w:p>
            <w:pPr>
              <w:spacing w:after="0"/>
              <w:rPr>
                <w:sz w:val="17"/>
                <w:szCs w:val="17"/>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b w:val="1"/>
                <w:bCs w:val="1"/>
                <w:color w:val="auto"/>
              </w:rPr>
              <w:t>5,386</w:t>
            </w:r>
          </w:p>
        </w:tc>
        <w:tc>
          <w:tcPr>
            <w:tcW w:w="180" w:type="dxa"/>
            <w:vAlign w:val="bottom"/>
          </w:tcPr>
          <w:p>
            <w:pPr>
              <w:spacing w:after="0"/>
              <w:rPr>
                <w:sz w:val="17"/>
                <w:szCs w:val="17"/>
                <w:color w:val="auto"/>
              </w:rPr>
            </w:pPr>
          </w:p>
        </w:tc>
        <w:tc>
          <w:tcPr>
            <w:tcW w:w="1180" w:type="dxa"/>
            <w:vAlign w:val="bottom"/>
          </w:tcPr>
          <w:p>
            <w:pPr>
              <w:jc w:val="right"/>
              <w:ind w:right="17"/>
              <w:spacing w:after="0"/>
              <w:rPr>
                <w:sz w:val="20"/>
                <w:szCs w:val="20"/>
                <w:color w:val="auto"/>
              </w:rPr>
            </w:pPr>
            <w:r>
              <w:rPr>
                <w:rFonts w:ascii="Arial" w:cs="Arial" w:eastAsia="Arial" w:hAnsi="Arial"/>
                <w:sz w:val="13"/>
                <w:szCs w:val="13"/>
                <w:b w:val="1"/>
                <w:bCs w:val="1"/>
                <w:color w:val="auto"/>
              </w:rPr>
              <w:t>28,732</w:t>
            </w:r>
          </w:p>
        </w:tc>
        <w:tc>
          <w:tcPr>
            <w:tcW w:w="180" w:type="dxa"/>
            <w:vAlign w:val="bottom"/>
          </w:tcPr>
          <w:p>
            <w:pPr>
              <w:spacing w:after="0"/>
              <w:rPr>
                <w:sz w:val="17"/>
                <w:szCs w:val="17"/>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b w:val="1"/>
                <w:bCs w:val="1"/>
                <w:color w:val="auto"/>
              </w:rPr>
              <w:t>258</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57,261</w:t>
            </w:r>
          </w:p>
        </w:tc>
        <w:tc>
          <w:tcPr>
            <w:tcW w:w="0" w:type="dxa"/>
            <w:vAlign w:val="bottom"/>
          </w:tcPr>
          <w:p>
            <w:pPr>
              <w:spacing w:after="0"/>
              <w:rPr>
                <w:sz w:val="1"/>
                <w:szCs w:val="1"/>
                <w:color w:val="auto"/>
              </w:rPr>
            </w:pPr>
          </w:p>
        </w:tc>
      </w:tr>
      <w:tr>
        <w:trPr>
          <w:trHeight w:val="211"/>
        </w:trPr>
        <w:tc>
          <w:tcPr>
            <w:tcW w:w="3360" w:type="dxa"/>
            <w:vAlign w:val="bottom"/>
          </w:tcPr>
          <w:p>
            <w:pPr>
              <w:ind w:left="140"/>
              <w:spacing w:after="0"/>
              <w:rPr>
                <w:sz w:val="20"/>
                <w:szCs w:val="20"/>
                <w:color w:val="auto"/>
              </w:rPr>
            </w:pPr>
            <w:r>
              <w:rPr>
                <w:rFonts w:ascii="Arial" w:cs="Arial" w:eastAsia="Arial" w:hAnsi="Arial"/>
                <w:sz w:val="13"/>
                <w:szCs w:val="13"/>
                <w:color w:val="auto"/>
              </w:rPr>
              <w:t xml:space="preserve">Other Segment Items </w:t>
            </w:r>
            <w:r>
              <w:rPr>
                <w:rFonts w:ascii="Arial" w:cs="Arial" w:eastAsia="Arial" w:hAnsi="Arial"/>
                <w:sz w:val="16"/>
                <w:szCs w:val="16"/>
                <w:color w:val="auto"/>
                <w:vertAlign w:val="superscript"/>
              </w:rPr>
              <w:t>(4)</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81,224</w:t>
            </w: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778</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34,662</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2,772</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(8)</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119,428</w:t>
            </w:r>
          </w:p>
        </w:tc>
        <w:tc>
          <w:tcPr>
            <w:tcW w:w="0" w:type="dxa"/>
            <w:vAlign w:val="bottom"/>
          </w:tcPr>
          <w:p>
            <w:pPr>
              <w:spacing w:after="0"/>
              <w:rPr>
                <w:sz w:val="1"/>
                <w:szCs w:val="1"/>
                <w:color w:val="auto"/>
              </w:rPr>
            </w:pPr>
          </w:p>
        </w:tc>
      </w:tr>
      <w:tr>
        <w:trPr>
          <w:trHeight w:val="192"/>
        </w:trPr>
        <w:tc>
          <w:tcPr>
            <w:tcW w:w="3360" w:type="dxa"/>
            <w:vAlign w:val="bottom"/>
          </w:tcPr>
          <w:p>
            <w:pPr>
              <w:ind w:left="20"/>
              <w:spacing w:after="0"/>
              <w:rPr>
                <w:sz w:val="20"/>
                <w:szCs w:val="20"/>
                <w:color w:val="auto"/>
              </w:rPr>
            </w:pPr>
            <w:r>
              <w:rPr>
                <w:rFonts w:ascii="Arial" w:cs="Arial" w:eastAsia="Arial" w:hAnsi="Arial"/>
                <w:sz w:val="13"/>
                <w:szCs w:val="13"/>
                <w:b w:val="1"/>
                <w:bCs w:val="1"/>
                <w:color w:val="auto"/>
              </w:rPr>
              <w:t>EBITDAP</w:t>
            </w: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82"/>
              </w:rPr>
              <w:t>$</w:t>
            </w: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95,663</w:t>
            </w:r>
          </w:p>
        </w:tc>
        <w:tc>
          <w:tcPr>
            <w:tcW w:w="46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w:t>
            </w:r>
          </w:p>
        </w:tc>
        <w:tc>
          <w:tcPr>
            <w:tcW w:w="8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59,122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33,819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(15,988)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1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(97)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172,519</w:t>
            </w:r>
          </w:p>
        </w:tc>
        <w:tc>
          <w:tcPr>
            <w:tcW w:w="0" w:type="dxa"/>
            <w:vAlign w:val="bottom"/>
          </w:tcPr>
          <w:p>
            <w:pPr>
              <w:spacing w:after="0"/>
              <w:rPr>
                <w:sz w:val="1"/>
                <w:szCs w:val="1"/>
                <w:color w:val="auto"/>
              </w:rPr>
            </w:pPr>
          </w:p>
        </w:tc>
      </w:tr>
      <w:tr>
        <w:trPr>
          <w:trHeight w:val="327"/>
        </w:trPr>
        <w:tc>
          <w:tcPr>
            <w:tcW w:w="3360" w:type="dxa"/>
            <w:vAlign w:val="bottom"/>
          </w:tcPr>
          <w:p>
            <w:pPr>
              <w:ind w:left="20"/>
              <w:spacing w:after="0"/>
              <w:rPr>
                <w:sz w:val="20"/>
                <w:szCs w:val="20"/>
                <w:color w:val="auto"/>
              </w:rPr>
            </w:pPr>
            <w:r>
              <w:rPr>
                <w:rFonts w:ascii="Arial" w:cs="Arial" w:eastAsia="Arial" w:hAnsi="Arial"/>
                <w:sz w:val="13"/>
                <w:szCs w:val="13"/>
                <w:color w:val="auto"/>
              </w:rPr>
              <w:t>Pension Service Cost</w:t>
            </w:r>
          </w:p>
        </w:tc>
        <w:tc>
          <w:tcPr>
            <w:tcW w:w="160" w:type="dxa"/>
            <w:vAlign w:val="bottom"/>
          </w:tcPr>
          <w:p>
            <w:pPr>
              <w:spacing w:after="0"/>
              <w:rPr>
                <w:sz w:val="24"/>
                <w:szCs w:val="24"/>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b w:val="1"/>
                <w:bCs w:val="1"/>
                <w:color w:val="auto"/>
              </w:rPr>
              <w:t>176</w:t>
            </w:r>
          </w:p>
        </w:tc>
        <w:tc>
          <w:tcPr>
            <w:tcW w:w="460" w:type="dxa"/>
            <w:vAlign w:val="bottom"/>
          </w:tcPr>
          <w:p>
            <w:pPr>
              <w:spacing w:after="0"/>
              <w:rPr>
                <w:sz w:val="24"/>
                <w:szCs w:val="24"/>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b w:val="1"/>
                <w:bCs w:val="1"/>
                <w:color w:val="auto"/>
              </w:rPr>
              <w:t>5,936</w:t>
            </w:r>
          </w:p>
        </w:tc>
        <w:tc>
          <w:tcPr>
            <w:tcW w:w="180" w:type="dxa"/>
            <w:vAlign w:val="bottom"/>
          </w:tcPr>
          <w:p>
            <w:pPr>
              <w:spacing w:after="0"/>
              <w:rPr>
                <w:sz w:val="24"/>
                <w:szCs w:val="24"/>
                <w:color w:val="auto"/>
              </w:rPr>
            </w:pPr>
          </w:p>
        </w:tc>
        <w:tc>
          <w:tcPr>
            <w:tcW w:w="1180" w:type="dxa"/>
            <w:vAlign w:val="bottom"/>
          </w:tcPr>
          <w:p>
            <w:pPr>
              <w:jc w:val="right"/>
              <w:ind w:right="17"/>
              <w:spacing w:after="0"/>
              <w:rPr>
                <w:sz w:val="20"/>
                <w:szCs w:val="20"/>
                <w:color w:val="auto"/>
              </w:rPr>
            </w:pPr>
            <w:r>
              <w:rPr>
                <w:rFonts w:ascii="Arial" w:cs="Arial" w:eastAsia="Arial" w:hAnsi="Arial"/>
                <w:sz w:val="13"/>
                <w:szCs w:val="13"/>
                <w:b w:val="1"/>
                <w:bCs w:val="1"/>
                <w:color w:val="auto"/>
              </w:rPr>
              <w:t>6,063</w:t>
            </w:r>
          </w:p>
        </w:tc>
        <w:tc>
          <w:tcPr>
            <w:tcW w:w="180" w:type="dxa"/>
            <w:vAlign w:val="bottom"/>
          </w:tcPr>
          <w:p>
            <w:pPr>
              <w:spacing w:after="0"/>
              <w:rPr>
                <w:sz w:val="24"/>
                <w:szCs w:val="24"/>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b w:val="1"/>
                <w:bCs w:val="1"/>
                <w:color w:val="auto"/>
              </w:rPr>
              <w:t>1,491</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13,666</w:t>
            </w:r>
          </w:p>
        </w:tc>
        <w:tc>
          <w:tcPr>
            <w:tcW w:w="0" w:type="dxa"/>
            <w:vAlign w:val="bottom"/>
          </w:tcPr>
          <w:p>
            <w:pPr>
              <w:spacing w:after="0"/>
              <w:rPr>
                <w:sz w:val="1"/>
                <w:szCs w:val="1"/>
                <w:color w:val="auto"/>
              </w:rPr>
            </w:pPr>
          </w:p>
        </w:tc>
      </w:tr>
      <w:tr>
        <w:trPr>
          <w:trHeight w:val="203"/>
        </w:trPr>
        <w:tc>
          <w:tcPr>
            <w:tcW w:w="3360" w:type="dxa"/>
            <w:vAlign w:val="bottom"/>
          </w:tcPr>
          <w:p>
            <w:pPr>
              <w:ind w:left="20"/>
              <w:spacing w:after="0"/>
              <w:rPr>
                <w:sz w:val="20"/>
                <w:szCs w:val="20"/>
                <w:color w:val="auto"/>
              </w:rPr>
            </w:pPr>
            <w:r>
              <w:rPr>
                <w:rFonts w:ascii="Arial" w:cs="Arial" w:eastAsia="Arial" w:hAnsi="Arial"/>
                <w:sz w:val="13"/>
                <w:szCs w:val="13"/>
                <w:color w:val="auto"/>
              </w:rPr>
              <w:t>Depreciation Expense</w:t>
            </w:r>
          </w:p>
        </w:tc>
        <w:tc>
          <w:tcPr>
            <w:tcW w:w="160" w:type="dxa"/>
            <w:vAlign w:val="bottom"/>
          </w:tcPr>
          <w:p>
            <w:pPr>
              <w:spacing w:after="0"/>
              <w:rPr>
                <w:sz w:val="17"/>
                <w:szCs w:val="17"/>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b w:val="1"/>
                <w:bCs w:val="1"/>
                <w:color w:val="auto"/>
              </w:rPr>
              <w:t>13,945</w:t>
            </w:r>
          </w:p>
        </w:tc>
        <w:tc>
          <w:tcPr>
            <w:tcW w:w="460" w:type="dxa"/>
            <w:vAlign w:val="bottom"/>
          </w:tcPr>
          <w:p>
            <w:pPr>
              <w:spacing w:after="0"/>
              <w:rPr>
                <w:sz w:val="17"/>
                <w:szCs w:val="17"/>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b w:val="1"/>
                <w:bCs w:val="1"/>
                <w:color w:val="auto"/>
              </w:rPr>
              <w:t>945</w:t>
            </w:r>
          </w:p>
        </w:tc>
        <w:tc>
          <w:tcPr>
            <w:tcW w:w="180" w:type="dxa"/>
            <w:vAlign w:val="bottom"/>
          </w:tcPr>
          <w:p>
            <w:pPr>
              <w:spacing w:after="0"/>
              <w:rPr>
                <w:sz w:val="17"/>
                <w:szCs w:val="17"/>
                <w:color w:val="auto"/>
              </w:rPr>
            </w:pPr>
          </w:p>
        </w:tc>
        <w:tc>
          <w:tcPr>
            <w:tcW w:w="1180" w:type="dxa"/>
            <w:vAlign w:val="bottom"/>
          </w:tcPr>
          <w:p>
            <w:pPr>
              <w:jc w:val="right"/>
              <w:ind w:right="17"/>
              <w:spacing w:after="0"/>
              <w:rPr>
                <w:sz w:val="20"/>
                <w:szCs w:val="20"/>
                <w:color w:val="auto"/>
              </w:rPr>
            </w:pPr>
            <w:r>
              <w:rPr>
                <w:rFonts w:ascii="Arial" w:cs="Arial" w:eastAsia="Arial" w:hAnsi="Arial"/>
                <w:sz w:val="13"/>
                <w:szCs w:val="13"/>
                <w:b w:val="1"/>
                <w:bCs w:val="1"/>
                <w:color w:val="auto"/>
              </w:rPr>
              <w:t>2,317</w:t>
            </w:r>
          </w:p>
        </w:tc>
        <w:tc>
          <w:tcPr>
            <w:tcW w:w="180" w:type="dxa"/>
            <w:vAlign w:val="bottom"/>
          </w:tcPr>
          <w:p>
            <w:pPr>
              <w:spacing w:after="0"/>
              <w:rPr>
                <w:sz w:val="17"/>
                <w:szCs w:val="17"/>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b w:val="1"/>
                <w:bCs w:val="1"/>
                <w:color w:val="auto"/>
              </w:rPr>
              <w:t>30</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17,237</w:t>
            </w:r>
          </w:p>
        </w:tc>
        <w:tc>
          <w:tcPr>
            <w:tcW w:w="0" w:type="dxa"/>
            <w:vAlign w:val="bottom"/>
          </w:tcPr>
          <w:p>
            <w:pPr>
              <w:spacing w:after="0"/>
              <w:rPr>
                <w:sz w:val="1"/>
                <w:szCs w:val="1"/>
                <w:color w:val="auto"/>
              </w:rPr>
            </w:pPr>
          </w:p>
        </w:tc>
      </w:tr>
      <w:tr>
        <w:trPr>
          <w:trHeight w:val="157"/>
        </w:trPr>
        <w:tc>
          <w:tcPr>
            <w:tcW w:w="3360" w:type="dxa"/>
            <w:vAlign w:val="bottom"/>
            <w:vMerge w:val="restart"/>
          </w:tcPr>
          <w:p>
            <w:pPr>
              <w:ind w:left="20"/>
              <w:spacing w:after="0"/>
              <w:rPr>
                <w:sz w:val="20"/>
                <w:szCs w:val="20"/>
                <w:color w:val="auto"/>
              </w:rPr>
            </w:pPr>
            <w:r>
              <w:rPr>
                <w:rFonts w:ascii="Arial" w:cs="Arial" w:eastAsia="Arial" w:hAnsi="Arial"/>
                <w:sz w:val="13"/>
                <w:szCs w:val="13"/>
                <w:b w:val="1"/>
                <w:bCs w:val="1"/>
                <w:color w:val="auto"/>
                <w:w w:val="99"/>
              </w:rPr>
              <w:t>Income (Loss) from Operations before Amortization of</w:t>
            </w:r>
          </w:p>
        </w:tc>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3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60" w:type="dxa"/>
            <w:vAlign w:val="bottom"/>
          </w:tcPr>
          <w:p>
            <w:pPr>
              <w:ind w:left="100"/>
              <w:spacing w:after="0" w:line="135" w:lineRule="exact"/>
              <w:rPr>
                <w:sz w:val="20"/>
                <w:szCs w:val="20"/>
                <w:color w:val="auto"/>
              </w:rPr>
            </w:pPr>
            <w:r>
              <w:rPr>
                <w:rFonts w:ascii="Arial" w:cs="Arial" w:eastAsia="Arial" w:hAnsi="Arial"/>
                <w:sz w:val="13"/>
                <w:szCs w:val="13"/>
                <w:b w:val="1"/>
                <w:bCs w:val="1"/>
                <w:color w:val="auto"/>
              </w:rPr>
              <w:t>Intangible Assets and Impairment of Goodwill and</w:t>
            </w: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360" w:type="dxa"/>
            <w:vAlign w:val="bottom"/>
          </w:tcPr>
          <w:p>
            <w:pPr>
              <w:ind w:left="100"/>
              <w:spacing w:after="0"/>
              <w:rPr>
                <w:sz w:val="20"/>
                <w:szCs w:val="20"/>
                <w:color w:val="auto"/>
              </w:rPr>
            </w:pPr>
            <w:r>
              <w:rPr>
                <w:rFonts w:ascii="Arial" w:cs="Arial" w:eastAsia="Arial" w:hAnsi="Arial"/>
                <w:sz w:val="13"/>
                <w:szCs w:val="13"/>
                <w:b w:val="1"/>
                <w:bCs w:val="1"/>
                <w:color w:val="auto"/>
              </w:rPr>
              <w:t>Asset Group Held for Sale</w:t>
            </w: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82"/>
              </w:rPr>
              <w:t>$</w:t>
            </w: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81,542</w:t>
            </w:r>
          </w:p>
        </w:tc>
        <w:tc>
          <w:tcPr>
            <w:tcW w:w="46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w:t>
            </w:r>
          </w:p>
        </w:tc>
        <w:tc>
          <w:tcPr>
            <w:tcW w:w="8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52,241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25,439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(17,509)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1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(97)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141,616</w:t>
            </w:r>
          </w:p>
        </w:tc>
        <w:tc>
          <w:tcPr>
            <w:tcW w:w="0" w:type="dxa"/>
            <w:vAlign w:val="bottom"/>
          </w:tcPr>
          <w:p>
            <w:pPr>
              <w:spacing w:after="0"/>
              <w:rPr>
                <w:sz w:val="1"/>
                <w:szCs w:val="1"/>
                <w:color w:val="auto"/>
              </w:rPr>
            </w:pPr>
          </w:p>
        </w:tc>
      </w:tr>
      <w:tr>
        <w:trPr>
          <w:trHeight w:val="327"/>
        </w:trPr>
        <w:tc>
          <w:tcPr>
            <w:tcW w:w="3360" w:type="dxa"/>
            <w:vAlign w:val="bottom"/>
          </w:tcPr>
          <w:p>
            <w:pPr>
              <w:ind w:left="20"/>
              <w:spacing w:after="0"/>
              <w:rPr>
                <w:sz w:val="20"/>
                <w:szCs w:val="20"/>
                <w:color w:val="auto"/>
              </w:rPr>
            </w:pPr>
            <w:r>
              <w:rPr>
                <w:rFonts w:ascii="Arial" w:cs="Arial" w:eastAsia="Arial" w:hAnsi="Arial"/>
                <w:sz w:val="13"/>
                <w:szCs w:val="13"/>
                <w:b w:val="1"/>
                <w:bCs w:val="1"/>
                <w:color w:val="auto"/>
              </w:rPr>
              <w:t>Capital Expenditures</w:t>
            </w:r>
          </w:p>
        </w:tc>
        <w:tc>
          <w:tcPr>
            <w:tcW w:w="160" w:type="dxa"/>
            <w:vAlign w:val="bottom"/>
          </w:tcPr>
          <w:p>
            <w:pPr>
              <w:jc w:val="right"/>
              <w:ind w:right="17"/>
              <w:spacing w:after="0"/>
              <w:rPr>
                <w:sz w:val="20"/>
                <w:szCs w:val="20"/>
                <w:color w:val="auto"/>
              </w:rPr>
            </w:pPr>
            <w:r>
              <w:rPr>
                <w:rFonts w:ascii="Arial" w:cs="Arial" w:eastAsia="Arial" w:hAnsi="Arial"/>
                <w:sz w:val="13"/>
                <w:szCs w:val="13"/>
                <w:b w:val="1"/>
                <w:bCs w:val="1"/>
                <w:color w:val="auto"/>
                <w:w w:val="82"/>
              </w:rPr>
              <w:t>$</w:t>
            </w:r>
          </w:p>
        </w:tc>
        <w:tc>
          <w:tcPr>
            <w:tcW w:w="1100" w:type="dxa"/>
            <w:vAlign w:val="bottom"/>
          </w:tcPr>
          <w:p>
            <w:pPr>
              <w:jc w:val="right"/>
              <w:ind w:right="37"/>
              <w:spacing w:after="0"/>
              <w:rPr>
                <w:sz w:val="20"/>
                <w:szCs w:val="20"/>
                <w:color w:val="auto"/>
              </w:rPr>
            </w:pPr>
            <w:r>
              <w:rPr>
                <w:rFonts w:ascii="Arial" w:cs="Arial" w:eastAsia="Arial" w:hAnsi="Arial"/>
                <w:sz w:val="13"/>
                <w:szCs w:val="13"/>
                <w:b w:val="1"/>
                <w:bCs w:val="1"/>
                <w:color w:val="auto"/>
              </w:rPr>
              <w:t>11,181</w:t>
            </w:r>
          </w:p>
        </w:tc>
        <w:tc>
          <w:tcPr>
            <w:tcW w:w="460" w:type="dxa"/>
            <w:vAlign w:val="bottom"/>
          </w:tcPr>
          <w:p>
            <w:pPr>
              <w:jc w:val="right"/>
              <w:ind w:right="237"/>
              <w:spacing w:after="0"/>
              <w:rPr>
                <w:sz w:val="20"/>
                <w:szCs w:val="20"/>
                <w:color w:val="auto"/>
              </w:rPr>
            </w:pPr>
            <w:r>
              <w:rPr>
                <w:rFonts w:ascii="Arial" w:cs="Arial" w:eastAsia="Arial" w:hAnsi="Arial"/>
                <w:sz w:val="13"/>
                <w:szCs w:val="13"/>
                <w:b w:val="1"/>
                <w:bCs w:val="1"/>
                <w:color w:val="auto"/>
              </w:rPr>
              <w:t>$</w:t>
            </w:r>
          </w:p>
        </w:tc>
        <w:tc>
          <w:tcPr>
            <w:tcW w:w="840" w:type="dxa"/>
            <w:vAlign w:val="bottom"/>
          </w:tcPr>
          <w:p>
            <w:pPr>
              <w:jc w:val="right"/>
              <w:ind w:right="17"/>
              <w:spacing w:after="0"/>
              <w:rPr>
                <w:sz w:val="20"/>
                <w:szCs w:val="20"/>
                <w:color w:val="auto"/>
              </w:rPr>
            </w:pPr>
            <w:r>
              <w:rPr>
                <w:rFonts w:ascii="Arial" w:cs="Arial" w:eastAsia="Arial" w:hAnsi="Arial"/>
                <w:sz w:val="13"/>
                <w:szCs w:val="13"/>
                <w:b w:val="1"/>
                <w:bCs w:val="1"/>
                <w:color w:val="auto"/>
              </w:rPr>
              <w:t>1,705</w:t>
            </w:r>
          </w:p>
        </w:tc>
        <w:tc>
          <w:tcPr>
            <w:tcW w:w="1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180" w:type="dxa"/>
            <w:vAlign w:val="bottom"/>
          </w:tcPr>
          <w:p>
            <w:pPr>
              <w:jc w:val="right"/>
              <w:ind w:right="17"/>
              <w:spacing w:after="0"/>
              <w:rPr>
                <w:sz w:val="20"/>
                <w:szCs w:val="20"/>
                <w:color w:val="auto"/>
              </w:rPr>
            </w:pPr>
            <w:r>
              <w:rPr>
                <w:rFonts w:ascii="Arial" w:cs="Arial" w:eastAsia="Arial" w:hAnsi="Arial"/>
                <w:sz w:val="13"/>
                <w:szCs w:val="13"/>
                <w:b w:val="1"/>
                <w:bCs w:val="1"/>
                <w:color w:val="auto"/>
              </w:rPr>
              <w:t>1,525</w:t>
            </w:r>
          </w:p>
        </w:tc>
        <w:tc>
          <w:tcPr>
            <w:tcW w:w="1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180" w:type="dxa"/>
            <w:vAlign w:val="bottom"/>
          </w:tcPr>
          <w:p>
            <w:pPr>
              <w:jc w:val="right"/>
              <w:ind w:right="37"/>
              <w:spacing w:after="0"/>
              <w:rPr>
                <w:sz w:val="20"/>
                <w:szCs w:val="20"/>
                <w:color w:val="auto"/>
              </w:rPr>
            </w:pPr>
            <w:r>
              <w:rPr>
                <w:rFonts w:ascii="Arial" w:cs="Arial" w:eastAsia="Arial" w:hAnsi="Arial"/>
                <w:sz w:val="13"/>
                <w:szCs w:val="13"/>
                <w:b w:val="1"/>
                <w:bCs w:val="1"/>
                <w:color w:val="auto"/>
              </w:rPr>
              <w:t>19</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14,430</w:t>
            </w:r>
          </w:p>
        </w:tc>
        <w:tc>
          <w:tcPr>
            <w:tcW w:w="0" w:type="dxa"/>
            <w:vAlign w:val="bottom"/>
          </w:tcPr>
          <w:p>
            <w:pPr>
              <w:spacing w:after="0"/>
              <w:rPr>
                <w:sz w:val="1"/>
                <w:szCs w:val="1"/>
                <w:color w:val="auto"/>
              </w:rPr>
            </w:pPr>
          </w:p>
        </w:tc>
      </w:tr>
    </w:tbl>
    <w:p>
      <w:pPr>
        <w:spacing w:after="0" w:line="301" w:lineRule="exact"/>
        <w:rPr>
          <w:sz w:val="20"/>
          <w:szCs w:val="20"/>
          <w:color w:val="auto"/>
        </w:rPr>
      </w:pPr>
    </w:p>
    <w:p>
      <w:pPr>
        <w:ind w:left="360" w:hanging="334"/>
        <w:spacing w:after="0"/>
        <w:tabs>
          <w:tab w:leader="none" w:pos="36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significant expense categories and amounts align with the segment-level information that is regularly provided to the CODM.</w:t>
      </w:r>
    </w:p>
    <w:p>
      <w:pPr>
        <w:spacing w:after="0" w:line="53" w:lineRule="exact"/>
        <w:rPr>
          <w:rFonts w:ascii="Arial" w:cs="Arial" w:eastAsia="Arial" w:hAnsi="Arial"/>
          <w:sz w:val="13"/>
          <w:szCs w:val="13"/>
          <w:color w:val="auto"/>
        </w:rPr>
      </w:pPr>
    </w:p>
    <w:p>
      <w:pPr>
        <w:ind w:left="360" w:right="200" w:hanging="334"/>
        <w:spacing w:after="0" w:line="264" w:lineRule="auto"/>
        <w:tabs>
          <w:tab w:leader="none" w:pos="360" w:val="left"/>
        </w:tabs>
        <w:numPr>
          <w:ilvl w:val="0"/>
          <w:numId w:val="15"/>
        </w:numPr>
        <w:rPr>
          <w:rFonts w:ascii="Arial" w:cs="Arial" w:eastAsia="Arial" w:hAnsi="Arial"/>
          <w:sz w:val="13"/>
          <w:szCs w:val="13"/>
          <w:color w:val="auto"/>
        </w:rPr>
      </w:pPr>
      <w:r>
        <w:rPr>
          <w:rFonts w:ascii="Arial" w:cs="Arial" w:eastAsia="Arial" w:hAnsi="Arial"/>
          <w:sz w:val="13"/>
          <w:szCs w:val="13"/>
          <w:color w:val="auto"/>
        </w:rPr>
        <w:t>Cost of revenue reflects the amounts reported and provided to the CODM and does not necessarily reconcile to the Company's Consolidated Statement of Operations or align across reportable segments. Cost of revenue excludes charges related to depreciation, which is shown separately above.</w:t>
      </w:r>
    </w:p>
    <w:p>
      <w:pPr>
        <w:spacing w:after="0" w:line="22" w:lineRule="exact"/>
        <w:rPr>
          <w:rFonts w:ascii="Arial" w:cs="Arial" w:eastAsia="Arial" w:hAnsi="Arial"/>
          <w:sz w:val="13"/>
          <w:szCs w:val="13"/>
          <w:color w:val="auto"/>
        </w:rPr>
      </w:pPr>
    </w:p>
    <w:p>
      <w:pPr>
        <w:ind w:left="360" w:hanging="334"/>
        <w:spacing w:after="0"/>
        <w:tabs>
          <w:tab w:leader="none" w:pos="360" w:val="left"/>
        </w:tabs>
        <w:numPr>
          <w:ilvl w:val="0"/>
          <w:numId w:val="15"/>
        </w:numPr>
        <w:rPr>
          <w:rFonts w:ascii="Arial" w:cs="Arial" w:eastAsia="Arial" w:hAnsi="Arial"/>
          <w:sz w:val="13"/>
          <w:szCs w:val="13"/>
          <w:color w:val="auto"/>
        </w:rPr>
      </w:pPr>
      <w:r>
        <w:rPr>
          <w:rFonts w:ascii="Arial" w:cs="Arial" w:eastAsia="Arial" w:hAnsi="Arial"/>
          <w:sz w:val="13"/>
          <w:szCs w:val="13"/>
          <w:color w:val="auto"/>
        </w:rPr>
        <w:t>Excludes pension service cost, which is shown separately above. Excludes any payroll and related benefits costs captured in cost of revenue.</w:t>
      </w:r>
    </w:p>
    <w:p>
      <w:pPr>
        <w:spacing w:after="0" w:line="53" w:lineRule="exact"/>
        <w:rPr>
          <w:rFonts w:ascii="Arial" w:cs="Arial" w:eastAsia="Arial" w:hAnsi="Arial"/>
          <w:sz w:val="13"/>
          <w:szCs w:val="13"/>
          <w:color w:val="auto"/>
        </w:rPr>
      </w:pPr>
    </w:p>
    <w:p>
      <w:pPr>
        <w:ind w:left="360" w:hanging="334"/>
        <w:spacing w:after="0"/>
        <w:tabs>
          <w:tab w:leader="none" w:pos="360" w:val="left"/>
        </w:tabs>
        <w:numPr>
          <w:ilvl w:val="0"/>
          <w:numId w:val="15"/>
        </w:numPr>
        <w:rPr>
          <w:rFonts w:ascii="Arial" w:cs="Arial" w:eastAsia="Arial" w:hAnsi="Arial"/>
          <w:sz w:val="13"/>
          <w:szCs w:val="13"/>
          <w:color w:val="auto"/>
        </w:rPr>
      </w:pPr>
      <w:r>
        <w:rPr>
          <w:rFonts w:ascii="Arial" w:cs="Arial" w:eastAsia="Arial" w:hAnsi="Arial"/>
          <w:sz w:val="13"/>
          <w:szCs w:val="13"/>
          <w:color w:val="auto"/>
        </w:rPr>
        <w:t>Other segment items for each reportable segment include:</w:t>
      </w:r>
    </w:p>
    <w:p>
      <w:pPr>
        <w:spacing w:after="0" w:line="53" w:lineRule="exact"/>
        <w:rPr>
          <w:rFonts w:ascii="Arial" w:cs="Arial" w:eastAsia="Arial" w:hAnsi="Arial"/>
          <w:sz w:val="13"/>
          <w:szCs w:val="13"/>
          <w:color w:val="auto"/>
        </w:rPr>
      </w:pPr>
    </w:p>
    <w:p>
      <w:pPr>
        <w:ind w:left="680" w:hanging="330"/>
        <w:spacing w:after="0"/>
        <w:tabs>
          <w:tab w:leader="none" w:pos="680" w:val="left"/>
        </w:tabs>
        <w:numPr>
          <w:ilvl w:val="1"/>
          <w:numId w:val="15"/>
        </w:numPr>
        <w:rPr>
          <w:rFonts w:ascii="Arial" w:cs="Arial" w:eastAsia="Arial" w:hAnsi="Arial"/>
          <w:sz w:val="13"/>
          <w:szCs w:val="13"/>
          <w:color w:val="auto"/>
        </w:rPr>
      </w:pPr>
      <w:r>
        <w:rPr>
          <w:rFonts w:ascii="Arial" w:cs="Arial" w:eastAsia="Arial" w:hAnsi="Arial"/>
          <w:sz w:val="13"/>
          <w:szCs w:val="13"/>
          <w:color w:val="auto"/>
        </w:rPr>
        <w:t>Kaplan international - travel meals and entertainment expense, training and employment expense, operating fees and other G&amp;A expenses.</w:t>
      </w:r>
    </w:p>
    <w:p>
      <w:pPr>
        <w:spacing w:after="0" w:line="53" w:lineRule="exact"/>
        <w:rPr>
          <w:rFonts w:ascii="Arial" w:cs="Arial" w:eastAsia="Arial" w:hAnsi="Arial"/>
          <w:sz w:val="13"/>
          <w:szCs w:val="13"/>
          <w:color w:val="auto"/>
        </w:rPr>
      </w:pPr>
    </w:p>
    <w:p>
      <w:pPr>
        <w:ind w:left="680" w:hanging="330"/>
        <w:spacing w:after="0"/>
        <w:tabs>
          <w:tab w:leader="none" w:pos="680" w:val="left"/>
        </w:tabs>
        <w:numPr>
          <w:ilvl w:val="1"/>
          <w:numId w:val="15"/>
        </w:numPr>
        <w:rPr>
          <w:rFonts w:ascii="Arial" w:cs="Arial" w:eastAsia="Arial" w:hAnsi="Arial"/>
          <w:sz w:val="13"/>
          <w:szCs w:val="13"/>
          <w:color w:val="auto"/>
        </w:rPr>
      </w:pPr>
      <w:r>
        <w:rPr>
          <w:rFonts w:ascii="Arial" w:cs="Arial" w:eastAsia="Arial" w:hAnsi="Arial"/>
          <w:sz w:val="13"/>
          <w:szCs w:val="13"/>
          <w:color w:val="auto"/>
        </w:rPr>
        <w:t>Higher education - training and employment expense, operating fees and other G&amp;A expenses.</w:t>
      </w:r>
    </w:p>
    <w:p>
      <w:pPr>
        <w:spacing w:after="0" w:line="53" w:lineRule="exact"/>
        <w:rPr>
          <w:rFonts w:ascii="Arial" w:cs="Arial" w:eastAsia="Arial" w:hAnsi="Arial"/>
          <w:sz w:val="13"/>
          <w:szCs w:val="13"/>
          <w:color w:val="auto"/>
        </w:rPr>
      </w:pPr>
    </w:p>
    <w:p>
      <w:pPr>
        <w:ind w:left="680" w:hanging="330"/>
        <w:spacing w:after="0"/>
        <w:tabs>
          <w:tab w:leader="none" w:pos="680" w:val="left"/>
        </w:tabs>
        <w:numPr>
          <w:ilvl w:val="1"/>
          <w:numId w:val="15"/>
        </w:numPr>
        <w:rPr>
          <w:rFonts w:ascii="Arial" w:cs="Arial" w:eastAsia="Arial" w:hAnsi="Arial"/>
          <w:sz w:val="13"/>
          <w:szCs w:val="13"/>
          <w:color w:val="auto"/>
        </w:rPr>
      </w:pPr>
      <w:r>
        <w:rPr>
          <w:rFonts w:ascii="Arial" w:cs="Arial" w:eastAsia="Arial" w:hAnsi="Arial"/>
          <w:sz w:val="13"/>
          <w:szCs w:val="13"/>
          <w:color w:val="auto"/>
        </w:rPr>
        <w:t>Supplemental education - training and employment expense, operating fees and other G&amp;A expenses.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The Company’s healthcare division segment information is as follows: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3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580" w:type="dxa"/>
            <w:vAlign w:val="bottom"/>
            <w:tcBorders>
              <w:bottom w:val="single" w:sz="8" w:color="auto"/>
            </w:tcBorders>
            <w:gridSpan w:val="5"/>
          </w:tcPr>
          <w:p>
            <w:pPr>
              <w:jc w:val="right"/>
              <w:ind w:right="677"/>
              <w:spacing w:after="0"/>
              <w:rPr>
                <w:sz w:val="20"/>
                <w:szCs w:val="20"/>
                <w:color w:val="auto"/>
              </w:rPr>
            </w:pPr>
            <w:r>
              <w:rPr>
                <w:rFonts w:ascii="Arial" w:cs="Arial" w:eastAsia="Arial" w:hAnsi="Arial"/>
                <w:sz w:val="13"/>
                <w:szCs w:val="13"/>
                <w:b w:val="1"/>
                <w:bCs w:val="1"/>
                <w:color w:val="auto"/>
              </w:rPr>
              <w:t>Nine Months Ended September 30, 2026</w:t>
            </w:r>
          </w:p>
        </w:tc>
        <w:tc>
          <w:tcPr>
            <w:tcW w:w="0" w:type="dxa"/>
            <w:vAlign w:val="bottom"/>
          </w:tcPr>
          <w:p>
            <w:pPr>
              <w:spacing w:after="0"/>
              <w:rPr>
                <w:sz w:val="1"/>
                <w:szCs w:val="1"/>
                <w:color w:val="auto"/>
              </w:rPr>
            </w:pPr>
          </w:p>
        </w:tc>
      </w:tr>
      <w:tr>
        <w:trPr>
          <w:trHeight w:val="196"/>
        </w:trPr>
        <w:tc>
          <w:tcPr>
            <w:tcW w:w="73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thousands)</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77"/>
              <w:spacing w:after="0"/>
              <w:rPr>
                <w:sz w:val="20"/>
                <w:szCs w:val="20"/>
                <w:color w:val="auto"/>
              </w:rPr>
            </w:pPr>
            <w:r>
              <w:rPr>
                <w:rFonts w:ascii="Arial" w:cs="Arial" w:eastAsia="Arial" w:hAnsi="Arial"/>
                <w:sz w:val="13"/>
                <w:szCs w:val="13"/>
                <w:b w:val="1"/>
                <w:bCs w:val="1"/>
                <w:color w:val="auto"/>
              </w:rPr>
              <w:t>CSI</w:t>
            </w: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97"/>
              </w:rPr>
              <w:t>Other Healthcare</w:t>
            </w: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94"/>
              </w:rPr>
              <w:t>Total Healthcare</w:t>
            </w:r>
          </w:p>
        </w:tc>
        <w:tc>
          <w:tcPr>
            <w:tcW w:w="0" w:type="dxa"/>
            <w:vAlign w:val="bottom"/>
          </w:tcPr>
          <w:p>
            <w:pPr>
              <w:spacing w:after="0"/>
              <w:rPr>
                <w:sz w:val="1"/>
                <w:szCs w:val="1"/>
                <w:color w:val="auto"/>
              </w:rPr>
            </w:pPr>
          </w:p>
        </w:tc>
      </w:tr>
      <w:tr>
        <w:trPr>
          <w:trHeight w:val="192"/>
        </w:trPr>
        <w:tc>
          <w:tcPr>
            <w:tcW w:w="7360" w:type="dxa"/>
            <w:vAlign w:val="bottom"/>
          </w:tcPr>
          <w:p>
            <w:pPr>
              <w:ind w:left="20"/>
              <w:spacing w:after="0"/>
              <w:rPr>
                <w:sz w:val="20"/>
                <w:szCs w:val="20"/>
                <w:color w:val="auto"/>
              </w:rPr>
            </w:pPr>
            <w:r>
              <w:rPr>
                <w:rFonts w:ascii="Arial" w:cs="Arial" w:eastAsia="Arial" w:hAnsi="Arial"/>
                <w:sz w:val="13"/>
                <w:szCs w:val="13"/>
                <w:b w:val="1"/>
                <w:bCs w:val="1"/>
                <w:color w:val="auto"/>
              </w:rPr>
              <w:t>Operating Revenues</w:t>
            </w:r>
          </w:p>
        </w:tc>
        <w:tc>
          <w:tcPr>
            <w:tcW w:w="300" w:type="dxa"/>
            <w:vAlign w:val="bottom"/>
          </w:tcPr>
          <w:p>
            <w:pPr>
              <w:jc w:val="right"/>
              <w:ind w:right="137"/>
              <w:spacing w:after="0"/>
              <w:rPr>
                <w:sz w:val="20"/>
                <w:szCs w:val="20"/>
                <w:color w:val="auto"/>
              </w:rPr>
            </w:pPr>
            <w:r>
              <w:rPr>
                <w:rFonts w:ascii="Arial" w:cs="Arial" w:eastAsia="Arial" w:hAnsi="Arial"/>
                <w:sz w:val="13"/>
                <w:szCs w:val="13"/>
                <w:b w:val="1"/>
                <w:bCs w:val="1"/>
                <w:color w:val="auto"/>
              </w:rPr>
              <w:t>$</w:t>
            </w:r>
          </w:p>
        </w:tc>
        <w:tc>
          <w:tcPr>
            <w:tcW w:w="980" w:type="dxa"/>
            <w:vAlign w:val="bottom"/>
          </w:tcPr>
          <w:p>
            <w:pPr>
              <w:jc w:val="right"/>
              <w:ind w:right="37"/>
              <w:spacing w:after="0"/>
              <w:rPr>
                <w:sz w:val="20"/>
                <w:szCs w:val="20"/>
                <w:color w:val="auto"/>
              </w:rPr>
            </w:pPr>
            <w:r>
              <w:rPr>
                <w:rFonts w:ascii="Arial" w:cs="Arial" w:eastAsia="Arial" w:hAnsi="Arial"/>
                <w:sz w:val="13"/>
                <w:szCs w:val="13"/>
                <w:b w:val="1"/>
                <w:bCs w:val="1"/>
                <w:color w:val="auto"/>
              </w:rPr>
              <w:t>428,593</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160" w:type="dxa"/>
            <w:vAlign w:val="bottom"/>
          </w:tcPr>
          <w:p>
            <w:pPr>
              <w:jc w:val="right"/>
              <w:ind w:right="37"/>
              <w:spacing w:after="0"/>
              <w:rPr>
                <w:sz w:val="20"/>
                <w:szCs w:val="20"/>
                <w:color w:val="auto"/>
              </w:rPr>
            </w:pPr>
            <w:r>
              <w:rPr>
                <w:rFonts w:ascii="Arial" w:cs="Arial" w:eastAsia="Arial" w:hAnsi="Arial"/>
                <w:sz w:val="13"/>
                <w:szCs w:val="13"/>
                <w:b w:val="1"/>
                <w:bCs w:val="1"/>
                <w:color w:val="auto"/>
              </w:rPr>
              <w:t>288,650</w:t>
            </w:r>
          </w:p>
        </w:tc>
        <w:tc>
          <w:tcPr>
            <w:tcW w:w="1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717,243</w:t>
            </w:r>
          </w:p>
        </w:tc>
        <w:tc>
          <w:tcPr>
            <w:tcW w:w="0" w:type="dxa"/>
            <w:vAlign w:val="bottom"/>
          </w:tcPr>
          <w:p>
            <w:pPr>
              <w:spacing w:after="0"/>
              <w:rPr>
                <w:sz w:val="1"/>
                <w:szCs w:val="1"/>
                <w:color w:val="auto"/>
              </w:rPr>
            </w:pPr>
          </w:p>
        </w:tc>
      </w:tr>
      <w:tr>
        <w:trPr>
          <w:trHeight w:val="331"/>
        </w:trPr>
        <w:tc>
          <w:tcPr>
            <w:tcW w:w="7360" w:type="dxa"/>
            <w:vAlign w:val="bottom"/>
          </w:tcPr>
          <w:p>
            <w:pPr>
              <w:ind w:left="20"/>
              <w:spacing w:after="0"/>
              <w:rPr>
                <w:sz w:val="20"/>
                <w:szCs w:val="20"/>
                <w:color w:val="auto"/>
              </w:rPr>
            </w:pPr>
            <w:r>
              <w:rPr>
                <w:rFonts w:ascii="Arial" w:cs="Arial" w:eastAsia="Arial" w:hAnsi="Arial"/>
                <w:sz w:val="13"/>
                <w:szCs w:val="13"/>
                <w:i w:val="1"/>
                <w:iCs w:val="1"/>
                <w:color w:val="auto"/>
              </w:rPr>
              <w:t xml:space="preserve">Less: Significant Expenses </w:t>
            </w:r>
            <w:r>
              <w:rPr>
                <w:rFonts w:ascii="Arial" w:cs="Arial" w:eastAsia="Arial" w:hAnsi="Arial"/>
                <w:sz w:val="16"/>
                <w:szCs w:val="16"/>
                <w:i w:val="1"/>
                <w:iCs w:val="1"/>
                <w:color w:val="auto"/>
                <w:vertAlign w:val="superscript"/>
              </w:rPr>
              <w:t>(1)</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360" w:type="dxa"/>
            <w:vAlign w:val="bottom"/>
          </w:tcPr>
          <w:p>
            <w:pPr>
              <w:ind w:left="140"/>
              <w:spacing w:after="0"/>
              <w:rPr>
                <w:sz w:val="20"/>
                <w:szCs w:val="20"/>
                <w:color w:val="auto"/>
              </w:rPr>
            </w:pPr>
            <w:r>
              <w:rPr>
                <w:rFonts w:ascii="Arial" w:cs="Arial" w:eastAsia="Arial" w:hAnsi="Arial"/>
                <w:sz w:val="13"/>
                <w:szCs w:val="13"/>
                <w:color w:val="auto"/>
              </w:rPr>
              <w:t xml:space="preserve">Cost of Revenue </w:t>
            </w:r>
            <w:r>
              <w:rPr>
                <w:rFonts w:ascii="Arial" w:cs="Arial" w:eastAsia="Arial" w:hAnsi="Arial"/>
                <w:sz w:val="16"/>
                <w:szCs w:val="16"/>
                <w:color w:val="auto"/>
                <w:vertAlign w:val="superscript"/>
              </w:rPr>
              <w:t>(2)</w:t>
            </w:r>
          </w:p>
        </w:tc>
        <w:tc>
          <w:tcPr>
            <w:tcW w:w="300" w:type="dxa"/>
            <w:vAlign w:val="bottom"/>
          </w:tcPr>
          <w:p>
            <w:pPr>
              <w:spacing w:after="0"/>
              <w:rPr>
                <w:sz w:val="17"/>
                <w:szCs w:val="17"/>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b w:val="1"/>
                <w:bCs w:val="1"/>
                <w:color w:val="auto"/>
              </w:rPr>
              <w:t>330,748</w:t>
            </w:r>
          </w:p>
        </w:tc>
        <w:tc>
          <w:tcPr>
            <w:tcW w:w="160" w:type="dxa"/>
            <w:vAlign w:val="bottom"/>
          </w:tcPr>
          <w:p>
            <w:pPr>
              <w:spacing w:after="0"/>
              <w:rPr>
                <w:sz w:val="17"/>
                <w:szCs w:val="17"/>
                <w:color w:val="auto"/>
              </w:rPr>
            </w:pPr>
          </w:p>
        </w:tc>
        <w:tc>
          <w:tcPr>
            <w:tcW w:w="1160" w:type="dxa"/>
            <w:vAlign w:val="bottom"/>
          </w:tcPr>
          <w:p>
            <w:pPr>
              <w:jc w:val="right"/>
              <w:ind w:right="37"/>
              <w:spacing w:after="0"/>
              <w:rPr>
                <w:sz w:val="20"/>
                <w:szCs w:val="20"/>
                <w:color w:val="auto"/>
              </w:rPr>
            </w:pPr>
            <w:r>
              <w:rPr>
                <w:rFonts w:ascii="Arial" w:cs="Arial" w:eastAsia="Arial" w:hAnsi="Arial"/>
                <w:sz w:val="13"/>
                <w:szCs w:val="13"/>
                <w:b w:val="1"/>
                <w:bCs w:val="1"/>
                <w:color w:val="auto"/>
              </w:rPr>
              <w:t>140,766</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471,514</w:t>
            </w:r>
          </w:p>
        </w:tc>
        <w:tc>
          <w:tcPr>
            <w:tcW w:w="0" w:type="dxa"/>
            <w:vAlign w:val="bottom"/>
          </w:tcPr>
          <w:p>
            <w:pPr>
              <w:spacing w:after="0"/>
              <w:rPr>
                <w:sz w:val="1"/>
                <w:szCs w:val="1"/>
                <w:color w:val="auto"/>
              </w:rPr>
            </w:pPr>
          </w:p>
        </w:tc>
      </w:tr>
      <w:tr>
        <w:trPr>
          <w:trHeight w:val="190"/>
        </w:trPr>
        <w:tc>
          <w:tcPr>
            <w:tcW w:w="7360" w:type="dxa"/>
            <w:vAlign w:val="bottom"/>
          </w:tcPr>
          <w:p>
            <w:pPr>
              <w:ind w:left="140"/>
              <w:spacing w:after="0"/>
              <w:rPr>
                <w:sz w:val="20"/>
                <w:szCs w:val="20"/>
                <w:color w:val="auto"/>
              </w:rPr>
            </w:pPr>
            <w:r>
              <w:rPr>
                <w:rFonts w:ascii="Arial" w:cs="Arial" w:eastAsia="Arial" w:hAnsi="Arial"/>
                <w:sz w:val="13"/>
                <w:szCs w:val="13"/>
                <w:color w:val="auto"/>
              </w:rPr>
              <w:t xml:space="preserve">Other Segment Items </w:t>
            </w:r>
            <w:r>
              <w:rPr>
                <w:rFonts w:ascii="Arial" w:cs="Arial" w:eastAsia="Arial" w:hAnsi="Arial"/>
                <w:sz w:val="16"/>
                <w:szCs w:val="16"/>
                <w:color w:val="auto"/>
                <w:vertAlign w:val="superscript"/>
              </w:rPr>
              <w:t>(3)</w:t>
            </w: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62,743</w:t>
            </w: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105,776</w:t>
            </w: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168,519</w:t>
            </w:r>
          </w:p>
        </w:tc>
        <w:tc>
          <w:tcPr>
            <w:tcW w:w="0" w:type="dxa"/>
            <w:vAlign w:val="bottom"/>
          </w:tcPr>
          <w:p>
            <w:pPr>
              <w:spacing w:after="0"/>
              <w:rPr>
                <w:sz w:val="1"/>
                <w:szCs w:val="1"/>
                <w:color w:val="auto"/>
              </w:rPr>
            </w:pPr>
          </w:p>
        </w:tc>
      </w:tr>
      <w:tr>
        <w:trPr>
          <w:trHeight w:val="192"/>
        </w:trPr>
        <w:tc>
          <w:tcPr>
            <w:tcW w:w="7360" w:type="dxa"/>
            <w:vAlign w:val="bottom"/>
          </w:tcPr>
          <w:p>
            <w:pPr>
              <w:ind w:left="20"/>
              <w:spacing w:after="0"/>
              <w:rPr>
                <w:sz w:val="20"/>
                <w:szCs w:val="20"/>
                <w:color w:val="auto"/>
              </w:rPr>
            </w:pPr>
            <w:r>
              <w:rPr>
                <w:rFonts w:ascii="Arial" w:cs="Arial" w:eastAsia="Arial" w:hAnsi="Arial"/>
                <w:sz w:val="13"/>
                <w:szCs w:val="13"/>
                <w:b w:val="1"/>
                <w:bCs w:val="1"/>
                <w:color w:val="auto"/>
              </w:rPr>
              <w:t>EBITDAP</w:t>
            </w:r>
          </w:p>
        </w:tc>
        <w:tc>
          <w:tcPr>
            <w:tcW w:w="30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w:t>
            </w: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35,102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1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42,108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77,210</w:t>
            </w:r>
          </w:p>
        </w:tc>
        <w:tc>
          <w:tcPr>
            <w:tcW w:w="0" w:type="dxa"/>
            <w:vAlign w:val="bottom"/>
          </w:tcPr>
          <w:p>
            <w:pPr>
              <w:spacing w:after="0"/>
              <w:rPr>
                <w:sz w:val="1"/>
                <w:szCs w:val="1"/>
                <w:color w:val="auto"/>
              </w:rPr>
            </w:pPr>
          </w:p>
        </w:tc>
      </w:tr>
      <w:tr>
        <w:trPr>
          <w:trHeight w:val="327"/>
        </w:trPr>
        <w:tc>
          <w:tcPr>
            <w:tcW w:w="7360" w:type="dxa"/>
            <w:vAlign w:val="bottom"/>
          </w:tcPr>
          <w:p>
            <w:pPr>
              <w:ind w:left="20"/>
              <w:spacing w:after="0"/>
              <w:rPr>
                <w:sz w:val="20"/>
                <w:szCs w:val="20"/>
                <w:color w:val="auto"/>
              </w:rPr>
            </w:pPr>
            <w:r>
              <w:rPr>
                <w:rFonts w:ascii="Arial" w:cs="Arial" w:eastAsia="Arial" w:hAnsi="Arial"/>
                <w:sz w:val="13"/>
                <w:szCs w:val="13"/>
                <w:color w:val="auto"/>
              </w:rPr>
              <w:t>Pension Service Cost</w:t>
            </w:r>
          </w:p>
        </w:tc>
        <w:tc>
          <w:tcPr>
            <w:tcW w:w="300" w:type="dxa"/>
            <w:vAlign w:val="bottom"/>
          </w:tcPr>
          <w:p>
            <w:pPr>
              <w:spacing w:after="0"/>
              <w:rPr>
                <w:sz w:val="24"/>
                <w:szCs w:val="24"/>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b w:val="1"/>
                <w:bCs w:val="1"/>
                <w:color w:val="auto"/>
              </w:rPr>
              <w:t>602</w:t>
            </w:r>
          </w:p>
        </w:tc>
        <w:tc>
          <w:tcPr>
            <w:tcW w:w="160" w:type="dxa"/>
            <w:vAlign w:val="bottom"/>
          </w:tcPr>
          <w:p>
            <w:pPr>
              <w:spacing w:after="0"/>
              <w:rPr>
                <w:sz w:val="24"/>
                <w:szCs w:val="24"/>
                <w:color w:val="auto"/>
              </w:rPr>
            </w:pPr>
          </w:p>
        </w:tc>
        <w:tc>
          <w:tcPr>
            <w:tcW w:w="1160" w:type="dxa"/>
            <w:vAlign w:val="bottom"/>
          </w:tcPr>
          <w:p>
            <w:pPr>
              <w:jc w:val="right"/>
              <w:ind w:right="37"/>
              <w:spacing w:after="0"/>
              <w:rPr>
                <w:sz w:val="20"/>
                <w:szCs w:val="20"/>
                <w:color w:val="auto"/>
              </w:rPr>
            </w:pPr>
            <w:r>
              <w:rPr>
                <w:rFonts w:ascii="Arial" w:cs="Arial" w:eastAsia="Arial" w:hAnsi="Arial"/>
                <w:sz w:val="13"/>
                <w:szCs w:val="13"/>
                <w:b w:val="1"/>
                <w:bCs w:val="1"/>
                <w:color w:val="auto"/>
              </w:rPr>
              <w:t>5,292</w:t>
            </w: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5,894</w:t>
            </w:r>
          </w:p>
        </w:tc>
        <w:tc>
          <w:tcPr>
            <w:tcW w:w="0" w:type="dxa"/>
            <w:vAlign w:val="bottom"/>
          </w:tcPr>
          <w:p>
            <w:pPr>
              <w:spacing w:after="0"/>
              <w:rPr>
                <w:sz w:val="1"/>
                <w:szCs w:val="1"/>
                <w:color w:val="auto"/>
              </w:rPr>
            </w:pPr>
          </w:p>
        </w:tc>
      </w:tr>
      <w:tr>
        <w:trPr>
          <w:trHeight w:val="203"/>
        </w:trPr>
        <w:tc>
          <w:tcPr>
            <w:tcW w:w="7360" w:type="dxa"/>
            <w:vAlign w:val="bottom"/>
          </w:tcPr>
          <w:p>
            <w:pPr>
              <w:ind w:left="20"/>
              <w:spacing w:after="0"/>
              <w:rPr>
                <w:sz w:val="20"/>
                <w:szCs w:val="20"/>
                <w:color w:val="auto"/>
              </w:rPr>
            </w:pPr>
            <w:r>
              <w:rPr>
                <w:rFonts w:ascii="Arial" w:cs="Arial" w:eastAsia="Arial" w:hAnsi="Arial"/>
                <w:sz w:val="13"/>
                <w:szCs w:val="13"/>
                <w:color w:val="auto"/>
              </w:rPr>
              <w:t>Depreciation Expense</w:t>
            </w:r>
          </w:p>
        </w:tc>
        <w:tc>
          <w:tcPr>
            <w:tcW w:w="300" w:type="dxa"/>
            <w:vAlign w:val="bottom"/>
          </w:tcPr>
          <w:p>
            <w:pPr>
              <w:spacing w:after="0"/>
              <w:rPr>
                <w:sz w:val="17"/>
                <w:szCs w:val="17"/>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b w:val="1"/>
                <w:bCs w:val="1"/>
                <w:color w:val="auto"/>
              </w:rPr>
              <w:t>887</w:t>
            </w:r>
          </w:p>
        </w:tc>
        <w:tc>
          <w:tcPr>
            <w:tcW w:w="160" w:type="dxa"/>
            <w:vAlign w:val="bottom"/>
          </w:tcPr>
          <w:p>
            <w:pPr>
              <w:spacing w:after="0"/>
              <w:rPr>
                <w:sz w:val="17"/>
                <w:szCs w:val="17"/>
                <w:color w:val="auto"/>
              </w:rPr>
            </w:pPr>
          </w:p>
        </w:tc>
        <w:tc>
          <w:tcPr>
            <w:tcW w:w="1160" w:type="dxa"/>
            <w:vAlign w:val="bottom"/>
          </w:tcPr>
          <w:p>
            <w:pPr>
              <w:jc w:val="right"/>
              <w:ind w:right="37"/>
              <w:spacing w:after="0"/>
              <w:rPr>
                <w:sz w:val="20"/>
                <w:szCs w:val="20"/>
                <w:color w:val="auto"/>
              </w:rPr>
            </w:pPr>
            <w:r>
              <w:rPr>
                <w:rFonts w:ascii="Arial" w:cs="Arial" w:eastAsia="Arial" w:hAnsi="Arial"/>
                <w:sz w:val="13"/>
                <w:szCs w:val="13"/>
                <w:b w:val="1"/>
                <w:bCs w:val="1"/>
                <w:color w:val="auto"/>
              </w:rPr>
              <w:t>4,892</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5,779</w:t>
            </w:r>
          </w:p>
        </w:tc>
        <w:tc>
          <w:tcPr>
            <w:tcW w:w="0" w:type="dxa"/>
            <w:vAlign w:val="bottom"/>
          </w:tcPr>
          <w:p>
            <w:pPr>
              <w:spacing w:after="0"/>
              <w:rPr>
                <w:sz w:val="1"/>
                <w:szCs w:val="1"/>
                <w:color w:val="auto"/>
              </w:rPr>
            </w:pPr>
          </w:p>
        </w:tc>
      </w:tr>
      <w:tr>
        <w:trPr>
          <w:trHeight w:val="157"/>
        </w:trPr>
        <w:tc>
          <w:tcPr>
            <w:tcW w:w="73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Income from Operations before Amortization of Intangible Assets</w:t>
            </w: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7360" w:type="dxa"/>
            <w:vAlign w:val="bottom"/>
            <w:vMerge w:val="continue"/>
          </w:tcPr>
          <w:p>
            <w:pPr>
              <w:spacing w:after="0"/>
              <w:rPr>
                <w:sz w:val="16"/>
                <w:szCs w:val="16"/>
                <w:color w:val="auto"/>
              </w:rPr>
            </w:pPr>
          </w:p>
        </w:tc>
        <w:tc>
          <w:tcPr>
            <w:tcW w:w="30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w:t>
            </w: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33,613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1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31,924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65,537</w:t>
            </w:r>
          </w:p>
        </w:tc>
        <w:tc>
          <w:tcPr>
            <w:tcW w:w="0" w:type="dxa"/>
            <w:vAlign w:val="bottom"/>
          </w:tcPr>
          <w:p>
            <w:pPr>
              <w:spacing w:after="0"/>
              <w:rPr>
                <w:sz w:val="1"/>
                <w:szCs w:val="1"/>
                <w:color w:val="auto"/>
              </w:rPr>
            </w:pPr>
          </w:p>
        </w:tc>
      </w:tr>
      <w:tr>
        <w:trPr>
          <w:trHeight w:val="327"/>
        </w:trPr>
        <w:tc>
          <w:tcPr>
            <w:tcW w:w="7360" w:type="dxa"/>
            <w:vAlign w:val="bottom"/>
          </w:tcPr>
          <w:p>
            <w:pPr>
              <w:ind w:left="20"/>
              <w:spacing w:after="0"/>
              <w:rPr>
                <w:sz w:val="20"/>
                <w:szCs w:val="20"/>
                <w:color w:val="auto"/>
              </w:rPr>
            </w:pPr>
            <w:r>
              <w:rPr>
                <w:rFonts w:ascii="Arial" w:cs="Arial" w:eastAsia="Arial" w:hAnsi="Arial"/>
                <w:sz w:val="13"/>
                <w:szCs w:val="13"/>
                <w:b w:val="1"/>
                <w:bCs w:val="1"/>
                <w:color w:val="auto"/>
              </w:rPr>
              <w:t>Capital Expenditures</w:t>
            </w:r>
          </w:p>
        </w:tc>
        <w:tc>
          <w:tcPr>
            <w:tcW w:w="300" w:type="dxa"/>
            <w:vAlign w:val="bottom"/>
          </w:tcPr>
          <w:p>
            <w:pPr>
              <w:jc w:val="right"/>
              <w:ind w:right="137"/>
              <w:spacing w:after="0"/>
              <w:rPr>
                <w:sz w:val="20"/>
                <w:szCs w:val="20"/>
                <w:color w:val="auto"/>
              </w:rPr>
            </w:pPr>
            <w:r>
              <w:rPr>
                <w:rFonts w:ascii="Arial" w:cs="Arial" w:eastAsia="Arial" w:hAnsi="Arial"/>
                <w:sz w:val="13"/>
                <w:szCs w:val="13"/>
                <w:b w:val="1"/>
                <w:bCs w:val="1"/>
                <w:color w:val="auto"/>
              </w:rPr>
              <w:t>$</w:t>
            </w:r>
          </w:p>
        </w:tc>
        <w:tc>
          <w:tcPr>
            <w:tcW w:w="980" w:type="dxa"/>
            <w:vAlign w:val="bottom"/>
          </w:tcPr>
          <w:p>
            <w:pPr>
              <w:jc w:val="right"/>
              <w:ind w:right="37"/>
              <w:spacing w:after="0"/>
              <w:rPr>
                <w:sz w:val="20"/>
                <w:szCs w:val="20"/>
                <w:color w:val="auto"/>
              </w:rPr>
            </w:pPr>
            <w:r>
              <w:rPr>
                <w:rFonts w:ascii="Arial" w:cs="Arial" w:eastAsia="Arial" w:hAnsi="Arial"/>
                <w:sz w:val="13"/>
                <w:szCs w:val="13"/>
                <w:b w:val="1"/>
                <w:bCs w:val="1"/>
                <w:color w:val="auto"/>
              </w:rPr>
              <w:t>3,981</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160" w:type="dxa"/>
            <w:vAlign w:val="bottom"/>
          </w:tcPr>
          <w:p>
            <w:pPr>
              <w:jc w:val="right"/>
              <w:ind w:right="37"/>
              <w:spacing w:after="0"/>
              <w:rPr>
                <w:sz w:val="20"/>
                <w:szCs w:val="20"/>
                <w:color w:val="auto"/>
              </w:rPr>
            </w:pPr>
            <w:r>
              <w:rPr>
                <w:rFonts w:ascii="Arial" w:cs="Arial" w:eastAsia="Arial" w:hAnsi="Arial"/>
                <w:sz w:val="13"/>
                <w:szCs w:val="13"/>
                <w:b w:val="1"/>
                <w:bCs w:val="1"/>
                <w:color w:val="auto"/>
              </w:rPr>
              <w:t>16,286</w:t>
            </w:r>
          </w:p>
        </w:tc>
        <w:tc>
          <w:tcPr>
            <w:tcW w:w="1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20,267</w:t>
            </w:r>
          </w:p>
        </w:tc>
        <w:tc>
          <w:tcPr>
            <w:tcW w:w="0" w:type="dxa"/>
            <w:vAlign w:val="bottom"/>
          </w:tcPr>
          <w:p>
            <w:pPr>
              <w:spacing w:after="0"/>
              <w:rPr>
                <w:sz w:val="1"/>
                <w:szCs w:val="1"/>
                <w:color w:val="auto"/>
              </w:rPr>
            </w:pPr>
          </w:p>
        </w:tc>
      </w:tr>
    </w:tbl>
    <w:p>
      <w:pPr>
        <w:spacing w:after="0" w:line="301" w:lineRule="exact"/>
        <w:rPr>
          <w:sz w:val="20"/>
          <w:szCs w:val="20"/>
          <w:color w:val="auto"/>
        </w:rPr>
      </w:pPr>
    </w:p>
    <w:p>
      <w:pPr>
        <w:ind w:left="360" w:hanging="334"/>
        <w:spacing w:after="0"/>
        <w:tabs>
          <w:tab w:leader="none" w:pos="36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significant expense categories and amounts align with the segment-level information that is regularly provided to the CODM.</w:t>
      </w:r>
    </w:p>
    <w:p>
      <w:pPr>
        <w:spacing w:after="0" w:line="53" w:lineRule="exact"/>
        <w:rPr>
          <w:rFonts w:ascii="Arial" w:cs="Arial" w:eastAsia="Arial" w:hAnsi="Arial"/>
          <w:sz w:val="13"/>
          <w:szCs w:val="13"/>
          <w:color w:val="auto"/>
        </w:rPr>
      </w:pPr>
    </w:p>
    <w:p>
      <w:pPr>
        <w:ind w:left="360" w:right="160" w:hanging="334"/>
        <w:spacing w:after="0" w:line="264" w:lineRule="auto"/>
        <w:tabs>
          <w:tab w:leader="none" w:pos="360" w:val="left"/>
        </w:tabs>
        <w:numPr>
          <w:ilvl w:val="0"/>
          <w:numId w:val="16"/>
        </w:numPr>
        <w:rPr>
          <w:rFonts w:ascii="Arial" w:cs="Arial" w:eastAsia="Arial" w:hAnsi="Arial"/>
          <w:sz w:val="13"/>
          <w:szCs w:val="13"/>
          <w:color w:val="auto"/>
        </w:rPr>
      </w:pPr>
      <w:r>
        <w:rPr>
          <w:rFonts w:ascii="Arial" w:cs="Arial" w:eastAsia="Arial" w:hAnsi="Arial"/>
          <w:sz w:val="13"/>
          <w:szCs w:val="13"/>
          <w:color w:val="auto"/>
        </w:rPr>
        <w:t>Cost of revenue reflects the amounts reported and provided to the CODM and does not necessarily reconcile to the Company's Consolidated Statement of Operations. Cost of revenue excludes charges related to depreciation, which is shown separately.</w:t>
      </w:r>
    </w:p>
    <w:p>
      <w:pPr>
        <w:spacing w:after="0" w:line="22" w:lineRule="exact"/>
        <w:rPr>
          <w:rFonts w:ascii="Arial" w:cs="Arial" w:eastAsia="Arial" w:hAnsi="Arial"/>
          <w:sz w:val="13"/>
          <w:szCs w:val="13"/>
          <w:color w:val="auto"/>
        </w:rPr>
      </w:pPr>
    </w:p>
    <w:p>
      <w:pPr>
        <w:ind w:left="360" w:hanging="334"/>
        <w:spacing w:after="0"/>
        <w:tabs>
          <w:tab w:leader="none" w:pos="360" w:val="left"/>
        </w:tabs>
        <w:numPr>
          <w:ilvl w:val="0"/>
          <w:numId w:val="16"/>
        </w:numPr>
        <w:rPr>
          <w:rFonts w:ascii="Arial" w:cs="Arial" w:eastAsia="Arial" w:hAnsi="Arial"/>
          <w:sz w:val="13"/>
          <w:szCs w:val="13"/>
          <w:color w:val="auto"/>
        </w:rPr>
      </w:pPr>
      <w:r>
        <w:rPr>
          <w:rFonts w:ascii="Arial" w:cs="Arial" w:eastAsia="Arial" w:hAnsi="Arial"/>
          <w:sz w:val="13"/>
          <w:szCs w:val="13"/>
          <w:color w:val="auto"/>
        </w:rPr>
        <w:t>Other segment items for CSI include indirect costs (e.g. payroll and benefits expenses, G&amp;A expenses) and other SG&amp;A expenses.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The Company’s segment information is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3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6"/>
              </w:rPr>
              <w:t>Nine Months Ended September 30, 2025</w:t>
            </w: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r>
      <w:tr>
        <w:trPr>
          <w:trHeight w:val="155"/>
        </w:trPr>
        <w:tc>
          <w:tcPr>
            <w:tcW w:w="3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center"/>
              <w:ind w:right="117"/>
              <w:spacing w:after="0"/>
              <w:rPr>
                <w:sz w:val="20"/>
                <w:szCs w:val="20"/>
                <w:color w:val="auto"/>
              </w:rPr>
            </w:pPr>
            <w:r>
              <w:rPr>
                <w:rFonts w:ascii="Arial" w:cs="Arial" w:eastAsia="Arial" w:hAnsi="Arial"/>
                <w:sz w:val="13"/>
                <w:szCs w:val="13"/>
                <w:b w:val="1"/>
                <w:bCs w:val="1"/>
                <w:color w:val="auto"/>
                <w:w w:val="94"/>
              </w:rPr>
              <w:t>Television</w:t>
            </w: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89"/>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thousands)</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Education</w:t>
            </w: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17"/>
              <w:spacing w:after="0"/>
              <w:rPr>
                <w:sz w:val="20"/>
                <w:szCs w:val="20"/>
                <w:color w:val="auto"/>
              </w:rPr>
            </w:pPr>
            <w:r>
              <w:rPr>
                <w:rFonts w:ascii="Arial" w:cs="Arial" w:eastAsia="Arial" w:hAnsi="Arial"/>
                <w:sz w:val="13"/>
                <w:szCs w:val="13"/>
                <w:b w:val="1"/>
                <w:bCs w:val="1"/>
                <w:color w:val="auto"/>
                <w:w w:val="96"/>
              </w:rPr>
              <w:t>Broadcasting</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Healthcare</w:t>
            </w: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Manufacturing</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Automotive</w:t>
            </w: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97"/>
              </w:rPr>
              <w:t>Total Segments</w:t>
            </w:r>
          </w:p>
        </w:tc>
      </w:tr>
      <w:tr>
        <w:trPr>
          <w:trHeight w:val="192"/>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Operating Revenues</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1,334,206</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17"/>
              <w:spacing w:after="0"/>
              <w:rPr>
                <w:sz w:val="20"/>
                <w:szCs w:val="20"/>
                <w:color w:val="auto"/>
              </w:rPr>
            </w:pPr>
            <w:r>
              <w:rPr>
                <w:rFonts w:ascii="Arial" w:cs="Arial" w:eastAsia="Arial" w:hAnsi="Arial"/>
                <w:sz w:val="13"/>
                <w:szCs w:val="13"/>
                <w:color w:val="auto"/>
              </w:rPr>
              <w:t>314,625</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584,375</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77"/>
              <w:spacing w:after="0"/>
              <w:rPr>
                <w:sz w:val="20"/>
                <w:szCs w:val="20"/>
                <w:color w:val="auto"/>
              </w:rPr>
            </w:pPr>
            <w:r>
              <w:rPr>
                <w:rFonts w:ascii="Arial" w:cs="Arial" w:eastAsia="Arial" w:hAnsi="Arial"/>
                <w:sz w:val="13"/>
                <w:szCs w:val="13"/>
                <w:color w:val="auto"/>
              </w:rPr>
              <w:t>318,480</w:t>
            </w:r>
          </w:p>
        </w:tc>
        <w:tc>
          <w:tcPr>
            <w:tcW w:w="2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37"/>
              <w:spacing w:after="0"/>
              <w:rPr>
                <w:sz w:val="20"/>
                <w:szCs w:val="20"/>
                <w:color w:val="auto"/>
              </w:rPr>
            </w:pPr>
            <w:r>
              <w:rPr>
                <w:rFonts w:ascii="Arial" w:cs="Arial" w:eastAsia="Arial" w:hAnsi="Arial"/>
                <w:sz w:val="13"/>
                <w:szCs w:val="13"/>
                <w:color w:val="auto"/>
              </w:rPr>
              <w:t>851,791</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3,403,477</w:t>
            </w:r>
          </w:p>
        </w:tc>
      </w:tr>
      <w:tr>
        <w:trPr>
          <w:trHeight w:val="197"/>
        </w:trPr>
        <w:tc>
          <w:tcPr>
            <w:tcW w:w="3320" w:type="dxa"/>
            <w:vAlign w:val="bottom"/>
          </w:tcPr>
          <w:p>
            <w:pPr>
              <w:ind w:left="20"/>
              <w:spacing w:after="0"/>
              <w:rPr>
                <w:sz w:val="20"/>
                <w:szCs w:val="20"/>
                <w:color w:val="auto"/>
              </w:rPr>
            </w:pPr>
            <w:r>
              <w:rPr>
                <w:rFonts w:ascii="Arial" w:cs="Arial" w:eastAsia="Arial" w:hAnsi="Arial"/>
                <w:sz w:val="13"/>
                <w:szCs w:val="13"/>
                <w:i w:val="1"/>
                <w:iCs w:val="1"/>
                <w:color w:val="auto"/>
              </w:rPr>
              <w:t>Reconciliation of Revenue</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r>
    </w:tbl>
    <w:p>
      <w:pPr>
        <w:spacing w:after="0" w:line="26" w:lineRule="exact"/>
        <w:rPr>
          <w:sz w:val="20"/>
          <w:szCs w:val="20"/>
          <w:color w:val="auto"/>
        </w:rPr>
      </w:pPr>
    </w:p>
    <w:p>
      <w:pPr>
        <w:sectPr>
          <w:pgSz w:w="11900" w:h="16838" w:orient="portrait"/>
          <w:cols w:equalWidth="0" w:num="1">
            <w:col w:w="11040"/>
          </w:cols>
          <w:pgMar w:left="320" w:top="931" w:right="539" w:bottom="1440" w:gutter="0" w:footer="0" w:header="0"/>
        </w:sectPr>
      </w:pPr>
    </w:p>
    <w:p>
      <w:pPr>
        <w:ind w:left="140" w:right="240" w:hanging="26"/>
        <w:spacing w:after="0" w:line="298" w:lineRule="auto"/>
        <w:rPr>
          <w:sz w:val="20"/>
          <w:szCs w:val="20"/>
          <w:color w:val="auto"/>
        </w:rPr>
      </w:pPr>
      <w:r>
        <w:rPr>
          <w:rFonts w:ascii="Arial" w:cs="Arial" w:eastAsia="Arial" w:hAnsi="Arial"/>
          <w:sz w:val="13"/>
          <w:szCs w:val="13"/>
          <w:color w:val="auto"/>
        </w:rPr>
        <w:t xml:space="preserve">Other Businesses and Corporate Office Revenues </w:t>
      </w:r>
      <w:r>
        <w:rPr>
          <w:rFonts w:ascii="Arial" w:cs="Arial" w:eastAsia="Arial" w:hAnsi="Arial"/>
          <w:sz w:val="16"/>
          <w:szCs w:val="16"/>
          <w:color w:val="auto"/>
          <w:vertAlign w:val="superscript"/>
        </w:rPr>
        <w:t>(1)</w:t>
      </w:r>
      <w:r>
        <w:rPr>
          <w:rFonts w:ascii="Arial" w:cs="Arial" w:eastAsia="Arial" w:hAnsi="Arial"/>
          <w:sz w:val="13"/>
          <w:szCs w:val="13"/>
          <w:color w:val="auto"/>
        </w:rPr>
        <w:t xml:space="preserve"> Intersegment Elimination</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Total Consolidated Revenues</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 xml:space="preserve">Less: Significant Expenses </w:t>
      </w:r>
      <w:r>
        <w:rPr>
          <w:rFonts w:ascii="Arial" w:cs="Arial" w:eastAsia="Arial" w:hAnsi="Arial"/>
          <w:sz w:val="16"/>
          <w:szCs w:val="16"/>
          <w:i w:val="1"/>
          <w:iCs w:val="1"/>
          <w:color w:val="auto"/>
          <w:vertAlign w:val="superscript"/>
        </w:rPr>
        <w:t>(2)</w:t>
      </w:r>
    </w:p>
    <w:p>
      <w:pPr>
        <w:spacing w:after="0" w:line="25" w:lineRule="exact"/>
        <w:rPr>
          <w:sz w:val="20"/>
          <w:szCs w:val="20"/>
          <w:color w:val="auto"/>
        </w:rPr>
      </w:pPr>
    </w:p>
    <w:p>
      <w:pPr>
        <w:ind w:left="140"/>
        <w:spacing w:after="0"/>
        <w:rPr>
          <w:sz w:val="20"/>
          <w:szCs w:val="20"/>
          <w:color w:val="auto"/>
        </w:rPr>
      </w:pPr>
      <w:r>
        <w:rPr>
          <w:rFonts w:ascii="Arial" w:cs="Arial" w:eastAsia="Arial" w:hAnsi="Arial"/>
          <w:sz w:val="13"/>
          <w:szCs w:val="13"/>
          <w:color w:val="auto"/>
        </w:rPr>
        <w:t xml:space="preserve">Cost of Revenue </w:t>
      </w:r>
      <w:r>
        <w:rPr>
          <w:rFonts w:ascii="Arial" w:cs="Arial" w:eastAsia="Arial" w:hAnsi="Arial"/>
          <w:sz w:val="16"/>
          <w:szCs w:val="16"/>
          <w:color w:val="auto"/>
          <w:vertAlign w:val="superscript"/>
        </w:rPr>
        <w:t>(3)</w:t>
      </w:r>
    </w:p>
    <w:p>
      <w:pPr>
        <w:spacing w:after="0" w:line="19" w:lineRule="exact"/>
        <w:rPr>
          <w:sz w:val="20"/>
          <w:szCs w:val="20"/>
          <w:color w:val="auto"/>
        </w:rPr>
      </w:pPr>
    </w:p>
    <w:p>
      <w:pPr>
        <w:ind w:left="140"/>
        <w:spacing w:after="0"/>
        <w:rPr>
          <w:sz w:val="20"/>
          <w:szCs w:val="20"/>
          <w:color w:val="auto"/>
        </w:rPr>
      </w:pPr>
      <w:r>
        <w:rPr>
          <w:rFonts w:ascii="Arial" w:cs="Arial" w:eastAsia="Arial" w:hAnsi="Arial"/>
          <w:sz w:val="13"/>
          <w:szCs w:val="13"/>
          <w:color w:val="auto"/>
        </w:rPr>
        <w:t xml:space="preserve">Payroll and Fringe Benefits Expense </w:t>
      </w:r>
      <w:r>
        <w:rPr>
          <w:rFonts w:ascii="Arial" w:cs="Arial" w:eastAsia="Arial" w:hAnsi="Arial"/>
          <w:sz w:val="16"/>
          <w:szCs w:val="16"/>
          <w:color w:val="auto"/>
          <w:vertAlign w:val="superscript"/>
        </w:rPr>
        <w:t>(4)</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13"/>
          <w:szCs w:val="13"/>
          <w:color w:val="auto"/>
        </w:rPr>
        <w:t>Occupancy Expense</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3"/>
          <w:szCs w:val="13"/>
          <w:color w:val="auto"/>
        </w:rPr>
        <w:t>Advertising and Marketing Expense</w:t>
      </w:r>
    </w:p>
    <w:p>
      <w:pPr>
        <w:spacing w:after="0" w:line="53" w:lineRule="exact"/>
        <w:rPr>
          <w:sz w:val="20"/>
          <w:szCs w:val="20"/>
          <w:color w:val="auto"/>
        </w:rPr>
      </w:pPr>
    </w:p>
    <w:p>
      <w:pPr>
        <w:ind w:left="140"/>
        <w:spacing w:after="0"/>
        <w:rPr>
          <w:sz w:val="20"/>
          <w:szCs w:val="20"/>
          <w:color w:val="auto"/>
        </w:rPr>
      </w:pPr>
      <w:r>
        <w:rPr>
          <w:rFonts w:ascii="Arial" w:cs="Arial" w:eastAsia="Arial" w:hAnsi="Arial"/>
          <w:sz w:val="13"/>
          <w:szCs w:val="13"/>
          <w:color w:val="auto"/>
        </w:rPr>
        <w:t>Networking and Programming Expense</w:t>
      </w:r>
    </w:p>
    <w:p>
      <w:pPr>
        <w:spacing w:after="0" w:line="43" w:lineRule="exact"/>
        <w:rPr>
          <w:sz w:val="20"/>
          <w:szCs w:val="20"/>
          <w:color w:val="auto"/>
        </w:rPr>
      </w:pPr>
    </w:p>
    <w:p>
      <w:pPr>
        <w:ind w:left="140"/>
        <w:spacing w:after="0"/>
        <w:rPr>
          <w:sz w:val="20"/>
          <w:szCs w:val="20"/>
          <w:color w:val="auto"/>
        </w:rPr>
      </w:pPr>
      <w:r>
        <w:rPr>
          <w:rFonts w:ascii="Arial" w:cs="Arial" w:eastAsia="Arial" w:hAnsi="Arial"/>
          <w:sz w:val="13"/>
          <w:szCs w:val="13"/>
          <w:color w:val="auto"/>
        </w:rPr>
        <w:t xml:space="preserve">Management Services </w:t>
      </w:r>
      <w:r>
        <w:rPr>
          <w:rFonts w:ascii="Arial" w:cs="Arial" w:eastAsia="Arial" w:hAnsi="Arial"/>
          <w:sz w:val="16"/>
          <w:szCs w:val="16"/>
          <w:color w:val="auto"/>
          <w:vertAlign w:val="superscript"/>
        </w:rPr>
        <w:t>(5)</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13"/>
          <w:szCs w:val="13"/>
          <w:color w:val="auto"/>
        </w:rPr>
        <w:t xml:space="preserve">Other Segment Items </w:t>
      </w:r>
      <w:r>
        <w:rPr>
          <w:rFonts w:ascii="Arial" w:cs="Arial" w:eastAsia="Arial" w:hAnsi="Arial"/>
          <w:sz w:val="16"/>
          <w:szCs w:val="16"/>
          <w:color w:val="auto"/>
          <w:vertAlign w:val="superscript"/>
        </w:rPr>
        <w:t>(6)</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EBITDAP</w:t>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3"/>
          <w:szCs w:val="13"/>
          <w:color w:val="auto"/>
        </w:rPr>
        <w:t>Pension Service Cost</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3"/>
          <w:szCs w:val="13"/>
          <w:color w:val="auto"/>
        </w:rPr>
        <w:t>Depreciation Expense</w:t>
      </w:r>
    </w:p>
    <w:p>
      <w:pPr>
        <w:spacing w:after="0" w:line="107" w:lineRule="exact"/>
        <w:rPr>
          <w:sz w:val="20"/>
          <w:szCs w:val="20"/>
          <w:color w:val="auto"/>
        </w:rPr>
      </w:pPr>
    </w:p>
    <w:p>
      <w:pPr>
        <w:ind w:left="100" w:right="120" w:hanging="80"/>
        <w:spacing w:after="0" w:line="236" w:lineRule="auto"/>
        <w:rPr>
          <w:sz w:val="20"/>
          <w:szCs w:val="20"/>
          <w:color w:val="auto"/>
        </w:rPr>
      </w:pPr>
      <w:r>
        <w:rPr>
          <w:rFonts w:ascii="Arial" w:cs="Arial" w:eastAsia="Arial" w:hAnsi="Arial"/>
          <w:sz w:val="13"/>
          <w:szCs w:val="13"/>
          <w:b w:val="1"/>
          <w:bCs w:val="1"/>
          <w:color w:val="auto"/>
        </w:rPr>
        <w:t>Income from Operations before Amortization of Intangible Assets and Impairment of Intangible and Other Long-Lived Assets</w:t>
      </w:r>
    </w:p>
    <w:p>
      <w:pPr>
        <w:spacing w:after="0" w:line="89"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 xml:space="preserve">Other Businesses </w:t>
      </w:r>
      <w:r>
        <w:rPr>
          <w:rFonts w:ascii="Arial" w:cs="Arial" w:eastAsia="Arial" w:hAnsi="Arial"/>
          <w:sz w:val="16"/>
          <w:szCs w:val="16"/>
          <w:b w:val="1"/>
          <w:bCs w:val="1"/>
          <w:color w:val="auto"/>
          <w:vertAlign w:val="superscript"/>
        </w:rPr>
        <w:t>(7)</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Corporate Costs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Amortization of Intangible Assets</w:t>
      </w:r>
    </w:p>
    <w:p>
      <w:pPr>
        <w:spacing w:after="0" w:line="53" w:lineRule="exact"/>
        <w:rPr>
          <w:sz w:val="20"/>
          <w:szCs w:val="20"/>
          <w:color w:val="auto"/>
        </w:rPr>
      </w:pPr>
    </w:p>
    <w:p>
      <w:pPr>
        <w:ind w:left="20"/>
        <w:spacing w:after="0" w:line="346" w:lineRule="auto"/>
        <w:rPr>
          <w:sz w:val="20"/>
          <w:szCs w:val="20"/>
          <w:color w:val="auto"/>
        </w:rPr>
      </w:pPr>
      <w:r>
        <w:rPr>
          <w:rFonts w:ascii="Arial" w:cs="Arial" w:eastAsia="Arial" w:hAnsi="Arial"/>
          <w:sz w:val="13"/>
          <w:szCs w:val="13"/>
          <w:b w:val="1"/>
          <w:bCs w:val="1"/>
          <w:color w:val="auto"/>
        </w:rPr>
        <w:t>Impairment of Intangible and Other Long-Lived Assets Income from Operations</w:t>
      </w:r>
    </w:p>
    <w:p>
      <w:pPr>
        <w:spacing w:after="0" w:line="1" w:lineRule="exact"/>
        <w:rPr>
          <w:sz w:val="20"/>
          <w:szCs w:val="20"/>
          <w:color w:val="auto"/>
        </w:rPr>
      </w:pPr>
    </w:p>
    <w:p>
      <w:pPr>
        <w:ind w:left="20" w:right="1160"/>
        <w:spacing w:after="0" w:line="325" w:lineRule="auto"/>
        <w:rPr>
          <w:sz w:val="20"/>
          <w:szCs w:val="20"/>
          <w:color w:val="auto"/>
        </w:rPr>
      </w:pPr>
      <w:r>
        <w:rPr>
          <w:rFonts w:ascii="Arial" w:cs="Arial" w:eastAsia="Arial" w:hAnsi="Arial"/>
          <w:sz w:val="13"/>
          <w:szCs w:val="13"/>
          <w:b w:val="1"/>
          <w:bCs w:val="1"/>
          <w:color w:val="auto"/>
        </w:rPr>
        <w:t>Equity in Earnings of Affiliates, Net Interest Expense, Net</w:t>
      </w:r>
    </w:p>
    <w:p>
      <w:pPr>
        <w:ind w:left="100" w:right="200" w:hanging="80"/>
        <w:spacing w:after="0" w:line="252" w:lineRule="auto"/>
        <w:rPr>
          <w:sz w:val="20"/>
          <w:szCs w:val="20"/>
          <w:color w:val="auto"/>
        </w:rPr>
      </w:pPr>
      <w:r>
        <w:rPr>
          <w:rFonts w:ascii="Arial" w:cs="Arial" w:eastAsia="Arial" w:hAnsi="Arial"/>
          <w:sz w:val="13"/>
          <w:szCs w:val="13"/>
          <w:b w:val="1"/>
          <w:bCs w:val="1"/>
          <w:color w:val="auto"/>
        </w:rPr>
        <w:t>Non-Operating Pension and Postretirement Benefit Income, Net</w:t>
      </w:r>
    </w:p>
    <w:p>
      <w:pPr>
        <w:spacing w:after="0" w:line="37" w:lineRule="exact"/>
        <w:rPr>
          <w:sz w:val="20"/>
          <w:szCs w:val="20"/>
          <w:color w:val="auto"/>
        </w:rPr>
      </w:pPr>
    </w:p>
    <w:p>
      <w:pPr>
        <w:ind w:left="20" w:right="760"/>
        <w:spacing w:after="0" w:line="357" w:lineRule="auto"/>
        <w:rPr>
          <w:sz w:val="20"/>
          <w:szCs w:val="20"/>
          <w:color w:val="auto"/>
        </w:rPr>
      </w:pPr>
      <w:r>
        <w:rPr>
          <w:rFonts w:ascii="Arial" w:cs="Arial" w:eastAsia="Arial" w:hAnsi="Arial"/>
          <w:sz w:val="13"/>
          <w:szCs w:val="13"/>
          <w:b w:val="1"/>
          <w:bCs w:val="1"/>
          <w:color w:val="auto"/>
        </w:rPr>
        <w:t>Gain on Marketable Equity Securities, Net Other Expense, Net</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Income Before Income Taxes</w:t>
      </w:r>
    </w:p>
    <w:p>
      <w:pPr>
        <w:spacing w:after="0" w:line="21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Capital Expenditures</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Reconciliation of Capital Expenditures</w:t>
      </w:r>
    </w:p>
    <w:p>
      <w:pPr>
        <w:spacing w:after="0" w:line="51" w:lineRule="exact"/>
        <w:rPr>
          <w:sz w:val="20"/>
          <w:szCs w:val="20"/>
          <w:color w:val="auto"/>
        </w:rPr>
      </w:pPr>
    </w:p>
    <w:p>
      <w:pPr>
        <w:ind w:left="220" w:right="520" w:hanging="80"/>
        <w:spacing w:after="0" w:line="262" w:lineRule="auto"/>
        <w:rPr>
          <w:sz w:val="20"/>
          <w:szCs w:val="20"/>
          <w:color w:val="auto"/>
        </w:rPr>
      </w:pPr>
      <w:r>
        <w:rPr>
          <w:rFonts w:ascii="Arial" w:cs="Arial" w:eastAsia="Arial" w:hAnsi="Arial"/>
          <w:sz w:val="13"/>
          <w:szCs w:val="13"/>
          <w:color w:val="auto"/>
        </w:rPr>
        <w:t xml:space="preserve">Other Businesses and Corporate Office Capital Expenditures </w:t>
      </w:r>
      <w:r>
        <w:rPr>
          <w:rFonts w:ascii="Arial" w:cs="Arial" w:eastAsia="Arial" w:hAnsi="Arial"/>
          <w:sz w:val="16"/>
          <w:szCs w:val="16"/>
          <w:color w:val="auto"/>
          <w:vertAlign w:val="superscript"/>
        </w:rPr>
        <w:t>(8)</w:t>
      </w:r>
    </w:p>
    <w:p>
      <w:pPr>
        <w:ind w:left="20"/>
        <w:spacing w:after="0"/>
        <w:rPr>
          <w:sz w:val="20"/>
          <w:szCs w:val="20"/>
          <w:color w:val="auto"/>
        </w:rPr>
      </w:pPr>
      <w:r>
        <w:rPr>
          <w:rFonts w:ascii="Arial" w:cs="Arial" w:eastAsia="Arial" w:hAnsi="Arial"/>
          <w:sz w:val="13"/>
          <w:szCs w:val="13"/>
          <w:b w:val="1"/>
          <w:bCs w:val="1"/>
          <w:color w:val="auto"/>
        </w:rPr>
        <w:t>Total Capital Expenditures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258,943</w:t>
            </w:r>
          </w:p>
        </w:tc>
      </w:tr>
      <w:tr>
        <w:trPr>
          <w:trHeight w:val="210"/>
        </w:trPr>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(1,874)</w:t>
            </w:r>
          </w:p>
        </w:tc>
      </w:tr>
      <w:tr>
        <w:trPr>
          <w:trHeight w:val="196"/>
        </w:trPr>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3,660,546</w:t>
            </w:r>
          </w:p>
        </w:tc>
      </w:tr>
      <w:tr>
        <w:trPr>
          <w:trHeight w:val="432"/>
        </w:trPr>
        <w:tc>
          <w:tcPr>
            <w:tcW w:w="400" w:type="dxa"/>
            <w:vAlign w:val="bottom"/>
          </w:tcPr>
          <w:p>
            <w:pPr>
              <w:spacing w:after="0"/>
              <w:rPr>
                <w:sz w:val="24"/>
                <w:szCs w:val="24"/>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512,589</w:t>
            </w: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352,631</w:t>
            </w:r>
          </w:p>
        </w:tc>
        <w:tc>
          <w:tcPr>
            <w:tcW w:w="480" w:type="dxa"/>
            <w:vAlign w:val="bottom"/>
          </w:tcPr>
          <w:p>
            <w:pPr>
              <w:spacing w:after="0"/>
              <w:rPr>
                <w:sz w:val="24"/>
                <w:szCs w:val="24"/>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223,187</w:t>
            </w:r>
          </w:p>
        </w:tc>
        <w:tc>
          <w:tcPr>
            <w:tcW w:w="480" w:type="dxa"/>
            <w:vAlign w:val="bottom"/>
          </w:tcPr>
          <w:p>
            <w:pPr>
              <w:spacing w:after="0"/>
              <w:rPr>
                <w:sz w:val="24"/>
                <w:szCs w:val="24"/>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725,185</w:t>
            </w:r>
          </w:p>
        </w:tc>
        <w:tc>
          <w:tcPr>
            <w:tcW w:w="3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1,813,592</w:t>
            </w:r>
          </w:p>
        </w:tc>
      </w:tr>
      <w:tr>
        <w:trPr>
          <w:trHeight w:val="203"/>
        </w:trPr>
        <w:tc>
          <w:tcPr>
            <w:tcW w:w="400" w:type="dxa"/>
            <w:vAlign w:val="bottom"/>
          </w:tcPr>
          <w:p>
            <w:pPr>
              <w:spacing w:after="0"/>
              <w:rPr>
                <w:sz w:val="17"/>
                <w:szCs w:val="17"/>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356,003</w:t>
            </w:r>
          </w:p>
        </w:tc>
        <w:tc>
          <w:tcPr>
            <w:tcW w:w="500" w:type="dxa"/>
            <w:vAlign w:val="bottom"/>
          </w:tcPr>
          <w:p>
            <w:pPr>
              <w:spacing w:after="0"/>
              <w:rPr>
                <w:sz w:val="17"/>
                <w:szCs w:val="17"/>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80,800</w:t>
            </w: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59,289</w:t>
            </w:r>
          </w:p>
        </w:tc>
        <w:tc>
          <w:tcPr>
            <w:tcW w:w="3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496,092</w:t>
            </w:r>
          </w:p>
        </w:tc>
      </w:tr>
      <w:tr>
        <w:trPr>
          <w:trHeight w:val="203"/>
        </w:trPr>
        <w:tc>
          <w:tcPr>
            <w:tcW w:w="400" w:type="dxa"/>
            <w:vAlign w:val="bottom"/>
          </w:tcPr>
          <w:p>
            <w:pPr>
              <w:spacing w:after="0"/>
              <w:rPr>
                <w:sz w:val="17"/>
                <w:szCs w:val="17"/>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83,432</w:t>
            </w: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5,706</w:t>
            </w:r>
          </w:p>
        </w:tc>
        <w:tc>
          <w:tcPr>
            <w:tcW w:w="3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89,138</w:t>
            </w:r>
          </w:p>
        </w:tc>
      </w:tr>
      <w:tr>
        <w:trPr>
          <w:trHeight w:val="203"/>
        </w:trPr>
        <w:tc>
          <w:tcPr>
            <w:tcW w:w="400" w:type="dxa"/>
            <w:vAlign w:val="bottom"/>
          </w:tcPr>
          <w:p>
            <w:pPr>
              <w:spacing w:after="0"/>
              <w:rPr>
                <w:sz w:val="17"/>
                <w:szCs w:val="17"/>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58,876</w:t>
            </w: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58,876</w:t>
            </w:r>
          </w:p>
        </w:tc>
      </w:tr>
      <w:tr>
        <w:trPr>
          <w:trHeight w:val="203"/>
        </w:trPr>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93,507</w:t>
            </w: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93,507</w:t>
            </w:r>
          </w:p>
        </w:tc>
      </w:tr>
      <w:tr>
        <w:trPr>
          <w:trHeight w:val="203"/>
        </w:trPr>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6,186</w:t>
            </w:r>
          </w:p>
        </w:tc>
        <w:tc>
          <w:tcPr>
            <w:tcW w:w="3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6,186</w:t>
            </w:r>
          </w:p>
        </w:tc>
      </w:tr>
      <w:tr>
        <w:trPr>
          <w:trHeight w:val="210"/>
        </w:trPr>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147,599</w:t>
            </w:r>
          </w:p>
        </w:tc>
        <w:tc>
          <w:tcPr>
            <w:tcW w:w="5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44,850</w:t>
            </w: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153,174</w:t>
            </w: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55,076</w:t>
            </w: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27,560</w:t>
            </w: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428,259</w:t>
            </w:r>
          </w:p>
        </w:tc>
      </w:tr>
      <w:tr>
        <w:trPr>
          <w:trHeight w:val="196"/>
        </w:trPr>
        <w:tc>
          <w:tcPr>
            <w:tcW w:w="40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175,707</w:t>
            </w:r>
          </w:p>
        </w:tc>
        <w:tc>
          <w:tcPr>
            <w:tcW w:w="50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95,468</w:t>
            </w:r>
          </w:p>
        </w:tc>
        <w:tc>
          <w:tcPr>
            <w:tcW w:w="36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78,570</w:t>
            </w:r>
          </w:p>
        </w:tc>
        <w:tc>
          <w:tcPr>
            <w:tcW w:w="48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40,217</w:t>
            </w:r>
          </w:p>
        </w:tc>
        <w:tc>
          <w:tcPr>
            <w:tcW w:w="4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27,865</w:t>
            </w:r>
          </w:p>
        </w:tc>
        <w:tc>
          <w:tcPr>
            <w:tcW w:w="36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417,827</w:t>
            </w:r>
          </w:p>
        </w:tc>
      </w:tr>
      <w:tr>
        <w:trPr>
          <w:trHeight w:val="229"/>
        </w:trPr>
        <w:tc>
          <w:tcPr>
            <w:tcW w:w="400" w:type="dxa"/>
            <w:vAlign w:val="bottom"/>
          </w:tcPr>
          <w:p>
            <w:pPr>
              <w:spacing w:after="0"/>
              <w:rPr>
                <w:sz w:val="19"/>
                <w:szCs w:val="19"/>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12,954</w:t>
            </w:r>
          </w:p>
        </w:tc>
        <w:tc>
          <w:tcPr>
            <w:tcW w:w="500" w:type="dxa"/>
            <w:vAlign w:val="bottom"/>
          </w:tcPr>
          <w:p>
            <w:pPr>
              <w:spacing w:after="0"/>
              <w:rPr>
                <w:sz w:val="19"/>
                <w:szCs w:val="19"/>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4,426</w:t>
            </w:r>
          </w:p>
        </w:tc>
        <w:tc>
          <w:tcPr>
            <w:tcW w:w="360" w:type="dxa"/>
            <w:vAlign w:val="bottom"/>
          </w:tcPr>
          <w:p>
            <w:pPr>
              <w:spacing w:after="0"/>
              <w:rPr>
                <w:sz w:val="19"/>
                <w:szCs w:val="19"/>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7,488</w:t>
            </w:r>
          </w:p>
        </w:tc>
        <w:tc>
          <w:tcPr>
            <w:tcW w:w="480" w:type="dxa"/>
            <w:vAlign w:val="bottom"/>
          </w:tcPr>
          <w:p>
            <w:pPr>
              <w:spacing w:after="0"/>
              <w:rPr>
                <w:sz w:val="19"/>
                <w:szCs w:val="19"/>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2,596</w:t>
            </w:r>
          </w:p>
        </w:tc>
        <w:tc>
          <w:tcPr>
            <w:tcW w:w="480" w:type="dxa"/>
            <w:vAlign w:val="bottom"/>
          </w:tcPr>
          <w:p>
            <w:pPr>
              <w:spacing w:after="0"/>
              <w:rPr>
                <w:sz w:val="19"/>
                <w:szCs w:val="19"/>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47</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27,511</w:t>
            </w:r>
          </w:p>
        </w:tc>
      </w:tr>
      <w:tr>
        <w:trPr>
          <w:trHeight w:val="203"/>
        </w:trPr>
        <w:tc>
          <w:tcPr>
            <w:tcW w:w="400" w:type="dxa"/>
            <w:vAlign w:val="bottom"/>
          </w:tcPr>
          <w:p>
            <w:pPr>
              <w:spacing w:after="0"/>
              <w:rPr>
                <w:sz w:val="17"/>
                <w:szCs w:val="17"/>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22,261</w:t>
            </w:r>
          </w:p>
        </w:tc>
        <w:tc>
          <w:tcPr>
            <w:tcW w:w="500" w:type="dxa"/>
            <w:vAlign w:val="bottom"/>
          </w:tcPr>
          <w:p>
            <w:pPr>
              <w:spacing w:after="0"/>
              <w:rPr>
                <w:sz w:val="17"/>
                <w:szCs w:val="17"/>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7,850</w:t>
            </w:r>
          </w:p>
        </w:tc>
        <w:tc>
          <w:tcPr>
            <w:tcW w:w="360" w:type="dxa"/>
            <w:vAlign w:val="bottom"/>
          </w:tcPr>
          <w:p>
            <w:pPr>
              <w:spacing w:after="0"/>
              <w:rPr>
                <w:sz w:val="17"/>
                <w:szCs w:val="17"/>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5,346</w:t>
            </w:r>
          </w:p>
        </w:tc>
        <w:tc>
          <w:tcPr>
            <w:tcW w:w="480" w:type="dxa"/>
            <w:vAlign w:val="bottom"/>
          </w:tcPr>
          <w:p>
            <w:pPr>
              <w:spacing w:after="0"/>
              <w:rPr>
                <w:sz w:val="17"/>
                <w:szCs w:val="17"/>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8,576</w:t>
            </w:r>
          </w:p>
        </w:tc>
        <w:tc>
          <w:tcPr>
            <w:tcW w:w="480" w:type="dxa"/>
            <w:vAlign w:val="bottom"/>
          </w:tcPr>
          <w:p>
            <w:pPr>
              <w:spacing w:after="0"/>
              <w:rPr>
                <w:sz w:val="17"/>
                <w:szCs w:val="17"/>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5,155</w:t>
            </w:r>
          </w:p>
        </w:tc>
        <w:tc>
          <w:tcPr>
            <w:tcW w:w="3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49,188</w:t>
            </w:r>
          </w:p>
        </w:tc>
      </w:tr>
      <w:tr>
        <w:trPr>
          <w:trHeight w:val="68"/>
        </w:trPr>
        <w:tc>
          <w:tcPr>
            <w:tcW w:w="4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r>
      <w:tr>
        <w:trPr>
          <w:trHeight w:val="459"/>
        </w:trPr>
        <w:tc>
          <w:tcPr>
            <w:tcW w:w="40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140,492</w:t>
            </w:r>
          </w:p>
        </w:tc>
        <w:tc>
          <w:tcPr>
            <w:tcW w:w="50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83,192</w:t>
            </w:r>
          </w:p>
        </w:tc>
        <w:tc>
          <w:tcPr>
            <w:tcW w:w="36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65,736</w:t>
            </w:r>
          </w:p>
        </w:tc>
        <w:tc>
          <w:tcPr>
            <w:tcW w:w="48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29,045</w:t>
            </w:r>
          </w:p>
        </w:tc>
        <w:tc>
          <w:tcPr>
            <w:tcW w:w="4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22,663</w:t>
            </w:r>
          </w:p>
        </w:tc>
        <w:tc>
          <w:tcPr>
            <w:tcW w:w="36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341,128</w:t>
            </w:r>
          </w:p>
        </w:tc>
      </w:tr>
      <w:tr>
        <w:trPr>
          <w:trHeight w:val="229"/>
        </w:trPr>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(77,062)</w:t>
            </w:r>
          </w:p>
        </w:tc>
      </w:tr>
      <w:tr>
        <w:trPr>
          <w:trHeight w:val="203"/>
        </w:trPr>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(49,714)</w:t>
            </w:r>
          </w:p>
        </w:tc>
      </w:tr>
      <w:tr>
        <w:trPr>
          <w:trHeight w:val="203"/>
        </w:trPr>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(24,757)</w:t>
            </w:r>
          </w:p>
        </w:tc>
      </w:tr>
      <w:tr>
        <w:trPr>
          <w:trHeight w:val="210"/>
        </w:trPr>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(2,235)</w:t>
            </w:r>
          </w:p>
        </w:tc>
      </w:tr>
      <w:tr>
        <w:trPr>
          <w:trHeight w:val="196"/>
        </w:trPr>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187,360</w:t>
            </w:r>
          </w:p>
        </w:tc>
      </w:tr>
      <w:tr>
        <w:trPr>
          <w:trHeight w:val="188"/>
        </w:trPr>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10,466</w:t>
            </w:r>
          </w:p>
        </w:tc>
      </w:tr>
      <w:tr>
        <w:trPr>
          <w:trHeight w:val="203"/>
        </w:trPr>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(111,322)</w:t>
            </w:r>
          </w:p>
        </w:tc>
      </w:tr>
      <w:tr>
        <w:trPr>
          <w:trHeight w:val="351"/>
        </w:trPr>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94,266</w:t>
            </w:r>
          </w:p>
        </w:tc>
      </w:tr>
      <w:tr>
        <w:trPr>
          <w:trHeight w:val="203"/>
        </w:trPr>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117,026</w:t>
            </w:r>
          </w:p>
        </w:tc>
      </w:tr>
      <w:tr>
        <w:trPr>
          <w:trHeight w:val="210"/>
        </w:trPr>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(20,514)</w:t>
            </w:r>
          </w:p>
        </w:tc>
      </w:tr>
      <w:tr>
        <w:trPr>
          <w:trHeight w:val="196"/>
        </w:trPr>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277,282</w:t>
            </w:r>
          </w:p>
        </w:tc>
      </w:tr>
      <w:tr>
        <w:trPr>
          <w:trHeight w:val="27"/>
        </w:trPr>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317"/>
        </w:trPr>
        <w:tc>
          <w:tcPr>
            <w:tcW w:w="400" w:type="dxa"/>
            <w:vAlign w:val="bottom"/>
          </w:tcPr>
          <w:p>
            <w:pPr>
              <w:jc w:val="right"/>
              <w:ind w:right="257"/>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13,741</w:t>
            </w:r>
          </w:p>
        </w:tc>
        <w:tc>
          <w:tcPr>
            <w:tcW w:w="50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2,770</w:t>
            </w:r>
          </w:p>
        </w:tc>
        <w:tc>
          <w:tcPr>
            <w:tcW w:w="36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10,204</w:t>
            </w:r>
          </w:p>
        </w:tc>
        <w:tc>
          <w:tcPr>
            <w:tcW w:w="480" w:type="dxa"/>
            <w:vAlign w:val="bottom"/>
          </w:tcPr>
          <w:p>
            <w:pPr>
              <w:jc w:val="right"/>
              <w:ind w:right="23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7,650</w:t>
            </w:r>
          </w:p>
        </w:tc>
        <w:tc>
          <w:tcPr>
            <w:tcW w:w="48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4,151</w:t>
            </w:r>
          </w:p>
        </w:tc>
        <w:tc>
          <w:tcPr>
            <w:tcW w:w="36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38,516</w:t>
            </w:r>
          </w:p>
        </w:tc>
      </w:tr>
      <w:tr>
        <w:trPr>
          <w:trHeight w:val="561"/>
        </w:trPr>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15,583</w:t>
            </w:r>
          </w:p>
        </w:tc>
      </w:tr>
      <w:tr>
        <w:trPr>
          <w:trHeight w:val="196"/>
        </w:trPr>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54,099</w:t>
            </w:r>
          </w:p>
        </w:tc>
      </w:tr>
    </w:tbl>
    <w:p>
      <w:pPr>
        <w:spacing w:after="0" w:line="200" w:lineRule="exact"/>
        <w:rPr>
          <w:sz w:val="20"/>
          <w:szCs w:val="20"/>
          <w:color w:val="auto"/>
        </w:rPr>
      </w:pPr>
    </w:p>
    <w:p>
      <w:pPr>
        <w:sectPr>
          <w:pgSz w:w="11900" w:h="16838" w:orient="portrait"/>
          <w:cols w:equalWidth="0" w:num="2">
            <w:col w:w="3280" w:space="40"/>
            <w:col w:w="7720"/>
          </w:cols>
          <w:pgMar w:left="320" w:top="931" w:right="539" w:bottom="1440" w:gutter="0" w:footer="0" w:header="0"/>
          <w:type w:val="continuous"/>
        </w:sectPr>
      </w:pPr>
    </w:p>
    <w:p>
      <w:pPr>
        <w:spacing w:after="0" w:line="70" w:lineRule="exact"/>
        <w:rPr>
          <w:sz w:val="20"/>
          <w:szCs w:val="20"/>
          <w:color w:val="auto"/>
        </w:rPr>
      </w:pPr>
    </w:p>
    <w:p>
      <w:pPr>
        <w:ind w:left="360" w:hanging="334"/>
        <w:spacing w:after="0" w:line="259" w:lineRule="auto"/>
        <w:tabs>
          <w:tab w:leader="none" w:pos="360" w:val="left"/>
        </w:tabs>
        <w:numPr>
          <w:ilvl w:val="0"/>
          <w:numId w:val="17"/>
        </w:numPr>
        <w:rPr>
          <w:rFonts w:ascii="Arial" w:cs="Arial" w:eastAsia="Arial" w:hAnsi="Arial"/>
          <w:sz w:val="11"/>
          <w:szCs w:val="11"/>
          <w:color w:val="auto"/>
        </w:rPr>
      </w:pPr>
      <w:r>
        <w:rPr>
          <w:rFonts w:ascii="Arial" w:cs="Arial" w:eastAsia="Arial" w:hAnsi="Arial"/>
          <w:sz w:val="11"/>
          <w:szCs w:val="11"/>
          <w:color w:val="auto"/>
        </w:rPr>
        <w:t>Revenue from segments below the quantitative thresholds is attributable to Other Businesses and the Corporate Office, as described above. None of these operating segments meet the quantitative thresholds for determining reportable segments.</w:t>
      </w:r>
    </w:p>
    <w:p>
      <w:pPr>
        <w:spacing w:after="0" w:line="37" w:lineRule="exact"/>
        <w:rPr>
          <w:rFonts w:ascii="Arial" w:cs="Arial" w:eastAsia="Arial" w:hAnsi="Arial"/>
          <w:sz w:val="11"/>
          <w:szCs w:val="11"/>
          <w:color w:val="auto"/>
        </w:rPr>
      </w:pPr>
    </w:p>
    <w:p>
      <w:pPr>
        <w:ind w:left="360" w:hanging="334"/>
        <w:spacing w:after="0"/>
        <w:tabs>
          <w:tab w:leader="none" w:pos="360" w:val="left"/>
        </w:tabs>
        <w:numPr>
          <w:ilvl w:val="0"/>
          <w:numId w:val="17"/>
        </w:numPr>
        <w:rPr>
          <w:rFonts w:ascii="Arial" w:cs="Arial" w:eastAsia="Arial" w:hAnsi="Arial"/>
          <w:sz w:val="11"/>
          <w:szCs w:val="11"/>
          <w:color w:val="auto"/>
        </w:rPr>
      </w:pPr>
      <w:r>
        <w:rPr>
          <w:rFonts w:ascii="Arial" w:cs="Arial" w:eastAsia="Arial" w:hAnsi="Arial"/>
          <w:sz w:val="11"/>
          <w:szCs w:val="11"/>
          <w:color w:val="auto"/>
        </w:rPr>
        <w:t>The significant expense categories and amounts align with the segment-level information that is regularly provided to the CODM.</w:t>
      </w:r>
    </w:p>
    <w:p>
      <w:pPr>
        <w:spacing w:after="0" w:line="62" w:lineRule="exact"/>
        <w:rPr>
          <w:rFonts w:ascii="Arial" w:cs="Arial" w:eastAsia="Arial" w:hAnsi="Arial"/>
          <w:sz w:val="11"/>
          <w:szCs w:val="11"/>
          <w:color w:val="auto"/>
        </w:rPr>
      </w:pPr>
    </w:p>
    <w:p>
      <w:pPr>
        <w:ind w:left="360" w:right="200" w:hanging="334"/>
        <w:spacing w:after="0" w:line="259" w:lineRule="auto"/>
        <w:tabs>
          <w:tab w:leader="none" w:pos="360" w:val="left"/>
        </w:tabs>
        <w:numPr>
          <w:ilvl w:val="0"/>
          <w:numId w:val="17"/>
        </w:numPr>
        <w:rPr>
          <w:rFonts w:ascii="Arial" w:cs="Arial" w:eastAsia="Arial" w:hAnsi="Arial"/>
          <w:sz w:val="11"/>
          <w:szCs w:val="11"/>
          <w:color w:val="auto"/>
        </w:rPr>
      </w:pPr>
      <w:r>
        <w:rPr>
          <w:rFonts w:ascii="Arial" w:cs="Arial" w:eastAsia="Arial" w:hAnsi="Arial"/>
          <w:sz w:val="11"/>
          <w:szCs w:val="11"/>
          <w:color w:val="auto"/>
        </w:rPr>
        <w:t>Cost of revenue reflects the amounts reported and provided to the CODM and does not necessarily reconcile to the Company's Consolidated Statement of Operations or align across reportable segments. Cost of revenue excludes charges related to depreciation, which is shown separately above.</w:t>
      </w:r>
    </w:p>
    <w:p>
      <w:pPr>
        <w:spacing w:after="0" w:line="37" w:lineRule="exact"/>
        <w:rPr>
          <w:rFonts w:ascii="Arial" w:cs="Arial" w:eastAsia="Arial" w:hAnsi="Arial"/>
          <w:sz w:val="11"/>
          <w:szCs w:val="11"/>
          <w:color w:val="auto"/>
        </w:rPr>
      </w:pPr>
    </w:p>
    <w:p>
      <w:pPr>
        <w:ind w:left="360" w:hanging="334"/>
        <w:spacing w:after="0"/>
        <w:tabs>
          <w:tab w:leader="none" w:pos="360" w:val="left"/>
        </w:tabs>
        <w:numPr>
          <w:ilvl w:val="0"/>
          <w:numId w:val="17"/>
        </w:numPr>
        <w:rPr>
          <w:rFonts w:ascii="Arial" w:cs="Arial" w:eastAsia="Arial" w:hAnsi="Arial"/>
          <w:sz w:val="11"/>
          <w:szCs w:val="11"/>
          <w:color w:val="auto"/>
        </w:rPr>
      </w:pPr>
      <w:r>
        <w:rPr>
          <w:rFonts w:ascii="Arial" w:cs="Arial" w:eastAsia="Arial" w:hAnsi="Arial"/>
          <w:sz w:val="11"/>
          <w:szCs w:val="11"/>
          <w:color w:val="auto"/>
        </w:rPr>
        <w:t>Excludes pension service cost, which is shown separately above. Excludes any payroll and related benefits costs captured in cost of revenue.</w:t>
      </w:r>
    </w:p>
    <w:p>
      <w:pPr>
        <w:spacing w:after="0" w:line="62" w:lineRule="exact"/>
        <w:rPr>
          <w:rFonts w:ascii="Arial" w:cs="Arial" w:eastAsia="Arial" w:hAnsi="Arial"/>
          <w:sz w:val="11"/>
          <w:szCs w:val="11"/>
          <w:color w:val="auto"/>
        </w:rPr>
      </w:pPr>
    </w:p>
    <w:p>
      <w:pPr>
        <w:ind w:left="360" w:hanging="334"/>
        <w:spacing w:after="0"/>
        <w:tabs>
          <w:tab w:leader="none" w:pos="360" w:val="left"/>
        </w:tabs>
        <w:numPr>
          <w:ilvl w:val="0"/>
          <w:numId w:val="17"/>
        </w:numPr>
        <w:rPr>
          <w:rFonts w:ascii="Arial" w:cs="Arial" w:eastAsia="Arial" w:hAnsi="Arial"/>
          <w:sz w:val="11"/>
          <w:szCs w:val="11"/>
          <w:color w:val="auto"/>
        </w:rPr>
      </w:pPr>
      <w:r>
        <w:rPr>
          <w:rFonts w:ascii="Arial" w:cs="Arial" w:eastAsia="Arial" w:hAnsi="Arial"/>
          <w:sz w:val="11"/>
          <w:szCs w:val="11"/>
          <w:color w:val="auto"/>
        </w:rPr>
        <w:t>Management and operating services provided by Christopher J. Ourisman and his team of industry professionals.</w:t>
      </w:r>
    </w:p>
    <w:p>
      <w:pPr>
        <w:spacing w:after="0" w:line="62" w:lineRule="exact"/>
        <w:rPr>
          <w:rFonts w:ascii="Arial" w:cs="Arial" w:eastAsia="Arial" w:hAnsi="Arial"/>
          <w:sz w:val="11"/>
          <w:szCs w:val="11"/>
          <w:color w:val="auto"/>
        </w:rPr>
      </w:pPr>
    </w:p>
    <w:p>
      <w:pPr>
        <w:ind w:left="360" w:hanging="334"/>
        <w:spacing w:after="0"/>
        <w:tabs>
          <w:tab w:leader="none" w:pos="360" w:val="left"/>
        </w:tabs>
        <w:numPr>
          <w:ilvl w:val="0"/>
          <w:numId w:val="17"/>
        </w:numPr>
        <w:rPr>
          <w:rFonts w:ascii="Arial" w:cs="Arial" w:eastAsia="Arial" w:hAnsi="Arial"/>
          <w:sz w:val="11"/>
          <w:szCs w:val="11"/>
          <w:color w:val="auto"/>
        </w:rPr>
      </w:pPr>
      <w:r>
        <w:rPr>
          <w:rFonts w:ascii="Arial" w:cs="Arial" w:eastAsia="Arial" w:hAnsi="Arial"/>
          <w:sz w:val="11"/>
          <w:szCs w:val="11"/>
          <w:color w:val="auto"/>
        </w:rPr>
        <w:t>Other segment items for each reportable segment include:</w:t>
      </w:r>
    </w:p>
    <w:p>
      <w:pPr>
        <w:spacing w:after="0" w:line="62" w:lineRule="exact"/>
        <w:rPr>
          <w:rFonts w:ascii="Arial" w:cs="Arial" w:eastAsia="Arial" w:hAnsi="Arial"/>
          <w:sz w:val="11"/>
          <w:szCs w:val="11"/>
          <w:color w:val="auto"/>
        </w:rPr>
      </w:pPr>
    </w:p>
    <w:p>
      <w:pPr>
        <w:ind w:left="660" w:right="200" w:hanging="310"/>
        <w:spacing w:after="0" w:line="259" w:lineRule="auto"/>
        <w:tabs>
          <w:tab w:leader="none" w:pos="660" w:val="left"/>
        </w:tabs>
        <w:numPr>
          <w:ilvl w:val="1"/>
          <w:numId w:val="17"/>
        </w:numPr>
        <w:rPr>
          <w:rFonts w:ascii="Arial" w:cs="Arial" w:eastAsia="Arial" w:hAnsi="Arial"/>
          <w:sz w:val="11"/>
          <w:szCs w:val="11"/>
          <w:color w:val="auto"/>
        </w:rPr>
      </w:pPr>
      <w:r>
        <w:rPr>
          <w:rFonts w:ascii="Arial" w:cs="Arial" w:eastAsia="Arial" w:hAnsi="Arial"/>
          <w:sz w:val="11"/>
          <w:szCs w:val="11"/>
          <w:color w:val="auto"/>
        </w:rPr>
        <w:t>Education (includes Kaplan International, Kaplan Higher Education and Kaplan Supplemental Education) - training and employment expense, travel meals and entertainment expense, operating fees and other G&amp;A expenses.</w:t>
      </w:r>
    </w:p>
    <w:p>
      <w:pPr>
        <w:spacing w:after="0" w:line="37" w:lineRule="exact"/>
        <w:rPr>
          <w:rFonts w:ascii="Arial" w:cs="Arial" w:eastAsia="Arial" w:hAnsi="Arial"/>
          <w:sz w:val="11"/>
          <w:szCs w:val="11"/>
          <w:color w:val="auto"/>
        </w:rPr>
      </w:pPr>
    </w:p>
    <w:p>
      <w:pPr>
        <w:ind w:left="660" w:hanging="310"/>
        <w:spacing w:after="0"/>
        <w:tabs>
          <w:tab w:leader="none" w:pos="660" w:val="left"/>
        </w:tabs>
        <w:numPr>
          <w:ilvl w:val="1"/>
          <w:numId w:val="17"/>
        </w:numPr>
        <w:rPr>
          <w:rFonts w:ascii="Arial" w:cs="Arial" w:eastAsia="Arial" w:hAnsi="Arial"/>
          <w:sz w:val="11"/>
          <w:szCs w:val="11"/>
          <w:color w:val="auto"/>
        </w:rPr>
      </w:pPr>
      <w:r>
        <w:rPr>
          <w:rFonts w:ascii="Arial" w:cs="Arial" w:eastAsia="Arial" w:hAnsi="Arial"/>
          <w:sz w:val="11"/>
          <w:szCs w:val="11"/>
          <w:color w:val="auto"/>
        </w:rPr>
        <w:t>Television Broadcasting - other broadcast expenses, facilities expenses, third-party commission costs and other SG&amp;A expenses.</w:t>
      </w:r>
    </w:p>
    <w:p>
      <w:pPr>
        <w:spacing w:after="0" w:line="62" w:lineRule="exact"/>
        <w:rPr>
          <w:rFonts w:ascii="Arial" w:cs="Arial" w:eastAsia="Arial" w:hAnsi="Arial"/>
          <w:sz w:val="11"/>
          <w:szCs w:val="11"/>
          <w:color w:val="auto"/>
        </w:rPr>
      </w:pPr>
    </w:p>
    <w:p>
      <w:pPr>
        <w:ind w:left="660" w:hanging="310"/>
        <w:spacing w:after="0"/>
        <w:tabs>
          <w:tab w:leader="none" w:pos="660" w:val="left"/>
        </w:tabs>
        <w:numPr>
          <w:ilvl w:val="1"/>
          <w:numId w:val="17"/>
        </w:numPr>
        <w:rPr>
          <w:rFonts w:ascii="Arial" w:cs="Arial" w:eastAsia="Arial" w:hAnsi="Arial"/>
          <w:sz w:val="11"/>
          <w:szCs w:val="11"/>
          <w:color w:val="auto"/>
        </w:rPr>
      </w:pPr>
      <w:r>
        <w:rPr>
          <w:rFonts w:ascii="Arial" w:cs="Arial" w:eastAsia="Arial" w:hAnsi="Arial"/>
          <w:sz w:val="11"/>
          <w:szCs w:val="11"/>
          <w:color w:val="auto"/>
        </w:rPr>
        <w:t>Healthcare - indirect costs (e.g. payroll and benefits expenses, G&amp;A expenses) and other SG&amp;A expenses.</w:t>
      </w:r>
    </w:p>
    <w:p>
      <w:pPr>
        <w:spacing w:after="0" w:line="62" w:lineRule="exact"/>
        <w:rPr>
          <w:rFonts w:ascii="Arial" w:cs="Arial" w:eastAsia="Arial" w:hAnsi="Arial"/>
          <w:sz w:val="11"/>
          <w:szCs w:val="11"/>
          <w:color w:val="auto"/>
        </w:rPr>
      </w:pPr>
    </w:p>
    <w:p>
      <w:pPr>
        <w:ind w:left="660" w:hanging="310"/>
        <w:spacing w:after="0"/>
        <w:tabs>
          <w:tab w:leader="none" w:pos="660" w:val="left"/>
        </w:tabs>
        <w:numPr>
          <w:ilvl w:val="1"/>
          <w:numId w:val="17"/>
        </w:numPr>
        <w:rPr>
          <w:rFonts w:ascii="Arial" w:cs="Arial" w:eastAsia="Arial" w:hAnsi="Arial"/>
          <w:sz w:val="11"/>
          <w:szCs w:val="11"/>
          <w:color w:val="auto"/>
        </w:rPr>
      </w:pPr>
      <w:r>
        <w:rPr>
          <w:rFonts w:ascii="Arial" w:cs="Arial" w:eastAsia="Arial" w:hAnsi="Arial"/>
          <w:sz w:val="11"/>
          <w:szCs w:val="11"/>
          <w:color w:val="auto"/>
        </w:rPr>
        <w:t>Manufacturing - payroll and fringe benefits expense (SG&amp;A) and other SG&amp;A expenses.</w:t>
      </w:r>
    </w:p>
    <w:p>
      <w:pPr>
        <w:spacing w:after="0" w:line="62" w:lineRule="exact"/>
        <w:rPr>
          <w:rFonts w:ascii="Arial" w:cs="Arial" w:eastAsia="Arial" w:hAnsi="Arial"/>
          <w:sz w:val="11"/>
          <w:szCs w:val="11"/>
          <w:color w:val="auto"/>
        </w:rPr>
      </w:pPr>
    </w:p>
    <w:p>
      <w:pPr>
        <w:ind w:left="660" w:hanging="310"/>
        <w:spacing w:after="0"/>
        <w:tabs>
          <w:tab w:leader="none" w:pos="660" w:val="left"/>
        </w:tabs>
        <w:numPr>
          <w:ilvl w:val="1"/>
          <w:numId w:val="17"/>
        </w:numPr>
        <w:rPr>
          <w:rFonts w:ascii="Arial" w:cs="Arial" w:eastAsia="Arial" w:hAnsi="Arial"/>
          <w:sz w:val="11"/>
          <w:szCs w:val="11"/>
          <w:color w:val="auto"/>
        </w:rPr>
      </w:pPr>
      <w:r>
        <w:rPr>
          <w:rFonts w:ascii="Arial" w:cs="Arial" w:eastAsia="Arial" w:hAnsi="Arial"/>
          <w:sz w:val="11"/>
          <w:szCs w:val="11"/>
          <w:color w:val="auto"/>
        </w:rPr>
        <w:t>Automotive - advertising and marketing expense and other G&amp;A expenses.</w:t>
      </w:r>
    </w:p>
    <w:p>
      <w:pPr>
        <w:spacing w:after="0" w:line="62" w:lineRule="exact"/>
        <w:rPr>
          <w:rFonts w:ascii="Arial" w:cs="Arial" w:eastAsia="Arial" w:hAnsi="Arial"/>
          <w:sz w:val="11"/>
          <w:szCs w:val="11"/>
          <w:color w:val="auto"/>
        </w:rPr>
      </w:pPr>
    </w:p>
    <w:p>
      <w:pPr>
        <w:ind w:left="360" w:right="400" w:hanging="334"/>
        <w:spacing w:after="0" w:line="259" w:lineRule="auto"/>
        <w:tabs>
          <w:tab w:leader="none" w:pos="360" w:val="left"/>
        </w:tabs>
        <w:numPr>
          <w:ilvl w:val="0"/>
          <w:numId w:val="17"/>
        </w:numPr>
        <w:rPr>
          <w:rFonts w:ascii="Arial" w:cs="Arial" w:eastAsia="Arial" w:hAnsi="Arial"/>
          <w:sz w:val="11"/>
          <w:szCs w:val="11"/>
          <w:color w:val="auto"/>
        </w:rPr>
      </w:pPr>
      <w:r>
        <w:rPr>
          <w:rFonts w:ascii="Arial" w:cs="Arial" w:eastAsia="Arial" w:hAnsi="Arial"/>
          <w:sz w:val="11"/>
          <w:szCs w:val="11"/>
          <w:color w:val="auto"/>
        </w:rPr>
        <w:t>Profit or loss from operating segments below the quantitative thresholds attributable to Other Businesses as described above. These operating segments did not meet any of the quantitative thresholds for determining reportable segments.</w:t>
      </w:r>
    </w:p>
    <w:p>
      <w:pPr>
        <w:spacing w:after="0" w:line="37" w:lineRule="exact"/>
        <w:rPr>
          <w:rFonts w:ascii="Arial" w:cs="Arial" w:eastAsia="Arial" w:hAnsi="Arial"/>
          <w:sz w:val="11"/>
          <w:szCs w:val="11"/>
          <w:color w:val="auto"/>
        </w:rPr>
      </w:pPr>
    </w:p>
    <w:p>
      <w:pPr>
        <w:ind w:left="360" w:right="160" w:hanging="334"/>
        <w:spacing w:after="0" w:line="259" w:lineRule="auto"/>
        <w:tabs>
          <w:tab w:leader="none" w:pos="360" w:val="left"/>
        </w:tabs>
        <w:numPr>
          <w:ilvl w:val="0"/>
          <w:numId w:val="17"/>
        </w:numPr>
        <w:rPr>
          <w:rFonts w:ascii="Arial" w:cs="Arial" w:eastAsia="Arial" w:hAnsi="Arial"/>
          <w:sz w:val="11"/>
          <w:szCs w:val="11"/>
          <w:color w:val="auto"/>
        </w:rPr>
      </w:pPr>
      <w:r>
        <w:rPr>
          <w:rFonts w:ascii="Arial" w:cs="Arial" w:eastAsia="Arial" w:hAnsi="Arial"/>
          <w:sz w:val="11"/>
          <w:szCs w:val="11"/>
          <w:color w:val="auto"/>
        </w:rPr>
        <w:t>Capital Expenditures from operating segments below the quantitative thresholds are attributable to Other Businesses and the Corporate Office, as described above. None of these operating segments meet the quantitative thresholds for determining reportable segments.</w:t>
      </w:r>
    </w:p>
    <w:p>
      <w:pPr>
        <w:sectPr>
          <w:pgSz w:w="11900" w:h="16838" w:orient="portrait"/>
          <w:cols w:equalWidth="0" w:num="1">
            <w:col w:w="11040"/>
          </w:cols>
          <w:pgMar w:left="320" w:top="931" w:right="5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931" w:right="5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8"/>
          <w:szCs w:val="18"/>
          <w:color w:val="auto"/>
        </w:rPr>
        <w:t>The Company’s education division segment information is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3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3"/>
          </w:tcPr>
          <w:p>
            <w:pPr>
              <w:jc w:val="right"/>
              <w:ind w:right="77"/>
              <w:spacing w:after="0"/>
              <w:rPr>
                <w:sz w:val="20"/>
                <w:szCs w:val="20"/>
                <w:color w:val="auto"/>
              </w:rPr>
            </w:pPr>
            <w:r>
              <w:rPr>
                <w:rFonts w:ascii="Arial" w:cs="Arial" w:eastAsia="Arial" w:hAnsi="Arial"/>
                <w:sz w:val="13"/>
                <w:szCs w:val="13"/>
                <w:b w:val="1"/>
                <w:bCs w:val="1"/>
                <w:color w:val="auto"/>
                <w:w w:val="96"/>
              </w:rPr>
              <w:t>Nine Months Ended September 30, 2025</w:t>
            </w: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ind w:right="377"/>
              <w:spacing w:after="0"/>
              <w:rPr>
                <w:sz w:val="20"/>
                <w:szCs w:val="20"/>
                <w:color w:val="auto"/>
              </w:rPr>
            </w:pPr>
            <w:r>
              <w:rPr>
                <w:rFonts w:ascii="Arial" w:cs="Arial" w:eastAsia="Arial" w:hAnsi="Arial"/>
                <w:sz w:val="13"/>
                <w:szCs w:val="13"/>
                <w:b w:val="1"/>
                <w:bCs w:val="1"/>
                <w:color w:val="auto"/>
              </w:rPr>
              <w:t>Kaplan</w:t>
            </w:r>
          </w:p>
        </w:tc>
        <w:tc>
          <w:tcPr>
            <w:tcW w:w="4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right"/>
              <w:ind w:right="177"/>
              <w:spacing w:after="0"/>
              <w:rPr>
                <w:sz w:val="20"/>
                <w:szCs w:val="20"/>
                <w:color w:val="auto"/>
              </w:rPr>
            </w:pPr>
            <w:r>
              <w:rPr>
                <w:rFonts w:ascii="Arial" w:cs="Arial" w:eastAsia="Arial" w:hAnsi="Arial"/>
                <w:sz w:val="13"/>
                <w:szCs w:val="13"/>
                <w:b w:val="1"/>
                <w:bCs w:val="1"/>
                <w:color w:val="auto"/>
              </w:rPr>
              <w:t>Supplemental</w:t>
            </w:r>
          </w:p>
        </w:tc>
        <w:tc>
          <w:tcPr>
            <w:tcW w:w="180" w:type="dxa"/>
            <w:vAlign w:val="bottom"/>
          </w:tcPr>
          <w:p>
            <w:pPr>
              <w:spacing w:after="0"/>
              <w:rPr>
                <w:sz w:val="13"/>
                <w:szCs w:val="13"/>
                <w:color w:val="auto"/>
              </w:rPr>
            </w:pPr>
          </w:p>
        </w:tc>
        <w:tc>
          <w:tcPr>
            <w:tcW w:w="1180" w:type="dxa"/>
            <w:vAlign w:val="bottom"/>
          </w:tcPr>
          <w:p>
            <w:pPr>
              <w:jc w:val="right"/>
              <w:ind w:right="77"/>
              <w:spacing w:after="0"/>
              <w:rPr>
                <w:sz w:val="20"/>
                <w:szCs w:val="20"/>
                <w:color w:val="auto"/>
              </w:rPr>
            </w:pPr>
            <w:r>
              <w:rPr>
                <w:rFonts w:ascii="Arial" w:cs="Arial" w:eastAsia="Arial" w:hAnsi="Arial"/>
                <w:sz w:val="13"/>
                <w:szCs w:val="13"/>
                <w:b w:val="1"/>
                <w:bCs w:val="1"/>
                <w:color w:val="auto"/>
                <w:w w:val="93"/>
              </w:rPr>
              <w:t>Kaplan Corporate</w:t>
            </w:r>
          </w:p>
        </w:tc>
        <w:tc>
          <w:tcPr>
            <w:tcW w:w="220" w:type="dxa"/>
            <w:vAlign w:val="bottom"/>
          </w:tcPr>
          <w:p>
            <w:pPr>
              <w:spacing w:after="0"/>
              <w:rPr>
                <w:sz w:val="13"/>
                <w:szCs w:val="13"/>
                <w:color w:val="auto"/>
              </w:rPr>
            </w:pPr>
          </w:p>
        </w:tc>
        <w:tc>
          <w:tcPr>
            <w:tcW w:w="1140" w:type="dxa"/>
            <w:vAlign w:val="bottom"/>
          </w:tcPr>
          <w:p>
            <w:pPr>
              <w:jc w:val="right"/>
              <w:ind w:right="217"/>
              <w:spacing w:after="0"/>
              <w:rPr>
                <w:sz w:val="20"/>
                <w:szCs w:val="20"/>
                <w:color w:val="auto"/>
              </w:rPr>
            </w:pPr>
            <w:r>
              <w:rPr>
                <w:rFonts w:ascii="Arial" w:cs="Arial" w:eastAsia="Arial" w:hAnsi="Arial"/>
                <w:sz w:val="13"/>
                <w:szCs w:val="13"/>
                <w:b w:val="1"/>
                <w:bCs w:val="1"/>
                <w:color w:val="auto"/>
              </w:rPr>
              <w:t>Intersegment</w:t>
            </w: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3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thousands)</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International</w:t>
            </w:r>
          </w:p>
        </w:tc>
        <w:tc>
          <w:tcPr>
            <w:tcW w:w="1300" w:type="dxa"/>
            <w:vAlign w:val="bottom"/>
            <w:tcBorders>
              <w:bottom w:val="single" w:sz="8" w:color="auto"/>
            </w:tcBorders>
            <w:gridSpan w:val="2"/>
          </w:tcPr>
          <w:p>
            <w:pPr>
              <w:jc w:val="right"/>
              <w:ind w:right="37"/>
              <w:spacing w:after="0"/>
              <w:rPr>
                <w:sz w:val="20"/>
                <w:szCs w:val="20"/>
                <w:color w:val="auto"/>
              </w:rPr>
            </w:pPr>
            <w:r>
              <w:rPr>
                <w:rFonts w:ascii="Arial" w:cs="Arial" w:eastAsia="Arial" w:hAnsi="Arial"/>
                <w:sz w:val="13"/>
                <w:szCs w:val="13"/>
                <w:b w:val="1"/>
                <w:bCs w:val="1"/>
                <w:color w:val="auto"/>
              </w:rPr>
              <w:t>Higher Education</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Education</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and Other</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Elimination</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96"/>
              </w:rPr>
              <w:t>Total Education</w:t>
            </w:r>
          </w:p>
        </w:tc>
        <w:tc>
          <w:tcPr>
            <w:tcW w:w="0" w:type="dxa"/>
            <w:vAlign w:val="bottom"/>
          </w:tcPr>
          <w:p>
            <w:pPr>
              <w:spacing w:after="0"/>
              <w:rPr>
                <w:sz w:val="1"/>
                <w:szCs w:val="1"/>
                <w:color w:val="auto"/>
              </w:rPr>
            </w:pPr>
          </w:p>
        </w:tc>
      </w:tr>
      <w:tr>
        <w:trPr>
          <w:trHeight w:val="192"/>
        </w:trPr>
        <w:tc>
          <w:tcPr>
            <w:tcW w:w="3360" w:type="dxa"/>
            <w:vAlign w:val="bottom"/>
          </w:tcPr>
          <w:p>
            <w:pPr>
              <w:ind w:left="20"/>
              <w:spacing w:after="0"/>
              <w:rPr>
                <w:sz w:val="20"/>
                <w:szCs w:val="20"/>
                <w:color w:val="auto"/>
              </w:rPr>
            </w:pPr>
            <w:r>
              <w:rPr>
                <w:rFonts w:ascii="Arial" w:cs="Arial" w:eastAsia="Arial" w:hAnsi="Arial"/>
                <w:sz w:val="13"/>
                <w:szCs w:val="13"/>
                <w:b w:val="1"/>
                <w:bCs w:val="1"/>
                <w:color w:val="auto"/>
              </w:rPr>
              <w:t>Operating Revenues</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827,719</w:t>
            </w:r>
          </w:p>
        </w:tc>
        <w:tc>
          <w:tcPr>
            <w:tcW w:w="460" w:type="dxa"/>
            <w:vAlign w:val="bottom"/>
          </w:tcPr>
          <w:p>
            <w:pPr>
              <w:jc w:val="right"/>
              <w:ind w:right="237"/>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265,387</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17"/>
              <w:spacing w:after="0"/>
              <w:rPr>
                <w:sz w:val="20"/>
                <w:szCs w:val="20"/>
                <w:color w:val="auto"/>
              </w:rPr>
            </w:pPr>
            <w:r>
              <w:rPr>
                <w:rFonts w:ascii="Arial" w:cs="Arial" w:eastAsia="Arial" w:hAnsi="Arial"/>
                <w:sz w:val="13"/>
                <w:szCs w:val="13"/>
                <w:color w:val="auto"/>
              </w:rPr>
              <w:t>242,243</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315</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7"/>
              <w:spacing w:after="0"/>
              <w:rPr>
                <w:sz w:val="20"/>
                <w:szCs w:val="20"/>
                <w:color w:val="auto"/>
              </w:rPr>
            </w:pPr>
            <w:r>
              <w:rPr>
                <w:rFonts w:ascii="Arial" w:cs="Arial" w:eastAsia="Arial" w:hAnsi="Arial"/>
                <w:sz w:val="13"/>
                <w:szCs w:val="13"/>
                <w:color w:val="auto"/>
              </w:rPr>
              <w:t>(1,458)</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1,334,206</w:t>
            </w:r>
          </w:p>
        </w:tc>
        <w:tc>
          <w:tcPr>
            <w:tcW w:w="0" w:type="dxa"/>
            <w:vAlign w:val="bottom"/>
          </w:tcPr>
          <w:p>
            <w:pPr>
              <w:spacing w:after="0"/>
              <w:rPr>
                <w:sz w:val="1"/>
                <w:szCs w:val="1"/>
                <w:color w:val="auto"/>
              </w:rPr>
            </w:pPr>
          </w:p>
        </w:tc>
      </w:tr>
      <w:tr>
        <w:trPr>
          <w:trHeight w:val="331"/>
        </w:trPr>
        <w:tc>
          <w:tcPr>
            <w:tcW w:w="3360" w:type="dxa"/>
            <w:vAlign w:val="bottom"/>
          </w:tcPr>
          <w:p>
            <w:pPr>
              <w:ind w:left="20"/>
              <w:spacing w:after="0"/>
              <w:rPr>
                <w:sz w:val="20"/>
                <w:szCs w:val="20"/>
                <w:color w:val="auto"/>
              </w:rPr>
            </w:pPr>
            <w:r>
              <w:rPr>
                <w:rFonts w:ascii="Arial" w:cs="Arial" w:eastAsia="Arial" w:hAnsi="Arial"/>
                <w:sz w:val="13"/>
                <w:szCs w:val="13"/>
                <w:i w:val="1"/>
                <w:iCs w:val="1"/>
                <w:color w:val="auto"/>
              </w:rPr>
              <w:t xml:space="preserve">Less: Significant Expenses </w:t>
            </w:r>
            <w:r>
              <w:rPr>
                <w:rFonts w:ascii="Arial" w:cs="Arial" w:eastAsia="Arial" w:hAnsi="Arial"/>
                <w:sz w:val="16"/>
                <w:szCs w:val="16"/>
                <w:i w:val="1"/>
                <w:iCs w:val="1"/>
                <w:color w:val="auto"/>
                <w:vertAlign w:val="superscript"/>
              </w:rPr>
              <w:t>(1)</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360" w:type="dxa"/>
            <w:vAlign w:val="bottom"/>
          </w:tcPr>
          <w:p>
            <w:pPr>
              <w:ind w:left="140"/>
              <w:spacing w:after="0"/>
              <w:rPr>
                <w:sz w:val="20"/>
                <w:szCs w:val="20"/>
                <w:color w:val="auto"/>
              </w:rPr>
            </w:pPr>
            <w:r>
              <w:rPr>
                <w:rFonts w:ascii="Arial" w:cs="Arial" w:eastAsia="Arial" w:hAnsi="Arial"/>
                <w:sz w:val="13"/>
                <w:szCs w:val="13"/>
                <w:color w:val="auto"/>
              </w:rPr>
              <w:t xml:space="preserve">Cost of Revenue </w:t>
            </w:r>
            <w:r>
              <w:rPr>
                <w:rFonts w:ascii="Arial" w:cs="Arial" w:eastAsia="Arial" w:hAnsi="Arial"/>
                <w:sz w:val="16"/>
                <w:szCs w:val="16"/>
                <w:color w:val="auto"/>
                <w:vertAlign w:val="superscript"/>
              </w:rPr>
              <w:t>(2)</w:t>
            </w:r>
          </w:p>
        </w:tc>
        <w:tc>
          <w:tcPr>
            <w:tcW w:w="160" w:type="dxa"/>
            <w:vAlign w:val="bottom"/>
          </w:tcPr>
          <w:p>
            <w:pPr>
              <w:spacing w:after="0"/>
              <w:rPr>
                <w:sz w:val="17"/>
                <w:szCs w:val="17"/>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284,162</w:t>
            </w:r>
          </w:p>
        </w:tc>
        <w:tc>
          <w:tcPr>
            <w:tcW w:w="460" w:type="dxa"/>
            <w:vAlign w:val="bottom"/>
          </w:tcPr>
          <w:p>
            <w:pPr>
              <w:spacing w:after="0"/>
              <w:rPr>
                <w:sz w:val="17"/>
                <w:szCs w:val="17"/>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190,620</w:t>
            </w:r>
          </w:p>
        </w:tc>
        <w:tc>
          <w:tcPr>
            <w:tcW w:w="180" w:type="dxa"/>
            <w:vAlign w:val="bottom"/>
          </w:tcPr>
          <w:p>
            <w:pPr>
              <w:spacing w:after="0"/>
              <w:rPr>
                <w:sz w:val="17"/>
                <w:szCs w:val="17"/>
                <w:color w:val="auto"/>
              </w:rPr>
            </w:pPr>
          </w:p>
        </w:tc>
        <w:tc>
          <w:tcPr>
            <w:tcW w:w="1180" w:type="dxa"/>
            <w:vAlign w:val="bottom"/>
          </w:tcPr>
          <w:p>
            <w:pPr>
              <w:jc w:val="right"/>
              <w:ind w:right="17"/>
              <w:spacing w:after="0"/>
              <w:rPr>
                <w:sz w:val="20"/>
                <w:szCs w:val="20"/>
                <w:color w:val="auto"/>
              </w:rPr>
            </w:pPr>
            <w:r>
              <w:rPr>
                <w:rFonts w:ascii="Arial" w:cs="Arial" w:eastAsia="Arial" w:hAnsi="Arial"/>
                <w:sz w:val="13"/>
                <w:szCs w:val="13"/>
                <w:color w:val="auto"/>
              </w:rPr>
              <w:t>39,165</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17"/>
              <w:spacing w:after="0"/>
              <w:rPr>
                <w:sz w:val="20"/>
                <w:szCs w:val="20"/>
                <w:color w:val="auto"/>
              </w:rPr>
            </w:pPr>
            <w:r>
              <w:rPr>
                <w:rFonts w:ascii="Arial" w:cs="Arial" w:eastAsia="Arial" w:hAnsi="Arial"/>
                <w:sz w:val="13"/>
                <w:szCs w:val="13"/>
                <w:color w:val="auto"/>
              </w:rPr>
              <w:t>(1,358)</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512,589</w:t>
            </w:r>
          </w:p>
        </w:tc>
        <w:tc>
          <w:tcPr>
            <w:tcW w:w="0" w:type="dxa"/>
            <w:vAlign w:val="bottom"/>
          </w:tcPr>
          <w:p>
            <w:pPr>
              <w:spacing w:after="0"/>
              <w:rPr>
                <w:sz w:val="1"/>
                <w:szCs w:val="1"/>
                <w:color w:val="auto"/>
              </w:rPr>
            </w:pPr>
          </w:p>
        </w:tc>
      </w:tr>
      <w:tr>
        <w:trPr>
          <w:trHeight w:val="213"/>
        </w:trPr>
        <w:tc>
          <w:tcPr>
            <w:tcW w:w="3360" w:type="dxa"/>
            <w:vAlign w:val="bottom"/>
          </w:tcPr>
          <w:p>
            <w:pPr>
              <w:ind w:left="140"/>
              <w:spacing w:after="0"/>
              <w:rPr>
                <w:sz w:val="20"/>
                <w:szCs w:val="20"/>
                <w:color w:val="auto"/>
              </w:rPr>
            </w:pPr>
            <w:r>
              <w:rPr>
                <w:rFonts w:ascii="Arial" w:cs="Arial" w:eastAsia="Arial" w:hAnsi="Arial"/>
                <w:sz w:val="13"/>
                <w:szCs w:val="13"/>
                <w:color w:val="auto"/>
              </w:rPr>
              <w:t xml:space="preserve">Payroll and Fringe Benefits Expense </w:t>
            </w:r>
            <w:r>
              <w:rPr>
                <w:rFonts w:ascii="Arial" w:cs="Arial" w:eastAsia="Arial" w:hAnsi="Arial"/>
                <w:sz w:val="16"/>
                <w:szCs w:val="16"/>
                <w:color w:val="auto"/>
                <w:vertAlign w:val="superscript"/>
              </w:rPr>
              <w:t>(3)</w:t>
            </w:r>
          </w:p>
        </w:tc>
        <w:tc>
          <w:tcPr>
            <w:tcW w:w="160" w:type="dxa"/>
            <w:vAlign w:val="bottom"/>
          </w:tcPr>
          <w:p>
            <w:pPr>
              <w:spacing w:after="0"/>
              <w:rPr>
                <w:sz w:val="18"/>
                <w:szCs w:val="18"/>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222,257</w:t>
            </w:r>
          </w:p>
        </w:tc>
        <w:tc>
          <w:tcPr>
            <w:tcW w:w="460" w:type="dxa"/>
            <w:vAlign w:val="bottom"/>
          </w:tcPr>
          <w:p>
            <w:pPr>
              <w:spacing w:after="0"/>
              <w:rPr>
                <w:sz w:val="18"/>
                <w:szCs w:val="18"/>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15,600</w:t>
            </w:r>
          </w:p>
        </w:tc>
        <w:tc>
          <w:tcPr>
            <w:tcW w:w="180" w:type="dxa"/>
            <w:vAlign w:val="bottom"/>
          </w:tcPr>
          <w:p>
            <w:pPr>
              <w:spacing w:after="0"/>
              <w:rPr>
                <w:sz w:val="18"/>
                <w:szCs w:val="18"/>
                <w:color w:val="auto"/>
              </w:rPr>
            </w:pPr>
          </w:p>
        </w:tc>
        <w:tc>
          <w:tcPr>
            <w:tcW w:w="1180" w:type="dxa"/>
            <w:vAlign w:val="bottom"/>
          </w:tcPr>
          <w:p>
            <w:pPr>
              <w:jc w:val="right"/>
              <w:ind w:right="17"/>
              <w:spacing w:after="0"/>
              <w:rPr>
                <w:sz w:val="20"/>
                <w:szCs w:val="20"/>
                <w:color w:val="auto"/>
              </w:rPr>
            </w:pPr>
            <w:r>
              <w:rPr>
                <w:rFonts w:ascii="Arial" w:cs="Arial" w:eastAsia="Arial" w:hAnsi="Arial"/>
                <w:sz w:val="13"/>
                <w:szCs w:val="13"/>
                <w:color w:val="auto"/>
              </w:rPr>
              <w:t>101,404</w:t>
            </w:r>
          </w:p>
        </w:tc>
        <w:tc>
          <w:tcPr>
            <w:tcW w:w="180" w:type="dxa"/>
            <w:vAlign w:val="bottom"/>
          </w:tcPr>
          <w:p>
            <w:pPr>
              <w:spacing w:after="0"/>
              <w:rPr>
                <w:sz w:val="18"/>
                <w:szCs w:val="18"/>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16,806</w:t>
            </w:r>
          </w:p>
        </w:tc>
        <w:tc>
          <w:tcPr>
            <w:tcW w:w="220" w:type="dxa"/>
            <w:vAlign w:val="bottom"/>
          </w:tcPr>
          <w:p>
            <w:pPr>
              <w:spacing w:after="0"/>
              <w:rPr>
                <w:sz w:val="18"/>
                <w:szCs w:val="18"/>
                <w:color w:val="auto"/>
              </w:rPr>
            </w:pPr>
          </w:p>
        </w:tc>
        <w:tc>
          <w:tcPr>
            <w:tcW w:w="1140" w:type="dxa"/>
            <w:vAlign w:val="bottom"/>
          </w:tcPr>
          <w:p>
            <w:pPr>
              <w:jc w:val="right"/>
              <w:ind w:right="17"/>
              <w:spacing w:after="0"/>
              <w:rPr>
                <w:sz w:val="20"/>
                <w:szCs w:val="20"/>
                <w:color w:val="auto"/>
              </w:rPr>
            </w:pPr>
            <w:r>
              <w:rPr>
                <w:rFonts w:ascii="Arial" w:cs="Arial" w:eastAsia="Arial" w:hAnsi="Arial"/>
                <w:sz w:val="13"/>
                <w:szCs w:val="13"/>
                <w:color w:val="auto"/>
              </w:rPr>
              <w:t>(64)</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356,003</w:t>
            </w:r>
          </w:p>
        </w:tc>
        <w:tc>
          <w:tcPr>
            <w:tcW w:w="0" w:type="dxa"/>
            <w:vAlign w:val="bottom"/>
          </w:tcPr>
          <w:p>
            <w:pPr>
              <w:spacing w:after="0"/>
              <w:rPr>
                <w:sz w:val="1"/>
                <w:szCs w:val="1"/>
                <w:color w:val="auto"/>
              </w:rPr>
            </w:pPr>
          </w:p>
        </w:tc>
      </w:tr>
      <w:tr>
        <w:trPr>
          <w:trHeight w:val="166"/>
        </w:trPr>
        <w:tc>
          <w:tcPr>
            <w:tcW w:w="3360" w:type="dxa"/>
            <w:vAlign w:val="bottom"/>
          </w:tcPr>
          <w:p>
            <w:pPr>
              <w:ind w:left="140"/>
              <w:spacing w:after="0"/>
              <w:rPr>
                <w:sz w:val="20"/>
                <w:szCs w:val="20"/>
                <w:color w:val="auto"/>
              </w:rPr>
            </w:pPr>
            <w:r>
              <w:rPr>
                <w:rFonts w:ascii="Arial" w:cs="Arial" w:eastAsia="Arial" w:hAnsi="Arial"/>
                <w:sz w:val="13"/>
                <w:szCs w:val="13"/>
                <w:color w:val="auto"/>
              </w:rPr>
              <w:t>Occupancy Expense</w:t>
            </w:r>
          </w:p>
        </w:tc>
        <w:tc>
          <w:tcPr>
            <w:tcW w:w="160" w:type="dxa"/>
            <w:vAlign w:val="bottom"/>
          </w:tcPr>
          <w:p>
            <w:pPr>
              <w:spacing w:after="0"/>
              <w:rPr>
                <w:sz w:val="14"/>
                <w:szCs w:val="14"/>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80,337</w:t>
            </w:r>
          </w:p>
        </w:tc>
        <w:tc>
          <w:tcPr>
            <w:tcW w:w="460" w:type="dxa"/>
            <w:vAlign w:val="bottom"/>
          </w:tcPr>
          <w:p>
            <w:pPr>
              <w:spacing w:after="0"/>
              <w:rPr>
                <w:sz w:val="14"/>
                <w:szCs w:val="14"/>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543</w:t>
            </w:r>
          </w:p>
        </w:tc>
        <w:tc>
          <w:tcPr>
            <w:tcW w:w="180" w:type="dxa"/>
            <w:vAlign w:val="bottom"/>
          </w:tcPr>
          <w:p>
            <w:pPr>
              <w:spacing w:after="0"/>
              <w:rPr>
                <w:sz w:val="14"/>
                <w:szCs w:val="14"/>
                <w:color w:val="auto"/>
              </w:rPr>
            </w:pPr>
          </w:p>
        </w:tc>
        <w:tc>
          <w:tcPr>
            <w:tcW w:w="1180" w:type="dxa"/>
            <w:vAlign w:val="bottom"/>
          </w:tcPr>
          <w:p>
            <w:pPr>
              <w:jc w:val="right"/>
              <w:ind w:right="17"/>
              <w:spacing w:after="0"/>
              <w:rPr>
                <w:sz w:val="20"/>
                <w:szCs w:val="20"/>
                <w:color w:val="auto"/>
              </w:rPr>
            </w:pPr>
            <w:r>
              <w:rPr>
                <w:rFonts w:ascii="Arial" w:cs="Arial" w:eastAsia="Arial" w:hAnsi="Arial"/>
                <w:sz w:val="13"/>
                <w:szCs w:val="13"/>
                <w:color w:val="auto"/>
              </w:rPr>
              <w:t>2,099</w:t>
            </w:r>
          </w:p>
        </w:tc>
        <w:tc>
          <w:tcPr>
            <w:tcW w:w="180" w:type="dxa"/>
            <w:vAlign w:val="bottom"/>
          </w:tcPr>
          <w:p>
            <w:pPr>
              <w:spacing w:after="0"/>
              <w:rPr>
                <w:sz w:val="14"/>
                <w:szCs w:val="14"/>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463</w:t>
            </w:r>
          </w:p>
        </w:tc>
        <w:tc>
          <w:tcPr>
            <w:tcW w:w="220" w:type="dxa"/>
            <w:vAlign w:val="bottom"/>
          </w:tcPr>
          <w:p>
            <w:pPr>
              <w:spacing w:after="0"/>
              <w:rPr>
                <w:sz w:val="14"/>
                <w:szCs w:val="14"/>
                <w:color w:val="auto"/>
              </w:rPr>
            </w:pPr>
          </w:p>
        </w:tc>
        <w:tc>
          <w:tcPr>
            <w:tcW w:w="1140" w:type="dxa"/>
            <w:vAlign w:val="bottom"/>
          </w:tcPr>
          <w:p>
            <w:pPr>
              <w:jc w:val="right"/>
              <w:ind w:right="17"/>
              <w:spacing w:after="0"/>
              <w:rPr>
                <w:sz w:val="20"/>
                <w:szCs w:val="20"/>
                <w:color w:val="auto"/>
              </w:rPr>
            </w:pPr>
            <w:r>
              <w:rPr>
                <w:rFonts w:ascii="Arial" w:cs="Arial" w:eastAsia="Arial" w:hAnsi="Arial"/>
                <w:sz w:val="13"/>
                <w:szCs w:val="13"/>
                <w:color w:val="auto"/>
              </w:rPr>
              <w:t>(10)</w:t>
            </w: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83,432</w:t>
            </w:r>
          </w:p>
        </w:tc>
        <w:tc>
          <w:tcPr>
            <w:tcW w:w="0" w:type="dxa"/>
            <w:vAlign w:val="bottom"/>
          </w:tcPr>
          <w:p>
            <w:pPr>
              <w:spacing w:after="0"/>
              <w:rPr>
                <w:sz w:val="1"/>
                <w:szCs w:val="1"/>
                <w:color w:val="auto"/>
              </w:rPr>
            </w:pPr>
          </w:p>
        </w:tc>
      </w:tr>
      <w:tr>
        <w:trPr>
          <w:trHeight w:val="203"/>
        </w:trPr>
        <w:tc>
          <w:tcPr>
            <w:tcW w:w="3360" w:type="dxa"/>
            <w:vAlign w:val="bottom"/>
          </w:tcPr>
          <w:p>
            <w:pPr>
              <w:ind w:left="140"/>
              <w:spacing w:after="0"/>
              <w:rPr>
                <w:sz w:val="20"/>
                <w:szCs w:val="20"/>
                <w:color w:val="auto"/>
              </w:rPr>
            </w:pPr>
            <w:r>
              <w:rPr>
                <w:rFonts w:ascii="Arial" w:cs="Arial" w:eastAsia="Arial" w:hAnsi="Arial"/>
                <w:sz w:val="13"/>
                <w:szCs w:val="13"/>
                <w:color w:val="auto"/>
              </w:rPr>
              <w:t>Advertising and Marketing Expense</w:t>
            </w:r>
          </w:p>
        </w:tc>
        <w:tc>
          <w:tcPr>
            <w:tcW w:w="160" w:type="dxa"/>
            <w:vAlign w:val="bottom"/>
          </w:tcPr>
          <w:p>
            <w:pPr>
              <w:spacing w:after="0"/>
              <w:rPr>
                <w:sz w:val="17"/>
                <w:szCs w:val="17"/>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24,876</w:t>
            </w:r>
          </w:p>
        </w:tc>
        <w:tc>
          <w:tcPr>
            <w:tcW w:w="460" w:type="dxa"/>
            <w:vAlign w:val="bottom"/>
          </w:tcPr>
          <w:p>
            <w:pPr>
              <w:spacing w:after="0"/>
              <w:rPr>
                <w:sz w:val="17"/>
                <w:szCs w:val="17"/>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5,741</w:t>
            </w:r>
          </w:p>
        </w:tc>
        <w:tc>
          <w:tcPr>
            <w:tcW w:w="180" w:type="dxa"/>
            <w:vAlign w:val="bottom"/>
          </w:tcPr>
          <w:p>
            <w:pPr>
              <w:spacing w:after="0"/>
              <w:rPr>
                <w:sz w:val="17"/>
                <w:szCs w:val="17"/>
                <w:color w:val="auto"/>
              </w:rPr>
            </w:pPr>
          </w:p>
        </w:tc>
        <w:tc>
          <w:tcPr>
            <w:tcW w:w="1180" w:type="dxa"/>
            <w:vAlign w:val="bottom"/>
          </w:tcPr>
          <w:p>
            <w:pPr>
              <w:jc w:val="right"/>
              <w:ind w:right="17"/>
              <w:spacing w:after="0"/>
              <w:rPr>
                <w:sz w:val="20"/>
                <w:szCs w:val="20"/>
                <w:color w:val="auto"/>
              </w:rPr>
            </w:pPr>
            <w:r>
              <w:rPr>
                <w:rFonts w:ascii="Arial" w:cs="Arial" w:eastAsia="Arial" w:hAnsi="Arial"/>
                <w:sz w:val="13"/>
                <w:szCs w:val="13"/>
                <w:color w:val="auto"/>
              </w:rPr>
              <w:t>27,939</w:t>
            </w:r>
          </w:p>
        </w:tc>
        <w:tc>
          <w:tcPr>
            <w:tcW w:w="180" w:type="dxa"/>
            <w:vAlign w:val="bottom"/>
          </w:tcPr>
          <w:p>
            <w:pPr>
              <w:spacing w:after="0"/>
              <w:rPr>
                <w:sz w:val="17"/>
                <w:szCs w:val="17"/>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320</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58,876</w:t>
            </w:r>
          </w:p>
        </w:tc>
        <w:tc>
          <w:tcPr>
            <w:tcW w:w="0" w:type="dxa"/>
            <w:vAlign w:val="bottom"/>
          </w:tcPr>
          <w:p>
            <w:pPr>
              <w:spacing w:after="0"/>
              <w:rPr>
                <w:sz w:val="1"/>
                <w:szCs w:val="1"/>
                <w:color w:val="auto"/>
              </w:rPr>
            </w:pPr>
          </w:p>
        </w:tc>
      </w:tr>
      <w:tr>
        <w:trPr>
          <w:trHeight w:val="217"/>
        </w:trPr>
        <w:tc>
          <w:tcPr>
            <w:tcW w:w="3360" w:type="dxa"/>
            <w:vAlign w:val="bottom"/>
          </w:tcPr>
          <w:p>
            <w:pPr>
              <w:ind w:left="140"/>
              <w:spacing w:after="0"/>
              <w:rPr>
                <w:sz w:val="20"/>
                <w:szCs w:val="20"/>
                <w:color w:val="auto"/>
              </w:rPr>
            </w:pPr>
            <w:r>
              <w:rPr>
                <w:rFonts w:ascii="Arial" w:cs="Arial" w:eastAsia="Arial" w:hAnsi="Arial"/>
                <w:sz w:val="13"/>
                <w:szCs w:val="13"/>
                <w:color w:val="auto"/>
              </w:rPr>
              <w:t xml:space="preserve">Other Segment Items </w:t>
            </w:r>
            <w:r>
              <w:rPr>
                <w:rFonts w:ascii="Arial" w:cs="Arial" w:eastAsia="Arial" w:hAnsi="Arial"/>
                <w:sz w:val="16"/>
                <w:szCs w:val="16"/>
                <w:color w:val="auto"/>
                <w:vertAlign w:val="superscript"/>
              </w:rPr>
              <w:t>(4)</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107,753</w:t>
            </w: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722</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35,419</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3,717</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(12)</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147,599</w:t>
            </w:r>
          </w:p>
        </w:tc>
        <w:tc>
          <w:tcPr>
            <w:tcW w:w="0" w:type="dxa"/>
            <w:vAlign w:val="bottom"/>
          </w:tcPr>
          <w:p>
            <w:pPr>
              <w:spacing w:after="0"/>
              <w:rPr>
                <w:sz w:val="1"/>
                <w:szCs w:val="1"/>
                <w:color w:val="auto"/>
              </w:rPr>
            </w:pPr>
          </w:p>
        </w:tc>
      </w:tr>
      <w:tr>
        <w:trPr>
          <w:trHeight w:val="192"/>
        </w:trPr>
        <w:tc>
          <w:tcPr>
            <w:tcW w:w="3360" w:type="dxa"/>
            <w:vAlign w:val="bottom"/>
          </w:tcPr>
          <w:p>
            <w:pPr>
              <w:ind w:left="20"/>
              <w:spacing w:after="0"/>
              <w:rPr>
                <w:sz w:val="20"/>
                <w:szCs w:val="20"/>
                <w:color w:val="auto"/>
              </w:rPr>
            </w:pPr>
            <w:r>
              <w:rPr>
                <w:rFonts w:ascii="Arial" w:cs="Arial" w:eastAsia="Arial" w:hAnsi="Arial"/>
                <w:sz w:val="13"/>
                <w:szCs w:val="13"/>
                <w:b w:val="1"/>
                <w:bCs w:val="1"/>
                <w:color w:val="auto"/>
              </w:rPr>
              <w:t>EBITDAP</w:t>
            </w: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108,334</w:t>
            </w:r>
          </w:p>
        </w:tc>
        <w:tc>
          <w:tcPr>
            <w:tcW w:w="46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52,161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36,217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(20,991)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175,707</w:t>
            </w:r>
          </w:p>
        </w:tc>
        <w:tc>
          <w:tcPr>
            <w:tcW w:w="0" w:type="dxa"/>
            <w:vAlign w:val="bottom"/>
          </w:tcPr>
          <w:p>
            <w:pPr>
              <w:spacing w:after="0"/>
              <w:rPr>
                <w:sz w:val="1"/>
                <w:szCs w:val="1"/>
                <w:color w:val="auto"/>
              </w:rPr>
            </w:pPr>
          </w:p>
        </w:tc>
      </w:tr>
      <w:tr>
        <w:trPr>
          <w:trHeight w:val="321"/>
        </w:trPr>
        <w:tc>
          <w:tcPr>
            <w:tcW w:w="3360" w:type="dxa"/>
            <w:vAlign w:val="bottom"/>
          </w:tcPr>
          <w:p>
            <w:pPr>
              <w:ind w:left="20"/>
              <w:spacing w:after="0"/>
              <w:rPr>
                <w:sz w:val="20"/>
                <w:szCs w:val="20"/>
                <w:color w:val="auto"/>
              </w:rPr>
            </w:pPr>
            <w:r>
              <w:rPr>
                <w:rFonts w:ascii="Arial" w:cs="Arial" w:eastAsia="Arial" w:hAnsi="Arial"/>
                <w:sz w:val="13"/>
                <w:szCs w:val="13"/>
                <w:color w:val="auto"/>
              </w:rPr>
              <w:t>Pension Service Cost</w:t>
            </w:r>
          </w:p>
        </w:tc>
        <w:tc>
          <w:tcPr>
            <w:tcW w:w="160" w:type="dxa"/>
            <w:vAlign w:val="bottom"/>
          </w:tcPr>
          <w:p>
            <w:pPr>
              <w:spacing w:after="0"/>
              <w:rPr>
                <w:sz w:val="24"/>
                <w:szCs w:val="24"/>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428</w:t>
            </w:r>
          </w:p>
        </w:tc>
        <w:tc>
          <w:tcPr>
            <w:tcW w:w="460" w:type="dxa"/>
            <w:vAlign w:val="bottom"/>
          </w:tcPr>
          <w:p>
            <w:pPr>
              <w:spacing w:after="0"/>
              <w:rPr>
                <w:sz w:val="24"/>
                <w:szCs w:val="24"/>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5,546</w:t>
            </w:r>
          </w:p>
        </w:tc>
        <w:tc>
          <w:tcPr>
            <w:tcW w:w="180" w:type="dxa"/>
            <w:vAlign w:val="bottom"/>
          </w:tcPr>
          <w:p>
            <w:pPr>
              <w:spacing w:after="0"/>
              <w:rPr>
                <w:sz w:val="24"/>
                <w:szCs w:val="24"/>
                <w:color w:val="auto"/>
              </w:rPr>
            </w:pPr>
          </w:p>
        </w:tc>
        <w:tc>
          <w:tcPr>
            <w:tcW w:w="1180" w:type="dxa"/>
            <w:vAlign w:val="bottom"/>
          </w:tcPr>
          <w:p>
            <w:pPr>
              <w:jc w:val="right"/>
              <w:ind w:right="17"/>
              <w:spacing w:after="0"/>
              <w:rPr>
                <w:sz w:val="20"/>
                <w:szCs w:val="20"/>
                <w:color w:val="auto"/>
              </w:rPr>
            </w:pPr>
            <w:r>
              <w:rPr>
                <w:rFonts w:ascii="Arial" w:cs="Arial" w:eastAsia="Arial" w:hAnsi="Arial"/>
                <w:sz w:val="13"/>
                <w:szCs w:val="13"/>
                <w:color w:val="auto"/>
              </w:rPr>
              <w:t>5,788</w:t>
            </w:r>
          </w:p>
        </w:tc>
        <w:tc>
          <w:tcPr>
            <w:tcW w:w="180" w:type="dxa"/>
            <w:vAlign w:val="bottom"/>
          </w:tcPr>
          <w:p>
            <w:pPr>
              <w:spacing w:after="0"/>
              <w:rPr>
                <w:sz w:val="24"/>
                <w:szCs w:val="24"/>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1,192</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12,954</w:t>
            </w:r>
          </w:p>
        </w:tc>
        <w:tc>
          <w:tcPr>
            <w:tcW w:w="0" w:type="dxa"/>
            <w:vAlign w:val="bottom"/>
          </w:tcPr>
          <w:p>
            <w:pPr>
              <w:spacing w:after="0"/>
              <w:rPr>
                <w:sz w:val="1"/>
                <w:szCs w:val="1"/>
                <w:color w:val="auto"/>
              </w:rPr>
            </w:pPr>
          </w:p>
        </w:tc>
      </w:tr>
      <w:tr>
        <w:trPr>
          <w:trHeight w:val="203"/>
        </w:trPr>
        <w:tc>
          <w:tcPr>
            <w:tcW w:w="3360" w:type="dxa"/>
            <w:vAlign w:val="bottom"/>
          </w:tcPr>
          <w:p>
            <w:pPr>
              <w:ind w:left="20"/>
              <w:spacing w:after="0"/>
              <w:rPr>
                <w:sz w:val="20"/>
                <w:szCs w:val="20"/>
                <w:color w:val="auto"/>
              </w:rPr>
            </w:pPr>
            <w:r>
              <w:rPr>
                <w:rFonts w:ascii="Arial" w:cs="Arial" w:eastAsia="Arial" w:hAnsi="Arial"/>
                <w:sz w:val="13"/>
                <w:szCs w:val="13"/>
                <w:color w:val="auto"/>
              </w:rPr>
              <w:t>Depreciation Expense</w:t>
            </w:r>
          </w:p>
        </w:tc>
        <w:tc>
          <w:tcPr>
            <w:tcW w:w="160" w:type="dxa"/>
            <w:vAlign w:val="bottom"/>
          </w:tcPr>
          <w:p>
            <w:pPr>
              <w:spacing w:after="0"/>
              <w:rPr>
                <w:sz w:val="17"/>
                <w:szCs w:val="17"/>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19,014</w:t>
            </w:r>
          </w:p>
        </w:tc>
        <w:tc>
          <w:tcPr>
            <w:tcW w:w="460" w:type="dxa"/>
            <w:vAlign w:val="bottom"/>
          </w:tcPr>
          <w:p>
            <w:pPr>
              <w:spacing w:after="0"/>
              <w:rPr>
                <w:sz w:val="17"/>
                <w:szCs w:val="17"/>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1,153</w:t>
            </w:r>
          </w:p>
        </w:tc>
        <w:tc>
          <w:tcPr>
            <w:tcW w:w="180" w:type="dxa"/>
            <w:vAlign w:val="bottom"/>
          </w:tcPr>
          <w:p>
            <w:pPr>
              <w:spacing w:after="0"/>
              <w:rPr>
                <w:sz w:val="17"/>
                <w:szCs w:val="17"/>
                <w:color w:val="auto"/>
              </w:rPr>
            </w:pPr>
          </w:p>
        </w:tc>
        <w:tc>
          <w:tcPr>
            <w:tcW w:w="1180" w:type="dxa"/>
            <w:vAlign w:val="bottom"/>
          </w:tcPr>
          <w:p>
            <w:pPr>
              <w:jc w:val="right"/>
              <w:ind w:right="17"/>
              <w:spacing w:after="0"/>
              <w:rPr>
                <w:sz w:val="20"/>
                <w:szCs w:val="20"/>
                <w:color w:val="auto"/>
              </w:rPr>
            </w:pPr>
            <w:r>
              <w:rPr>
                <w:rFonts w:ascii="Arial" w:cs="Arial" w:eastAsia="Arial" w:hAnsi="Arial"/>
                <w:sz w:val="13"/>
                <w:szCs w:val="13"/>
                <w:color w:val="auto"/>
              </w:rPr>
              <w:t>2,076</w:t>
            </w:r>
          </w:p>
        </w:tc>
        <w:tc>
          <w:tcPr>
            <w:tcW w:w="180" w:type="dxa"/>
            <w:vAlign w:val="bottom"/>
          </w:tcPr>
          <w:p>
            <w:pPr>
              <w:spacing w:after="0"/>
              <w:rPr>
                <w:sz w:val="17"/>
                <w:szCs w:val="17"/>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18</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22,261</w:t>
            </w:r>
          </w:p>
        </w:tc>
        <w:tc>
          <w:tcPr>
            <w:tcW w:w="0" w:type="dxa"/>
            <w:vAlign w:val="bottom"/>
          </w:tcPr>
          <w:p>
            <w:pPr>
              <w:spacing w:after="0"/>
              <w:rPr>
                <w:sz w:val="1"/>
                <w:szCs w:val="1"/>
                <w:color w:val="auto"/>
              </w:rPr>
            </w:pPr>
          </w:p>
        </w:tc>
      </w:tr>
      <w:tr>
        <w:trPr>
          <w:trHeight w:val="163"/>
        </w:trPr>
        <w:tc>
          <w:tcPr>
            <w:tcW w:w="3360" w:type="dxa"/>
            <w:vAlign w:val="bottom"/>
            <w:vMerge w:val="restart"/>
          </w:tcPr>
          <w:p>
            <w:pPr>
              <w:ind w:left="20"/>
              <w:spacing w:after="0"/>
              <w:rPr>
                <w:sz w:val="20"/>
                <w:szCs w:val="20"/>
                <w:color w:val="auto"/>
              </w:rPr>
            </w:pPr>
            <w:r>
              <w:rPr>
                <w:rFonts w:ascii="Arial" w:cs="Arial" w:eastAsia="Arial" w:hAnsi="Arial"/>
                <w:sz w:val="13"/>
                <w:szCs w:val="13"/>
                <w:b w:val="1"/>
                <w:bCs w:val="1"/>
                <w:color w:val="auto"/>
                <w:w w:val="99"/>
              </w:rPr>
              <w:t>Income (Loss) from Operations before Amortization of</w:t>
            </w: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33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3360" w:type="dxa"/>
            <w:vAlign w:val="bottom"/>
          </w:tcPr>
          <w:p>
            <w:pPr>
              <w:ind w:left="100"/>
              <w:spacing w:after="0"/>
              <w:rPr>
                <w:sz w:val="20"/>
                <w:szCs w:val="20"/>
                <w:color w:val="auto"/>
              </w:rPr>
            </w:pPr>
            <w:r>
              <w:rPr>
                <w:rFonts w:ascii="Arial" w:cs="Arial" w:eastAsia="Arial" w:hAnsi="Arial"/>
                <w:sz w:val="13"/>
                <w:szCs w:val="13"/>
                <w:b w:val="1"/>
                <w:bCs w:val="1"/>
                <w:color w:val="auto"/>
              </w:rPr>
              <w:t>Intangible Assets</w:t>
            </w: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88,892</w:t>
            </w:r>
          </w:p>
        </w:tc>
        <w:tc>
          <w:tcPr>
            <w:tcW w:w="46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45,462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28,353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(22,201)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140,492</w:t>
            </w:r>
          </w:p>
        </w:tc>
        <w:tc>
          <w:tcPr>
            <w:tcW w:w="0" w:type="dxa"/>
            <w:vAlign w:val="bottom"/>
          </w:tcPr>
          <w:p>
            <w:pPr>
              <w:spacing w:after="0"/>
              <w:rPr>
                <w:sz w:val="1"/>
                <w:szCs w:val="1"/>
                <w:color w:val="auto"/>
              </w:rPr>
            </w:pPr>
          </w:p>
        </w:tc>
      </w:tr>
      <w:tr>
        <w:trPr>
          <w:trHeight w:val="329"/>
        </w:trPr>
        <w:tc>
          <w:tcPr>
            <w:tcW w:w="3360" w:type="dxa"/>
            <w:vAlign w:val="bottom"/>
          </w:tcPr>
          <w:p>
            <w:pPr>
              <w:ind w:left="20"/>
              <w:spacing w:after="0"/>
              <w:rPr>
                <w:sz w:val="20"/>
                <w:szCs w:val="20"/>
                <w:color w:val="auto"/>
              </w:rPr>
            </w:pPr>
            <w:r>
              <w:rPr>
                <w:rFonts w:ascii="Arial" w:cs="Arial" w:eastAsia="Arial" w:hAnsi="Arial"/>
                <w:sz w:val="13"/>
                <w:szCs w:val="13"/>
                <w:b w:val="1"/>
                <w:bCs w:val="1"/>
                <w:color w:val="auto"/>
              </w:rPr>
              <w:t>Capital Expenditures</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8,970</w:t>
            </w:r>
          </w:p>
        </w:tc>
        <w:tc>
          <w:tcPr>
            <w:tcW w:w="460" w:type="dxa"/>
            <w:vAlign w:val="bottom"/>
          </w:tcPr>
          <w:p>
            <w:pPr>
              <w:jc w:val="right"/>
              <w:ind w:right="237"/>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828</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17"/>
              <w:spacing w:after="0"/>
              <w:rPr>
                <w:sz w:val="20"/>
                <w:szCs w:val="20"/>
                <w:color w:val="auto"/>
              </w:rPr>
            </w:pPr>
            <w:r>
              <w:rPr>
                <w:rFonts w:ascii="Arial" w:cs="Arial" w:eastAsia="Arial" w:hAnsi="Arial"/>
                <w:sz w:val="13"/>
                <w:szCs w:val="13"/>
                <w:color w:val="auto"/>
              </w:rPr>
              <w:t>3,920</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23</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13,741</w:t>
            </w:r>
          </w:p>
        </w:tc>
        <w:tc>
          <w:tcPr>
            <w:tcW w:w="0" w:type="dxa"/>
            <w:vAlign w:val="bottom"/>
          </w:tcPr>
          <w:p>
            <w:pPr>
              <w:spacing w:after="0"/>
              <w:rPr>
                <w:sz w:val="1"/>
                <w:szCs w:val="1"/>
                <w:color w:val="auto"/>
              </w:rPr>
            </w:pPr>
          </w:p>
        </w:tc>
      </w:tr>
    </w:tbl>
    <w:p>
      <w:pPr>
        <w:spacing w:after="0" w:line="301" w:lineRule="exact"/>
        <w:rPr>
          <w:sz w:val="20"/>
          <w:szCs w:val="20"/>
          <w:color w:val="auto"/>
        </w:rPr>
      </w:pPr>
    </w:p>
    <w:p>
      <w:pPr>
        <w:ind w:left="360" w:hanging="334"/>
        <w:spacing w:after="0"/>
        <w:tabs>
          <w:tab w:leader="none" w:pos="3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significant expense categories and amounts align with the segment-level information that is regularly provided to the CODM.</w:t>
      </w:r>
    </w:p>
    <w:p>
      <w:pPr>
        <w:spacing w:after="0" w:line="53" w:lineRule="exact"/>
        <w:rPr>
          <w:rFonts w:ascii="Arial" w:cs="Arial" w:eastAsia="Arial" w:hAnsi="Arial"/>
          <w:sz w:val="13"/>
          <w:szCs w:val="13"/>
          <w:color w:val="auto"/>
        </w:rPr>
      </w:pPr>
    </w:p>
    <w:p>
      <w:pPr>
        <w:ind w:left="360" w:right="200" w:hanging="334"/>
        <w:spacing w:after="0" w:line="264" w:lineRule="auto"/>
        <w:tabs>
          <w:tab w:leader="none" w:pos="3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Cost of revenue reflects the amounts reported and provided to the CODM and does not necessarily reconcile to the Company's Consolidated Statement of Operations or align across reportable segments. Cost of revenue excludes charges related to depreciation, which is shown separately above.</w:t>
      </w:r>
    </w:p>
    <w:p>
      <w:pPr>
        <w:spacing w:after="0" w:line="22" w:lineRule="exact"/>
        <w:rPr>
          <w:rFonts w:ascii="Arial" w:cs="Arial" w:eastAsia="Arial" w:hAnsi="Arial"/>
          <w:sz w:val="13"/>
          <w:szCs w:val="13"/>
          <w:color w:val="auto"/>
        </w:rPr>
      </w:pPr>
    </w:p>
    <w:p>
      <w:pPr>
        <w:ind w:left="360" w:hanging="334"/>
        <w:spacing w:after="0"/>
        <w:tabs>
          <w:tab w:leader="none" w:pos="3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Excludes pension service cost, which is shown separately above. Excludes any payroll and related benefits costs captured in cost of revenue.</w:t>
      </w:r>
    </w:p>
    <w:p>
      <w:pPr>
        <w:spacing w:after="0" w:line="53" w:lineRule="exact"/>
        <w:rPr>
          <w:rFonts w:ascii="Arial" w:cs="Arial" w:eastAsia="Arial" w:hAnsi="Arial"/>
          <w:sz w:val="13"/>
          <w:szCs w:val="13"/>
          <w:color w:val="auto"/>
        </w:rPr>
      </w:pPr>
    </w:p>
    <w:p>
      <w:pPr>
        <w:ind w:left="360" w:hanging="334"/>
        <w:spacing w:after="0"/>
        <w:tabs>
          <w:tab w:leader="none" w:pos="3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Other segment items for each reportable segment include:</w:t>
      </w:r>
    </w:p>
    <w:p>
      <w:pPr>
        <w:spacing w:after="0" w:line="53" w:lineRule="exact"/>
        <w:rPr>
          <w:rFonts w:ascii="Arial" w:cs="Arial" w:eastAsia="Arial" w:hAnsi="Arial"/>
          <w:sz w:val="13"/>
          <w:szCs w:val="13"/>
          <w:color w:val="auto"/>
        </w:rPr>
      </w:pPr>
    </w:p>
    <w:p>
      <w:pPr>
        <w:ind w:left="680" w:hanging="330"/>
        <w:spacing w:after="0"/>
        <w:tabs>
          <w:tab w:leader="none" w:pos="680" w:val="left"/>
        </w:tabs>
        <w:numPr>
          <w:ilvl w:val="1"/>
          <w:numId w:val="18"/>
        </w:numPr>
        <w:rPr>
          <w:rFonts w:ascii="Arial" w:cs="Arial" w:eastAsia="Arial" w:hAnsi="Arial"/>
          <w:sz w:val="13"/>
          <w:szCs w:val="13"/>
          <w:color w:val="auto"/>
        </w:rPr>
      </w:pPr>
      <w:r>
        <w:rPr>
          <w:rFonts w:ascii="Arial" w:cs="Arial" w:eastAsia="Arial" w:hAnsi="Arial"/>
          <w:sz w:val="13"/>
          <w:szCs w:val="13"/>
          <w:color w:val="auto"/>
        </w:rPr>
        <w:t>Kaplan international - travel meals and entertainment expense, training and employment expense, operating fees and other G&amp;A expenses.</w:t>
      </w:r>
    </w:p>
    <w:p>
      <w:pPr>
        <w:spacing w:after="0" w:line="53" w:lineRule="exact"/>
        <w:rPr>
          <w:rFonts w:ascii="Arial" w:cs="Arial" w:eastAsia="Arial" w:hAnsi="Arial"/>
          <w:sz w:val="13"/>
          <w:szCs w:val="13"/>
          <w:color w:val="auto"/>
        </w:rPr>
      </w:pPr>
    </w:p>
    <w:p>
      <w:pPr>
        <w:ind w:left="680" w:hanging="330"/>
        <w:spacing w:after="0"/>
        <w:tabs>
          <w:tab w:leader="none" w:pos="680" w:val="left"/>
        </w:tabs>
        <w:numPr>
          <w:ilvl w:val="1"/>
          <w:numId w:val="18"/>
        </w:numPr>
        <w:rPr>
          <w:rFonts w:ascii="Arial" w:cs="Arial" w:eastAsia="Arial" w:hAnsi="Arial"/>
          <w:sz w:val="13"/>
          <w:szCs w:val="13"/>
          <w:color w:val="auto"/>
        </w:rPr>
      </w:pPr>
      <w:r>
        <w:rPr>
          <w:rFonts w:ascii="Arial" w:cs="Arial" w:eastAsia="Arial" w:hAnsi="Arial"/>
          <w:sz w:val="13"/>
          <w:szCs w:val="13"/>
          <w:color w:val="auto"/>
        </w:rPr>
        <w:t>Higher education - training and employment expense, operating fees and other G&amp;A expenses.</w:t>
      </w:r>
    </w:p>
    <w:p>
      <w:pPr>
        <w:spacing w:after="0" w:line="53" w:lineRule="exact"/>
        <w:rPr>
          <w:rFonts w:ascii="Arial" w:cs="Arial" w:eastAsia="Arial" w:hAnsi="Arial"/>
          <w:sz w:val="13"/>
          <w:szCs w:val="13"/>
          <w:color w:val="auto"/>
        </w:rPr>
      </w:pPr>
    </w:p>
    <w:p>
      <w:pPr>
        <w:ind w:left="680" w:hanging="330"/>
        <w:spacing w:after="0"/>
        <w:tabs>
          <w:tab w:leader="none" w:pos="680" w:val="left"/>
        </w:tabs>
        <w:numPr>
          <w:ilvl w:val="1"/>
          <w:numId w:val="18"/>
        </w:numPr>
        <w:rPr>
          <w:rFonts w:ascii="Arial" w:cs="Arial" w:eastAsia="Arial" w:hAnsi="Arial"/>
          <w:sz w:val="13"/>
          <w:szCs w:val="13"/>
          <w:color w:val="auto"/>
        </w:rPr>
      </w:pPr>
      <w:r>
        <w:rPr>
          <w:rFonts w:ascii="Arial" w:cs="Arial" w:eastAsia="Arial" w:hAnsi="Arial"/>
          <w:sz w:val="13"/>
          <w:szCs w:val="13"/>
          <w:color w:val="auto"/>
        </w:rPr>
        <w:t>Supplemental education - training and employment expense, operating fees and other G&amp;A expenses.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The Company’s healthcare division segment information is as follows: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3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580" w:type="dxa"/>
            <w:vAlign w:val="bottom"/>
            <w:tcBorders>
              <w:bottom w:val="single" w:sz="8" w:color="auto"/>
            </w:tcBorders>
            <w:gridSpan w:val="5"/>
          </w:tcPr>
          <w:p>
            <w:pPr>
              <w:jc w:val="right"/>
              <w:ind w:right="677"/>
              <w:spacing w:after="0"/>
              <w:rPr>
                <w:sz w:val="20"/>
                <w:szCs w:val="20"/>
                <w:color w:val="auto"/>
              </w:rPr>
            </w:pPr>
            <w:r>
              <w:rPr>
                <w:rFonts w:ascii="Arial" w:cs="Arial" w:eastAsia="Arial" w:hAnsi="Arial"/>
                <w:sz w:val="13"/>
                <w:szCs w:val="13"/>
                <w:b w:val="1"/>
                <w:bCs w:val="1"/>
                <w:color w:val="auto"/>
              </w:rPr>
              <w:t>Nine Months Ended September 30, 2025</w:t>
            </w:r>
          </w:p>
        </w:tc>
        <w:tc>
          <w:tcPr>
            <w:tcW w:w="0" w:type="dxa"/>
            <w:vAlign w:val="bottom"/>
          </w:tcPr>
          <w:p>
            <w:pPr>
              <w:spacing w:after="0"/>
              <w:rPr>
                <w:sz w:val="1"/>
                <w:szCs w:val="1"/>
                <w:color w:val="auto"/>
              </w:rPr>
            </w:pPr>
          </w:p>
        </w:tc>
      </w:tr>
      <w:tr>
        <w:trPr>
          <w:trHeight w:val="196"/>
        </w:trPr>
        <w:tc>
          <w:tcPr>
            <w:tcW w:w="73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thousands)</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77"/>
              <w:spacing w:after="0"/>
              <w:rPr>
                <w:sz w:val="20"/>
                <w:szCs w:val="20"/>
                <w:color w:val="auto"/>
              </w:rPr>
            </w:pPr>
            <w:r>
              <w:rPr>
                <w:rFonts w:ascii="Arial" w:cs="Arial" w:eastAsia="Arial" w:hAnsi="Arial"/>
                <w:sz w:val="13"/>
                <w:szCs w:val="13"/>
                <w:b w:val="1"/>
                <w:bCs w:val="1"/>
                <w:color w:val="auto"/>
              </w:rPr>
              <w:t>CSI</w:t>
            </w: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97"/>
              </w:rPr>
              <w:t>Other Healthcare</w:t>
            </w: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94"/>
              </w:rPr>
              <w:t>Total Healthcare</w:t>
            </w:r>
          </w:p>
        </w:tc>
        <w:tc>
          <w:tcPr>
            <w:tcW w:w="0" w:type="dxa"/>
            <w:vAlign w:val="bottom"/>
          </w:tcPr>
          <w:p>
            <w:pPr>
              <w:spacing w:after="0"/>
              <w:rPr>
                <w:sz w:val="1"/>
                <w:szCs w:val="1"/>
                <w:color w:val="auto"/>
              </w:rPr>
            </w:pPr>
          </w:p>
        </w:tc>
      </w:tr>
      <w:tr>
        <w:trPr>
          <w:trHeight w:val="192"/>
        </w:trPr>
        <w:tc>
          <w:tcPr>
            <w:tcW w:w="7360" w:type="dxa"/>
            <w:vAlign w:val="bottom"/>
          </w:tcPr>
          <w:p>
            <w:pPr>
              <w:ind w:left="20"/>
              <w:spacing w:after="0"/>
              <w:rPr>
                <w:sz w:val="20"/>
                <w:szCs w:val="20"/>
                <w:color w:val="auto"/>
              </w:rPr>
            </w:pPr>
            <w:r>
              <w:rPr>
                <w:rFonts w:ascii="Arial" w:cs="Arial" w:eastAsia="Arial" w:hAnsi="Arial"/>
                <w:sz w:val="13"/>
                <w:szCs w:val="13"/>
                <w:b w:val="1"/>
                <w:bCs w:val="1"/>
                <w:color w:val="auto"/>
              </w:rPr>
              <w:t>Operating Revenues</w:t>
            </w:r>
          </w:p>
        </w:tc>
        <w:tc>
          <w:tcPr>
            <w:tcW w:w="30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324,045</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37"/>
              <w:spacing w:after="0"/>
              <w:rPr>
                <w:sz w:val="20"/>
                <w:szCs w:val="20"/>
                <w:color w:val="auto"/>
              </w:rPr>
            </w:pPr>
            <w:r>
              <w:rPr>
                <w:rFonts w:ascii="Arial" w:cs="Arial" w:eastAsia="Arial" w:hAnsi="Arial"/>
                <w:sz w:val="13"/>
                <w:szCs w:val="13"/>
                <w:color w:val="auto"/>
              </w:rPr>
              <w:t>260,330</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584,375</w:t>
            </w:r>
          </w:p>
        </w:tc>
        <w:tc>
          <w:tcPr>
            <w:tcW w:w="0" w:type="dxa"/>
            <w:vAlign w:val="bottom"/>
          </w:tcPr>
          <w:p>
            <w:pPr>
              <w:spacing w:after="0"/>
              <w:rPr>
                <w:sz w:val="1"/>
                <w:szCs w:val="1"/>
                <w:color w:val="auto"/>
              </w:rPr>
            </w:pPr>
          </w:p>
        </w:tc>
      </w:tr>
      <w:tr>
        <w:trPr>
          <w:trHeight w:val="331"/>
        </w:trPr>
        <w:tc>
          <w:tcPr>
            <w:tcW w:w="7360" w:type="dxa"/>
            <w:vAlign w:val="bottom"/>
          </w:tcPr>
          <w:p>
            <w:pPr>
              <w:ind w:left="20"/>
              <w:spacing w:after="0"/>
              <w:rPr>
                <w:sz w:val="20"/>
                <w:szCs w:val="20"/>
                <w:color w:val="auto"/>
              </w:rPr>
            </w:pPr>
            <w:r>
              <w:rPr>
                <w:rFonts w:ascii="Arial" w:cs="Arial" w:eastAsia="Arial" w:hAnsi="Arial"/>
                <w:sz w:val="13"/>
                <w:szCs w:val="13"/>
                <w:i w:val="1"/>
                <w:iCs w:val="1"/>
                <w:color w:val="auto"/>
              </w:rPr>
              <w:t xml:space="preserve">Less: Significant Expenses </w:t>
            </w:r>
            <w:r>
              <w:rPr>
                <w:rFonts w:ascii="Arial" w:cs="Arial" w:eastAsia="Arial" w:hAnsi="Arial"/>
                <w:sz w:val="16"/>
                <w:szCs w:val="16"/>
                <w:i w:val="1"/>
                <w:iCs w:val="1"/>
                <w:color w:val="auto"/>
                <w:vertAlign w:val="superscript"/>
              </w:rPr>
              <w:t>(1)</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360" w:type="dxa"/>
            <w:vAlign w:val="bottom"/>
          </w:tcPr>
          <w:p>
            <w:pPr>
              <w:ind w:left="140"/>
              <w:spacing w:after="0"/>
              <w:rPr>
                <w:sz w:val="20"/>
                <w:szCs w:val="20"/>
                <w:color w:val="auto"/>
              </w:rPr>
            </w:pPr>
            <w:r>
              <w:rPr>
                <w:rFonts w:ascii="Arial" w:cs="Arial" w:eastAsia="Arial" w:hAnsi="Arial"/>
                <w:sz w:val="13"/>
                <w:szCs w:val="13"/>
                <w:color w:val="auto"/>
              </w:rPr>
              <w:t xml:space="preserve">Cost of Revenue </w:t>
            </w:r>
            <w:r>
              <w:rPr>
                <w:rFonts w:ascii="Arial" w:cs="Arial" w:eastAsia="Arial" w:hAnsi="Arial"/>
                <w:sz w:val="16"/>
                <w:szCs w:val="16"/>
                <w:color w:val="auto"/>
                <w:vertAlign w:val="superscript"/>
              </w:rPr>
              <w:t>(2)</w:t>
            </w:r>
          </w:p>
        </w:tc>
        <w:tc>
          <w:tcPr>
            <w:tcW w:w="300" w:type="dxa"/>
            <w:vAlign w:val="bottom"/>
          </w:tcPr>
          <w:p>
            <w:pPr>
              <w:spacing w:after="0"/>
              <w:rPr>
                <w:sz w:val="17"/>
                <w:szCs w:val="17"/>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237,731</w:t>
            </w:r>
          </w:p>
        </w:tc>
        <w:tc>
          <w:tcPr>
            <w:tcW w:w="160" w:type="dxa"/>
            <w:vAlign w:val="bottom"/>
          </w:tcPr>
          <w:p>
            <w:pPr>
              <w:spacing w:after="0"/>
              <w:rPr>
                <w:sz w:val="17"/>
                <w:szCs w:val="17"/>
                <w:color w:val="auto"/>
              </w:rPr>
            </w:pPr>
          </w:p>
        </w:tc>
        <w:tc>
          <w:tcPr>
            <w:tcW w:w="1160" w:type="dxa"/>
            <w:vAlign w:val="bottom"/>
          </w:tcPr>
          <w:p>
            <w:pPr>
              <w:jc w:val="right"/>
              <w:ind w:right="37"/>
              <w:spacing w:after="0"/>
              <w:rPr>
                <w:sz w:val="20"/>
                <w:szCs w:val="20"/>
                <w:color w:val="auto"/>
              </w:rPr>
            </w:pPr>
            <w:r>
              <w:rPr>
                <w:rFonts w:ascii="Arial" w:cs="Arial" w:eastAsia="Arial" w:hAnsi="Arial"/>
                <w:sz w:val="13"/>
                <w:szCs w:val="13"/>
                <w:color w:val="auto"/>
              </w:rPr>
              <w:t>114,900</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352,631</w:t>
            </w:r>
          </w:p>
        </w:tc>
        <w:tc>
          <w:tcPr>
            <w:tcW w:w="0" w:type="dxa"/>
            <w:vAlign w:val="bottom"/>
          </w:tcPr>
          <w:p>
            <w:pPr>
              <w:spacing w:after="0"/>
              <w:rPr>
                <w:sz w:val="1"/>
                <w:szCs w:val="1"/>
                <w:color w:val="auto"/>
              </w:rPr>
            </w:pPr>
          </w:p>
        </w:tc>
      </w:tr>
      <w:tr>
        <w:trPr>
          <w:trHeight w:val="190"/>
        </w:trPr>
        <w:tc>
          <w:tcPr>
            <w:tcW w:w="7360" w:type="dxa"/>
            <w:vAlign w:val="bottom"/>
          </w:tcPr>
          <w:p>
            <w:pPr>
              <w:ind w:left="140"/>
              <w:spacing w:after="0"/>
              <w:rPr>
                <w:sz w:val="20"/>
                <w:szCs w:val="20"/>
                <w:color w:val="auto"/>
              </w:rPr>
            </w:pPr>
            <w:r>
              <w:rPr>
                <w:rFonts w:ascii="Arial" w:cs="Arial" w:eastAsia="Arial" w:hAnsi="Arial"/>
                <w:sz w:val="13"/>
                <w:szCs w:val="13"/>
                <w:color w:val="auto"/>
              </w:rPr>
              <w:t xml:space="preserve">Other Segment Items </w:t>
            </w:r>
            <w:r>
              <w:rPr>
                <w:rFonts w:ascii="Arial" w:cs="Arial" w:eastAsia="Arial" w:hAnsi="Arial"/>
                <w:sz w:val="16"/>
                <w:szCs w:val="16"/>
                <w:color w:val="auto"/>
                <w:vertAlign w:val="superscript"/>
              </w:rPr>
              <w:t>(3)</w:t>
            </w: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48,625</w:t>
            </w: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104,549</w:t>
            </w: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153,174</w:t>
            </w:r>
          </w:p>
        </w:tc>
        <w:tc>
          <w:tcPr>
            <w:tcW w:w="0" w:type="dxa"/>
            <w:vAlign w:val="bottom"/>
          </w:tcPr>
          <w:p>
            <w:pPr>
              <w:spacing w:after="0"/>
              <w:rPr>
                <w:sz w:val="1"/>
                <w:szCs w:val="1"/>
                <w:color w:val="auto"/>
              </w:rPr>
            </w:pPr>
          </w:p>
        </w:tc>
      </w:tr>
      <w:tr>
        <w:trPr>
          <w:trHeight w:val="192"/>
        </w:trPr>
        <w:tc>
          <w:tcPr>
            <w:tcW w:w="7360" w:type="dxa"/>
            <w:vAlign w:val="bottom"/>
          </w:tcPr>
          <w:p>
            <w:pPr>
              <w:ind w:left="20"/>
              <w:spacing w:after="0"/>
              <w:rPr>
                <w:sz w:val="20"/>
                <w:szCs w:val="20"/>
                <w:color w:val="auto"/>
              </w:rPr>
            </w:pPr>
            <w:r>
              <w:rPr>
                <w:rFonts w:ascii="Arial" w:cs="Arial" w:eastAsia="Arial" w:hAnsi="Arial"/>
                <w:sz w:val="13"/>
                <w:szCs w:val="13"/>
                <w:b w:val="1"/>
                <w:bCs w:val="1"/>
                <w:color w:val="auto"/>
              </w:rPr>
              <w:t>EBITDAP</w:t>
            </w:r>
          </w:p>
        </w:tc>
        <w:tc>
          <w:tcPr>
            <w:tcW w:w="30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37,689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40,881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78,570</w:t>
            </w:r>
          </w:p>
        </w:tc>
        <w:tc>
          <w:tcPr>
            <w:tcW w:w="0" w:type="dxa"/>
            <w:vAlign w:val="bottom"/>
          </w:tcPr>
          <w:p>
            <w:pPr>
              <w:spacing w:after="0"/>
              <w:rPr>
                <w:sz w:val="1"/>
                <w:szCs w:val="1"/>
                <w:color w:val="auto"/>
              </w:rPr>
            </w:pPr>
          </w:p>
        </w:tc>
      </w:tr>
      <w:tr>
        <w:trPr>
          <w:trHeight w:val="321"/>
        </w:trPr>
        <w:tc>
          <w:tcPr>
            <w:tcW w:w="7360" w:type="dxa"/>
            <w:vAlign w:val="bottom"/>
          </w:tcPr>
          <w:p>
            <w:pPr>
              <w:ind w:left="20"/>
              <w:spacing w:after="0"/>
              <w:rPr>
                <w:sz w:val="20"/>
                <w:szCs w:val="20"/>
                <w:color w:val="auto"/>
              </w:rPr>
            </w:pPr>
            <w:r>
              <w:rPr>
                <w:rFonts w:ascii="Arial" w:cs="Arial" w:eastAsia="Arial" w:hAnsi="Arial"/>
                <w:sz w:val="13"/>
                <w:szCs w:val="13"/>
                <w:color w:val="auto"/>
              </w:rPr>
              <w:t>Pension Service Cost</w:t>
            </w:r>
          </w:p>
        </w:tc>
        <w:tc>
          <w:tcPr>
            <w:tcW w:w="300" w:type="dxa"/>
            <w:vAlign w:val="bottom"/>
          </w:tcPr>
          <w:p>
            <w:pPr>
              <w:spacing w:after="0"/>
              <w:rPr>
                <w:sz w:val="24"/>
                <w:szCs w:val="24"/>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160" w:type="dxa"/>
            <w:vAlign w:val="bottom"/>
          </w:tcPr>
          <w:p>
            <w:pPr>
              <w:jc w:val="right"/>
              <w:ind w:right="37"/>
              <w:spacing w:after="0"/>
              <w:rPr>
                <w:sz w:val="20"/>
                <w:szCs w:val="20"/>
                <w:color w:val="auto"/>
              </w:rPr>
            </w:pPr>
            <w:r>
              <w:rPr>
                <w:rFonts w:ascii="Arial" w:cs="Arial" w:eastAsia="Arial" w:hAnsi="Arial"/>
                <w:sz w:val="13"/>
                <w:szCs w:val="13"/>
                <w:color w:val="auto"/>
              </w:rPr>
              <w:t>7,488</w:t>
            </w: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7,488</w:t>
            </w:r>
          </w:p>
        </w:tc>
        <w:tc>
          <w:tcPr>
            <w:tcW w:w="0" w:type="dxa"/>
            <w:vAlign w:val="bottom"/>
          </w:tcPr>
          <w:p>
            <w:pPr>
              <w:spacing w:after="0"/>
              <w:rPr>
                <w:sz w:val="1"/>
                <w:szCs w:val="1"/>
                <w:color w:val="auto"/>
              </w:rPr>
            </w:pPr>
          </w:p>
        </w:tc>
      </w:tr>
      <w:tr>
        <w:trPr>
          <w:trHeight w:val="203"/>
        </w:trPr>
        <w:tc>
          <w:tcPr>
            <w:tcW w:w="7360" w:type="dxa"/>
            <w:vAlign w:val="bottom"/>
          </w:tcPr>
          <w:p>
            <w:pPr>
              <w:ind w:left="20"/>
              <w:spacing w:after="0"/>
              <w:rPr>
                <w:sz w:val="20"/>
                <w:szCs w:val="20"/>
                <w:color w:val="auto"/>
              </w:rPr>
            </w:pPr>
            <w:r>
              <w:rPr>
                <w:rFonts w:ascii="Arial" w:cs="Arial" w:eastAsia="Arial" w:hAnsi="Arial"/>
                <w:sz w:val="13"/>
                <w:szCs w:val="13"/>
                <w:color w:val="auto"/>
              </w:rPr>
              <w:t>Depreciation Expense</w:t>
            </w:r>
          </w:p>
        </w:tc>
        <w:tc>
          <w:tcPr>
            <w:tcW w:w="300" w:type="dxa"/>
            <w:vAlign w:val="bottom"/>
          </w:tcPr>
          <w:p>
            <w:pPr>
              <w:spacing w:after="0"/>
              <w:rPr>
                <w:sz w:val="17"/>
                <w:szCs w:val="17"/>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545</w:t>
            </w:r>
          </w:p>
        </w:tc>
        <w:tc>
          <w:tcPr>
            <w:tcW w:w="160" w:type="dxa"/>
            <w:vAlign w:val="bottom"/>
          </w:tcPr>
          <w:p>
            <w:pPr>
              <w:spacing w:after="0"/>
              <w:rPr>
                <w:sz w:val="17"/>
                <w:szCs w:val="17"/>
                <w:color w:val="auto"/>
              </w:rPr>
            </w:pPr>
          </w:p>
        </w:tc>
        <w:tc>
          <w:tcPr>
            <w:tcW w:w="1160" w:type="dxa"/>
            <w:vAlign w:val="bottom"/>
          </w:tcPr>
          <w:p>
            <w:pPr>
              <w:jc w:val="right"/>
              <w:ind w:right="37"/>
              <w:spacing w:after="0"/>
              <w:rPr>
                <w:sz w:val="20"/>
                <w:szCs w:val="20"/>
                <w:color w:val="auto"/>
              </w:rPr>
            </w:pPr>
            <w:r>
              <w:rPr>
                <w:rFonts w:ascii="Arial" w:cs="Arial" w:eastAsia="Arial" w:hAnsi="Arial"/>
                <w:sz w:val="13"/>
                <w:szCs w:val="13"/>
                <w:color w:val="auto"/>
              </w:rPr>
              <w:t>4,801</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5,346</w:t>
            </w:r>
          </w:p>
        </w:tc>
        <w:tc>
          <w:tcPr>
            <w:tcW w:w="0" w:type="dxa"/>
            <w:vAlign w:val="bottom"/>
          </w:tcPr>
          <w:p>
            <w:pPr>
              <w:spacing w:after="0"/>
              <w:rPr>
                <w:sz w:val="1"/>
                <w:szCs w:val="1"/>
                <w:color w:val="auto"/>
              </w:rPr>
            </w:pPr>
          </w:p>
        </w:tc>
      </w:tr>
      <w:tr>
        <w:trPr>
          <w:trHeight w:val="163"/>
        </w:trPr>
        <w:tc>
          <w:tcPr>
            <w:tcW w:w="73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Income from Operations before Amortization of Intangible Assets</w:t>
            </w: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7360" w:type="dxa"/>
            <w:vAlign w:val="bottom"/>
            <w:vMerge w:val="continue"/>
          </w:tcPr>
          <w:p>
            <w:pPr>
              <w:spacing w:after="0"/>
              <w:rPr>
                <w:sz w:val="16"/>
                <w:szCs w:val="16"/>
                <w:color w:val="auto"/>
              </w:rPr>
            </w:pPr>
          </w:p>
        </w:tc>
        <w:tc>
          <w:tcPr>
            <w:tcW w:w="30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37,144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28,592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65,736</w:t>
            </w:r>
          </w:p>
        </w:tc>
        <w:tc>
          <w:tcPr>
            <w:tcW w:w="0" w:type="dxa"/>
            <w:vAlign w:val="bottom"/>
          </w:tcPr>
          <w:p>
            <w:pPr>
              <w:spacing w:after="0"/>
              <w:rPr>
                <w:sz w:val="1"/>
                <w:szCs w:val="1"/>
                <w:color w:val="auto"/>
              </w:rPr>
            </w:pPr>
          </w:p>
        </w:tc>
      </w:tr>
      <w:tr>
        <w:trPr>
          <w:trHeight w:val="329"/>
        </w:trPr>
        <w:tc>
          <w:tcPr>
            <w:tcW w:w="7360" w:type="dxa"/>
            <w:vAlign w:val="bottom"/>
          </w:tcPr>
          <w:p>
            <w:pPr>
              <w:ind w:left="20"/>
              <w:spacing w:after="0"/>
              <w:rPr>
                <w:sz w:val="20"/>
                <w:szCs w:val="20"/>
                <w:color w:val="auto"/>
              </w:rPr>
            </w:pPr>
            <w:r>
              <w:rPr>
                <w:rFonts w:ascii="Arial" w:cs="Arial" w:eastAsia="Arial" w:hAnsi="Arial"/>
                <w:sz w:val="13"/>
                <w:szCs w:val="13"/>
                <w:b w:val="1"/>
                <w:bCs w:val="1"/>
                <w:color w:val="auto"/>
              </w:rPr>
              <w:t>Capital Expenditures</w:t>
            </w:r>
          </w:p>
        </w:tc>
        <w:tc>
          <w:tcPr>
            <w:tcW w:w="30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901</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37"/>
              <w:spacing w:after="0"/>
              <w:rPr>
                <w:sz w:val="20"/>
                <w:szCs w:val="20"/>
                <w:color w:val="auto"/>
              </w:rPr>
            </w:pPr>
            <w:r>
              <w:rPr>
                <w:rFonts w:ascii="Arial" w:cs="Arial" w:eastAsia="Arial" w:hAnsi="Arial"/>
                <w:sz w:val="13"/>
                <w:szCs w:val="13"/>
                <w:color w:val="auto"/>
              </w:rPr>
              <w:t>9,303</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10,204</w:t>
            </w:r>
          </w:p>
        </w:tc>
        <w:tc>
          <w:tcPr>
            <w:tcW w:w="0" w:type="dxa"/>
            <w:vAlign w:val="bottom"/>
          </w:tcPr>
          <w:p>
            <w:pPr>
              <w:spacing w:after="0"/>
              <w:rPr>
                <w:sz w:val="1"/>
                <w:szCs w:val="1"/>
                <w:color w:val="auto"/>
              </w:rPr>
            </w:pPr>
          </w:p>
        </w:tc>
      </w:tr>
    </w:tbl>
    <w:p>
      <w:pPr>
        <w:spacing w:after="0" w:line="301" w:lineRule="exact"/>
        <w:rPr>
          <w:sz w:val="20"/>
          <w:szCs w:val="20"/>
          <w:color w:val="auto"/>
        </w:rPr>
      </w:pPr>
    </w:p>
    <w:p>
      <w:pPr>
        <w:ind w:left="360" w:hanging="334"/>
        <w:spacing w:after="0"/>
        <w:tabs>
          <w:tab w:leader="none" w:pos="36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significant expense categories and amounts align with the segment-level information that is regularly provided to the CODM.</w:t>
      </w:r>
    </w:p>
    <w:p>
      <w:pPr>
        <w:spacing w:after="0" w:line="53" w:lineRule="exact"/>
        <w:rPr>
          <w:rFonts w:ascii="Arial" w:cs="Arial" w:eastAsia="Arial" w:hAnsi="Arial"/>
          <w:sz w:val="13"/>
          <w:szCs w:val="13"/>
          <w:color w:val="auto"/>
        </w:rPr>
      </w:pPr>
    </w:p>
    <w:p>
      <w:pPr>
        <w:ind w:left="360" w:right="160" w:hanging="334"/>
        <w:spacing w:after="0" w:line="264" w:lineRule="auto"/>
        <w:tabs>
          <w:tab w:leader="none" w:pos="360" w:val="left"/>
        </w:tabs>
        <w:numPr>
          <w:ilvl w:val="0"/>
          <w:numId w:val="19"/>
        </w:numPr>
        <w:rPr>
          <w:rFonts w:ascii="Arial" w:cs="Arial" w:eastAsia="Arial" w:hAnsi="Arial"/>
          <w:sz w:val="13"/>
          <w:szCs w:val="13"/>
          <w:color w:val="auto"/>
        </w:rPr>
      </w:pPr>
      <w:r>
        <w:rPr>
          <w:rFonts w:ascii="Arial" w:cs="Arial" w:eastAsia="Arial" w:hAnsi="Arial"/>
          <w:sz w:val="13"/>
          <w:szCs w:val="13"/>
          <w:color w:val="auto"/>
        </w:rPr>
        <w:t>Cost of revenue reflects the amounts reported and provided to the CODM and does not necessarily reconcile to the Company's Consolidated Statement of Operations. Cost of revenue excludes charges related to depreciation, which is shown separately.</w:t>
      </w:r>
    </w:p>
    <w:p>
      <w:pPr>
        <w:spacing w:after="0" w:line="22" w:lineRule="exact"/>
        <w:rPr>
          <w:rFonts w:ascii="Arial" w:cs="Arial" w:eastAsia="Arial" w:hAnsi="Arial"/>
          <w:sz w:val="13"/>
          <w:szCs w:val="13"/>
          <w:color w:val="auto"/>
        </w:rPr>
      </w:pPr>
    </w:p>
    <w:p>
      <w:pPr>
        <w:ind w:left="360" w:hanging="334"/>
        <w:spacing w:after="0"/>
        <w:tabs>
          <w:tab w:leader="none" w:pos="360" w:val="left"/>
        </w:tabs>
        <w:numPr>
          <w:ilvl w:val="0"/>
          <w:numId w:val="19"/>
        </w:numPr>
        <w:rPr>
          <w:rFonts w:ascii="Arial" w:cs="Arial" w:eastAsia="Arial" w:hAnsi="Arial"/>
          <w:sz w:val="13"/>
          <w:szCs w:val="13"/>
          <w:color w:val="auto"/>
        </w:rPr>
      </w:pPr>
      <w:r>
        <w:rPr>
          <w:rFonts w:ascii="Arial" w:cs="Arial" w:eastAsia="Arial" w:hAnsi="Arial"/>
          <w:sz w:val="13"/>
          <w:szCs w:val="13"/>
          <w:color w:val="auto"/>
        </w:rPr>
        <w:t>Other segment items for CSI include indirect costs (e.g. payroll and benefits expenses, G&amp;A expenses) and other SG&amp;A expenses.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Asset information for the Company’s business segments is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9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As of</w:t>
            </w:r>
          </w:p>
        </w:tc>
        <w:tc>
          <w:tcPr>
            <w:tcW w:w="1420" w:type="dxa"/>
            <w:vAlign w:val="bottom"/>
            <w:tcBorders>
              <w:bottom w:val="single" w:sz="8" w:color="auto"/>
            </w:tcBorders>
          </w:tcPr>
          <w:p>
            <w:pPr>
              <w:spacing w:after="0"/>
              <w:rPr>
                <w:sz w:val="15"/>
                <w:szCs w:val="15"/>
                <w:color w:val="auto"/>
              </w:rPr>
            </w:pPr>
          </w:p>
        </w:tc>
      </w:tr>
      <w:tr>
        <w:trPr>
          <w:trHeight w:val="196"/>
        </w:trPr>
        <w:tc>
          <w:tcPr>
            <w:tcW w:w="79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thousands)</w:t>
            </w:r>
          </w:p>
        </w:tc>
        <w:tc>
          <w:tcPr>
            <w:tcW w:w="1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September 30, 2026</w:t>
            </w: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December 31, 2025</w:t>
            </w:r>
          </w:p>
        </w:tc>
      </w:tr>
      <w:tr>
        <w:trPr>
          <w:trHeight w:val="192"/>
        </w:trPr>
        <w:tc>
          <w:tcPr>
            <w:tcW w:w="7920" w:type="dxa"/>
            <w:vAlign w:val="bottom"/>
          </w:tcPr>
          <w:p>
            <w:pPr>
              <w:ind w:left="20"/>
              <w:spacing w:after="0"/>
              <w:rPr>
                <w:sz w:val="20"/>
                <w:szCs w:val="20"/>
                <w:color w:val="auto"/>
              </w:rPr>
            </w:pPr>
            <w:r>
              <w:rPr>
                <w:rFonts w:ascii="Arial" w:cs="Arial" w:eastAsia="Arial" w:hAnsi="Arial"/>
                <w:sz w:val="13"/>
                <w:szCs w:val="13"/>
                <w:b w:val="1"/>
                <w:bCs w:val="1"/>
                <w:color w:val="auto"/>
              </w:rPr>
              <w:t>Identifiable Assets</w:t>
            </w: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03"/>
        </w:trPr>
        <w:tc>
          <w:tcPr>
            <w:tcW w:w="7920" w:type="dxa"/>
            <w:vAlign w:val="bottom"/>
          </w:tcPr>
          <w:p>
            <w:pPr>
              <w:ind w:left="440"/>
              <w:spacing w:after="0"/>
              <w:rPr>
                <w:sz w:val="20"/>
                <w:szCs w:val="20"/>
                <w:color w:val="auto"/>
              </w:rPr>
            </w:pPr>
            <w:r>
              <w:rPr>
                <w:rFonts w:ascii="Arial" w:cs="Arial" w:eastAsia="Arial" w:hAnsi="Arial"/>
                <w:sz w:val="13"/>
                <w:szCs w:val="13"/>
                <w:color w:val="auto"/>
              </w:rPr>
              <w:t>Kaplan international</w:t>
            </w: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1480" w:type="dxa"/>
            <w:vAlign w:val="bottom"/>
          </w:tcPr>
          <w:p>
            <w:pPr>
              <w:jc w:val="right"/>
              <w:ind w:right="37"/>
              <w:spacing w:after="0"/>
              <w:rPr>
                <w:sz w:val="20"/>
                <w:szCs w:val="20"/>
                <w:color w:val="auto"/>
              </w:rPr>
            </w:pPr>
            <w:r>
              <w:rPr>
                <w:rFonts w:ascii="Arial" w:cs="Arial" w:eastAsia="Arial" w:hAnsi="Arial"/>
                <w:sz w:val="13"/>
                <w:szCs w:val="13"/>
                <w:b w:val="1"/>
                <w:bCs w:val="1"/>
                <w:color w:val="auto"/>
              </w:rPr>
              <w:t>1,394,486</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420" w:type="dxa"/>
            <w:vAlign w:val="bottom"/>
          </w:tcPr>
          <w:p>
            <w:pPr>
              <w:jc w:val="right"/>
              <w:spacing w:after="0"/>
              <w:rPr>
                <w:sz w:val="20"/>
                <w:szCs w:val="20"/>
                <w:color w:val="auto"/>
              </w:rPr>
            </w:pPr>
            <w:r>
              <w:rPr>
                <w:rFonts w:ascii="Arial" w:cs="Arial" w:eastAsia="Arial" w:hAnsi="Arial"/>
                <w:sz w:val="13"/>
                <w:szCs w:val="13"/>
                <w:color w:val="auto"/>
              </w:rPr>
              <w:t>1,551,682</w:t>
            </w:r>
          </w:p>
        </w:tc>
      </w:tr>
      <w:tr>
        <w:trPr>
          <w:trHeight w:val="203"/>
        </w:trPr>
        <w:tc>
          <w:tcPr>
            <w:tcW w:w="7920" w:type="dxa"/>
            <w:vAlign w:val="bottom"/>
          </w:tcPr>
          <w:p>
            <w:pPr>
              <w:ind w:left="440"/>
              <w:spacing w:after="0"/>
              <w:rPr>
                <w:sz w:val="20"/>
                <w:szCs w:val="20"/>
                <w:color w:val="auto"/>
              </w:rPr>
            </w:pPr>
            <w:r>
              <w:rPr>
                <w:rFonts w:ascii="Arial" w:cs="Arial" w:eastAsia="Arial" w:hAnsi="Arial"/>
                <w:sz w:val="13"/>
                <w:szCs w:val="13"/>
                <w:color w:val="auto"/>
              </w:rPr>
              <w:t>Higher education</w:t>
            </w:r>
          </w:p>
        </w:tc>
        <w:tc>
          <w:tcPr>
            <w:tcW w:w="140" w:type="dxa"/>
            <w:vAlign w:val="bottom"/>
          </w:tcPr>
          <w:p>
            <w:pPr>
              <w:spacing w:after="0"/>
              <w:rPr>
                <w:sz w:val="17"/>
                <w:szCs w:val="17"/>
                <w:color w:val="auto"/>
              </w:rPr>
            </w:pPr>
          </w:p>
        </w:tc>
        <w:tc>
          <w:tcPr>
            <w:tcW w:w="1480" w:type="dxa"/>
            <w:vAlign w:val="bottom"/>
          </w:tcPr>
          <w:p>
            <w:pPr>
              <w:jc w:val="right"/>
              <w:ind w:right="37"/>
              <w:spacing w:after="0"/>
              <w:rPr>
                <w:sz w:val="20"/>
                <w:szCs w:val="20"/>
                <w:color w:val="auto"/>
              </w:rPr>
            </w:pPr>
            <w:r>
              <w:rPr>
                <w:rFonts w:ascii="Arial" w:cs="Arial" w:eastAsia="Arial" w:hAnsi="Arial"/>
                <w:sz w:val="13"/>
                <w:szCs w:val="13"/>
                <w:b w:val="1"/>
                <w:bCs w:val="1"/>
                <w:color w:val="auto"/>
              </w:rPr>
              <w:t>127,790</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174,738</w:t>
            </w:r>
          </w:p>
        </w:tc>
      </w:tr>
      <w:tr>
        <w:trPr>
          <w:trHeight w:val="203"/>
        </w:trPr>
        <w:tc>
          <w:tcPr>
            <w:tcW w:w="7920" w:type="dxa"/>
            <w:vAlign w:val="bottom"/>
          </w:tcPr>
          <w:p>
            <w:pPr>
              <w:ind w:left="440"/>
              <w:spacing w:after="0"/>
              <w:rPr>
                <w:sz w:val="20"/>
                <w:szCs w:val="20"/>
                <w:color w:val="auto"/>
              </w:rPr>
            </w:pPr>
            <w:r>
              <w:rPr>
                <w:rFonts w:ascii="Arial" w:cs="Arial" w:eastAsia="Arial" w:hAnsi="Arial"/>
                <w:sz w:val="13"/>
                <w:szCs w:val="13"/>
                <w:color w:val="auto"/>
              </w:rPr>
              <w:t>Supplemental education</w:t>
            </w:r>
          </w:p>
        </w:tc>
        <w:tc>
          <w:tcPr>
            <w:tcW w:w="140" w:type="dxa"/>
            <w:vAlign w:val="bottom"/>
          </w:tcPr>
          <w:p>
            <w:pPr>
              <w:spacing w:after="0"/>
              <w:rPr>
                <w:sz w:val="17"/>
                <w:szCs w:val="17"/>
                <w:color w:val="auto"/>
              </w:rPr>
            </w:pPr>
          </w:p>
        </w:tc>
        <w:tc>
          <w:tcPr>
            <w:tcW w:w="1480" w:type="dxa"/>
            <w:vAlign w:val="bottom"/>
          </w:tcPr>
          <w:p>
            <w:pPr>
              <w:jc w:val="right"/>
              <w:ind w:right="37"/>
              <w:spacing w:after="0"/>
              <w:rPr>
                <w:sz w:val="20"/>
                <w:szCs w:val="20"/>
                <w:color w:val="auto"/>
              </w:rPr>
            </w:pPr>
            <w:r>
              <w:rPr>
                <w:rFonts w:ascii="Arial" w:cs="Arial" w:eastAsia="Arial" w:hAnsi="Arial"/>
                <w:sz w:val="13"/>
                <w:szCs w:val="13"/>
                <w:b w:val="1"/>
                <w:bCs w:val="1"/>
                <w:color w:val="auto"/>
              </w:rPr>
              <w:t>235,040</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247,181</w:t>
            </w:r>
          </w:p>
        </w:tc>
      </w:tr>
      <w:tr>
        <w:trPr>
          <w:trHeight w:val="204"/>
        </w:trPr>
        <w:tc>
          <w:tcPr>
            <w:tcW w:w="7920" w:type="dxa"/>
            <w:vAlign w:val="bottom"/>
          </w:tcPr>
          <w:p>
            <w:pPr>
              <w:ind w:left="440"/>
              <w:spacing w:after="0"/>
              <w:rPr>
                <w:sz w:val="20"/>
                <w:szCs w:val="20"/>
                <w:color w:val="auto"/>
              </w:rPr>
            </w:pPr>
            <w:r>
              <w:rPr>
                <w:rFonts w:ascii="Arial" w:cs="Arial" w:eastAsia="Arial" w:hAnsi="Arial"/>
                <w:sz w:val="13"/>
                <w:szCs w:val="13"/>
                <w:color w:val="auto"/>
              </w:rPr>
              <w:t>Kaplan corporate and other</w:t>
            </w:r>
          </w:p>
        </w:tc>
        <w:tc>
          <w:tcPr>
            <w:tcW w:w="1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27,054</w:t>
            </w: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34,973</w:t>
            </w:r>
          </w:p>
        </w:tc>
      </w:tr>
      <w:tr>
        <w:trPr>
          <w:trHeight w:val="194"/>
        </w:trPr>
        <w:tc>
          <w:tcPr>
            <w:tcW w:w="7920" w:type="dxa"/>
            <w:vAlign w:val="bottom"/>
          </w:tcPr>
          <w:p>
            <w:pPr>
              <w:ind w:left="220"/>
              <w:spacing w:after="0"/>
              <w:rPr>
                <w:sz w:val="20"/>
                <w:szCs w:val="20"/>
                <w:color w:val="auto"/>
              </w:rPr>
            </w:pPr>
            <w:r>
              <w:rPr>
                <w:rFonts w:ascii="Arial" w:cs="Arial" w:eastAsia="Arial" w:hAnsi="Arial"/>
                <w:sz w:val="13"/>
                <w:szCs w:val="13"/>
                <w:color w:val="auto"/>
              </w:rPr>
              <w:t>Education</w:t>
            </w:r>
          </w:p>
        </w:tc>
        <w:tc>
          <w:tcPr>
            <w:tcW w:w="140" w:type="dxa"/>
            <w:vAlign w:val="bottom"/>
          </w:tcPr>
          <w:p>
            <w:pPr>
              <w:spacing w:after="0"/>
              <w:rPr>
                <w:sz w:val="16"/>
                <w:szCs w:val="16"/>
                <w:color w:val="auto"/>
              </w:rPr>
            </w:pPr>
          </w:p>
        </w:tc>
        <w:tc>
          <w:tcPr>
            <w:tcW w:w="1480" w:type="dxa"/>
            <w:vAlign w:val="bottom"/>
          </w:tcPr>
          <w:p>
            <w:pPr>
              <w:jc w:val="right"/>
              <w:ind w:right="37"/>
              <w:spacing w:after="0"/>
              <w:rPr>
                <w:sz w:val="20"/>
                <w:szCs w:val="20"/>
                <w:color w:val="auto"/>
              </w:rPr>
            </w:pPr>
            <w:r>
              <w:rPr>
                <w:rFonts w:ascii="Arial" w:cs="Arial" w:eastAsia="Arial" w:hAnsi="Arial"/>
                <w:sz w:val="13"/>
                <w:szCs w:val="13"/>
                <w:b w:val="1"/>
                <w:bCs w:val="1"/>
                <w:color w:val="auto"/>
              </w:rPr>
              <w:t>1,784,370</w:t>
            </w: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2,008,574</w:t>
            </w:r>
          </w:p>
        </w:tc>
      </w:tr>
      <w:tr>
        <w:trPr>
          <w:trHeight w:val="203"/>
        </w:trPr>
        <w:tc>
          <w:tcPr>
            <w:tcW w:w="7920" w:type="dxa"/>
            <w:vAlign w:val="bottom"/>
          </w:tcPr>
          <w:p>
            <w:pPr>
              <w:ind w:left="220"/>
              <w:spacing w:after="0"/>
              <w:rPr>
                <w:sz w:val="20"/>
                <w:szCs w:val="20"/>
                <w:color w:val="auto"/>
              </w:rPr>
            </w:pPr>
            <w:r>
              <w:rPr>
                <w:rFonts w:ascii="Arial" w:cs="Arial" w:eastAsia="Arial" w:hAnsi="Arial"/>
                <w:sz w:val="13"/>
                <w:szCs w:val="13"/>
                <w:color w:val="auto"/>
              </w:rPr>
              <w:t>Television broadcasting</w:t>
            </w:r>
          </w:p>
        </w:tc>
        <w:tc>
          <w:tcPr>
            <w:tcW w:w="140" w:type="dxa"/>
            <w:vAlign w:val="bottom"/>
          </w:tcPr>
          <w:p>
            <w:pPr>
              <w:spacing w:after="0"/>
              <w:rPr>
                <w:sz w:val="17"/>
                <w:szCs w:val="17"/>
                <w:color w:val="auto"/>
              </w:rPr>
            </w:pPr>
          </w:p>
        </w:tc>
        <w:tc>
          <w:tcPr>
            <w:tcW w:w="1480" w:type="dxa"/>
            <w:vAlign w:val="bottom"/>
          </w:tcPr>
          <w:p>
            <w:pPr>
              <w:jc w:val="right"/>
              <w:ind w:right="37"/>
              <w:spacing w:after="0"/>
              <w:rPr>
                <w:sz w:val="20"/>
                <w:szCs w:val="20"/>
                <w:color w:val="auto"/>
              </w:rPr>
            </w:pPr>
            <w:r>
              <w:rPr>
                <w:rFonts w:ascii="Arial" w:cs="Arial" w:eastAsia="Arial" w:hAnsi="Arial"/>
                <w:sz w:val="13"/>
                <w:szCs w:val="13"/>
                <w:b w:val="1"/>
                <w:bCs w:val="1"/>
                <w:color w:val="auto"/>
              </w:rPr>
              <w:t>371,459</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393,097</w:t>
            </w:r>
          </w:p>
        </w:tc>
      </w:tr>
      <w:tr>
        <w:trPr>
          <w:trHeight w:val="203"/>
        </w:trPr>
        <w:tc>
          <w:tcPr>
            <w:tcW w:w="7920" w:type="dxa"/>
            <w:vAlign w:val="bottom"/>
          </w:tcPr>
          <w:p>
            <w:pPr>
              <w:ind w:left="440"/>
              <w:spacing w:after="0"/>
              <w:rPr>
                <w:sz w:val="20"/>
                <w:szCs w:val="20"/>
                <w:color w:val="auto"/>
              </w:rPr>
            </w:pPr>
            <w:r>
              <w:rPr>
                <w:rFonts w:ascii="Arial" w:cs="Arial" w:eastAsia="Arial" w:hAnsi="Arial"/>
                <w:sz w:val="13"/>
                <w:szCs w:val="13"/>
                <w:color w:val="auto"/>
              </w:rPr>
              <w:t>CSI</w:t>
            </w:r>
          </w:p>
        </w:tc>
        <w:tc>
          <w:tcPr>
            <w:tcW w:w="140" w:type="dxa"/>
            <w:vAlign w:val="bottom"/>
          </w:tcPr>
          <w:p>
            <w:pPr>
              <w:spacing w:after="0"/>
              <w:rPr>
                <w:sz w:val="17"/>
                <w:szCs w:val="17"/>
                <w:color w:val="auto"/>
              </w:rPr>
            </w:pPr>
          </w:p>
        </w:tc>
        <w:tc>
          <w:tcPr>
            <w:tcW w:w="1480" w:type="dxa"/>
            <w:vAlign w:val="bottom"/>
          </w:tcPr>
          <w:p>
            <w:pPr>
              <w:jc w:val="right"/>
              <w:ind w:right="37"/>
              <w:spacing w:after="0"/>
              <w:rPr>
                <w:sz w:val="20"/>
                <w:szCs w:val="20"/>
                <w:color w:val="auto"/>
              </w:rPr>
            </w:pPr>
            <w:r>
              <w:rPr>
                <w:rFonts w:ascii="Arial" w:cs="Arial" w:eastAsia="Arial" w:hAnsi="Arial"/>
                <w:sz w:val="13"/>
                <w:szCs w:val="13"/>
                <w:b w:val="1"/>
                <w:bCs w:val="1"/>
                <w:color w:val="auto"/>
              </w:rPr>
              <w:t>224,674</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128,170</w:t>
            </w:r>
          </w:p>
        </w:tc>
      </w:tr>
      <w:tr>
        <w:trPr>
          <w:trHeight w:val="204"/>
        </w:trPr>
        <w:tc>
          <w:tcPr>
            <w:tcW w:w="7920" w:type="dxa"/>
            <w:vAlign w:val="bottom"/>
          </w:tcPr>
          <w:p>
            <w:pPr>
              <w:ind w:left="440"/>
              <w:spacing w:after="0"/>
              <w:rPr>
                <w:sz w:val="20"/>
                <w:szCs w:val="20"/>
                <w:color w:val="auto"/>
              </w:rPr>
            </w:pPr>
            <w:r>
              <w:rPr>
                <w:rFonts w:ascii="Arial" w:cs="Arial" w:eastAsia="Arial" w:hAnsi="Arial"/>
                <w:sz w:val="13"/>
                <w:szCs w:val="13"/>
                <w:color w:val="auto"/>
              </w:rPr>
              <w:t>Other healthcare</w:t>
            </w:r>
          </w:p>
        </w:tc>
        <w:tc>
          <w:tcPr>
            <w:tcW w:w="1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202,855</w:t>
            </w: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227,457</w:t>
            </w:r>
          </w:p>
        </w:tc>
      </w:tr>
      <w:tr>
        <w:trPr>
          <w:trHeight w:val="194"/>
        </w:trPr>
        <w:tc>
          <w:tcPr>
            <w:tcW w:w="7920" w:type="dxa"/>
            <w:vAlign w:val="bottom"/>
          </w:tcPr>
          <w:p>
            <w:pPr>
              <w:ind w:left="220"/>
              <w:spacing w:after="0"/>
              <w:rPr>
                <w:sz w:val="20"/>
                <w:szCs w:val="20"/>
                <w:color w:val="auto"/>
              </w:rPr>
            </w:pPr>
            <w:r>
              <w:rPr>
                <w:rFonts w:ascii="Arial" w:cs="Arial" w:eastAsia="Arial" w:hAnsi="Arial"/>
                <w:sz w:val="13"/>
                <w:szCs w:val="13"/>
                <w:color w:val="auto"/>
              </w:rPr>
              <w:t>Healthcare</w:t>
            </w:r>
          </w:p>
        </w:tc>
        <w:tc>
          <w:tcPr>
            <w:tcW w:w="140" w:type="dxa"/>
            <w:vAlign w:val="bottom"/>
          </w:tcPr>
          <w:p>
            <w:pPr>
              <w:spacing w:after="0"/>
              <w:rPr>
                <w:sz w:val="16"/>
                <w:szCs w:val="16"/>
                <w:color w:val="auto"/>
              </w:rPr>
            </w:pPr>
          </w:p>
        </w:tc>
        <w:tc>
          <w:tcPr>
            <w:tcW w:w="1480" w:type="dxa"/>
            <w:vAlign w:val="bottom"/>
          </w:tcPr>
          <w:p>
            <w:pPr>
              <w:jc w:val="right"/>
              <w:ind w:right="37"/>
              <w:spacing w:after="0"/>
              <w:rPr>
                <w:sz w:val="20"/>
                <w:szCs w:val="20"/>
                <w:color w:val="auto"/>
              </w:rPr>
            </w:pPr>
            <w:r>
              <w:rPr>
                <w:rFonts w:ascii="Arial" w:cs="Arial" w:eastAsia="Arial" w:hAnsi="Arial"/>
                <w:sz w:val="13"/>
                <w:szCs w:val="13"/>
                <w:b w:val="1"/>
                <w:bCs w:val="1"/>
                <w:color w:val="auto"/>
              </w:rPr>
              <w:t>427,529</w:t>
            </w: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355,627</w:t>
            </w:r>
          </w:p>
        </w:tc>
      </w:tr>
      <w:tr>
        <w:trPr>
          <w:trHeight w:val="203"/>
        </w:trPr>
        <w:tc>
          <w:tcPr>
            <w:tcW w:w="7920" w:type="dxa"/>
            <w:vAlign w:val="bottom"/>
          </w:tcPr>
          <w:p>
            <w:pPr>
              <w:ind w:left="220"/>
              <w:spacing w:after="0"/>
              <w:rPr>
                <w:sz w:val="20"/>
                <w:szCs w:val="20"/>
                <w:color w:val="auto"/>
              </w:rPr>
            </w:pPr>
            <w:r>
              <w:rPr>
                <w:rFonts w:ascii="Arial" w:cs="Arial" w:eastAsia="Arial" w:hAnsi="Arial"/>
                <w:sz w:val="13"/>
                <w:szCs w:val="13"/>
                <w:color w:val="auto"/>
              </w:rPr>
              <w:t>Manufacturing</w:t>
            </w:r>
          </w:p>
        </w:tc>
        <w:tc>
          <w:tcPr>
            <w:tcW w:w="140" w:type="dxa"/>
            <w:vAlign w:val="bottom"/>
          </w:tcPr>
          <w:p>
            <w:pPr>
              <w:spacing w:after="0"/>
              <w:rPr>
                <w:sz w:val="17"/>
                <w:szCs w:val="17"/>
                <w:color w:val="auto"/>
              </w:rPr>
            </w:pPr>
          </w:p>
        </w:tc>
        <w:tc>
          <w:tcPr>
            <w:tcW w:w="1480" w:type="dxa"/>
            <w:vAlign w:val="bottom"/>
          </w:tcPr>
          <w:p>
            <w:pPr>
              <w:jc w:val="right"/>
              <w:ind w:right="37"/>
              <w:spacing w:after="0"/>
              <w:rPr>
                <w:sz w:val="20"/>
                <w:szCs w:val="20"/>
                <w:color w:val="auto"/>
              </w:rPr>
            </w:pPr>
            <w:r>
              <w:rPr>
                <w:rFonts w:ascii="Arial" w:cs="Arial" w:eastAsia="Arial" w:hAnsi="Arial"/>
                <w:sz w:val="13"/>
                <w:szCs w:val="13"/>
                <w:b w:val="1"/>
                <w:bCs w:val="1"/>
                <w:color w:val="auto"/>
              </w:rPr>
              <w:t>563,192</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535,006</w:t>
            </w:r>
          </w:p>
        </w:tc>
      </w:tr>
      <w:tr>
        <w:trPr>
          <w:trHeight w:val="204"/>
        </w:trPr>
        <w:tc>
          <w:tcPr>
            <w:tcW w:w="7920" w:type="dxa"/>
            <w:vAlign w:val="bottom"/>
          </w:tcPr>
          <w:p>
            <w:pPr>
              <w:ind w:left="220"/>
              <w:spacing w:after="0"/>
              <w:rPr>
                <w:sz w:val="20"/>
                <w:szCs w:val="20"/>
                <w:color w:val="auto"/>
              </w:rPr>
            </w:pPr>
            <w:r>
              <w:rPr>
                <w:rFonts w:ascii="Arial" w:cs="Arial" w:eastAsia="Arial" w:hAnsi="Arial"/>
                <w:sz w:val="13"/>
                <w:szCs w:val="13"/>
                <w:color w:val="auto"/>
              </w:rPr>
              <w:t>Automotive</w:t>
            </w:r>
          </w:p>
        </w:tc>
        <w:tc>
          <w:tcPr>
            <w:tcW w:w="1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600,900</w:t>
            </w: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582,715</w:t>
            </w:r>
          </w:p>
        </w:tc>
      </w:tr>
      <w:tr>
        <w:trPr>
          <w:trHeight w:val="194"/>
        </w:trPr>
        <w:tc>
          <w:tcPr>
            <w:tcW w:w="7920" w:type="dxa"/>
            <w:vAlign w:val="bottom"/>
          </w:tcPr>
          <w:p>
            <w:pPr>
              <w:ind w:left="20"/>
              <w:spacing w:after="0"/>
              <w:rPr>
                <w:sz w:val="20"/>
                <w:szCs w:val="20"/>
                <w:color w:val="auto"/>
              </w:rPr>
            </w:pPr>
            <w:r>
              <w:rPr>
                <w:rFonts w:ascii="Arial" w:cs="Arial" w:eastAsia="Arial" w:hAnsi="Arial"/>
                <w:sz w:val="13"/>
                <w:szCs w:val="13"/>
                <w:b w:val="1"/>
                <w:bCs w:val="1"/>
                <w:color w:val="auto"/>
              </w:rPr>
              <w:t>Total Segments</w:t>
            </w:r>
          </w:p>
        </w:tc>
        <w:tc>
          <w:tcPr>
            <w:tcW w:w="140" w:type="dxa"/>
            <w:vAlign w:val="bottom"/>
          </w:tcPr>
          <w:p>
            <w:pPr>
              <w:spacing w:after="0"/>
              <w:rPr>
                <w:sz w:val="16"/>
                <w:szCs w:val="16"/>
                <w:color w:val="auto"/>
              </w:rPr>
            </w:pPr>
          </w:p>
        </w:tc>
        <w:tc>
          <w:tcPr>
            <w:tcW w:w="1480" w:type="dxa"/>
            <w:vAlign w:val="bottom"/>
          </w:tcPr>
          <w:p>
            <w:pPr>
              <w:jc w:val="right"/>
              <w:ind w:right="37"/>
              <w:spacing w:after="0"/>
              <w:rPr>
                <w:sz w:val="20"/>
                <w:szCs w:val="20"/>
                <w:color w:val="auto"/>
              </w:rPr>
            </w:pPr>
            <w:r>
              <w:rPr>
                <w:rFonts w:ascii="Arial" w:cs="Arial" w:eastAsia="Arial" w:hAnsi="Arial"/>
                <w:sz w:val="13"/>
                <w:szCs w:val="13"/>
                <w:b w:val="1"/>
                <w:bCs w:val="1"/>
                <w:color w:val="auto"/>
              </w:rPr>
              <w:t>3,747,450</w:t>
            </w: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3,875,019</w:t>
            </w:r>
          </w:p>
        </w:tc>
      </w:tr>
      <w:tr>
        <w:trPr>
          <w:trHeight w:val="203"/>
        </w:trPr>
        <w:tc>
          <w:tcPr>
            <w:tcW w:w="7920" w:type="dxa"/>
            <w:vAlign w:val="bottom"/>
          </w:tcPr>
          <w:p>
            <w:pPr>
              <w:ind w:left="20"/>
              <w:spacing w:after="0"/>
              <w:rPr>
                <w:sz w:val="20"/>
                <w:szCs w:val="20"/>
                <w:color w:val="auto"/>
              </w:rPr>
            </w:pPr>
            <w:r>
              <w:rPr>
                <w:rFonts w:ascii="Arial" w:cs="Arial" w:eastAsia="Arial" w:hAnsi="Arial"/>
                <w:sz w:val="13"/>
                <w:szCs w:val="13"/>
                <w:b w:val="1"/>
                <w:bCs w:val="1"/>
                <w:color w:val="auto"/>
              </w:rPr>
              <w:t>Other businesses</w:t>
            </w:r>
          </w:p>
        </w:tc>
        <w:tc>
          <w:tcPr>
            <w:tcW w:w="140" w:type="dxa"/>
            <w:vAlign w:val="bottom"/>
          </w:tcPr>
          <w:p>
            <w:pPr>
              <w:spacing w:after="0"/>
              <w:rPr>
                <w:sz w:val="17"/>
                <w:szCs w:val="17"/>
                <w:color w:val="auto"/>
              </w:rPr>
            </w:pPr>
          </w:p>
        </w:tc>
        <w:tc>
          <w:tcPr>
            <w:tcW w:w="1480" w:type="dxa"/>
            <w:vAlign w:val="bottom"/>
          </w:tcPr>
          <w:p>
            <w:pPr>
              <w:jc w:val="right"/>
              <w:ind w:right="37"/>
              <w:spacing w:after="0"/>
              <w:rPr>
                <w:sz w:val="20"/>
                <w:szCs w:val="20"/>
                <w:color w:val="auto"/>
              </w:rPr>
            </w:pPr>
            <w:r>
              <w:rPr>
                <w:rFonts w:ascii="Arial" w:cs="Arial" w:eastAsia="Arial" w:hAnsi="Arial"/>
                <w:sz w:val="13"/>
                <w:szCs w:val="13"/>
                <w:b w:val="1"/>
                <w:bCs w:val="1"/>
                <w:color w:val="auto"/>
              </w:rPr>
              <w:t>376,604</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357,408</w:t>
            </w:r>
          </w:p>
        </w:tc>
      </w:tr>
      <w:tr>
        <w:trPr>
          <w:trHeight w:val="203"/>
        </w:trPr>
        <w:tc>
          <w:tcPr>
            <w:tcW w:w="7920" w:type="dxa"/>
            <w:vAlign w:val="bottom"/>
          </w:tcPr>
          <w:p>
            <w:pPr>
              <w:ind w:left="20"/>
              <w:spacing w:after="0"/>
              <w:rPr>
                <w:sz w:val="20"/>
                <w:szCs w:val="20"/>
                <w:color w:val="auto"/>
              </w:rPr>
            </w:pPr>
            <w:r>
              <w:rPr>
                <w:rFonts w:ascii="Arial" w:cs="Arial" w:eastAsia="Arial" w:hAnsi="Arial"/>
                <w:sz w:val="13"/>
                <w:szCs w:val="13"/>
                <w:b w:val="1"/>
                <w:bCs w:val="1"/>
                <w:color w:val="auto"/>
              </w:rPr>
              <w:t>Corporate office</w:t>
            </w:r>
          </w:p>
        </w:tc>
        <w:tc>
          <w:tcPr>
            <w:tcW w:w="140" w:type="dxa"/>
            <w:vAlign w:val="bottom"/>
          </w:tcPr>
          <w:p>
            <w:pPr>
              <w:spacing w:after="0"/>
              <w:rPr>
                <w:sz w:val="17"/>
                <w:szCs w:val="17"/>
                <w:color w:val="auto"/>
              </w:rPr>
            </w:pPr>
          </w:p>
        </w:tc>
        <w:tc>
          <w:tcPr>
            <w:tcW w:w="1480" w:type="dxa"/>
            <w:vAlign w:val="bottom"/>
          </w:tcPr>
          <w:p>
            <w:pPr>
              <w:jc w:val="right"/>
              <w:ind w:right="37"/>
              <w:spacing w:after="0"/>
              <w:rPr>
                <w:sz w:val="20"/>
                <w:szCs w:val="20"/>
                <w:color w:val="auto"/>
              </w:rPr>
            </w:pPr>
            <w:r>
              <w:rPr>
                <w:rFonts w:ascii="Arial" w:cs="Arial" w:eastAsia="Arial" w:hAnsi="Arial"/>
                <w:sz w:val="13"/>
                <w:szCs w:val="13"/>
                <w:b w:val="1"/>
                <w:bCs w:val="1"/>
                <w:color w:val="auto"/>
              </w:rPr>
              <w:t>104,513</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79,389</w:t>
            </w:r>
          </w:p>
        </w:tc>
      </w:tr>
      <w:tr>
        <w:trPr>
          <w:trHeight w:val="203"/>
        </w:trPr>
        <w:tc>
          <w:tcPr>
            <w:tcW w:w="7920" w:type="dxa"/>
            <w:vAlign w:val="bottom"/>
          </w:tcPr>
          <w:p>
            <w:pPr>
              <w:ind w:left="20"/>
              <w:spacing w:after="0"/>
              <w:rPr>
                <w:sz w:val="20"/>
                <w:szCs w:val="20"/>
                <w:color w:val="auto"/>
              </w:rPr>
            </w:pPr>
            <w:r>
              <w:rPr>
                <w:rFonts w:ascii="Arial" w:cs="Arial" w:eastAsia="Arial" w:hAnsi="Arial"/>
                <w:sz w:val="13"/>
                <w:szCs w:val="13"/>
                <w:b w:val="1"/>
                <w:bCs w:val="1"/>
                <w:color w:val="auto"/>
              </w:rPr>
              <w:t>Investments in Marketable Equity Securities</w:t>
            </w:r>
          </w:p>
        </w:tc>
        <w:tc>
          <w:tcPr>
            <w:tcW w:w="140" w:type="dxa"/>
            <w:vAlign w:val="bottom"/>
          </w:tcPr>
          <w:p>
            <w:pPr>
              <w:spacing w:after="0"/>
              <w:rPr>
                <w:sz w:val="17"/>
                <w:szCs w:val="17"/>
                <w:color w:val="auto"/>
              </w:rPr>
            </w:pPr>
          </w:p>
        </w:tc>
        <w:tc>
          <w:tcPr>
            <w:tcW w:w="1480" w:type="dxa"/>
            <w:vAlign w:val="bottom"/>
          </w:tcPr>
          <w:p>
            <w:pPr>
              <w:jc w:val="right"/>
              <w:ind w:right="37"/>
              <w:spacing w:after="0"/>
              <w:rPr>
                <w:sz w:val="20"/>
                <w:szCs w:val="20"/>
                <w:color w:val="auto"/>
              </w:rPr>
            </w:pPr>
            <w:r>
              <w:rPr>
                <w:rFonts w:ascii="Arial" w:cs="Arial" w:eastAsia="Arial" w:hAnsi="Arial"/>
                <w:sz w:val="13"/>
                <w:szCs w:val="13"/>
                <w:b w:val="1"/>
                <w:bCs w:val="1"/>
                <w:color w:val="auto"/>
              </w:rPr>
              <w:t>1,069,741</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1,081,938</w:t>
            </w:r>
          </w:p>
        </w:tc>
      </w:tr>
      <w:tr>
        <w:trPr>
          <w:trHeight w:val="203"/>
        </w:trPr>
        <w:tc>
          <w:tcPr>
            <w:tcW w:w="7920" w:type="dxa"/>
            <w:vAlign w:val="bottom"/>
          </w:tcPr>
          <w:p>
            <w:pPr>
              <w:ind w:left="20"/>
              <w:spacing w:after="0"/>
              <w:rPr>
                <w:sz w:val="20"/>
                <w:szCs w:val="20"/>
                <w:color w:val="auto"/>
              </w:rPr>
            </w:pPr>
            <w:r>
              <w:rPr>
                <w:rFonts w:ascii="Arial" w:cs="Arial" w:eastAsia="Arial" w:hAnsi="Arial"/>
                <w:sz w:val="13"/>
                <w:szCs w:val="13"/>
                <w:b w:val="1"/>
                <w:bCs w:val="1"/>
                <w:color w:val="auto"/>
              </w:rPr>
              <w:t>Investments in Affiliates</w:t>
            </w:r>
          </w:p>
        </w:tc>
        <w:tc>
          <w:tcPr>
            <w:tcW w:w="140" w:type="dxa"/>
            <w:vAlign w:val="bottom"/>
          </w:tcPr>
          <w:p>
            <w:pPr>
              <w:spacing w:after="0"/>
              <w:rPr>
                <w:sz w:val="17"/>
                <w:szCs w:val="17"/>
                <w:color w:val="auto"/>
              </w:rPr>
            </w:pPr>
          </w:p>
        </w:tc>
        <w:tc>
          <w:tcPr>
            <w:tcW w:w="1480" w:type="dxa"/>
            <w:vAlign w:val="bottom"/>
          </w:tcPr>
          <w:p>
            <w:pPr>
              <w:jc w:val="right"/>
              <w:ind w:right="37"/>
              <w:spacing w:after="0"/>
              <w:rPr>
                <w:sz w:val="20"/>
                <w:szCs w:val="20"/>
                <w:color w:val="auto"/>
              </w:rPr>
            </w:pPr>
            <w:r>
              <w:rPr>
                <w:rFonts w:ascii="Arial" w:cs="Arial" w:eastAsia="Arial" w:hAnsi="Arial"/>
                <w:sz w:val="13"/>
                <w:szCs w:val="13"/>
                <w:b w:val="1"/>
                <w:bCs w:val="1"/>
                <w:color w:val="auto"/>
              </w:rPr>
              <w:t>202,339</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229,565</w:t>
            </w:r>
          </w:p>
        </w:tc>
      </w:tr>
      <w:tr>
        <w:trPr>
          <w:trHeight w:val="207"/>
        </w:trPr>
        <w:tc>
          <w:tcPr>
            <w:tcW w:w="7920" w:type="dxa"/>
            <w:vAlign w:val="bottom"/>
          </w:tcPr>
          <w:p>
            <w:pPr>
              <w:ind w:left="20"/>
              <w:spacing w:after="0"/>
              <w:rPr>
                <w:sz w:val="20"/>
                <w:szCs w:val="20"/>
                <w:color w:val="auto"/>
              </w:rPr>
            </w:pPr>
            <w:r>
              <w:rPr>
                <w:rFonts w:ascii="Arial" w:cs="Arial" w:eastAsia="Arial" w:hAnsi="Arial"/>
                <w:sz w:val="13"/>
                <w:szCs w:val="13"/>
                <w:b w:val="1"/>
                <w:bCs w:val="1"/>
                <w:color w:val="auto"/>
              </w:rPr>
              <w:t>Prepaid Pension Cost</w:t>
            </w:r>
          </w:p>
        </w:tc>
        <w:tc>
          <w:tcPr>
            <w:tcW w:w="1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2,789,352</w:t>
            </w: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2,772,394</w:t>
            </w:r>
          </w:p>
        </w:tc>
      </w:tr>
      <w:tr>
        <w:trPr>
          <w:trHeight w:val="196"/>
        </w:trPr>
        <w:tc>
          <w:tcPr>
            <w:tcW w:w="7920" w:type="dxa"/>
            <w:vAlign w:val="bottom"/>
          </w:tcPr>
          <w:p>
            <w:pPr>
              <w:ind w:left="20"/>
              <w:spacing w:after="0"/>
              <w:rPr>
                <w:sz w:val="20"/>
                <w:szCs w:val="20"/>
                <w:color w:val="auto"/>
              </w:rPr>
            </w:pPr>
            <w:r>
              <w:rPr>
                <w:rFonts w:ascii="Arial" w:cs="Arial" w:eastAsia="Arial" w:hAnsi="Arial"/>
                <w:sz w:val="13"/>
                <w:szCs w:val="13"/>
                <w:b w:val="1"/>
                <w:bCs w:val="1"/>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14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8,289,999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8,395,713</w:t>
            </w:r>
          </w:p>
        </w:tc>
      </w:tr>
      <w:tr>
        <w:trPr>
          <w:trHeight w:val="25"/>
        </w:trPr>
        <w:tc>
          <w:tcPr>
            <w:tcW w:w="79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31" w:right="39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Item 2. Management’s Discussion and Analysis of Results of Operations and Financial Condition.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This analysis should be read in conjunction with the condensed consolidated financial statements and the notes thereto.</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56"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The Company reported net income attributable to common shares of $75.1 million ($17.60 per share) for the third quarter of 2026, compared to $122.9 million ($27.91 per share) for the third quarter of 2025.</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net income for the third quarter of 2026:</w:t>
      </w:r>
    </w:p>
    <w:p>
      <w:pPr>
        <w:spacing w:after="0" w:line="158" w:lineRule="exact"/>
        <w:rPr>
          <w:sz w:val="20"/>
          <w:szCs w:val="20"/>
          <w:color w:val="auto"/>
        </w:rPr>
      </w:pPr>
    </w:p>
    <w:p>
      <w:pPr>
        <w:ind w:left="160" w:hanging="152"/>
        <w:spacing w:after="0"/>
        <w:tabs>
          <w:tab w:leader="none" w:pos="160" w:val="left"/>
        </w:tabs>
        <w:numPr>
          <w:ilvl w:val="0"/>
          <w:numId w:val="20"/>
        </w:numPr>
        <w:rPr>
          <w:rFonts w:ascii="Arial" w:cs="Arial" w:eastAsia="Arial" w:hAnsi="Arial"/>
          <w:sz w:val="18"/>
          <w:szCs w:val="18"/>
          <w:color w:val="auto"/>
          <w:strike w:val="1"/>
        </w:rPr>
      </w:pPr>
      <w:r>
        <w:rPr>
          <w:rFonts w:ascii="Arial" w:cs="Arial" w:eastAsia="Arial" w:hAnsi="Arial"/>
          <w:sz w:val="18"/>
          <w:szCs w:val="18"/>
          <w:color w:val="auto"/>
        </w:rPr>
        <w:t>a $15.0 million settlement gain related to a retiree annuity pension purchase (after-tax impact of $11.1 million, or $2.59 per share);</w:t>
      </w:r>
    </w:p>
    <w:p>
      <w:pPr>
        <w:spacing w:after="0" w:line="157" w:lineRule="exact"/>
        <w:rPr>
          <w:rFonts w:ascii="Arial" w:cs="Arial" w:eastAsia="Arial" w:hAnsi="Arial"/>
          <w:sz w:val="18"/>
          <w:szCs w:val="18"/>
          <w:color w:val="auto"/>
          <w:strike w:val="1"/>
        </w:rPr>
      </w:pPr>
    </w:p>
    <w:p>
      <w:pPr>
        <w:ind w:left="180" w:right="340" w:hanging="172"/>
        <w:spacing w:after="0" w:line="256" w:lineRule="auto"/>
        <w:tabs>
          <w:tab w:leader="none" w:pos="1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$3.2 million in non-operating expenses related to Separation Incentive Programs (SIPs) and a Voluntary Retirement Incentive Program (VRIP) (after-tax impact of $2.4 million, or $0.55 per share);</w:t>
      </w:r>
    </w:p>
    <w:p>
      <w:pPr>
        <w:spacing w:after="0" w:line="111" w:lineRule="exact"/>
        <w:rPr>
          <w:rFonts w:ascii="Arial" w:cs="Arial" w:eastAsia="Arial" w:hAnsi="Arial"/>
          <w:sz w:val="18"/>
          <w:szCs w:val="18"/>
          <w:color w:val="auto"/>
        </w:rPr>
      </w:pPr>
    </w:p>
    <w:p>
      <w:pPr>
        <w:ind w:left="180" w:right="160" w:hanging="172"/>
        <w:spacing w:after="0" w:line="271" w:lineRule="auto"/>
        <w:tabs>
          <w:tab w:leader="none" w:pos="1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$0.1 million reduction to interest expense to adjust the fair value of the mandatorily redeemable noncontrolling interest (after-tax impact of $0.1 million, or $0.03 per share);</w:t>
      </w:r>
    </w:p>
    <w:p>
      <w:pPr>
        <w:spacing w:after="0" w:line="86" w:lineRule="exact"/>
        <w:rPr>
          <w:rFonts w:ascii="Arial" w:cs="Arial" w:eastAsia="Arial" w:hAnsi="Arial"/>
          <w:sz w:val="18"/>
          <w:szCs w:val="18"/>
          <w:color w:val="auto"/>
        </w:rPr>
      </w:pPr>
    </w:p>
    <w:p>
      <w:pPr>
        <w:ind w:left="160" w:hanging="152"/>
        <w:spacing w:after="0"/>
        <w:tabs>
          <w:tab w:leader="none" w:pos="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$15.0 million in net losses on marketable equity securities (after-tax impact of $11.2 million, or $2.62 per share);</w:t>
      </w:r>
    </w:p>
    <w:p>
      <w:pPr>
        <w:spacing w:after="0" w:line="157" w:lineRule="exact"/>
        <w:rPr>
          <w:rFonts w:ascii="Arial" w:cs="Arial" w:eastAsia="Arial" w:hAnsi="Arial"/>
          <w:sz w:val="18"/>
          <w:szCs w:val="18"/>
          <w:color w:val="auto"/>
        </w:rPr>
      </w:pPr>
    </w:p>
    <w:p>
      <w:pPr>
        <w:ind w:left="180" w:right="360" w:hanging="172"/>
        <w:spacing w:after="0" w:line="271" w:lineRule="auto"/>
        <w:tabs>
          <w:tab w:leader="none" w:pos="1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$6.3 million in net losses of affiliates whose operations are not managed by the Company (after-tax impact of $4.7 million, or $1.10 per share);</w:t>
      </w:r>
    </w:p>
    <w:p>
      <w:pPr>
        <w:spacing w:after="0" w:line="86" w:lineRule="exact"/>
        <w:rPr>
          <w:rFonts w:ascii="Arial" w:cs="Arial" w:eastAsia="Arial" w:hAnsi="Arial"/>
          <w:sz w:val="18"/>
          <w:szCs w:val="18"/>
          <w:color w:val="auto"/>
        </w:rPr>
      </w:pPr>
    </w:p>
    <w:p>
      <w:pPr>
        <w:ind w:left="180" w:right="200" w:hanging="172"/>
        <w:spacing w:after="0" w:line="271" w:lineRule="auto"/>
        <w:tabs>
          <w:tab w:leader="none" w:pos="1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non-operating loss of $0.6 million from the impairment of equity and cost method investments (after-tax impact of $0.4 million, or $0.10 per share);</w:t>
      </w:r>
    </w:p>
    <w:p>
      <w:pPr>
        <w:spacing w:after="0" w:line="99" w:lineRule="exact"/>
        <w:rPr>
          <w:rFonts w:ascii="Arial" w:cs="Arial" w:eastAsia="Arial" w:hAnsi="Arial"/>
          <w:sz w:val="18"/>
          <w:szCs w:val="18"/>
          <w:color w:val="auto"/>
        </w:rPr>
      </w:pPr>
    </w:p>
    <w:p>
      <w:pPr>
        <w:ind w:left="160" w:hanging="152"/>
        <w:spacing w:after="0"/>
        <w:tabs>
          <w:tab w:leader="none" w:pos="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$1.5 million in income tax expense related to the KLG business ($0.34 per share); and</w:t>
      </w:r>
    </w:p>
    <w:p>
      <w:pPr>
        <w:spacing w:after="0" w:line="144" w:lineRule="exact"/>
        <w:rPr>
          <w:rFonts w:ascii="Arial" w:cs="Arial" w:eastAsia="Arial" w:hAnsi="Arial"/>
          <w:sz w:val="18"/>
          <w:szCs w:val="18"/>
          <w:color w:val="auto"/>
        </w:rPr>
      </w:pPr>
    </w:p>
    <w:p>
      <w:pPr>
        <w:ind w:left="180" w:right="280" w:hanging="172"/>
        <w:spacing w:after="0" w:line="271" w:lineRule="auto"/>
        <w:tabs>
          <w:tab w:leader="none" w:pos="1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$3.9 million income tax benefit recorded in connection with global minimum income tax obligations in non-U.S. jurisdictions ($0.92 per share).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net income for the third quarter of 2025:</w:t>
      </w:r>
    </w:p>
    <w:p>
      <w:pPr>
        <w:spacing w:after="0" w:line="158" w:lineRule="exact"/>
        <w:rPr>
          <w:sz w:val="20"/>
          <w:szCs w:val="20"/>
          <w:color w:val="auto"/>
        </w:rPr>
      </w:pPr>
    </w:p>
    <w:p>
      <w:pPr>
        <w:ind w:left="180" w:hanging="172"/>
        <w:spacing w:after="0" w:line="271" w:lineRule="auto"/>
        <w:tabs>
          <w:tab w:leader="none" w:pos="1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$2.2 million in intangible and other long-lived asset impairment charges at healthcare, automotive and other businesses (after-tax impact of $1.7 million, or $0.39 per share);</w:t>
      </w:r>
    </w:p>
    <w:p>
      <w:pPr>
        <w:spacing w:after="0" w:line="86" w:lineRule="exact"/>
        <w:rPr>
          <w:rFonts w:ascii="Arial" w:cs="Arial" w:eastAsia="Arial" w:hAnsi="Arial"/>
          <w:sz w:val="18"/>
          <w:szCs w:val="18"/>
          <w:color w:val="auto"/>
        </w:rPr>
      </w:pPr>
    </w:p>
    <w:p>
      <w:pPr>
        <w:ind w:left="160" w:hanging="152"/>
        <w:spacing w:after="0"/>
        <w:tabs>
          <w:tab w:leader="none" w:pos="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$2.5 million in non-operating expenses related to SIPs (after-tax impact of $1.9 million, or $0.43 per share);</w:t>
      </w:r>
    </w:p>
    <w:p>
      <w:pPr>
        <w:spacing w:after="0" w:line="157" w:lineRule="exact"/>
        <w:rPr>
          <w:rFonts w:ascii="Arial" w:cs="Arial" w:eastAsia="Arial" w:hAnsi="Arial"/>
          <w:sz w:val="18"/>
          <w:szCs w:val="18"/>
          <w:color w:val="auto"/>
        </w:rPr>
      </w:pPr>
    </w:p>
    <w:p>
      <w:pPr>
        <w:ind w:left="180" w:right="520" w:hanging="172"/>
        <w:spacing w:after="0" w:line="271" w:lineRule="auto"/>
        <w:tabs>
          <w:tab w:leader="none" w:pos="1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$0.7 million in interest expense to adjust the fair value of the mandatorily redeemable noncontrolling interest (after-tax impact of $6.9 million, or $1.57 per share);</w:t>
      </w:r>
    </w:p>
    <w:p>
      <w:pPr>
        <w:spacing w:after="0" w:line="86" w:lineRule="exact"/>
        <w:rPr>
          <w:rFonts w:ascii="Arial" w:cs="Arial" w:eastAsia="Arial" w:hAnsi="Arial"/>
          <w:sz w:val="18"/>
          <w:szCs w:val="18"/>
          <w:color w:val="auto"/>
        </w:rPr>
      </w:pPr>
    </w:p>
    <w:p>
      <w:pPr>
        <w:ind w:left="160" w:hanging="152"/>
        <w:spacing w:after="0"/>
        <w:tabs>
          <w:tab w:leader="none" w:pos="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$84.8 million in net gains on marketable equity securities (after-tax impact of $63.0 million, or $14.31 per share);</w:t>
      </w:r>
    </w:p>
    <w:p>
      <w:pPr>
        <w:spacing w:after="0" w:line="157" w:lineRule="exact"/>
        <w:rPr>
          <w:rFonts w:ascii="Arial" w:cs="Arial" w:eastAsia="Arial" w:hAnsi="Arial"/>
          <w:sz w:val="18"/>
          <w:szCs w:val="18"/>
          <w:color w:val="auto"/>
        </w:rPr>
      </w:pPr>
    </w:p>
    <w:p>
      <w:pPr>
        <w:ind w:left="180" w:right="360" w:hanging="172"/>
        <w:spacing w:after="0" w:line="271" w:lineRule="auto"/>
        <w:tabs>
          <w:tab w:leader="none" w:pos="1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$5.8 million in net losses of affiliates whose operations are not managed by the Company (after-tax impact of $4.3 million, or $0.98 per share); and</w:t>
      </w:r>
    </w:p>
    <w:p>
      <w:pPr>
        <w:spacing w:after="0" w:line="86" w:lineRule="exact"/>
        <w:rPr>
          <w:rFonts w:ascii="Arial" w:cs="Arial" w:eastAsia="Arial" w:hAnsi="Arial"/>
          <w:sz w:val="18"/>
          <w:szCs w:val="18"/>
          <w:color w:val="auto"/>
        </w:rPr>
      </w:pPr>
    </w:p>
    <w:p>
      <w:pPr>
        <w:ind w:left="180" w:right="220" w:hanging="172"/>
        <w:spacing w:after="0" w:line="271" w:lineRule="auto"/>
        <w:tabs>
          <w:tab w:leader="none" w:pos="1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net non-operating gain of $17.1 million from earnings and impairment of equity and cost method investments (after-tax impact of $12.7 million, or $2.89 per share).</w:t>
      </w:r>
    </w:p>
    <w:p>
      <w:pPr>
        <w:spacing w:after="0" w:line="100" w:lineRule="exact"/>
        <w:rPr>
          <w:sz w:val="20"/>
          <w:szCs w:val="20"/>
          <w:color w:val="auto"/>
        </w:rPr>
      </w:pPr>
    </w:p>
    <w:p>
      <w:pPr>
        <w:ind w:right="120"/>
        <w:spacing w:after="0" w:line="251" w:lineRule="auto"/>
        <w:rPr>
          <w:sz w:val="20"/>
          <w:szCs w:val="20"/>
          <w:color w:val="auto"/>
        </w:rPr>
      </w:pPr>
      <w:r>
        <w:rPr>
          <w:rFonts w:ascii="Arial" w:cs="Arial" w:eastAsia="Arial" w:hAnsi="Arial"/>
          <w:sz w:val="17"/>
          <w:szCs w:val="17"/>
          <w:color w:val="auto"/>
        </w:rPr>
        <w:t>Revenue for the third quarter of 2026 was $1,326.0 million, up 4% from $ 1,278.9 million in the third quarter of 2025. The Company reported operating income of $85.5 million for the third quarter of 2026, compared to $67.1 million for the third quarter of 2025. Revenues and</w:t>
      </w:r>
    </w:p>
    <w:p>
      <w:pPr>
        <w:spacing w:after="0" w:line="1" w:lineRule="exact"/>
        <w:rPr>
          <w:sz w:val="20"/>
          <w:szCs w:val="20"/>
          <w:color w:val="auto"/>
        </w:rPr>
      </w:pPr>
    </w:p>
    <w:p>
      <w:pPr>
        <w:ind w:right="440"/>
        <w:spacing w:after="0" w:line="250" w:lineRule="auto"/>
        <w:rPr>
          <w:sz w:val="20"/>
          <w:szCs w:val="20"/>
          <w:color w:val="auto"/>
        </w:rPr>
      </w:pPr>
      <w:r>
        <w:rPr>
          <w:rFonts w:ascii="Arial" w:cs="Arial" w:eastAsia="Arial" w:hAnsi="Arial"/>
          <w:sz w:val="18"/>
          <w:szCs w:val="18"/>
          <w:color w:val="auto"/>
        </w:rPr>
        <w:t>operating results increased at television broadcasting, healthcare, manufacturing, automotive and other businesses, partially offset by a decline at education.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31" w:right="379" w:bottom="1440" w:gutter="0" w:footer="0" w:header="0"/>
        </w:sectPr>
      </w:pPr>
    </w:p>
    <w:bookmarkStart w:id="38" w:name="page39"/>
    <w:bookmarkEnd w:id="38"/>
    <w:p>
      <w:pPr>
        <w:ind w:right="260"/>
        <w:spacing w:after="0" w:line="271" w:lineRule="auto"/>
        <w:rPr>
          <w:sz w:val="20"/>
          <w:szCs w:val="20"/>
          <w:color w:val="auto"/>
        </w:rPr>
      </w:pPr>
      <w:r>
        <w:rPr>
          <w:rFonts w:ascii="Arial" w:cs="Arial" w:eastAsia="Arial" w:hAnsi="Arial"/>
          <w:sz w:val="18"/>
          <w:szCs w:val="18"/>
          <w:color w:val="auto"/>
        </w:rPr>
        <w:t>For the first nine months of 2026, the Company reported net income attributable to common shares of $385.3 million ($88.92 per share), compared to $183.6 million ($41.75 per share) for the first nine months of 2025.</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net income for the first nine months of 2026:</w:t>
      </w:r>
    </w:p>
    <w:p>
      <w:pPr>
        <w:spacing w:after="0" w:line="158" w:lineRule="exact"/>
        <w:rPr>
          <w:sz w:val="20"/>
          <w:szCs w:val="20"/>
          <w:color w:val="auto"/>
        </w:rPr>
      </w:pPr>
    </w:p>
    <w:p>
      <w:pPr>
        <w:ind w:left="160" w:hanging="152"/>
        <w:spacing w:after="0"/>
        <w:tabs>
          <w:tab w:leader="none" w:pos="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$24.2 million of impairment charges and loss on sale related to KLG (after-tax impact of $24.8 million, or $5.72 per share);</w:t>
      </w:r>
    </w:p>
    <w:p>
      <w:pPr>
        <w:spacing w:after="0" w:line="103" w:lineRule="exact"/>
        <w:rPr>
          <w:rFonts w:ascii="Arial" w:cs="Arial" w:eastAsia="Arial" w:hAnsi="Arial"/>
          <w:sz w:val="18"/>
          <w:szCs w:val="18"/>
          <w:color w:val="auto"/>
        </w:rPr>
      </w:pPr>
    </w:p>
    <w:p>
      <w:pPr>
        <w:ind w:left="160" w:hanging="152"/>
        <w:spacing w:after="0"/>
        <w:tabs>
          <w:tab w:leader="none" w:pos="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$151.9 million settlement gain related to a retiree annuity pension purchase (after-tax impact of $112.4 million, or $25.94 per share);</w:t>
      </w:r>
    </w:p>
    <w:p>
      <w:pPr>
        <w:spacing w:after="0" w:line="90" w:lineRule="exact"/>
        <w:rPr>
          <w:rFonts w:ascii="Arial" w:cs="Arial" w:eastAsia="Arial" w:hAnsi="Arial"/>
          <w:sz w:val="18"/>
          <w:szCs w:val="18"/>
          <w:color w:val="auto"/>
        </w:rPr>
      </w:pPr>
    </w:p>
    <w:p>
      <w:pPr>
        <w:ind w:left="160" w:hanging="152"/>
        <w:spacing w:after="0"/>
        <w:tabs>
          <w:tab w:leader="none" w:pos="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$11.1 million in non-operating expenses related to SIPs and VRIPs (after-tax impact of $8.2 million, or $1.90 per share);</w:t>
      </w:r>
    </w:p>
    <w:p>
      <w:pPr>
        <w:spacing w:after="0" w:line="103" w:lineRule="exact"/>
        <w:rPr>
          <w:rFonts w:ascii="Arial" w:cs="Arial" w:eastAsia="Arial" w:hAnsi="Arial"/>
          <w:sz w:val="18"/>
          <w:szCs w:val="18"/>
          <w:color w:val="auto"/>
        </w:rPr>
      </w:pPr>
    </w:p>
    <w:p>
      <w:pPr>
        <w:ind w:left="180" w:right="40" w:hanging="172"/>
        <w:spacing w:after="0" w:line="271" w:lineRule="auto"/>
        <w:tabs>
          <w:tab w:leader="none" w:pos="17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$1.0 million reduction to interest expense to adjust the fair value of the mandatorily redeemable noncontrolling interest (after-tax impact of $0.9 million, or $0.20 per share);</w:t>
      </w:r>
    </w:p>
    <w:p>
      <w:pPr>
        <w:spacing w:after="0" w:line="32" w:lineRule="exact"/>
        <w:rPr>
          <w:rFonts w:ascii="Arial" w:cs="Arial" w:eastAsia="Arial" w:hAnsi="Arial"/>
          <w:sz w:val="18"/>
          <w:szCs w:val="18"/>
          <w:color w:val="auto"/>
        </w:rPr>
      </w:pPr>
    </w:p>
    <w:p>
      <w:pPr>
        <w:ind w:left="160" w:hanging="152"/>
        <w:spacing w:after="0"/>
        <w:tabs>
          <w:tab w:leader="none" w:pos="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$17.9 million in net gains on marketable equity securities (after-tax impact of $13.3 million, or $3.08 per share);</w:t>
      </w:r>
    </w:p>
    <w:p>
      <w:pPr>
        <w:spacing w:after="0" w:line="103" w:lineRule="exact"/>
        <w:rPr>
          <w:rFonts w:ascii="Arial" w:cs="Arial" w:eastAsia="Arial" w:hAnsi="Arial"/>
          <w:sz w:val="18"/>
          <w:szCs w:val="18"/>
          <w:color w:val="auto"/>
        </w:rPr>
      </w:pPr>
    </w:p>
    <w:p>
      <w:pPr>
        <w:ind w:left="180" w:right="60" w:hanging="172"/>
        <w:spacing w:after="0" w:line="271" w:lineRule="auto"/>
        <w:tabs>
          <w:tab w:leader="none" w:pos="175" w:val="left"/>
        </w:tabs>
        <w:numPr>
          <w:ilvl w:val="0"/>
          <w:numId w:val="22"/>
        </w:numPr>
        <w:rPr>
          <w:rFonts w:ascii="Arial" w:cs="Arial" w:eastAsia="Arial" w:hAnsi="Arial"/>
          <w:sz w:val="18"/>
          <w:szCs w:val="18"/>
          <w:color w:val="auto"/>
        </w:rPr>
      </w:pPr>
      <w:r>
        <w:rPr>
          <w:rFonts w:ascii="Arial" w:cs="Arial" w:eastAsia="Arial" w:hAnsi="Arial"/>
          <w:sz w:val="18"/>
          <w:szCs w:val="18"/>
          <w:color w:val="auto"/>
        </w:rPr>
        <w:t>$6.8 million in net earnings of affiliates whose operations are not managed by the Company (after-tax impact of $5.0 million, or $1.16 per share);</w:t>
      </w:r>
    </w:p>
    <w:p>
      <w:pPr>
        <w:spacing w:after="0" w:line="32" w:lineRule="exact"/>
        <w:rPr>
          <w:rFonts w:ascii="Arial" w:cs="Arial" w:eastAsia="Arial" w:hAnsi="Arial"/>
          <w:sz w:val="18"/>
          <w:szCs w:val="18"/>
          <w:color w:val="auto"/>
        </w:rPr>
      </w:pPr>
    </w:p>
    <w:p>
      <w:pPr>
        <w:ind w:left="180" w:right="460" w:hanging="172"/>
        <w:spacing w:after="0" w:line="271" w:lineRule="auto"/>
        <w:tabs>
          <w:tab w:leader="none" w:pos="175"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net non-operating losses of $5.9 million from impairments and sales of equity and cost method investments (after-tax impact of $4.4 million, or $1.02 per share);</w:t>
      </w:r>
    </w:p>
    <w:p>
      <w:pPr>
        <w:spacing w:after="0" w:line="45" w:lineRule="exact"/>
        <w:rPr>
          <w:rFonts w:ascii="Arial" w:cs="Arial" w:eastAsia="Arial" w:hAnsi="Arial"/>
          <w:sz w:val="18"/>
          <w:szCs w:val="18"/>
          <w:color w:val="auto"/>
        </w:rPr>
      </w:pPr>
    </w:p>
    <w:p>
      <w:pPr>
        <w:ind w:left="160" w:hanging="152"/>
        <w:spacing w:after="0"/>
        <w:tabs>
          <w:tab w:leader="none" w:pos="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$68.1 million income tax benefit related to the KLG business ($15.72 per share); and</w:t>
      </w:r>
    </w:p>
    <w:p>
      <w:pPr>
        <w:spacing w:after="0" w:line="90" w:lineRule="exact"/>
        <w:rPr>
          <w:rFonts w:ascii="Arial" w:cs="Arial" w:eastAsia="Arial" w:hAnsi="Arial"/>
          <w:sz w:val="18"/>
          <w:szCs w:val="18"/>
          <w:color w:val="auto"/>
        </w:rPr>
      </w:pPr>
    </w:p>
    <w:p>
      <w:pPr>
        <w:ind w:left="180" w:right="140" w:hanging="172"/>
        <w:spacing w:after="0" w:line="271" w:lineRule="auto"/>
        <w:tabs>
          <w:tab w:leader="none" w:pos="175" w:val="left"/>
        </w:tabs>
        <w:numPr>
          <w:ilvl w:val="0"/>
          <w:numId w:val="22"/>
        </w:numPr>
        <w:rPr>
          <w:rFonts w:ascii="Arial" w:cs="Arial" w:eastAsia="Arial" w:hAnsi="Arial"/>
          <w:sz w:val="18"/>
          <w:szCs w:val="18"/>
          <w:color w:val="auto"/>
        </w:rPr>
      </w:pPr>
      <w:r>
        <w:rPr>
          <w:rFonts w:ascii="Arial" w:cs="Arial" w:eastAsia="Arial" w:hAnsi="Arial"/>
          <w:sz w:val="18"/>
          <w:szCs w:val="18"/>
          <w:color w:val="auto"/>
        </w:rPr>
        <w:t>$15.3 million in income tax expense recorded in connection with global minimum income tax obligations in non- U.S. jurisdictions ($3.52 per share).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net income for the first nine months of 2025:</w:t>
      </w:r>
    </w:p>
    <w:p>
      <w:pPr>
        <w:spacing w:after="0" w:line="90" w:lineRule="exact"/>
        <w:rPr>
          <w:sz w:val="20"/>
          <w:szCs w:val="20"/>
          <w:color w:val="auto"/>
        </w:rPr>
      </w:pPr>
    </w:p>
    <w:p>
      <w:pPr>
        <w:ind w:left="160" w:hanging="152"/>
        <w:spacing w:after="0"/>
        <w:tabs>
          <w:tab w:leader="none" w:pos="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$2.2 million in intangible and other long-lived asset impairment charges (after-tax impact of $1.7 million, or $0.39 per share);</w:t>
      </w:r>
    </w:p>
    <w:p>
      <w:pPr>
        <w:spacing w:after="0" w:line="103" w:lineRule="exact"/>
        <w:rPr>
          <w:rFonts w:ascii="Arial" w:cs="Arial" w:eastAsia="Arial" w:hAnsi="Arial"/>
          <w:sz w:val="18"/>
          <w:szCs w:val="18"/>
          <w:color w:val="auto"/>
        </w:rPr>
      </w:pPr>
    </w:p>
    <w:p>
      <w:pPr>
        <w:ind w:left="160" w:hanging="152"/>
        <w:spacing w:after="0"/>
        <w:tabs>
          <w:tab w:leader="none" w:pos="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$9.2 million in non-operating expenses related to SIPs (after-tax impact of $6.8 million, or $1.55 per share);</w:t>
      </w:r>
    </w:p>
    <w:p>
      <w:pPr>
        <w:spacing w:after="0" w:line="90" w:lineRule="exact"/>
        <w:rPr>
          <w:rFonts w:ascii="Arial" w:cs="Arial" w:eastAsia="Arial" w:hAnsi="Arial"/>
          <w:sz w:val="18"/>
          <w:szCs w:val="18"/>
          <w:color w:val="auto"/>
        </w:rPr>
      </w:pPr>
    </w:p>
    <w:p>
      <w:pPr>
        <w:ind w:left="180" w:right="200" w:hanging="172"/>
        <w:spacing w:after="0" w:line="271" w:lineRule="auto"/>
        <w:tabs>
          <w:tab w:leader="none" w:pos="175" w:val="left"/>
        </w:tabs>
        <w:numPr>
          <w:ilvl w:val="0"/>
          <w:numId w:val="23"/>
        </w:numPr>
        <w:rPr>
          <w:rFonts w:ascii="Arial" w:cs="Arial" w:eastAsia="Arial" w:hAnsi="Arial"/>
          <w:sz w:val="18"/>
          <w:szCs w:val="18"/>
          <w:color w:val="auto"/>
        </w:rPr>
      </w:pPr>
      <w:r>
        <w:rPr>
          <w:rFonts w:ascii="Arial" w:cs="Arial" w:eastAsia="Arial" w:hAnsi="Arial"/>
          <w:sz w:val="18"/>
          <w:szCs w:val="18"/>
          <w:color w:val="auto"/>
        </w:rPr>
        <w:t>$68.3 million in interest expense to adjust the fair value of the mandatorily redeemable noncontrolling interest (after-tax impact of $60.8 million, or $13.83 per share);</w:t>
      </w:r>
    </w:p>
    <w:p>
      <w:pPr>
        <w:spacing w:after="0" w:line="45" w:lineRule="exact"/>
        <w:rPr>
          <w:rFonts w:ascii="Arial" w:cs="Arial" w:eastAsia="Arial" w:hAnsi="Arial"/>
          <w:sz w:val="18"/>
          <w:szCs w:val="18"/>
          <w:color w:val="auto"/>
        </w:rPr>
      </w:pPr>
    </w:p>
    <w:p>
      <w:pPr>
        <w:ind w:left="160" w:hanging="152"/>
        <w:spacing w:after="0"/>
        <w:tabs>
          <w:tab w:leader="none" w:pos="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$117.0 million in net gains on marketable equity securities (after-tax impact of $87.0 million, or $19.79 per share);</w:t>
      </w:r>
    </w:p>
    <w:p>
      <w:pPr>
        <w:spacing w:after="0" w:line="90" w:lineRule="exact"/>
        <w:rPr>
          <w:rFonts w:ascii="Arial" w:cs="Arial" w:eastAsia="Arial" w:hAnsi="Arial"/>
          <w:sz w:val="18"/>
          <w:szCs w:val="18"/>
          <w:color w:val="auto"/>
        </w:rPr>
      </w:pPr>
    </w:p>
    <w:p>
      <w:pPr>
        <w:ind w:left="180" w:right="40" w:hanging="172"/>
        <w:spacing w:after="0" w:line="271" w:lineRule="auto"/>
        <w:tabs>
          <w:tab w:leader="none" w:pos="175" w:val="left"/>
        </w:tabs>
        <w:numPr>
          <w:ilvl w:val="0"/>
          <w:numId w:val="23"/>
        </w:numPr>
        <w:rPr>
          <w:rFonts w:ascii="Arial" w:cs="Arial" w:eastAsia="Arial" w:hAnsi="Arial"/>
          <w:sz w:val="18"/>
          <w:szCs w:val="18"/>
          <w:color w:val="auto"/>
        </w:rPr>
      </w:pPr>
      <w:r>
        <w:rPr>
          <w:rFonts w:ascii="Arial" w:cs="Arial" w:eastAsia="Arial" w:hAnsi="Arial"/>
          <w:sz w:val="18"/>
          <w:szCs w:val="18"/>
          <w:color w:val="auto"/>
        </w:rPr>
        <w:t>$18.1 million in net losses of affiliates whose operations are not managed by the Company (after-tax impact of $13.5 million, or $3.06 per share); and</w:t>
      </w:r>
    </w:p>
    <w:p>
      <w:pPr>
        <w:spacing w:after="0" w:line="45" w:lineRule="exact"/>
        <w:rPr>
          <w:rFonts w:ascii="Arial" w:cs="Arial" w:eastAsia="Arial" w:hAnsi="Arial"/>
          <w:sz w:val="18"/>
          <w:szCs w:val="18"/>
          <w:color w:val="auto"/>
        </w:rPr>
      </w:pPr>
    </w:p>
    <w:p>
      <w:pPr>
        <w:ind w:left="180" w:right="360" w:hanging="172"/>
        <w:spacing w:after="0" w:line="256" w:lineRule="auto"/>
        <w:tabs>
          <w:tab w:leader="none" w:pos="175"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net non-operating gains of $4.4 million from earnings and impairment of equity and cost method investments (after-tax impact of $3.3 million, or $0.74 per share).</w:t>
      </w:r>
    </w:p>
    <w:p>
      <w:pPr>
        <w:spacing w:after="0" w:line="58"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Revenue for the first nine months of 2026 was $3,864.5 million, up 6% from $3,660.5 million in the first nine months of 2025. The Company reported operating income of $227.0 million for the first nine months of 2026, compared to $187.4 million for the first nine months of</w:t>
      </w:r>
    </w:p>
    <w:p>
      <w:pPr>
        <w:spacing w:after="0" w:line="1"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2025. Revenues and operating results increased at television broadcasting, healthcare, manufacturing, automotive and other businesses, partially offset by a decline at education.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Division Results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Education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Education division revenue totaled $404.3 million for the third quarter of 2026, down 14% from $472.7 million for the same period of 2025.</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Kaplan reported operating income of $39.3 million for the third quarter of 2026, compared to $49.1 million for the third quarter of 2025.</w:t>
      </w:r>
    </w:p>
    <w:p>
      <w:pPr>
        <w:spacing w:after="0" w:line="12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For the first nine months of 2026, education division revenue totaled $1,262.6 million, down 5% from $1,334.2 million for the same period of 2025. Kaplan reported operating income of $121.9 million for the first nine months of 2026, compared to $135.3 million for the first nine months of 2025.</w:t>
      </w:r>
    </w:p>
    <w:p>
      <w:pPr>
        <w:spacing w:after="0" w:line="200" w:lineRule="exact"/>
        <w:rPr>
          <w:sz w:val="20"/>
          <w:szCs w:val="20"/>
          <w:color w:val="auto"/>
        </w:rPr>
      </w:pPr>
    </w:p>
    <w:p>
      <w:pPr>
        <w:spacing w:after="0" w:line="3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931" w:right="49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A summary of Kaplan’s operating results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0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Three Months Ended</w:t>
            </w: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6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Nine Months Ended</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0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3"/>
          </w:tcPr>
          <w:p>
            <w:pPr>
              <w:jc w:val="right"/>
              <w:ind w:right="620"/>
              <w:spacing w:after="0"/>
              <w:rPr>
                <w:sz w:val="20"/>
                <w:szCs w:val="20"/>
                <w:color w:val="auto"/>
              </w:rPr>
            </w:pPr>
            <w:r>
              <w:rPr>
                <w:rFonts w:ascii="Arial" w:cs="Arial" w:eastAsia="Arial" w:hAnsi="Arial"/>
                <w:sz w:val="14"/>
                <w:szCs w:val="14"/>
                <w:b w:val="1"/>
                <w:bCs w:val="1"/>
                <w:color w:val="auto"/>
              </w:rPr>
              <w:t>September 30</w:t>
            </w:r>
          </w:p>
        </w:tc>
        <w:tc>
          <w:tcPr>
            <w:tcW w:w="1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3"/>
          </w:tcPr>
          <w:p>
            <w:pPr>
              <w:jc w:val="right"/>
              <w:ind w:right="640"/>
              <w:spacing w:after="0"/>
              <w:rPr>
                <w:sz w:val="20"/>
                <w:szCs w:val="20"/>
                <w:color w:val="auto"/>
              </w:rPr>
            </w:pPr>
            <w:r>
              <w:rPr>
                <w:rFonts w:ascii="Arial" w:cs="Arial" w:eastAsia="Arial" w:hAnsi="Arial"/>
                <w:sz w:val="14"/>
                <w:szCs w:val="14"/>
                <w:b w:val="1"/>
                <w:bCs w:val="1"/>
                <w:color w:val="auto"/>
              </w:rPr>
              <w:t>September 30</w:t>
            </w: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2026</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2025</w:t>
            </w:r>
          </w:p>
        </w:tc>
        <w:tc>
          <w:tcPr>
            <w:tcW w:w="130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color w:val="auto"/>
              </w:rPr>
              <w:t>% Change</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2026</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2025</w:t>
            </w:r>
          </w:p>
        </w:tc>
        <w:tc>
          <w:tcPr>
            <w:tcW w:w="120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35"/>
        </w:trPr>
        <w:tc>
          <w:tcPr>
            <w:tcW w:w="4000" w:type="dxa"/>
            <w:vAlign w:val="bottom"/>
          </w:tcPr>
          <w:p>
            <w:pPr>
              <w:ind w:left="20"/>
              <w:spacing w:after="0"/>
              <w:rPr>
                <w:sz w:val="20"/>
                <w:szCs w:val="20"/>
                <w:color w:val="auto"/>
              </w:rPr>
            </w:pPr>
            <w:r>
              <w:rPr>
                <w:rFonts w:ascii="Arial" w:cs="Arial" w:eastAsia="Arial" w:hAnsi="Arial"/>
                <w:sz w:val="16"/>
                <w:szCs w:val="16"/>
                <w:b w:val="1"/>
                <w:bCs w:val="1"/>
                <w:color w:val="auto"/>
              </w:rPr>
              <w:t>Revenue</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230,134</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294,292</w:t>
            </w:r>
          </w:p>
        </w:tc>
        <w:tc>
          <w:tcPr>
            <w:tcW w:w="1300" w:type="dxa"/>
            <w:vAlign w:val="bottom"/>
          </w:tcPr>
          <w:p>
            <w:pPr>
              <w:jc w:val="right"/>
              <w:ind w:right="60"/>
              <w:spacing w:after="0"/>
              <w:rPr>
                <w:sz w:val="20"/>
                <w:szCs w:val="20"/>
                <w:color w:val="auto"/>
              </w:rPr>
            </w:pPr>
            <w:r>
              <w:rPr>
                <w:rFonts w:ascii="Arial" w:cs="Arial" w:eastAsia="Arial" w:hAnsi="Arial"/>
                <w:sz w:val="16"/>
                <w:szCs w:val="16"/>
                <w:color w:val="auto"/>
              </w:rPr>
              <w:t>(22)</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754,145</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827,719</w:t>
            </w:r>
          </w:p>
        </w:tc>
        <w:tc>
          <w:tcPr>
            <w:tcW w:w="120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43"/>
        </w:trPr>
        <w:tc>
          <w:tcPr>
            <w:tcW w:w="400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60" w:type="dxa"/>
            <w:vAlign w:val="bottom"/>
          </w:tcPr>
          <w:p>
            <w:pPr>
              <w:spacing w:after="0"/>
              <w:rPr>
                <w:sz w:val="21"/>
                <w:szCs w:val="21"/>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93,865</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92,162</w:t>
            </w:r>
          </w:p>
        </w:tc>
        <w:tc>
          <w:tcPr>
            <w:tcW w:w="1300" w:type="dxa"/>
            <w:vAlign w:val="bottom"/>
          </w:tcPr>
          <w:p>
            <w:pPr>
              <w:jc w:val="right"/>
              <w:ind w:right="100"/>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21"/>
                <w:szCs w:val="21"/>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272,561</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265,387</w:t>
            </w:r>
          </w:p>
        </w:tc>
        <w:tc>
          <w:tcPr>
            <w:tcW w:w="120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43"/>
        </w:trPr>
        <w:tc>
          <w:tcPr>
            <w:tcW w:w="400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60" w:type="dxa"/>
            <w:vAlign w:val="bottom"/>
          </w:tcPr>
          <w:p>
            <w:pPr>
              <w:spacing w:after="0"/>
              <w:rPr>
                <w:sz w:val="21"/>
                <w:szCs w:val="21"/>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80,805</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86,679</w:t>
            </w:r>
          </w:p>
        </w:tc>
        <w:tc>
          <w:tcPr>
            <w:tcW w:w="1300" w:type="dxa"/>
            <w:vAlign w:val="bottom"/>
          </w:tcPr>
          <w:p>
            <w:pPr>
              <w:jc w:val="right"/>
              <w:ind w:right="60"/>
              <w:spacing w:after="0"/>
              <w:rPr>
                <w:sz w:val="20"/>
                <w:szCs w:val="20"/>
                <w:color w:val="auto"/>
              </w:rPr>
            </w:pPr>
            <w:r>
              <w:rPr>
                <w:rFonts w:ascii="Arial" w:cs="Arial" w:eastAsia="Arial" w:hAnsi="Arial"/>
                <w:sz w:val="16"/>
                <w:szCs w:val="16"/>
                <w:color w:val="auto"/>
              </w:rPr>
              <w:t>(7)</w:t>
            </w:r>
          </w:p>
        </w:tc>
        <w:tc>
          <w:tcPr>
            <w:tcW w:w="220" w:type="dxa"/>
            <w:vAlign w:val="bottom"/>
          </w:tcPr>
          <w:p>
            <w:pPr>
              <w:spacing w:after="0"/>
              <w:rPr>
                <w:sz w:val="21"/>
                <w:szCs w:val="21"/>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237,145</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242,243</w:t>
            </w:r>
          </w:p>
        </w:tc>
        <w:tc>
          <w:tcPr>
            <w:tcW w:w="120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43"/>
        </w:trPr>
        <w:tc>
          <w:tcPr>
            <w:tcW w:w="400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21"/>
                <w:szCs w:val="21"/>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369</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280</w:t>
            </w:r>
          </w:p>
        </w:tc>
        <w:tc>
          <w:tcPr>
            <w:tcW w:w="1300" w:type="dxa"/>
            <w:vAlign w:val="bottom"/>
          </w:tcPr>
          <w:p>
            <w:pPr>
              <w:jc w:val="right"/>
              <w:ind w:right="100"/>
              <w:spacing w:after="0"/>
              <w:rPr>
                <w:sz w:val="20"/>
                <w:szCs w:val="20"/>
                <w:color w:val="auto"/>
              </w:rPr>
            </w:pPr>
            <w:r>
              <w:rPr>
                <w:rFonts w:ascii="Arial" w:cs="Arial" w:eastAsia="Arial" w:hAnsi="Arial"/>
                <w:sz w:val="16"/>
                <w:szCs w:val="16"/>
                <w:color w:val="auto"/>
              </w:rPr>
              <w:t>32</w:t>
            </w:r>
          </w:p>
        </w:tc>
        <w:tc>
          <w:tcPr>
            <w:tcW w:w="220" w:type="dxa"/>
            <w:vAlign w:val="bottom"/>
          </w:tcPr>
          <w:p>
            <w:pPr>
              <w:spacing w:after="0"/>
              <w:rPr>
                <w:sz w:val="21"/>
                <w:szCs w:val="21"/>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924</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315</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7"/>
        </w:trPr>
        <w:tc>
          <w:tcPr>
            <w:tcW w:w="400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(891)</w:t>
            </w:r>
          </w:p>
        </w:tc>
        <w:tc>
          <w:tcPr>
            <w:tcW w:w="3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(751)</w:t>
            </w:r>
          </w:p>
        </w:tc>
        <w:tc>
          <w:tcPr>
            <w:tcW w:w="13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(2,206)</w:t>
            </w: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(1,458)</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4000" w:type="dxa"/>
            <w:vAlign w:val="bottom"/>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404,282</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472,662</w:t>
            </w:r>
          </w:p>
        </w:tc>
        <w:tc>
          <w:tcPr>
            <w:tcW w:w="1300" w:type="dxa"/>
            <w:vAlign w:val="bottom"/>
          </w:tcPr>
          <w:p>
            <w:pPr>
              <w:jc w:val="right"/>
              <w:ind w:right="60"/>
              <w:spacing w:after="0"/>
              <w:rPr>
                <w:sz w:val="20"/>
                <w:szCs w:val="20"/>
                <w:color w:val="auto"/>
              </w:rPr>
            </w:pPr>
            <w:r>
              <w:rPr>
                <w:rFonts w:ascii="Arial" w:cs="Arial" w:eastAsia="Arial" w:hAnsi="Arial"/>
                <w:sz w:val="16"/>
                <w:szCs w:val="16"/>
                <w:color w:val="auto"/>
              </w:rPr>
              <w:t>(14)</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1,262,569</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1,334,206</w:t>
            </w:r>
          </w:p>
        </w:tc>
        <w:tc>
          <w:tcPr>
            <w:tcW w:w="120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
        </w:trPr>
        <w:tc>
          <w:tcPr>
            <w:tcW w:w="40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40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17,292</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28,893</w:t>
            </w:r>
          </w:p>
        </w:tc>
        <w:tc>
          <w:tcPr>
            <w:tcW w:w="1300" w:type="dxa"/>
            <w:vAlign w:val="bottom"/>
          </w:tcPr>
          <w:p>
            <w:pPr>
              <w:jc w:val="right"/>
              <w:ind w:right="60"/>
              <w:spacing w:after="0"/>
              <w:rPr>
                <w:sz w:val="20"/>
                <w:szCs w:val="20"/>
                <w:color w:val="auto"/>
              </w:rPr>
            </w:pPr>
            <w:r>
              <w:rPr>
                <w:rFonts w:ascii="Arial" w:cs="Arial" w:eastAsia="Arial" w:hAnsi="Arial"/>
                <w:sz w:val="16"/>
                <w:szCs w:val="16"/>
                <w:color w:val="auto"/>
              </w:rPr>
              <w:t>(40)</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81,542</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88,892</w:t>
            </w:r>
          </w:p>
        </w:tc>
        <w:tc>
          <w:tcPr>
            <w:tcW w:w="120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43"/>
        </w:trPr>
        <w:tc>
          <w:tcPr>
            <w:tcW w:w="400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60" w:type="dxa"/>
            <w:vAlign w:val="bottom"/>
          </w:tcPr>
          <w:p>
            <w:pPr>
              <w:spacing w:after="0"/>
              <w:rPr>
                <w:sz w:val="21"/>
                <w:szCs w:val="21"/>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17,904</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14,683</w:t>
            </w:r>
          </w:p>
        </w:tc>
        <w:tc>
          <w:tcPr>
            <w:tcW w:w="1300" w:type="dxa"/>
            <w:vAlign w:val="bottom"/>
          </w:tcPr>
          <w:p>
            <w:pPr>
              <w:jc w:val="right"/>
              <w:ind w:right="100"/>
              <w:spacing w:after="0"/>
              <w:rPr>
                <w:sz w:val="20"/>
                <w:szCs w:val="20"/>
                <w:color w:val="auto"/>
              </w:rPr>
            </w:pPr>
            <w:r>
              <w:rPr>
                <w:rFonts w:ascii="Arial" w:cs="Arial" w:eastAsia="Arial" w:hAnsi="Arial"/>
                <w:sz w:val="16"/>
                <w:szCs w:val="16"/>
                <w:color w:val="auto"/>
              </w:rPr>
              <w:t>22</w:t>
            </w:r>
          </w:p>
        </w:tc>
        <w:tc>
          <w:tcPr>
            <w:tcW w:w="220" w:type="dxa"/>
            <w:vAlign w:val="bottom"/>
          </w:tcPr>
          <w:p>
            <w:pPr>
              <w:spacing w:after="0"/>
              <w:rPr>
                <w:sz w:val="21"/>
                <w:szCs w:val="21"/>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52,241</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45,462</w:t>
            </w:r>
          </w:p>
        </w:tc>
        <w:tc>
          <w:tcPr>
            <w:tcW w:w="120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43"/>
        </w:trPr>
        <w:tc>
          <w:tcPr>
            <w:tcW w:w="400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60" w:type="dxa"/>
            <w:vAlign w:val="bottom"/>
          </w:tcPr>
          <w:p>
            <w:pPr>
              <w:spacing w:after="0"/>
              <w:rPr>
                <w:sz w:val="21"/>
                <w:szCs w:val="21"/>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9,655</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14,979</w:t>
            </w:r>
          </w:p>
        </w:tc>
        <w:tc>
          <w:tcPr>
            <w:tcW w:w="1300" w:type="dxa"/>
            <w:vAlign w:val="bottom"/>
          </w:tcPr>
          <w:p>
            <w:pPr>
              <w:jc w:val="right"/>
              <w:ind w:right="60"/>
              <w:spacing w:after="0"/>
              <w:rPr>
                <w:sz w:val="20"/>
                <w:szCs w:val="20"/>
                <w:color w:val="auto"/>
              </w:rPr>
            </w:pPr>
            <w:r>
              <w:rPr>
                <w:rFonts w:ascii="Arial" w:cs="Arial" w:eastAsia="Arial" w:hAnsi="Arial"/>
                <w:sz w:val="16"/>
                <w:szCs w:val="16"/>
                <w:color w:val="auto"/>
              </w:rPr>
              <w:t>(36)</w:t>
            </w:r>
          </w:p>
        </w:tc>
        <w:tc>
          <w:tcPr>
            <w:tcW w:w="220" w:type="dxa"/>
            <w:vAlign w:val="bottom"/>
          </w:tcPr>
          <w:p>
            <w:pPr>
              <w:spacing w:after="0"/>
              <w:rPr>
                <w:sz w:val="21"/>
                <w:szCs w:val="21"/>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25,439</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28,353</w:t>
            </w:r>
          </w:p>
        </w:tc>
        <w:tc>
          <w:tcPr>
            <w:tcW w:w="120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43"/>
        </w:trPr>
        <w:tc>
          <w:tcPr>
            <w:tcW w:w="400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21"/>
                <w:szCs w:val="21"/>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b w:val="1"/>
                <w:bCs w:val="1"/>
                <w:color w:val="auto"/>
              </w:rPr>
              <w:t>(5,392)</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(8,137)</w:t>
            </w:r>
          </w:p>
        </w:tc>
        <w:tc>
          <w:tcPr>
            <w:tcW w:w="1300" w:type="dxa"/>
            <w:vAlign w:val="bottom"/>
          </w:tcPr>
          <w:p>
            <w:pPr>
              <w:jc w:val="right"/>
              <w:ind w:right="100"/>
              <w:spacing w:after="0"/>
              <w:rPr>
                <w:sz w:val="20"/>
                <w:szCs w:val="20"/>
                <w:color w:val="auto"/>
              </w:rPr>
            </w:pPr>
            <w:r>
              <w:rPr>
                <w:rFonts w:ascii="Arial" w:cs="Arial" w:eastAsia="Arial" w:hAnsi="Arial"/>
                <w:sz w:val="16"/>
                <w:szCs w:val="16"/>
                <w:color w:val="auto"/>
              </w:rPr>
              <w:t>34</w:t>
            </w:r>
          </w:p>
        </w:tc>
        <w:tc>
          <w:tcPr>
            <w:tcW w:w="220" w:type="dxa"/>
            <w:vAlign w:val="bottom"/>
          </w:tcPr>
          <w:p>
            <w:pPr>
              <w:spacing w:after="0"/>
              <w:rPr>
                <w:sz w:val="21"/>
                <w:szCs w:val="21"/>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b w:val="1"/>
                <w:bCs w:val="1"/>
                <w:color w:val="auto"/>
              </w:rPr>
              <w:t>(17,509)</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(22,201)</w:t>
            </w:r>
          </w:p>
        </w:tc>
        <w:tc>
          <w:tcPr>
            <w:tcW w:w="120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43"/>
        </w:trPr>
        <w:tc>
          <w:tcPr>
            <w:tcW w:w="4000" w:type="dxa"/>
            <w:vAlign w:val="bottom"/>
          </w:tcPr>
          <w:p>
            <w:pPr>
              <w:ind w:left="220"/>
              <w:spacing w:after="0"/>
              <w:rPr>
                <w:sz w:val="20"/>
                <w:szCs w:val="20"/>
                <w:color w:val="auto"/>
              </w:rPr>
            </w:pPr>
            <w:r>
              <w:rPr>
                <w:rFonts w:ascii="Arial" w:cs="Arial" w:eastAsia="Arial" w:hAnsi="Arial"/>
                <w:sz w:val="16"/>
                <w:szCs w:val="16"/>
                <w:color w:val="auto"/>
              </w:rPr>
              <w:t>Amortization of intangible assets</w:t>
            </w:r>
          </w:p>
        </w:tc>
        <w:tc>
          <w:tcPr>
            <w:tcW w:w="260" w:type="dxa"/>
            <w:vAlign w:val="bottom"/>
          </w:tcPr>
          <w:p>
            <w:pPr>
              <w:spacing w:after="0"/>
              <w:rPr>
                <w:sz w:val="21"/>
                <w:szCs w:val="21"/>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b w:val="1"/>
                <w:bCs w:val="1"/>
                <w:color w:val="auto"/>
              </w:rPr>
              <w:t>(84)</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(1,404)</w:t>
            </w:r>
          </w:p>
        </w:tc>
        <w:tc>
          <w:tcPr>
            <w:tcW w:w="1300" w:type="dxa"/>
            <w:vAlign w:val="bottom"/>
          </w:tcPr>
          <w:p>
            <w:pPr>
              <w:jc w:val="right"/>
              <w:ind w:right="100"/>
              <w:spacing w:after="0"/>
              <w:rPr>
                <w:sz w:val="20"/>
                <w:szCs w:val="20"/>
                <w:color w:val="auto"/>
              </w:rPr>
            </w:pPr>
            <w:r>
              <w:rPr>
                <w:rFonts w:ascii="Arial" w:cs="Arial" w:eastAsia="Arial" w:hAnsi="Arial"/>
                <w:sz w:val="16"/>
                <w:szCs w:val="16"/>
                <w:color w:val="auto"/>
              </w:rPr>
              <w:t>94</w:t>
            </w:r>
          </w:p>
        </w:tc>
        <w:tc>
          <w:tcPr>
            <w:tcW w:w="220" w:type="dxa"/>
            <w:vAlign w:val="bottom"/>
          </w:tcPr>
          <w:p>
            <w:pPr>
              <w:spacing w:after="0"/>
              <w:rPr>
                <w:sz w:val="21"/>
                <w:szCs w:val="21"/>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b w:val="1"/>
                <w:bCs w:val="1"/>
                <w:color w:val="auto"/>
              </w:rPr>
              <w:t>(641)</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(5,222)</w:t>
            </w:r>
          </w:p>
        </w:tc>
        <w:tc>
          <w:tcPr>
            <w:tcW w:w="1200" w:type="dxa"/>
            <w:vAlign w:val="bottom"/>
          </w:tcPr>
          <w:p>
            <w:pPr>
              <w:jc w:val="right"/>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43"/>
        </w:trPr>
        <w:tc>
          <w:tcPr>
            <w:tcW w:w="4000" w:type="dxa"/>
            <w:vAlign w:val="bottom"/>
          </w:tcPr>
          <w:p>
            <w:pPr>
              <w:ind w:left="220"/>
              <w:spacing w:after="0"/>
              <w:rPr>
                <w:sz w:val="20"/>
                <w:szCs w:val="20"/>
                <w:color w:val="auto"/>
              </w:rPr>
            </w:pPr>
            <w:r>
              <w:rPr>
                <w:rFonts w:ascii="Arial" w:cs="Arial" w:eastAsia="Arial" w:hAnsi="Arial"/>
                <w:sz w:val="16"/>
                <w:szCs w:val="16"/>
                <w:color w:val="auto"/>
              </w:rPr>
              <w:t>Impairment of goodwill and asset group held for sale</w:t>
            </w:r>
          </w:p>
        </w:tc>
        <w:tc>
          <w:tcPr>
            <w:tcW w:w="260" w:type="dxa"/>
            <w:vAlign w:val="bottom"/>
          </w:tcPr>
          <w:p>
            <w:pPr>
              <w:spacing w:after="0"/>
              <w:rPr>
                <w:sz w:val="21"/>
                <w:szCs w:val="21"/>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b w:val="1"/>
                <w:bCs w:val="1"/>
                <w:color w:val="auto"/>
              </w:rPr>
              <w:t>(19,029)</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7"/>
        </w:trPr>
        <w:tc>
          <w:tcPr>
            <w:tcW w:w="400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(87)</w:t>
            </w:r>
          </w:p>
        </w:tc>
        <w:tc>
          <w:tcPr>
            <w:tcW w:w="3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13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(97)</w:t>
            </w: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4000" w:type="dxa"/>
            <w:vAlign w:val="bottom"/>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39,288</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49,052</w:t>
            </w:r>
          </w:p>
        </w:tc>
        <w:tc>
          <w:tcPr>
            <w:tcW w:w="1300" w:type="dxa"/>
            <w:vAlign w:val="bottom"/>
          </w:tcPr>
          <w:p>
            <w:pPr>
              <w:jc w:val="right"/>
              <w:ind w:right="60"/>
              <w:spacing w:after="0"/>
              <w:rPr>
                <w:sz w:val="20"/>
                <w:szCs w:val="20"/>
                <w:color w:val="auto"/>
              </w:rPr>
            </w:pPr>
            <w:r>
              <w:rPr>
                <w:rFonts w:ascii="Arial" w:cs="Arial" w:eastAsia="Arial" w:hAnsi="Arial"/>
                <w:sz w:val="16"/>
                <w:szCs w:val="16"/>
                <w:color w:val="auto"/>
              </w:rPr>
              <w:t>(20)</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121,946</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135,270</w:t>
            </w:r>
          </w:p>
        </w:tc>
        <w:tc>
          <w:tcPr>
            <w:tcW w:w="120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
        </w:trPr>
        <w:tc>
          <w:tcPr>
            <w:tcW w:w="4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ind w:right="20"/>
        <w:spacing w:after="0" w:line="245" w:lineRule="auto"/>
        <w:rPr>
          <w:sz w:val="20"/>
          <w:szCs w:val="20"/>
          <w:color w:val="auto"/>
        </w:rPr>
      </w:pPr>
      <w:r>
        <w:rPr>
          <w:rFonts w:ascii="Arial" w:cs="Arial" w:eastAsia="Arial" w:hAnsi="Arial"/>
          <w:sz w:val="18"/>
          <w:szCs w:val="18"/>
          <w:color w:val="auto"/>
        </w:rPr>
        <w:t>In the first quarter of 2026, the Company entered into an agreement to sell KLG included in Kaplan International and recorded a $19.0 million pre-tax impairment charge. Excluding the impairment charge, Kaplan’s operating income was up in the first nine months of 2026. The KLG</w:t>
      </w:r>
    </w:p>
    <w:p>
      <w:pPr>
        <w:ind w:right="320"/>
        <w:spacing w:after="0" w:line="237" w:lineRule="auto"/>
        <w:rPr>
          <w:sz w:val="20"/>
          <w:szCs w:val="20"/>
          <w:color w:val="auto"/>
        </w:rPr>
      </w:pPr>
      <w:r>
        <w:rPr>
          <w:rFonts w:ascii="Arial" w:cs="Arial" w:eastAsia="Arial" w:hAnsi="Arial"/>
          <w:sz w:val="18"/>
          <w:szCs w:val="18"/>
          <w:color w:val="auto"/>
        </w:rPr>
        <w:t>transaction closed on May 1, 2026 and the Company recorded a $5.2 million non-operating pre-tax loss on the sale of the business in the second quarter of 2026.</w:t>
      </w:r>
    </w:p>
    <w:p>
      <w:pPr>
        <w:spacing w:after="0" w:line="127" w:lineRule="exact"/>
        <w:rPr>
          <w:sz w:val="20"/>
          <w:szCs w:val="20"/>
          <w:color w:val="auto"/>
        </w:rPr>
      </w:pPr>
    </w:p>
    <w:p>
      <w:pPr>
        <w:ind w:right="80"/>
        <w:spacing w:after="0" w:line="231" w:lineRule="auto"/>
        <w:rPr>
          <w:sz w:val="20"/>
          <w:szCs w:val="20"/>
          <w:color w:val="auto"/>
        </w:rPr>
      </w:pPr>
      <w:r>
        <w:rPr>
          <w:rFonts w:ascii="Arial" w:cs="Arial" w:eastAsia="Arial" w:hAnsi="Arial"/>
          <w:sz w:val="18"/>
          <w:szCs w:val="18"/>
          <w:color w:val="auto"/>
        </w:rPr>
        <w:t>Kaplan International includes postsecondary education and professional training businesses largely outside the United States (U.S.). Kaplan International revenue decreased 22% for the third quarter of 2026 (23% decrease on a constant currency basis) and decreased 9% for the first nine months of 2026 (12% decrease on a constant currency basis) due to the sale of KLG and broad declines at Pathways, partially</w:t>
      </w:r>
    </w:p>
    <w:p>
      <w:pPr>
        <w:spacing w:after="0" w:line="1" w:lineRule="exact"/>
        <w:rPr>
          <w:sz w:val="20"/>
          <w:szCs w:val="20"/>
          <w:color w:val="auto"/>
        </w:rPr>
      </w:pPr>
    </w:p>
    <w:p>
      <w:pPr>
        <w:ind w:right="160"/>
        <w:spacing w:after="0" w:line="224" w:lineRule="auto"/>
        <w:rPr>
          <w:sz w:val="20"/>
          <w:szCs w:val="20"/>
          <w:color w:val="auto"/>
        </w:rPr>
      </w:pPr>
      <w:r>
        <w:rPr>
          <w:rFonts w:ascii="Arial" w:cs="Arial" w:eastAsia="Arial" w:hAnsi="Arial"/>
          <w:sz w:val="18"/>
          <w:szCs w:val="18"/>
          <w:color w:val="auto"/>
        </w:rPr>
        <w:t>offset by increases at Singapore and UK Professional. Kaplan International reported operating income of $17.3 million in the third quarter of 2026, down from $28.9 million in the third quarter of 2025. The decline in operating results was due to broad declines at the Pathways businesses, particularly in the U.S., and meaningful operating income at KLG in the third quarter of 2025 from the seasonally high summer</w:t>
      </w:r>
    </w:p>
    <w:p>
      <w:pPr>
        <w:spacing w:after="0" w:line="1" w:lineRule="exact"/>
        <w:rPr>
          <w:sz w:val="20"/>
          <w:szCs w:val="20"/>
          <w:color w:val="auto"/>
        </w:rPr>
      </w:pPr>
    </w:p>
    <w:p>
      <w:pPr>
        <w:ind w:right="20"/>
        <w:spacing w:after="0" w:line="223" w:lineRule="auto"/>
        <w:rPr>
          <w:sz w:val="20"/>
          <w:szCs w:val="20"/>
          <w:color w:val="auto"/>
        </w:rPr>
      </w:pPr>
      <w:r>
        <w:rPr>
          <w:rFonts w:ascii="Arial" w:cs="Arial" w:eastAsia="Arial" w:hAnsi="Arial"/>
          <w:sz w:val="18"/>
          <w:szCs w:val="18"/>
          <w:color w:val="auto"/>
        </w:rPr>
        <w:t>enrollment months. Improved results at UK Professional, Singapore and Kaplan Higher Education UK (formerly Kaplan Open Learning) partially offset this decline. Operating income declined to $ 81.5 million in the first nine months of 2026, from $88.9 million in the first nine months of 2025. The decline in operating results was from broad declines at the Pathways businesses and increased losses at KLG. Partially offsetting the decline, operating results increased at Singapore, UK Professional, Kaplan Higher Education UK (formerly Kaplan Open</w:t>
      </w:r>
    </w:p>
    <w:p>
      <w:pPr>
        <w:spacing w:after="0"/>
        <w:rPr>
          <w:sz w:val="20"/>
          <w:szCs w:val="20"/>
          <w:color w:val="auto"/>
        </w:rPr>
      </w:pPr>
      <w:r>
        <w:rPr>
          <w:rFonts w:ascii="Arial" w:cs="Arial" w:eastAsia="Arial" w:hAnsi="Arial"/>
          <w:sz w:val="18"/>
          <w:szCs w:val="18"/>
          <w:color w:val="auto"/>
        </w:rPr>
        <w:t>Learning) and Australia.</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Higher Education includes the results of Kaplan as a service provider to higher education institutions. Higher Education revenue increased</w:t>
      </w:r>
    </w:p>
    <w:p>
      <w:pPr>
        <w:spacing w:after="0" w:line="14" w:lineRule="exact"/>
        <w:rPr>
          <w:sz w:val="20"/>
          <w:szCs w:val="20"/>
          <w:color w:val="auto"/>
        </w:rPr>
      </w:pPr>
    </w:p>
    <w:p>
      <w:pPr>
        <w:ind w:right="40"/>
        <w:spacing w:after="0"/>
        <w:rPr>
          <w:sz w:val="20"/>
          <w:szCs w:val="20"/>
          <w:color w:val="auto"/>
        </w:rPr>
      </w:pPr>
      <w:r>
        <w:rPr>
          <w:rFonts w:ascii="Arial" w:cs="Arial" w:eastAsia="Arial" w:hAnsi="Arial"/>
          <w:sz w:val="17"/>
          <w:szCs w:val="17"/>
          <w:color w:val="auto"/>
        </w:rPr>
        <w:t>2% and 3% for the third quarter and first nine months of 2026, respectively, due primarily to an increase in the Purdue Global fee recorded. Enrollments at Purdue Global, the largest institutional client, increased 4% for the first nine months of 2026 compared to the first nine months</w:t>
      </w:r>
    </w:p>
    <w:p>
      <w:pPr>
        <w:spacing w:after="0" w:line="1" w:lineRule="exact"/>
        <w:rPr>
          <w:sz w:val="20"/>
          <w:szCs w:val="20"/>
          <w:color w:val="auto"/>
        </w:rPr>
      </w:pPr>
    </w:p>
    <w:p>
      <w:pPr>
        <w:ind w:right="240"/>
        <w:spacing w:after="0" w:line="226" w:lineRule="auto"/>
        <w:rPr>
          <w:sz w:val="20"/>
          <w:szCs w:val="20"/>
          <w:color w:val="auto"/>
        </w:rPr>
      </w:pPr>
      <w:r>
        <w:rPr>
          <w:rFonts w:ascii="Arial" w:cs="Arial" w:eastAsia="Arial" w:hAnsi="Arial"/>
          <w:sz w:val="18"/>
          <w:szCs w:val="18"/>
          <w:color w:val="auto"/>
        </w:rPr>
        <w:t>of 2025. For the third quarters and first nine months of 2026 and 2025, Kaplan recorded the full fee from Purdue Global. The Company will continue to assess the fee it records from Purdue Global on a quarterly basis to make a determination as to whether to record all or part of</w:t>
      </w:r>
    </w:p>
    <w:p>
      <w:pPr>
        <w:spacing w:after="0" w:line="236" w:lineRule="auto"/>
        <w:rPr>
          <w:sz w:val="20"/>
          <w:szCs w:val="20"/>
          <w:color w:val="auto"/>
        </w:rPr>
      </w:pPr>
      <w:r>
        <w:rPr>
          <w:rFonts w:ascii="Arial" w:cs="Arial" w:eastAsia="Arial" w:hAnsi="Arial"/>
          <w:sz w:val="18"/>
          <w:szCs w:val="18"/>
          <w:color w:val="auto"/>
        </w:rPr>
        <w:t>the fee in the future and whether to adjust fee amounts recognized in earlier periods. Higher Education operating results improved in the third</w:t>
      </w:r>
    </w:p>
    <w:p>
      <w:pPr>
        <w:spacing w:after="0" w:line="1"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quarter and first nine months of 2026 due to an increase in the Purdue Global fee recorded, and a decline in higher education development costs.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Supplemental Education includes Kaplan’s standardized test preparation programs and domestic professional and other continuing</w:t>
      </w:r>
    </w:p>
    <w:p>
      <w:pPr>
        <w:spacing w:after="0" w:line="14" w:lineRule="exact"/>
        <w:rPr>
          <w:sz w:val="20"/>
          <w:szCs w:val="20"/>
          <w:color w:val="auto"/>
        </w:rPr>
      </w:pPr>
    </w:p>
    <w:p>
      <w:pPr>
        <w:ind w:right="140"/>
        <w:spacing w:after="0" w:line="226" w:lineRule="auto"/>
        <w:rPr>
          <w:sz w:val="20"/>
          <w:szCs w:val="20"/>
          <w:color w:val="auto"/>
        </w:rPr>
      </w:pPr>
      <w:r>
        <w:rPr>
          <w:rFonts w:ascii="Arial" w:cs="Arial" w:eastAsia="Arial" w:hAnsi="Arial"/>
          <w:sz w:val="18"/>
          <w:szCs w:val="18"/>
          <w:color w:val="auto"/>
        </w:rPr>
        <w:t>education businesses. Supplemental Education revenue was down 2% for the first nine months of 2026 due to declines in the retail channel of its exam preparation programs; offset in part by growth in the institutional channel. Operating results decreased in the third quarter and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first nine months of 2026 due to revenue declines.</w:t>
      </w:r>
    </w:p>
    <w:p>
      <w:pPr>
        <w:spacing w:after="0" w:line="140" w:lineRule="exact"/>
        <w:rPr>
          <w:sz w:val="20"/>
          <w:szCs w:val="20"/>
          <w:color w:val="auto"/>
        </w:rPr>
      </w:pPr>
    </w:p>
    <w:p>
      <w:pPr>
        <w:ind w:right="640"/>
        <w:spacing w:after="0" w:line="256" w:lineRule="auto"/>
        <w:rPr>
          <w:sz w:val="20"/>
          <w:szCs w:val="20"/>
          <w:color w:val="auto"/>
        </w:rPr>
      </w:pPr>
      <w:r>
        <w:rPr>
          <w:rFonts w:ascii="Arial" w:cs="Arial" w:eastAsia="Arial" w:hAnsi="Arial"/>
          <w:sz w:val="18"/>
          <w:szCs w:val="18"/>
          <w:color w:val="auto"/>
        </w:rPr>
        <w:t>Kaplan corporate and other represents unallocated expenses of Kaplan’s corporate office, other minor businesses and certain shared activities.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In the third quarter of 2026, the Company offered a SIP to certain employees at Supplemental Education, Higher Education and Kaplan</w:t>
      </w:r>
    </w:p>
    <w:p>
      <w:pPr>
        <w:spacing w:after="0" w:line="14"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corporate; $1.3 million in related non-operating pension expense was recorded in the third quarter of 2026. In the second quarter of 2026, the Company offered a SIP to certain employees at Supplemental Education, Higher Education, Kaplan International and Kaplan corporate; $1.2</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million in related non-operating</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8"/>
          <w:szCs w:val="18"/>
          <w:color w:val="auto"/>
        </w:rPr>
        <w:t>pension expense was recorded in the second quarter of 2026. In the first quarter of 2026, the Company offered a SIP to certain employees at</w:t>
      </w:r>
    </w:p>
    <w:p>
      <w:pPr>
        <w:spacing w:after="0" w:line="14"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Kaplan International, Higher Education and Supplemental Education; $1.9 million in related non-operating pension expense was recorded in the first quarter of 2026. In the third quarter of 2025, the Company offered a SIP to certain employees at Higher Education and Supplemental</w:t>
      </w:r>
    </w:p>
    <w:p>
      <w:pPr>
        <w:spacing w:after="0" w:line="236" w:lineRule="auto"/>
        <w:rPr>
          <w:sz w:val="20"/>
          <w:szCs w:val="20"/>
          <w:color w:val="auto"/>
        </w:rPr>
      </w:pPr>
      <w:r>
        <w:rPr>
          <w:rFonts w:ascii="Arial" w:cs="Arial" w:eastAsia="Arial" w:hAnsi="Arial"/>
          <w:sz w:val="18"/>
          <w:szCs w:val="18"/>
          <w:color w:val="auto"/>
        </w:rPr>
        <w:t>Education; $1.3 million in related non-operating pension expense was recorded in the third quarter of 2025. In the second quarter of 2025,</w:t>
      </w:r>
    </w:p>
    <w:p>
      <w:pPr>
        <w:spacing w:after="0" w:line="1"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color w:val="auto"/>
        </w:rPr>
        <w:t>the Company offered a SIP to certain employees at Higher Education and Supplemental Education; $ 0.7 million in related non-operating pension expense was recorded in the second quarter of 2025. These programs were funded from the assets of the Company’s pension plan.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In the third quarter of 2026, Kaplan entered into an agreement to sell Dublin Business School (DBS) to China Chunlai Education Group Co.,</w:t>
      </w:r>
    </w:p>
    <w:p>
      <w:pPr>
        <w:spacing w:after="0" w:line="14"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Ltd., a provider of private higher education in China. At September 30, 2026, the Company classified the assets and liabilities of DBS as held for sale. The transaction closed on October 27, 2026. Under the terms of the Share Purchase Agreement, Kaplan sold all of the outstanding</w:t>
      </w:r>
    </w:p>
    <w:p>
      <w:pPr>
        <w:spacing w:after="0" w:line="2" w:lineRule="exact"/>
        <w:rPr>
          <w:sz w:val="20"/>
          <w:szCs w:val="20"/>
          <w:color w:val="auto"/>
        </w:rPr>
      </w:pPr>
    </w:p>
    <w:p>
      <w:pPr>
        <w:ind w:right="500"/>
        <w:spacing w:after="0" w:line="250" w:lineRule="auto"/>
        <w:rPr>
          <w:sz w:val="20"/>
          <w:szCs w:val="20"/>
          <w:color w:val="auto"/>
        </w:rPr>
      </w:pPr>
      <w:r>
        <w:rPr>
          <w:rFonts w:ascii="Arial" w:cs="Arial" w:eastAsia="Arial" w:hAnsi="Arial"/>
          <w:sz w:val="18"/>
          <w:szCs w:val="18"/>
          <w:color w:val="auto"/>
        </w:rPr>
        <w:t>shares of Accountancy &amp; Business College (Ireland) Limited, which operates DBS, together with certain intellectual property, for $127.5 million.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Television Broadcasting</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A summary of television broadcasting’s operating results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80" w:type="dxa"/>
            <w:vAlign w:val="bottom"/>
            <w:gridSpan w:val="3"/>
          </w:tcPr>
          <w:p>
            <w:pPr>
              <w:jc w:val="right"/>
              <w:ind w:right="382"/>
              <w:spacing w:after="0"/>
              <w:rPr>
                <w:sz w:val="20"/>
                <w:szCs w:val="20"/>
                <w:color w:val="auto"/>
              </w:rPr>
            </w:pPr>
            <w:r>
              <w:rPr>
                <w:rFonts w:ascii="Arial" w:cs="Arial" w:eastAsia="Arial" w:hAnsi="Arial"/>
                <w:sz w:val="14"/>
                <w:szCs w:val="14"/>
                <w:b w:val="1"/>
                <w:bCs w:val="1"/>
                <w:color w:val="auto"/>
              </w:rPr>
              <w:t>Three Months Ended</w:t>
            </w: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00" w:type="dxa"/>
            <w:vAlign w:val="bottom"/>
            <w:gridSpan w:val="3"/>
          </w:tcPr>
          <w:p>
            <w:pPr>
              <w:jc w:val="right"/>
              <w:ind w:right="442"/>
              <w:spacing w:after="0"/>
              <w:rPr>
                <w:sz w:val="20"/>
                <w:szCs w:val="20"/>
                <w:color w:val="auto"/>
              </w:rPr>
            </w:pPr>
            <w:r>
              <w:rPr>
                <w:rFonts w:ascii="Arial" w:cs="Arial" w:eastAsia="Arial" w:hAnsi="Arial"/>
                <w:sz w:val="14"/>
                <w:szCs w:val="14"/>
                <w:b w:val="1"/>
                <w:bCs w:val="1"/>
                <w:color w:val="auto"/>
              </w:rPr>
              <w:t>Nine Months Ended</w:t>
            </w:r>
          </w:p>
        </w:tc>
        <w:tc>
          <w:tcPr>
            <w:tcW w:w="1200" w:type="dxa"/>
            <w:vAlign w:val="bottom"/>
          </w:tcPr>
          <w:p>
            <w:pPr>
              <w:spacing w:after="0"/>
              <w:rPr>
                <w:sz w:val="17"/>
                <w:szCs w:val="17"/>
                <w:color w:val="auto"/>
              </w:rPr>
            </w:pPr>
          </w:p>
        </w:tc>
      </w:tr>
      <w:tr>
        <w:trPr>
          <w:trHeight w:val="238"/>
        </w:trPr>
        <w:tc>
          <w:tcPr>
            <w:tcW w:w="40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right"/>
              <w:ind w:right="622"/>
              <w:spacing w:after="0"/>
              <w:rPr>
                <w:sz w:val="20"/>
                <w:szCs w:val="20"/>
                <w:color w:val="auto"/>
              </w:rPr>
            </w:pPr>
            <w:r>
              <w:rPr>
                <w:rFonts w:ascii="Arial" w:cs="Arial" w:eastAsia="Arial" w:hAnsi="Arial"/>
                <w:sz w:val="14"/>
                <w:szCs w:val="14"/>
                <w:b w:val="1"/>
                <w:bCs w:val="1"/>
                <w:color w:val="auto"/>
              </w:rPr>
              <w:t>September 30</w:t>
            </w:r>
          </w:p>
        </w:tc>
        <w:tc>
          <w:tcPr>
            <w:tcW w:w="1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3"/>
          </w:tcPr>
          <w:p>
            <w:pPr>
              <w:jc w:val="right"/>
              <w:ind w:right="642"/>
              <w:spacing w:after="0"/>
              <w:rPr>
                <w:sz w:val="20"/>
                <w:szCs w:val="20"/>
                <w:color w:val="auto"/>
              </w:rPr>
            </w:pPr>
            <w:r>
              <w:rPr>
                <w:rFonts w:ascii="Arial" w:cs="Arial" w:eastAsia="Arial" w:hAnsi="Arial"/>
                <w:sz w:val="14"/>
                <w:szCs w:val="14"/>
                <w:b w:val="1"/>
                <w:bCs w:val="1"/>
                <w:color w:val="auto"/>
              </w:rPr>
              <w:t>September 30</w:t>
            </w:r>
          </w:p>
        </w:tc>
        <w:tc>
          <w:tcPr>
            <w:tcW w:w="1200" w:type="dxa"/>
            <w:vAlign w:val="bottom"/>
          </w:tcPr>
          <w:p>
            <w:pPr>
              <w:spacing w:after="0"/>
              <w:rPr>
                <w:sz w:val="20"/>
                <w:szCs w:val="20"/>
                <w:color w:val="auto"/>
              </w:rPr>
            </w:pPr>
          </w:p>
        </w:tc>
      </w:tr>
      <w:tr>
        <w:trPr>
          <w:trHeight w:val="223"/>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2026</w:t>
            </w: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2025</w:t>
            </w:r>
          </w:p>
        </w:tc>
        <w:tc>
          <w:tcPr>
            <w:tcW w:w="132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color w:val="auto"/>
              </w:rPr>
              <w:t>% Change</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2026</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2025</w:t>
            </w:r>
          </w:p>
        </w:tc>
        <w:tc>
          <w:tcPr>
            <w:tcW w:w="120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color w:val="auto"/>
              </w:rPr>
              <w:t>% Change</w:t>
            </w:r>
          </w:p>
        </w:tc>
      </w:tr>
      <w:tr>
        <w:trPr>
          <w:trHeight w:val="236"/>
        </w:trPr>
        <w:tc>
          <w:tcPr>
            <w:tcW w:w="4020" w:type="dxa"/>
            <w:vAlign w:val="bottom"/>
          </w:tcPr>
          <w:p>
            <w:pPr>
              <w:ind w:left="20"/>
              <w:spacing w:after="0"/>
              <w:rPr>
                <w:sz w:val="20"/>
                <w:szCs w:val="20"/>
                <w:color w:val="auto"/>
              </w:rPr>
            </w:pPr>
            <w:r>
              <w:rPr>
                <w:rFonts w:ascii="Arial" w:cs="Arial" w:eastAsia="Arial" w:hAnsi="Arial"/>
                <w:sz w:val="16"/>
                <w:szCs w:val="16"/>
                <w:color w:val="auto"/>
              </w:rPr>
              <w:t>Revenue</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125,304</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105,087</w:t>
            </w:r>
          </w:p>
        </w:tc>
        <w:tc>
          <w:tcPr>
            <w:tcW w:w="1320" w:type="dxa"/>
            <w:vAlign w:val="bottom"/>
          </w:tcPr>
          <w:p>
            <w:pPr>
              <w:jc w:val="right"/>
              <w:ind w:right="102"/>
              <w:spacing w:after="0"/>
              <w:rPr>
                <w:sz w:val="20"/>
                <w:szCs w:val="20"/>
                <w:color w:val="auto"/>
              </w:rPr>
            </w:pPr>
            <w:r>
              <w:rPr>
                <w:rFonts w:ascii="Arial" w:cs="Arial" w:eastAsia="Arial" w:hAnsi="Arial"/>
                <w:sz w:val="16"/>
                <w:szCs w:val="16"/>
                <w:color w:val="auto"/>
              </w:rPr>
              <w:t>19</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346,487</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314,625</w:t>
            </w: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10</w:t>
            </w:r>
          </w:p>
        </w:tc>
      </w:tr>
      <w:tr>
        <w:trPr>
          <w:trHeight w:val="243"/>
        </w:trPr>
        <w:tc>
          <w:tcPr>
            <w:tcW w:w="402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60" w:type="dxa"/>
            <w:vAlign w:val="bottom"/>
          </w:tcPr>
          <w:p>
            <w:pPr>
              <w:spacing w:after="0"/>
              <w:rPr>
                <w:sz w:val="21"/>
                <w:szCs w:val="21"/>
                <w:color w:val="auto"/>
              </w:rPr>
            </w:pP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48,459</w:t>
            </w: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26,774</w:t>
            </w:r>
          </w:p>
        </w:tc>
        <w:tc>
          <w:tcPr>
            <w:tcW w:w="1320" w:type="dxa"/>
            <w:vAlign w:val="bottom"/>
          </w:tcPr>
          <w:p>
            <w:pPr>
              <w:jc w:val="right"/>
              <w:ind w:right="102"/>
              <w:spacing w:after="0"/>
              <w:rPr>
                <w:sz w:val="20"/>
                <w:szCs w:val="20"/>
                <w:color w:val="auto"/>
              </w:rPr>
            </w:pPr>
            <w:r>
              <w:rPr>
                <w:rFonts w:ascii="Arial" w:cs="Arial" w:eastAsia="Arial" w:hAnsi="Arial"/>
                <w:sz w:val="16"/>
                <w:szCs w:val="16"/>
                <w:color w:val="auto"/>
              </w:rPr>
              <w:t>81</w:t>
            </w:r>
          </w:p>
        </w:tc>
        <w:tc>
          <w:tcPr>
            <w:tcW w:w="260" w:type="dxa"/>
            <w:vAlign w:val="bottom"/>
          </w:tcPr>
          <w:p>
            <w:pPr>
              <w:spacing w:after="0"/>
              <w:rPr>
                <w:sz w:val="21"/>
                <w:szCs w:val="21"/>
                <w:color w:val="auto"/>
              </w:rPr>
            </w:pP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112,885</w:t>
            </w:r>
          </w:p>
        </w:tc>
        <w:tc>
          <w:tcPr>
            <w:tcW w:w="340" w:type="dxa"/>
            <w:vAlign w:val="bottom"/>
          </w:tcPr>
          <w:p>
            <w:pPr>
              <w:spacing w:after="0"/>
              <w:rPr>
                <w:sz w:val="21"/>
                <w:szCs w:val="21"/>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79,112</w:t>
            </w: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43</w:t>
            </w:r>
          </w:p>
        </w:tc>
      </w:tr>
    </w:tbl>
    <w:p>
      <w:pPr>
        <w:spacing w:after="0" w:line="218" w:lineRule="exact"/>
        <w:rPr>
          <w:sz w:val="20"/>
          <w:szCs w:val="20"/>
          <w:color w:val="auto"/>
        </w:rPr>
      </w:pPr>
    </w:p>
    <w:p>
      <w:pPr>
        <w:ind w:right="340"/>
        <w:spacing w:after="0" w:line="253" w:lineRule="auto"/>
        <w:rPr>
          <w:sz w:val="20"/>
          <w:szCs w:val="20"/>
          <w:color w:val="auto"/>
        </w:rPr>
      </w:pPr>
      <w:r>
        <w:rPr>
          <w:rFonts w:ascii="Arial" w:cs="Arial" w:eastAsia="Arial" w:hAnsi="Arial"/>
          <w:sz w:val="18"/>
          <w:szCs w:val="18"/>
          <w:color w:val="auto"/>
        </w:rPr>
        <w:t>Graham Media Group owns seven television stations located in Houston, TX; Detroit, MI; Orlando, FL; San Antonio, TX; Jacksonville, FL; and Roanoke, VA, as well as SocialNewsDesk, a provider of social media management tools designed to connect newsrooms with their users.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Revenue at the television broadcasting division increased 19% to $125.3 million in the third quarter of 2026, from $105.1 million in the same</w:t>
      </w:r>
    </w:p>
    <w:p>
      <w:pPr>
        <w:spacing w:after="0" w:line="14"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period of 2025. The revenue increase is due to a $29.3 million increase in political advertising revenue, partially offset by a $1.4 million decrease in retransmission revenue and declines in local and digital advertising revenue. Operating income for the third quarter of 2026 was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up 81% to $48.5 million, from $26.8 million in the same period of 2025, due to higher revenues.</w:t>
      </w:r>
    </w:p>
    <w:p>
      <w:pPr>
        <w:spacing w:after="0" w:line="140" w:lineRule="exact"/>
        <w:rPr>
          <w:sz w:val="20"/>
          <w:szCs w:val="20"/>
          <w:color w:val="auto"/>
        </w:rPr>
      </w:pPr>
    </w:p>
    <w:p>
      <w:pPr>
        <w:ind w:right="460"/>
        <w:spacing w:after="0" w:line="237" w:lineRule="auto"/>
        <w:rPr>
          <w:sz w:val="20"/>
          <w:szCs w:val="20"/>
          <w:color w:val="auto"/>
        </w:rPr>
      </w:pPr>
      <w:r>
        <w:rPr>
          <w:rFonts w:ascii="Arial" w:cs="Arial" w:eastAsia="Arial" w:hAnsi="Arial"/>
          <w:sz w:val="18"/>
          <w:szCs w:val="18"/>
          <w:color w:val="auto"/>
        </w:rPr>
        <w:t>Revenue at the television broadcasting division was up 10% to $346.5 million in the first nine months of 2026, from $314.6 million in the same period of 2025. The revenue increase is due to a $45.0 million increase in political advertising revenue and increases from winter</w:t>
      </w:r>
    </w:p>
    <w:p>
      <w:pPr>
        <w:spacing w:after="0" w:line="235" w:lineRule="auto"/>
        <w:rPr>
          <w:sz w:val="20"/>
          <w:szCs w:val="20"/>
          <w:color w:val="auto"/>
        </w:rPr>
      </w:pPr>
      <w:r>
        <w:rPr>
          <w:rFonts w:ascii="Arial" w:cs="Arial" w:eastAsia="Arial" w:hAnsi="Arial"/>
          <w:sz w:val="18"/>
          <w:szCs w:val="18"/>
          <w:color w:val="auto"/>
        </w:rPr>
        <w:t>Olympics and Super Bowl advertising revenue at the Company’s NBC affiliates in the first quarter of 2026, partially offset by a $6.6 million</w:t>
      </w:r>
    </w:p>
    <w:p>
      <w:pPr>
        <w:spacing w:after="0" w:line="1"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decrease in retransmission revenue and declines in local and digital advertising revenue. Operating income for the first nine months of 2026 was up 43% to $112.9 million, from $79.1 million in the same period of 2025, due to higher revenues.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While per subscriber rates from cable, satellite and OTT providers have grown, overall cable and satellite subscribers are down due to cord</w:t>
      </w:r>
    </w:p>
    <w:p>
      <w:pPr>
        <w:spacing w:after="0" w:line="14"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cutting, resulting in retransmission revenue net of network fees in 2026 expected to decline compared with 2025, and this trend is expected to continue.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 the first and second quarters of 2026, the Company offered SIPs to certain employees at the television broadcasting division; $0.6 million</w:t>
      </w:r>
    </w:p>
    <w:p>
      <w:pPr>
        <w:spacing w:after="0" w:line="14" w:lineRule="exact"/>
        <w:rPr>
          <w:sz w:val="20"/>
          <w:szCs w:val="20"/>
          <w:color w:val="auto"/>
        </w:rPr>
      </w:pPr>
    </w:p>
    <w:p>
      <w:pPr>
        <w:ind w:right="320"/>
        <w:spacing w:after="0"/>
        <w:rPr>
          <w:sz w:val="20"/>
          <w:szCs w:val="20"/>
          <w:color w:val="auto"/>
        </w:rPr>
      </w:pPr>
      <w:r>
        <w:rPr>
          <w:rFonts w:ascii="Arial" w:cs="Arial" w:eastAsia="Arial" w:hAnsi="Arial"/>
          <w:sz w:val="17"/>
          <w:szCs w:val="17"/>
          <w:color w:val="auto"/>
        </w:rPr>
        <w:t>and $0.3 million, respectively, in related non-operating pension expense was recorded. In the second and third quarters of 2025, the Company offered SIPs to certain employees at the television broadcasting division; $0.1 million in related non-operating pension expense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was recorded. These programs were funded from the assets of the Company’s pension plan.</w:t>
      </w:r>
    </w:p>
    <w:p>
      <w:pPr>
        <w:spacing w:after="0" w:line="140"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auto"/>
        </w:rPr>
        <w:t>In May 2026, the Company’s television station in Orlando (WKMG) entered into a new network affiliation agreement with CBS that covers the period July 1, 2026 through December 31, 2027. In March 2026, the Company’s television station in San Antonio (KSAT) entered into a new</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network affiliation agreement with ABC that covers the period April 1, 2026 through March 31, 2030.</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Healthcare division revenue totaled $260.3 million for the third quarter of 2026, up 25% from $208.4 million for the same period of 2025.</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Healthcare reported operating income of $23.2 million for the third quarter of 2026, compared to $21.0 million for the third quarter of 2025.</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Healthcare division revenue totaled $717.2 million for the first nine months of 2026, up 23% from $584.4 million for the same period of 2025.</w:t>
      </w:r>
    </w:p>
    <w:p>
      <w:pPr>
        <w:spacing w:after="0" w:line="14" w:lineRule="exact"/>
        <w:rPr>
          <w:sz w:val="20"/>
          <w:szCs w:val="20"/>
          <w:color w:val="auto"/>
        </w:rPr>
      </w:pPr>
    </w:p>
    <w:p>
      <w:pPr>
        <w:ind w:right="420"/>
        <w:spacing w:after="0" w:line="237" w:lineRule="auto"/>
        <w:rPr>
          <w:sz w:val="20"/>
          <w:szCs w:val="20"/>
          <w:color w:val="auto"/>
        </w:rPr>
      </w:pPr>
      <w:r>
        <w:rPr>
          <w:rFonts w:ascii="Arial" w:cs="Arial" w:eastAsia="Arial" w:hAnsi="Arial"/>
          <w:sz w:val="18"/>
          <w:szCs w:val="18"/>
          <w:color w:val="auto"/>
        </w:rPr>
        <w:t>Healthcare reported operating income of $65.3 million for the first nine months of 2026, compared to $64.4 million for the same period of 2025.</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 summary of healthcare division’s operating results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8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rPr>
              <w:t>Three Months Ended</w:t>
            </w: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8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rPr>
              <w:t>Nine Months Ended</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4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8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rPr>
              <w:t>September 30</w:t>
            </w: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8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rPr>
              <w:t>September 30</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2026</w:t>
            </w:r>
          </w:p>
        </w:tc>
        <w:tc>
          <w:tcPr>
            <w:tcW w:w="3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4"/>
                <w:szCs w:val="14"/>
                <w:color w:val="auto"/>
              </w:rPr>
              <w:t>2025</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color w:val="auto"/>
              </w:rPr>
              <w:t>% Change</w:t>
            </w: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2026</w:t>
            </w:r>
          </w:p>
        </w:tc>
        <w:tc>
          <w:tcPr>
            <w:tcW w:w="3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20"/>
              <w:spacing w:after="0"/>
              <w:rPr>
                <w:sz w:val="20"/>
                <w:szCs w:val="20"/>
                <w:color w:val="auto"/>
              </w:rPr>
            </w:pPr>
            <w:r>
              <w:rPr>
                <w:rFonts w:ascii="Arial" w:cs="Arial" w:eastAsia="Arial" w:hAnsi="Arial"/>
                <w:sz w:val="14"/>
                <w:szCs w:val="14"/>
                <w:color w:val="auto"/>
              </w:rPr>
              <w:t>2025</w:t>
            </w: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35"/>
        </w:trPr>
        <w:tc>
          <w:tcPr>
            <w:tcW w:w="4080" w:type="dxa"/>
            <w:vAlign w:val="bottom"/>
          </w:tcPr>
          <w:p>
            <w:pPr>
              <w:ind w:left="20"/>
              <w:spacing w:after="0"/>
              <w:rPr>
                <w:sz w:val="20"/>
                <w:szCs w:val="20"/>
                <w:color w:val="auto"/>
              </w:rPr>
            </w:pPr>
            <w:r>
              <w:rPr>
                <w:rFonts w:ascii="Arial" w:cs="Arial" w:eastAsia="Arial" w:hAnsi="Arial"/>
                <w:sz w:val="16"/>
                <w:szCs w:val="16"/>
                <w:b w:val="1"/>
                <w:bCs w:val="1"/>
                <w:color w:val="auto"/>
              </w:rPr>
              <w:t>Revenue</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80" w:type="dxa"/>
            <w:vAlign w:val="bottom"/>
          </w:tcPr>
          <w:p>
            <w:pPr>
              <w:ind w:left="20"/>
              <w:spacing w:after="0"/>
              <w:rPr>
                <w:sz w:val="20"/>
                <w:szCs w:val="20"/>
                <w:color w:val="auto"/>
              </w:rPr>
            </w:pPr>
            <w:r>
              <w:rPr>
                <w:rFonts w:ascii="Arial" w:cs="Arial" w:eastAsia="Arial" w:hAnsi="Arial"/>
                <w:sz w:val="16"/>
                <w:szCs w:val="16"/>
                <w:color w:val="auto"/>
              </w:rPr>
              <w:t>CSI</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22"/>
              <w:spacing w:after="0"/>
              <w:rPr>
                <w:sz w:val="20"/>
                <w:szCs w:val="20"/>
                <w:color w:val="auto"/>
              </w:rPr>
            </w:pPr>
            <w:r>
              <w:rPr>
                <w:rFonts w:ascii="Arial" w:cs="Arial" w:eastAsia="Arial" w:hAnsi="Arial"/>
                <w:sz w:val="16"/>
                <w:szCs w:val="16"/>
                <w:b w:val="1"/>
                <w:bCs w:val="1"/>
                <w:color w:val="auto"/>
              </w:rPr>
              <w:t>162,289</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120,382</w:t>
            </w:r>
          </w:p>
        </w:tc>
        <w:tc>
          <w:tcPr>
            <w:tcW w:w="120" w:type="dxa"/>
            <w:vAlign w:val="bottom"/>
          </w:tcPr>
          <w:p>
            <w:pPr>
              <w:spacing w:after="0"/>
              <w:rPr>
                <w:sz w:val="21"/>
                <w:szCs w:val="21"/>
                <w:color w:val="auto"/>
              </w:rPr>
            </w:pPr>
          </w:p>
        </w:tc>
        <w:tc>
          <w:tcPr>
            <w:tcW w:w="1200" w:type="dxa"/>
            <w:vAlign w:val="bottom"/>
          </w:tcPr>
          <w:p>
            <w:pPr>
              <w:jc w:val="right"/>
              <w:ind w:right="100"/>
              <w:spacing w:after="0"/>
              <w:rPr>
                <w:sz w:val="20"/>
                <w:szCs w:val="20"/>
                <w:color w:val="auto"/>
              </w:rPr>
            </w:pPr>
            <w:r>
              <w:rPr>
                <w:rFonts w:ascii="Arial" w:cs="Arial" w:eastAsia="Arial" w:hAnsi="Arial"/>
                <w:sz w:val="16"/>
                <w:szCs w:val="16"/>
                <w:color w:val="auto"/>
              </w:rPr>
              <w:t>35</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22"/>
              <w:spacing w:after="0"/>
              <w:rPr>
                <w:sz w:val="20"/>
                <w:szCs w:val="20"/>
                <w:color w:val="auto"/>
              </w:rPr>
            </w:pPr>
            <w:r>
              <w:rPr>
                <w:rFonts w:ascii="Arial" w:cs="Arial" w:eastAsia="Arial" w:hAnsi="Arial"/>
                <w:sz w:val="16"/>
                <w:szCs w:val="16"/>
                <w:b w:val="1"/>
                <w:bCs w:val="1"/>
                <w:color w:val="auto"/>
              </w:rPr>
              <w:t>428,593</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324,045</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47"/>
        </w:trPr>
        <w:tc>
          <w:tcPr>
            <w:tcW w:w="4080" w:type="dxa"/>
            <w:vAlign w:val="bottom"/>
          </w:tcPr>
          <w:p>
            <w:pPr>
              <w:ind w:left="20"/>
              <w:spacing w:after="0"/>
              <w:rPr>
                <w:sz w:val="20"/>
                <w:szCs w:val="20"/>
                <w:color w:val="auto"/>
              </w:rPr>
            </w:pPr>
            <w:r>
              <w:rPr>
                <w:rFonts w:ascii="Arial" w:cs="Arial" w:eastAsia="Arial" w:hAnsi="Arial"/>
                <w:sz w:val="16"/>
                <w:szCs w:val="16"/>
                <w:color w:val="auto"/>
              </w:rPr>
              <w:t>Other Healthcare</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97,963</w:t>
            </w:r>
          </w:p>
        </w:tc>
        <w:tc>
          <w:tcPr>
            <w:tcW w:w="3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88,033</w:t>
            </w:r>
          </w:p>
        </w:tc>
        <w:tc>
          <w:tcPr>
            <w:tcW w:w="120" w:type="dxa"/>
            <w:vAlign w:val="bottom"/>
            <w:tcBorders>
              <w:bottom w:val="single" w:sz="8" w:color="auto"/>
            </w:tcBorders>
          </w:tcPr>
          <w:p>
            <w:pPr>
              <w:spacing w:after="0"/>
              <w:rPr>
                <w:sz w:val="21"/>
                <w:szCs w:val="21"/>
                <w:color w:val="auto"/>
              </w:rPr>
            </w:pPr>
          </w:p>
        </w:tc>
        <w:tc>
          <w:tcPr>
            <w:tcW w:w="1200" w:type="dxa"/>
            <w:vAlign w:val="bottom"/>
          </w:tcPr>
          <w:p>
            <w:pPr>
              <w:jc w:val="right"/>
              <w:ind w:right="100"/>
              <w:spacing w:after="0"/>
              <w:rPr>
                <w:sz w:val="20"/>
                <w:szCs w:val="20"/>
                <w:color w:val="auto"/>
              </w:rPr>
            </w:pPr>
            <w:r>
              <w:rPr>
                <w:rFonts w:ascii="Arial" w:cs="Arial" w:eastAsia="Arial" w:hAnsi="Arial"/>
                <w:sz w:val="16"/>
                <w:szCs w:val="16"/>
                <w:color w:val="auto"/>
              </w:rPr>
              <w:t>11</w:t>
            </w: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288,650</w:t>
            </w:r>
          </w:p>
        </w:tc>
        <w:tc>
          <w:tcPr>
            <w:tcW w:w="3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260,330</w:t>
            </w:r>
          </w:p>
        </w:tc>
        <w:tc>
          <w:tcPr>
            <w:tcW w:w="100" w:type="dxa"/>
            <w:vAlign w:val="bottom"/>
            <w:tcBorders>
              <w:bottom w:val="single" w:sz="8" w:color="auto"/>
            </w:tcBorders>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40"/>
        </w:trPr>
        <w:tc>
          <w:tcPr>
            <w:tcW w:w="4080" w:type="dxa"/>
            <w:vAlign w:val="bottom"/>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260,252</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208,415</w:t>
            </w:r>
          </w:p>
        </w:tc>
        <w:tc>
          <w:tcPr>
            <w:tcW w:w="120" w:type="dxa"/>
            <w:vAlign w:val="bottom"/>
            <w:tcBorders>
              <w:bottom w:val="single" w:sz="8" w:color="auto"/>
            </w:tcBorders>
          </w:tcPr>
          <w:p>
            <w:pPr>
              <w:spacing w:after="0"/>
              <w:rPr>
                <w:sz w:val="20"/>
                <w:szCs w:val="20"/>
                <w:color w:val="auto"/>
              </w:rPr>
            </w:pPr>
          </w:p>
        </w:tc>
        <w:tc>
          <w:tcPr>
            <w:tcW w:w="1200" w:type="dxa"/>
            <w:vAlign w:val="bottom"/>
          </w:tcPr>
          <w:p>
            <w:pPr>
              <w:jc w:val="right"/>
              <w:ind w:right="100"/>
              <w:spacing w:after="0"/>
              <w:rPr>
                <w:sz w:val="20"/>
                <w:szCs w:val="20"/>
                <w:color w:val="auto"/>
              </w:rPr>
            </w:pPr>
            <w:r>
              <w:rPr>
                <w:rFonts w:ascii="Arial" w:cs="Arial" w:eastAsia="Arial" w:hAnsi="Arial"/>
                <w:sz w:val="16"/>
                <w:szCs w:val="16"/>
                <w:color w:val="auto"/>
              </w:rPr>
              <w:t>25</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717,243</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584,375</w:t>
            </w:r>
          </w:p>
        </w:tc>
        <w:tc>
          <w:tcPr>
            <w:tcW w:w="100" w:type="dxa"/>
            <w:vAlign w:val="bottom"/>
            <w:tcBorders>
              <w:bottom w:val="single" w:sz="8" w:color="auto"/>
            </w:tcBorders>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
        </w:trPr>
        <w:tc>
          <w:tcPr>
            <w:tcW w:w="40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Operating Income</w:t>
            </w: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40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080" w:type="dxa"/>
            <w:vAlign w:val="bottom"/>
          </w:tcPr>
          <w:p>
            <w:pPr>
              <w:ind w:left="20"/>
              <w:spacing w:after="0"/>
              <w:rPr>
                <w:sz w:val="20"/>
                <w:szCs w:val="20"/>
                <w:color w:val="auto"/>
              </w:rPr>
            </w:pPr>
            <w:r>
              <w:rPr>
                <w:rFonts w:ascii="Arial" w:cs="Arial" w:eastAsia="Arial" w:hAnsi="Arial"/>
                <w:sz w:val="16"/>
                <w:szCs w:val="16"/>
                <w:color w:val="auto"/>
              </w:rPr>
              <w:t>CSI</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22"/>
              <w:spacing w:after="0"/>
              <w:rPr>
                <w:sz w:val="20"/>
                <w:szCs w:val="20"/>
                <w:color w:val="auto"/>
              </w:rPr>
            </w:pPr>
            <w:r>
              <w:rPr>
                <w:rFonts w:ascii="Arial" w:cs="Arial" w:eastAsia="Arial" w:hAnsi="Arial"/>
                <w:sz w:val="16"/>
                <w:szCs w:val="16"/>
                <w:b w:val="1"/>
                <w:bCs w:val="1"/>
                <w:color w:val="auto"/>
              </w:rPr>
              <w:t>14,741</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13,397</w:t>
            </w:r>
          </w:p>
        </w:tc>
        <w:tc>
          <w:tcPr>
            <w:tcW w:w="120" w:type="dxa"/>
            <w:vAlign w:val="bottom"/>
          </w:tcPr>
          <w:p>
            <w:pPr>
              <w:spacing w:after="0"/>
              <w:rPr>
                <w:sz w:val="21"/>
                <w:szCs w:val="21"/>
                <w:color w:val="auto"/>
              </w:rPr>
            </w:pPr>
          </w:p>
        </w:tc>
        <w:tc>
          <w:tcPr>
            <w:tcW w:w="1200" w:type="dxa"/>
            <w:vAlign w:val="bottom"/>
          </w:tcPr>
          <w:p>
            <w:pPr>
              <w:jc w:val="right"/>
              <w:ind w:right="100"/>
              <w:spacing w:after="0"/>
              <w:rPr>
                <w:sz w:val="20"/>
                <w:szCs w:val="20"/>
                <w:color w:val="auto"/>
              </w:rPr>
            </w:pPr>
            <w:r>
              <w:rPr>
                <w:rFonts w:ascii="Arial" w:cs="Arial" w:eastAsia="Arial" w:hAnsi="Arial"/>
                <w:sz w:val="16"/>
                <w:szCs w:val="16"/>
                <w:color w:val="auto"/>
              </w:rPr>
              <w:t>10</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22"/>
              <w:spacing w:after="0"/>
              <w:rPr>
                <w:sz w:val="20"/>
                <w:szCs w:val="20"/>
                <w:color w:val="auto"/>
              </w:rPr>
            </w:pPr>
            <w:r>
              <w:rPr>
                <w:rFonts w:ascii="Arial" w:cs="Arial" w:eastAsia="Arial" w:hAnsi="Arial"/>
                <w:sz w:val="16"/>
                <w:szCs w:val="16"/>
                <w:b w:val="1"/>
                <w:bCs w:val="1"/>
                <w:color w:val="auto"/>
              </w:rPr>
              <w:t>33,551</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37,037</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47"/>
        </w:trPr>
        <w:tc>
          <w:tcPr>
            <w:tcW w:w="4080" w:type="dxa"/>
            <w:vAlign w:val="bottom"/>
          </w:tcPr>
          <w:p>
            <w:pPr>
              <w:ind w:left="20"/>
              <w:spacing w:after="0"/>
              <w:rPr>
                <w:sz w:val="20"/>
                <w:szCs w:val="20"/>
                <w:color w:val="auto"/>
              </w:rPr>
            </w:pPr>
            <w:r>
              <w:rPr>
                <w:rFonts w:ascii="Arial" w:cs="Arial" w:eastAsia="Arial" w:hAnsi="Arial"/>
                <w:sz w:val="16"/>
                <w:szCs w:val="16"/>
                <w:color w:val="auto"/>
              </w:rPr>
              <w:t>Other Healthcare</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8,503</w:t>
            </w:r>
          </w:p>
        </w:tc>
        <w:tc>
          <w:tcPr>
            <w:tcW w:w="3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7,595</w:t>
            </w:r>
          </w:p>
        </w:tc>
        <w:tc>
          <w:tcPr>
            <w:tcW w:w="120" w:type="dxa"/>
            <w:vAlign w:val="bottom"/>
            <w:tcBorders>
              <w:bottom w:val="single" w:sz="8" w:color="auto"/>
            </w:tcBorders>
          </w:tcPr>
          <w:p>
            <w:pPr>
              <w:spacing w:after="0"/>
              <w:rPr>
                <w:sz w:val="21"/>
                <w:szCs w:val="21"/>
                <w:color w:val="auto"/>
              </w:rPr>
            </w:pPr>
          </w:p>
        </w:tc>
        <w:tc>
          <w:tcPr>
            <w:tcW w:w="1200" w:type="dxa"/>
            <w:vAlign w:val="bottom"/>
          </w:tcPr>
          <w:p>
            <w:pPr>
              <w:jc w:val="right"/>
              <w:ind w:right="100"/>
              <w:spacing w:after="0"/>
              <w:rPr>
                <w:sz w:val="20"/>
                <w:szCs w:val="20"/>
                <w:color w:val="auto"/>
              </w:rPr>
            </w:pPr>
            <w:r>
              <w:rPr>
                <w:rFonts w:ascii="Arial" w:cs="Arial" w:eastAsia="Arial" w:hAnsi="Arial"/>
                <w:sz w:val="16"/>
                <w:szCs w:val="16"/>
                <w:color w:val="auto"/>
              </w:rPr>
              <w:t>12</w:t>
            </w: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31,729</w:t>
            </w:r>
          </w:p>
        </w:tc>
        <w:tc>
          <w:tcPr>
            <w:tcW w:w="3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27,369</w:t>
            </w:r>
          </w:p>
        </w:tc>
        <w:tc>
          <w:tcPr>
            <w:tcW w:w="100" w:type="dxa"/>
            <w:vAlign w:val="bottom"/>
            <w:tcBorders>
              <w:bottom w:val="single" w:sz="8" w:color="auto"/>
            </w:tcBorders>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40"/>
        </w:trPr>
        <w:tc>
          <w:tcPr>
            <w:tcW w:w="4080" w:type="dxa"/>
            <w:vAlign w:val="bottom"/>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23,244</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20,992</w:t>
            </w:r>
          </w:p>
        </w:tc>
        <w:tc>
          <w:tcPr>
            <w:tcW w:w="120" w:type="dxa"/>
            <w:vAlign w:val="bottom"/>
            <w:tcBorders>
              <w:bottom w:val="single" w:sz="8" w:color="auto"/>
            </w:tcBorders>
          </w:tcPr>
          <w:p>
            <w:pPr>
              <w:spacing w:after="0"/>
              <w:rPr>
                <w:sz w:val="20"/>
                <w:szCs w:val="20"/>
                <w:color w:val="auto"/>
              </w:rPr>
            </w:pPr>
          </w:p>
        </w:tc>
        <w:tc>
          <w:tcPr>
            <w:tcW w:w="1200" w:type="dxa"/>
            <w:vAlign w:val="bottom"/>
          </w:tcPr>
          <w:p>
            <w:pPr>
              <w:jc w:val="right"/>
              <w:ind w:right="100"/>
              <w:spacing w:after="0"/>
              <w:rPr>
                <w:sz w:val="20"/>
                <w:szCs w:val="20"/>
                <w:color w:val="auto"/>
              </w:rPr>
            </w:pPr>
            <w:r>
              <w:rPr>
                <w:rFonts w:ascii="Arial" w:cs="Arial" w:eastAsia="Arial" w:hAnsi="Arial"/>
                <w:sz w:val="16"/>
                <w:szCs w:val="16"/>
                <w:color w:val="auto"/>
              </w:rPr>
              <w:t>11</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65,280</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64,406</w:t>
            </w:r>
          </w:p>
        </w:tc>
        <w:tc>
          <w:tcPr>
            <w:tcW w:w="100" w:type="dxa"/>
            <w:vAlign w:val="bottom"/>
            <w:tcBorders>
              <w:bottom w:val="single" w:sz="8" w:color="auto"/>
            </w:tcBorders>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
        </w:trPr>
        <w:tc>
          <w:tcPr>
            <w:tcW w:w="4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280"/>
        <w:spacing w:after="0" w:line="245" w:lineRule="auto"/>
        <w:rPr>
          <w:sz w:val="20"/>
          <w:szCs w:val="20"/>
          <w:color w:val="auto"/>
        </w:rPr>
      </w:pPr>
      <w:r>
        <w:rPr>
          <w:rFonts w:ascii="Arial" w:cs="Arial" w:eastAsia="Arial" w:hAnsi="Arial"/>
          <w:sz w:val="18"/>
          <w:szCs w:val="18"/>
          <w:color w:val="auto"/>
        </w:rPr>
        <w:t>The healthcare group provides nursing care and prescription services for patients receiving in-home infusion treatments through its 93.4% interest in CSI Pharmacy Holding Company, LLC (CSI). In August 2025, CSI purchased Pine Drug Holdings, LLC and was issued a</w:t>
      </w:r>
    </w:p>
    <w:p>
      <w:pPr>
        <w:ind w:right="20"/>
        <w:spacing w:after="0" w:line="226" w:lineRule="auto"/>
        <w:rPr>
          <w:sz w:val="20"/>
          <w:szCs w:val="20"/>
          <w:color w:val="auto"/>
        </w:rPr>
      </w:pPr>
      <w:r>
        <w:rPr>
          <w:rFonts w:ascii="Arial" w:cs="Arial" w:eastAsia="Arial" w:hAnsi="Arial"/>
          <w:sz w:val="18"/>
          <w:szCs w:val="18"/>
          <w:color w:val="auto"/>
        </w:rPr>
        <w:t>California pharmacy license, with dispensing operations commencing late in the fourth quarter of 2025. CSI revenue increased 35% and 32% for the third quarter and first nine months of 2026, respectively, from continued expansion of treatment offerings and patient service areas.</w:t>
      </w:r>
    </w:p>
    <w:p>
      <w:pPr>
        <w:spacing w:after="0" w:line="236" w:lineRule="auto"/>
        <w:rPr>
          <w:sz w:val="20"/>
          <w:szCs w:val="20"/>
          <w:color w:val="auto"/>
        </w:rPr>
      </w:pPr>
      <w:r>
        <w:rPr>
          <w:rFonts w:ascii="Arial" w:cs="Arial" w:eastAsia="Arial" w:hAnsi="Arial"/>
          <w:sz w:val="18"/>
          <w:szCs w:val="18"/>
          <w:color w:val="auto"/>
        </w:rPr>
        <w:t>Operating results were up 10% in the third quarter of 2026 due to improved operating margins for certain products from the first half of 2026,</w:t>
      </w:r>
    </w:p>
    <w:p>
      <w:pPr>
        <w:spacing w:after="0" w:line="1" w:lineRule="exact"/>
        <w:rPr>
          <w:sz w:val="20"/>
          <w:szCs w:val="20"/>
          <w:color w:val="auto"/>
        </w:rPr>
      </w:pPr>
    </w:p>
    <w:p>
      <w:pPr>
        <w:ind w:right="240"/>
        <w:spacing w:after="0"/>
        <w:rPr>
          <w:sz w:val="20"/>
          <w:szCs w:val="20"/>
          <w:color w:val="auto"/>
        </w:rPr>
      </w:pPr>
      <w:r>
        <w:rPr>
          <w:rFonts w:ascii="Arial" w:cs="Arial" w:eastAsia="Arial" w:hAnsi="Arial"/>
          <w:sz w:val="17"/>
          <w:szCs w:val="17"/>
          <w:color w:val="auto"/>
        </w:rPr>
        <w:t>partially offset by increased incentive compensation expense. Operating results were down for the first nine months of 2026 due to various operational investments including expanding CSI’s pharmacy facility locations; lower operating margins for certain products compared with</w:t>
      </w:r>
    </w:p>
    <w:p>
      <w:pPr>
        <w:spacing w:after="0" w:line="1" w:lineRule="exact"/>
        <w:rPr>
          <w:sz w:val="20"/>
          <w:szCs w:val="20"/>
          <w:color w:val="auto"/>
        </w:rPr>
      </w:pPr>
    </w:p>
    <w:p>
      <w:pPr>
        <w:ind w:right="240"/>
        <w:spacing w:after="0" w:line="250" w:lineRule="auto"/>
        <w:rPr>
          <w:sz w:val="20"/>
          <w:szCs w:val="20"/>
          <w:color w:val="auto"/>
        </w:rPr>
      </w:pPr>
      <w:r>
        <w:rPr>
          <w:rFonts w:ascii="Arial" w:cs="Arial" w:eastAsia="Arial" w:hAnsi="Arial"/>
          <w:sz w:val="18"/>
          <w:szCs w:val="18"/>
          <w:color w:val="auto"/>
        </w:rPr>
        <w:t>the first nine months of 2025; and increased incentive compensation expense. The Company expects continued revenue growth at CSI for the remainder of 2026 compared with 2025.</w:t>
      </w:r>
    </w:p>
    <w:p>
      <w:pPr>
        <w:spacing w:after="0" w:line="104" w:lineRule="exact"/>
        <w:rPr>
          <w:sz w:val="20"/>
          <w:szCs w:val="20"/>
          <w:color w:val="auto"/>
        </w:rPr>
      </w:pPr>
    </w:p>
    <w:p>
      <w:pPr>
        <w:ind w:right="240"/>
        <w:spacing w:after="0" w:line="259" w:lineRule="auto"/>
        <w:rPr>
          <w:sz w:val="20"/>
          <w:szCs w:val="20"/>
          <w:color w:val="auto"/>
        </w:rPr>
      </w:pPr>
      <w:r>
        <w:rPr>
          <w:rFonts w:ascii="Arial" w:cs="Arial" w:eastAsia="Arial" w:hAnsi="Arial"/>
          <w:sz w:val="17"/>
          <w:szCs w:val="17"/>
          <w:color w:val="auto"/>
        </w:rPr>
        <w:t>Healthcare also includes Graham Healthcare Group (GHG), which provides home health and hospice services in seven states. In March 2026, GHG acquired Covenant Home Health of Havertown, PA, a home health provider in Eastern Pennsylvania. Healthcare also includes</w:t>
      </w:r>
    </w:p>
    <w:p>
      <w:pPr>
        <w:spacing w:after="0" w:line="1" w:lineRule="exact"/>
        <w:rPr>
          <w:sz w:val="20"/>
          <w:szCs w:val="20"/>
          <w:color w:val="auto"/>
        </w:rPr>
      </w:pPr>
    </w:p>
    <w:p>
      <w:pPr>
        <w:ind w:right="380"/>
        <w:spacing w:after="0"/>
        <w:rPr>
          <w:sz w:val="20"/>
          <w:szCs w:val="20"/>
          <w:color w:val="auto"/>
        </w:rPr>
      </w:pPr>
      <w:r>
        <w:rPr>
          <w:rFonts w:ascii="Arial" w:cs="Arial" w:eastAsia="Arial" w:hAnsi="Arial"/>
          <w:sz w:val="17"/>
          <w:szCs w:val="17"/>
          <w:color w:val="auto"/>
        </w:rPr>
        <w:t>four other businesses: Clarus (provides call management SaaS-based solution for physician groups and hospitals), Impact Medical (an allergy, asthma and immunology physician practice), Skin Clique (a concierge provider of aesthetics products and services) and Surpass</w:t>
      </w:r>
    </w:p>
    <w:p>
      <w:pPr>
        <w:spacing w:after="0" w:line="1" w:lineRule="exact"/>
        <w:rPr>
          <w:sz w:val="20"/>
          <w:szCs w:val="20"/>
          <w:color w:val="auto"/>
        </w:rPr>
      </w:pPr>
    </w:p>
    <w:p>
      <w:pPr>
        <w:ind w:right="220"/>
        <w:spacing w:after="0" w:line="226" w:lineRule="auto"/>
        <w:rPr>
          <w:sz w:val="20"/>
          <w:szCs w:val="20"/>
          <w:color w:val="auto"/>
        </w:rPr>
      </w:pPr>
      <w:r>
        <w:rPr>
          <w:rFonts w:ascii="Arial" w:cs="Arial" w:eastAsia="Arial" w:hAnsi="Arial"/>
          <w:sz w:val="18"/>
          <w:szCs w:val="18"/>
          <w:color w:val="auto"/>
        </w:rPr>
        <w:t>Behavioral Health (provides therapy for autism patients). Revenue increased in other healthcare by 11% in both the third quarter and first nine months of 2026 from growth in home health and hospice services and the other healthcare businesses. Operating results improved at</w:t>
      </w:r>
    </w:p>
    <w:p>
      <w:pPr>
        <w:spacing w:after="0" w:line="2" w:lineRule="exact"/>
        <w:rPr>
          <w:sz w:val="20"/>
          <w:szCs w:val="20"/>
          <w:color w:val="auto"/>
        </w:rPr>
      </w:pPr>
    </w:p>
    <w:p>
      <w:pPr>
        <w:ind w:right="180"/>
        <w:spacing w:after="0" w:line="250" w:lineRule="auto"/>
        <w:rPr>
          <w:sz w:val="20"/>
          <w:szCs w:val="20"/>
          <w:color w:val="auto"/>
        </w:rPr>
      </w:pPr>
      <w:r>
        <w:rPr>
          <w:rFonts w:ascii="Arial" w:cs="Arial" w:eastAsia="Arial" w:hAnsi="Arial"/>
          <w:sz w:val="18"/>
          <w:szCs w:val="18"/>
          <w:color w:val="auto"/>
        </w:rPr>
        <w:t>home health and hospice in the third quarter and first nine months of 2026, partly due to a reduction in pension expense. Overall, operating results declined at the four other healthcare businesses in the third quarter and first nine months of 2026.</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In the third quarter of 2025, home health and hospice recorded $1.0 million of lease impairment charges.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Company also holds interests in four home health and hospice joint ventures managed by GHG, whose results are included in equity in</w:t>
      </w:r>
    </w:p>
    <w:p>
      <w:pPr>
        <w:spacing w:after="0" w:line="14" w:lineRule="exact"/>
        <w:rPr>
          <w:sz w:val="20"/>
          <w:szCs w:val="20"/>
          <w:color w:val="auto"/>
        </w:rPr>
      </w:pPr>
    </w:p>
    <w:p>
      <w:pPr>
        <w:ind w:right="380"/>
        <w:spacing w:after="0" w:line="226" w:lineRule="auto"/>
        <w:rPr>
          <w:sz w:val="20"/>
          <w:szCs w:val="20"/>
          <w:color w:val="auto"/>
        </w:rPr>
      </w:pPr>
      <w:r>
        <w:rPr>
          <w:rFonts w:ascii="Arial" w:cs="Arial" w:eastAsia="Arial" w:hAnsi="Arial"/>
          <w:sz w:val="18"/>
          <w:szCs w:val="18"/>
          <w:color w:val="auto"/>
        </w:rPr>
        <w:t>earnings of affiliates in the Company’s Condensed Consolidated Statements of Operations. The Company recorded equity in earnings of $2.9 million for each of the third quarters of 2026 and 2025 from these joint ventures. The Company recorded equity in earnings of $10.0</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million and $9.6 million for the first nine months of 2026 and 2025, respectively, from these joint ventures.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A summary of manufacturing’s operating results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80" w:type="dxa"/>
            <w:vAlign w:val="bottom"/>
            <w:gridSpan w:val="3"/>
          </w:tcPr>
          <w:p>
            <w:pPr>
              <w:jc w:val="right"/>
              <w:ind w:right="382"/>
              <w:spacing w:after="0"/>
              <w:rPr>
                <w:sz w:val="20"/>
                <w:szCs w:val="20"/>
                <w:color w:val="auto"/>
              </w:rPr>
            </w:pPr>
            <w:r>
              <w:rPr>
                <w:rFonts w:ascii="Arial" w:cs="Arial" w:eastAsia="Arial" w:hAnsi="Arial"/>
                <w:sz w:val="14"/>
                <w:szCs w:val="14"/>
                <w:b w:val="1"/>
                <w:bCs w:val="1"/>
                <w:color w:val="auto"/>
              </w:rPr>
              <w:t>Three Months Ended</w:t>
            </w: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00" w:type="dxa"/>
            <w:vAlign w:val="bottom"/>
            <w:gridSpan w:val="3"/>
          </w:tcPr>
          <w:p>
            <w:pPr>
              <w:jc w:val="right"/>
              <w:ind w:right="442"/>
              <w:spacing w:after="0"/>
              <w:rPr>
                <w:sz w:val="20"/>
                <w:szCs w:val="20"/>
                <w:color w:val="auto"/>
              </w:rPr>
            </w:pPr>
            <w:r>
              <w:rPr>
                <w:rFonts w:ascii="Arial" w:cs="Arial" w:eastAsia="Arial" w:hAnsi="Arial"/>
                <w:sz w:val="14"/>
                <w:szCs w:val="14"/>
                <w:b w:val="1"/>
                <w:bCs w:val="1"/>
                <w:color w:val="auto"/>
              </w:rPr>
              <w:t>Nine Months Ended</w:t>
            </w:r>
          </w:p>
        </w:tc>
        <w:tc>
          <w:tcPr>
            <w:tcW w:w="1200" w:type="dxa"/>
            <w:vAlign w:val="bottom"/>
          </w:tcPr>
          <w:p>
            <w:pPr>
              <w:spacing w:after="0"/>
              <w:rPr>
                <w:sz w:val="17"/>
                <w:szCs w:val="17"/>
                <w:color w:val="auto"/>
              </w:rPr>
            </w:pPr>
          </w:p>
        </w:tc>
      </w:tr>
      <w:tr>
        <w:trPr>
          <w:trHeight w:val="238"/>
        </w:trPr>
        <w:tc>
          <w:tcPr>
            <w:tcW w:w="40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right"/>
              <w:ind w:right="622"/>
              <w:spacing w:after="0"/>
              <w:rPr>
                <w:sz w:val="20"/>
                <w:szCs w:val="20"/>
                <w:color w:val="auto"/>
              </w:rPr>
            </w:pPr>
            <w:r>
              <w:rPr>
                <w:rFonts w:ascii="Arial" w:cs="Arial" w:eastAsia="Arial" w:hAnsi="Arial"/>
                <w:sz w:val="14"/>
                <w:szCs w:val="14"/>
                <w:b w:val="1"/>
                <w:bCs w:val="1"/>
                <w:color w:val="auto"/>
              </w:rPr>
              <w:t>September 30</w:t>
            </w:r>
          </w:p>
        </w:tc>
        <w:tc>
          <w:tcPr>
            <w:tcW w:w="1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3"/>
          </w:tcPr>
          <w:p>
            <w:pPr>
              <w:jc w:val="right"/>
              <w:ind w:right="642"/>
              <w:spacing w:after="0"/>
              <w:rPr>
                <w:sz w:val="20"/>
                <w:szCs w:val="20"/>
                <w:color w:val="auto"/>
              </w:rPr>
            </w:pPr>
            <w:r>
              <w:rPr>
                <w:rFonts w:ascii="Arial" w:cs="Arial" w:eastAsia="Arial" w:hAnsi="Arial"/>
                <w:sz w:val="14"/>
                <w:szCs w:val="14"/>
                <w:b w:val="1"/>
                <w:bCs w:val="1"/>
                <w:color w:val="auto"/>
              </w:rPr>
              <w:t>September 30</w:t>
            </w:r>
          </w:p>
        </w:tc>
        <w:tc>
          <w:tcPr>
            <w:tcW w:w="1200" w:type="dxa"/>
            <w:vAlign w:val="bottom"/>
          </w:tcPr>
          <w:p>
            <w:pPr>
              <w:spacing w:after="0"/>
              <w:rPr>
                <w:sz w:val="20"/>
                <w:szCs w:val="20"/>
                <w:color w:val="auto"/>
              </w:rPr>
            </w:pPr>
          </w:p>
        </w:tc>
      </w:tr>
      <w:tr>
        <w:trPr>
          <w:trHeight w:val="223"/>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2026</w:t>
            </w: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2025</w:t>
            </w:r>
          </w:p>
        </w:tc>
        <w:tc>
          <w:tcPr>
            <w:tcW w:w="132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color w:val="auto"/>
              </w:rPr>
              <w:t>% Change</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2026</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2025</w:t>
            </w:r>
          </w:p>
        </w:tc>
        <w:tc>
          <w:tcPr>
            <w:tcW w:w="120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color w:val="auto"/>
              </w:rPr>
              <w:t>% Change</w:t>
            </w:r>
          </w:p>
        </w:tc>
      </w:tr>
      <w:tr>
        <w:trPr>
          <w:trHeight w:val="235"/>
        </w:trPr>
        <w:tc>
          <w:tcPr>
            <w:tcW w:w="4020" w:type="dxa"/>
            <w:vAlign w:val="bottom"/>
          </w:tcPr>
          <w:p>
            <w:pPr>
              <w:ind w:left="20"/>
              <w:spacing w:after="0"/>
              <w:rPr>
                <w:sz w:val="20"/>
                <w:szCs w:val="20"/>
                <w:color w:val="auto"/>
              </w:rPr>
            </w:pPr>
            <w:r>
              <w:rPr>
                <w:rFonts w:ascii="Arial" w:cs="Arial" w:eastAsia="Arial" w:hAnsi="Arial"/>
                <w:sz w:val="16"/>
                <w:szCs w:val="16"/>
                <w:color w:val="auto"/>
              </w:rPr>
              <w:t>Revenue</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147,601</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124,257</w:t>
            </w:r>
          </w:p>
        </w:tc>
        <w:tc>
          <w:tcPr>
            <w:tcW w:w="1320" w:type="dxa"/>
            <w:vAlign w:val="bottom"/>
          </w:tcPr>
          <w:p>
            <w:pPr>
              <w:jc w:val="right"/>
              <w:ind w:right="102"/>
              <w:spacing w:after="0"/>
              <w:rPr>
                <w:sz w:val="20"/>
                <w:szCs w:val="20"/>
                <w:color w:val="auto"/>
              </w:rPr>
            </w:pPr>
            <w:r>
              <w:rPr>
                <w:rFonts w:ascii="Arial" w:cs="Arial" w:eastAsia="Arial" w:hAnsi="Arial"/>
                <w:sz w:val="16"/>
                <w:szCs w:val="16"/>
                <w:color w:val="auto"/>
              </w:rPr>
              <w:t>19</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405,915</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318,480</w:t>
            </w: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27</w:t>
            </w:r>
          </w:p>
        </w:tc>
      </w:tr>
      <w:tr>
        <w:trPr>
          <w:trHeight w:val="243"/>
        </w:trPr>
        <w:tc>
          <w:tcPr>
            <w:tcW w:w="402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60" w:type="dxa"/>
            <w:vAlign w:val="bottom"/>
          </w:tcPr>
          <w:p>
            <w:pPr>
              <w:spacing w:after="0"/>
              <w:rPr>
                <w:sz w:val="21"/>
                <w:szCs w:val="21"/>
                <w:color w:val="auto"/>
              </w:rPr>
            </w:pP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8,998</w:t>
            </w: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6,695</w:t>
            </w:r>
          </w:p>
        </w:tc>
        <w:tc>
          <w:tcPr>
            <w:tcW w:w="1320" w:type="dxa"/>
            <w:vAlign w:val="bottom"/>
          </w:tcPr>
          <w:p>
            <w:pPr>
              <w:jc w:val="right"/>
              <w:ind w:right="102"/>
              <w:spacing w:after="0"/>
              <w:rPr>
                <w:sz w:val="20"/>
                <w:szCs w:val="20"/>
                <w:color w:val="auto"/>
              </w:rPr>
            </w:pPr>
            <w:r>
              <w:rPr>
                <w:rFonts w:ascii="Arial" w:cs="Arial" w:eastAsia="Arial" w:hAnsi="Arial"/>
                <w:sz w:val="16"/>
                <w:szCs w:val="16"/>
                <w:color w:val="auto"/>
              </w:rPr>
              <w:t>34</w:t>
            </w:r>
          </w:p>
        </w:tc>
        <w:tc>
          <w:tcPr>
            <w:tcW w:w="260" w:type="dxa"/>
            <w:vAlign w:val="bottom"/>
          </w:tcPr>
          <w:p>
            <w:pPr>
              <w:spacing w:after="0"/>
              <w:rPr>
                <w:sz w:val="21"/>
                <w:szCs w:val="21"/>
                <w:color w:val="auto"/>
              </w:rPr>
            </w:pP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24,099</w:t>
            </w:r>
          </w:p>
        </w:tc>
        <w:tc>
          <w:tcPr>
            <w:tcW w:w="340" w:type="dxa"/>
            <w:vAlign w:val="bottom"/>
          </w:tcPr>
          <w:p>
            <w:pPr>
              <w:spacing w:after="0"/>
              <w:rPr>
                <w:sz w:val="21"/>
                <w:szCs w:val="21"/>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19,741</w:t>
            </w: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22</w:t>
            </w:r>
          </w:p>
        </w:tc>
      </w:tr>
    </w:tbl>
    <w:p>
      <w:pPr>
        <w:spacing w:after="0" w:line="232" w:lineRule="exact"/>
        <w:rPr>
          <w:sz w:val="20"/>
          <w:szCs w:val="20"/>
          <w:color w:val="auto"/>
        </w:rPr>
      </w:pPr>
    </w:p>
    <w:p>
      <w:pPr>
        <w:jc w:val="both"/>
        <w:ind w:right="20"/>
        <w:spacing w:after="0" w:line="251" w:lineRule="auto"/>
        <w:rPr>
          <w:sz w:val="20"/>
          <w:szCs w:val="20"/>
          <w:color w:val="auto"/>
        </w:rPr>
      </w:pPr>
      <w:r>
        <w:rPr>
          <w:rFonts w:ascii="Arial" w:cs="Arial" w:eastAsia="Arial" w:hAnsi="Arial"/>
          <w:sz w:val="17"/>
          <w:szCs w:val="17"/>
          <w:color w:val="auto"/>
        </w:rPr>
        <w:t>Manufacturing includes four businesses: Hoover, a supplier of pressure impregnated kiln-dried lumber and plywood products for fire retardant and preservative applications, and aluminum cladding products for the non-residential market; Dekko, a manufacturer of electrical workspace</w:t>
      </w:r>
    </w:p>
    <w:p>
      <w:pPr>
        <w:spacing w:after="0" w:line="235" w:lineRule="auto"/>
        <w:rPr>
          <w:sz w:val="20"/>
          <w:szCs w:val="20"/>
          <w:color w:val="auto"/>
        </w:rPr>
      </w:pPr>
      <w:r>
        <w:rPr>
          <w:rFonts w:ascii="Arial" w:cs="Arial" w:eastAsia="Arial" w:hAnsi="Arial"/>
          <w:sz w:val="18"/>
          <w:szCs w:val="18"/>
          <w:color w:val="auto"/>
        </w:rPr>
        <w:t>solutions, architectural lighting and electrical components and assemblies; Joyce, a manufacturer of screw jacks and other linear motion</w:t>
      </w:r>
    </w:p>
    <w:p>
      <w:pPr>
        <w:ind w:right="760"/>
        <w:spacing w:after="0" w:line="237" w:lineRule="auto"/>
        <w:rPr>
          <w:sz w:val="20"/>
          <w:szCs w:val="20"/>
          <w:color w:val="auto"/>
        </w:rPr>
      </w:pPr>
      <w:r>
        <w:rPr>
          <w:rFonts w:ascii="Arial" w:cs="Arial" w:eastAsia="Arial" w:hAnsi="Arial"/>
          <w:sz w:val="18"/>
          <w:szCs w:val="18"/>
          <w:color w:val="auto"/>
        </w:rPr>
        <w:t>systems; and Forney, a global supplier of products and systems that control and monitor combustion processes in electric utility and industrial applications. On July 15, 2025, Hoover acquired Arconic Architectural Products, LLC, a wholly-owned subsidiary of</w:t>
      </w:r>
    </w:p>
    <w:p>
      <w:pPr>
        <w:sectPr>
          <w:pgSz w:w="11900" w:h="16838" w:orient="portrait"/>
          <w:cols w:equalWidth="0" w:num="1">
            <w:col w:w="11240"/>
          </w:cols>
          <w:pgMar w:left="320" w:top="1039" w:right="339" w:bottom="144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8"/>
          <w:szCs w:val="18"/>
          <w:color w:val="auto"/>
        </w:rPr>
        <w:t>Arconic Corporation (operating as Hoover Architectural Solutions), which manufactures aluminum cladding products and operates within the</w:t>
      </w:r>
    </w:p>
    <w:p>
      <w:pPr>
        <w:spacing w:after="0" w:line="14" w:lineRule="exact"/>
        <w:rPr>
          <w:sz w:val="20"/>
          <w:szCs w:val="20"/>
          <w:color w:val="auto"/>
        </w:rPr>
      </w:pPr>
    </w:p>
    <w:p>
      <w:pPr>
        <w:ind w:right="660"/>
        <w:spacing w:after="0" w:line="237" w:lineRule="auto"/>
        <w:rPr>
          <w:sz w:val="20"/>
          <w:szCs w:val="20"/>
          <w:color w:val="auto"/>
        </w:rPr>
      </w:pPr>
      <w:r>
        <w:rPr>
          <w:rFonts w:ascii="Arial" w:cs="Arial" w:eastAsia="Arial" w:hAnsi="Arial"/>
          <w:sz w:val="18"/>
          <w:szCs w:val="18"/>
          <w:color w:val="auto"/>
        </w:rPr>
        <w:t>broader non-residential materials space from its facility in Eastman, GA. A significant portion of the purchase price was funded by the Company’s assumption of $107.5 million in net pension obligations.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Manufacturing revenues increased 19% and 27% in the third quarter and first nine months of 2026, respectively, due to increased revenues</w:t>
      </w:r>
    </w:p>
    <w:p>
      <w:pPr>
        <w:spacing w:after="0" w:line="14"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at Hoover, Joyce and Forney, partially offset by lower revenues at Dekko. The revenue increase at Hoover for the first nine months of 2026 is due largely to the Hoover Architectural Solutions business acquisition. Excluding the acquisition, overall volumes increased in the third</w:t>
      </w:r>
    </w:p>
    <w:p>
      <w:pPr>
        <w:spacing w:after="0" w:line="236" w:lineRule="auto"/>
        <w:rPr>
          <w:sz w:val="20"/>
          <w:szCs w:val="20"/>
          <w:color w:val="auto"/>
        </w:rPr>
      </w:pPr>
      <w:r>
        <w:rPr>
          <w:rFonts w:ascii="Arial" w:cs="Arial" w:eastAsia="Arial" w:hAnsi="Arial"/>
          <w:sz w:val="18"/>
          <w:szCs w:val="18"/>
          <w:color w:val="auto"/>
        </w:rPr>
        <w:t>quarter and first nine months of 2026. Hoover results included wood gains on inventory sales in both the third quarter and first nine months of</w:t>
      </w:r>
    </w:p>
    <w:p>
      <w:pPr>
        <w:spacing w:after="0" w:line="1"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2026 and 2025. Manufacturing operating results improved in the third quarter of 2026 due largely to significant growth at Forney, and growth at Joyce. Manufacturing operating results increased in the first nine months of 2026 due to significant growth at Joyce and Forney, and</w:t>
      </w:r>
    </w:p>
    <w:p>
      <w:pPr>
        <w:spacing w:after="0" w:line="1"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improved results at Dekko. The increase was partially offset by an overall decline at Hoover from increased intangible asset amortization and transition costs related to the Arconic acquisition.</w:t>
      </w:r>
    </w:p>
    <w:p>
      <w:pPr>
        <w:spacing w:after="0" w:line="104"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In the third quarter of 2026, the Company offered a SIP to certain employees at Dekko; $0.1 million in related non-operating pension expense was recorded. In the second quarter of 2026, the Company offered a VRIP to certain employees at Dekko; $2.0 million in related non-</w:t>
      </w:r>
    </w:p>
    <w:p>
      <w:pPr>
        <w:ind w:right="120"/>
        <w:spacing w:after="0" w:line="226" w:lineRule="auto"/>
        <w:rPr>
          <w:sz w:val="20"/>
          <w:szCs w:val="20"/>
          <w:color w:val="auto"/>
        </w:rPr>
      </w:pPr>
      <w:r>
        <w:rPr>
          <w:rFonts w:ascii="Arial" w:cs="Arial" w:eastAsia="Arial" w:hAnsi="Arial"/>
          <w:sz w:val="18"/>
          <w:szCs w:val="18"/>
          <w:color w:val="auto"/>
        </w:rPr>
        <w:t>operating pension expense was recorded. In the first quarter of 2026, the Company offered a SIP to certain employees at Dekko and Joyce; $0.2 million in related non-operating pension expense was recorded. In the third quarter of 2025, the Company offered a SIP to certain</w:t>
      </w:r>
    </w:p>
    <w:p>
      <w:pPr>
        <w:spacing w:after="0" w:line="2" w:lineRule="exact"/>
        <w:rPr>
          <w:sz w:val="20"/>
          <w:szCs w:val="20"/>
          <w:color w:val="auto"/>
        </w:rPr>
      </w:pPr>
    </w:p>
    <w:p>
      <w:pPr>
        <w:ind w:right="220"/>
        <w:spacing w:after="0" w:line="250" w:lineRule="auto"/>
        <w:rPr>
          <w:sz w:val="20"/>
          <w:szCs w:val="20"/>
          <w:color w:val="auto"/>
        </w:rPr>
      </w:pPr>
      <w:r>
        <w:rPr>
          <w:rFonts w:ascii="Arial" w:cs="Arial" w:eastAsia="Arial" w:hAnsi="Arial"/>
          <w:sz w:val="18"/>
          <w:szCs w:val="18"/>
          <w:color w:val="auto"/>
        </w:rPr>
        <w:t>employees at Joyce; $0.1 million in related non-operating pension expense was recorded. These programs were funded from the assets of the Company’s pension plan.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A summary of automotive’s operating results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80" w:type="dxa"/>
            <w:vAlign w:val="bottom"/>
            <w:gridSpan w:val="3"/>
          </w:tcPr>
          <w:p>
            <w:pPr>
              <w:jc w:val="right"/>
              <w:ind w:right="382"/>
              <w:spacing w:after="0"/>
              <w:rPr>
                <w:sz w:val="20"/>
                <w:szCs w:val="20"/>
                <w:color w:val="auto"/>
              </w:rPr>
            </w:pPr>
            <w:r>
              <w:rPr>
                <w:rFonts w:ascii="Arial" w:cs="Arial" w:eastAsia="Arial" w:hAnsi="Arial"/>
                <w:sz w:val="14"/>
                <w:szCs w:val="14"/>
                <w:b w:val="1"/>
                <w:bCs w:val="1"/>
                <w:color w:val="auto"/>
              </w:rPr>
              <w:t>Three Months Ended</w:t>
            </w: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00" w:type="dxa"/>
            <w:vAlign w:val="bottom"/>
            <w:gridSpan w:val="3"/>
          </w:tcPr>
          <w:p>
            <w:pPr>
              <w:jc w:val="right"/>
              <w:ind w:right="442"/>
              <w:spacing w:after="0"/>
              <w:rPr>
                <w:sz w:val="20"/>
                <w:szCs w:val="20"/>
                <w:color w:val="auto"/>
              </w:rPr>
            </w:pPr>
            <w:r>
              <w:rPr>
                <w:rFonts w:ascii="Arial" w:cs="Arial" w:eastAsia="Arial" w:hAnsi="Arial"/>
                <w:sz w:val="14"/>
                <w:szCs w:val="14"/>
                <w:b w:val="1"/>
                <w:bCs w:val="1"/>
                <w:color w:val="auto"/>
              </w:rPr>
              <w:t>Nine Months Ended</w:t>
            </w:r>
          </w:p>
        </w:tc>
        <w:tc>
          <w:tcPr>
            <w:tcW w:w="1200" w:type="dxa"/>
            <w:vAlign w:val="bottom"/>
          </w:tcPr>
          <w:p>
            <w:pPr>
              <w:spacing w:after="0"/>
              <w:rPr>
                <w:sz w:val="17"/>
                <w:szCs w:val="17"/>
                <w:color w:val="auto"/>
              </w:rPr>
            </w:pPr>
          </w:p>
        </w:tc>
      </w:tr>
      <w:tr>
        <w:trPr>
          <w:trHeight w:val="238"/>
        </w:trPr>
        <w:tc>
          <w:tcPr>
            <w:tcW w:w="40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right"/>
              <w:ind w:right="622"/>
              <w:spacing w:after="0"/>
              <w:rPr>
                <w:sz w:val="20"/>
                <w:szCs w:val="20"/>
                <w:color w:val="auto"/>
              </w:rPr>
            </w:pPr>
            <w:r>
              <w:rPr>
                <w:rFonts w:ascii="Arial" w:cs="Arial" w:eastAsia="Arial" w:hAnsi="Arial"/>
                <w:sz w:val="14"/>
                <w:szCs w:val="14"/>
                <w:b w:val="1"/>
                <w:bCs w:val="1"/>
                <w:color w:val="auto"/>
              </w:rPr>
              <w:t>September 30</w:t>
            </w:r>
          </w:p>
        </w:tc>
        <w:tc>
          <w:tcPr>
            <w:tcW w:w="1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3"/>
          </w:tcPr>
          <w:p>
            <w:pPr>
              <w:jc w:val="right"/>
              <w:ind w:right="642"/>
              <w:spacing w:after="0"/>
              <w:rPr>
                <w:sz w:val="20"/>
                <w:szCs w:val="20"/>
                <w:color w:val="auto"/>
              </w:rPr>
            </w:pPr>
            <w:r>
              <w:rPr>
                <w:rFonts w:ascii="Arial" w:cs="Arial" w:eastAsia="Arial" w:hAnsi="Arial"/>
                <w:sz w:val="14"/>
                <w:szCs w:val="14"/>
                <w:b w:val="1"/>
                <w:bCs w:val="1"/>
                <w:color w:val="auto"/>
              </w:rPr>
              <w:t>September 30</w:t>
            </w:r>
          </w:p>
        </w:tc>
        <w:tc>
          <w:tcPr>
            <w:tcW w:w="1200" w:type="dxa"/>
            <w:vAlign w:val="bottom"/>
          </w:tcPr>
          <w:p>
            <w:pPr>
              <w:spacing w:after="0"/>
              <w:rPr>
                <w:sz w:val="20"/>
                <w:szCs w:val="20"/>
                <w:color w:val="auto"/>
              </w:rPr>
            </w:pPr>
          </w:p>
        </w:tc>
      </w:tr>
      <w:tr>
        <w:trPr>
          <w:trHeight w:val="223"/>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2026</w:t>
            </w: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2025</w:t>
            </w:r>
          </w:p>
        </w:tc>
        <w:tc>
          <w:tcPr>
            <w:tcW w:w="132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color w:val="auto"/>
              </w:rPr>
              <w:t>% Change</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2026</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2025</w:t>
            </w:r>
          </w:p>
        </w:tc>
        <w:tc>
          <w:tcPr>
            <w:tcW w:w="120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color w:val="auto"/>
              </w:rPr>
              <w:t>% Change</w:t>
            </w:r>
          </w:p>
        </w:tc>
      </w:tr>
      <w:tr>
        <w:trPr>
          <w:trHeight w:val="235"/>
        </w:trPr>
        <w:tc>
          <w:tcPr>
            <w:tcW w:w="4020" w:type="dxa"/>
            <w:vAlign w:val="bottom"/>
          </w:tcPr>
          <w:p>
            <w:pPr>
              <w:ind w:left="20"/>
              <w:spacing w:after="0"/>
              <w:rPr>
                <w:sz w:val="20"/>
                <w:szCs w:val="20"/>
                <w:color w:val="auto"/>
              </w:rPr>
            </w:pPr>
            <w:r>
              <w:rPr>
                <w:rFonts w:ascii="Arial" w:cs="Arial" w:eastAsia="Arial" w:hAnsi="Arial"/>
                <w:sz w:val="16"/>
                <w:szCs w:val="16"/>
                <w:color w:val="auto"/>
              </w:rPr>
              <w:t>Revenue</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299,060</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285,228</w:t>
            </w:r>
          </w:p>
        </w:tc>
        <w:tc>
          <w:tcPr>
            <w:tcW w:w="1320" w:type="dxa"/>
            <w:vAlign w:val="bottom"/>
          </w:tcPr>
          <w:p>
            <w:pPr>
              <w:jc w:val="right"/>
              <w:ind w:right="102"/>
              <w:spacing w:after="0"/>
              <w:rPr>
                <w:sz w:val="20"/>
                <w:szCs w:val="20"/>
                <w:color w:val="auto"/>
              </w:rPr>
            </w:pPr>
            <w:r>
              <w:rPr>
                <w:rFonts w:ascii="Arial" w:cs="Arial" w:eastAsia="Arial" w:hAnsi="Arial"/>
                <w:sz w:val="16"/>
                <w:szCs w:val="16"/>
                <w:color w:val="auto"/>
              </w:rPr>
              <w:t>5</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868,036</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851,791</w:t>
            </w: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2</w:t>
            </w:r>
          </w:p>
        </w:tc>
      </w:tr>
      <w:tr>
        <w:trPr>
          <w:trHeight w:val="243"/>
        </w:trPr>
        <w:tc>
          <w:tcPr>
            <w:tcW w:w="402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60" w:type="dxa"/>
            <w:vAlign w:val="bottom"/>
          </w:tcPr>
          <w:p>
            <w:pPr>
              <w:spacing w:after="0"/>
              <w:rPr>
                <w:sz w:val="21"/>
                <w:szCs w:val="21"/>
                <w:color w:val="auto"/>
              </w:rPr>
            </w:pP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9,338</w:t>
            </w: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6,308</w:t>
            </w:r>
          </w:p>
        </w:tc>
        <w:tc>
          <w:tcPr>
            <w:tcW w:w="1320" w:type="dxa"/>
            <w:vAlign w:val="bottom"/>
          </w:tcPr>
          <w:p>
            <w:pPr>
              <w:jc w:val="right"/>
              <w:ind w:right="102"/>
              <w:spacing w:after="0"/>
              <w:rPr>
                <w:sz w:val="20"/>
                <w:szCs w:val="20"/>
                <w:color w:val="auto"/>
              </w:rPr>
            </w:pPr>
            <w:r>
              <w:rPr>
                <w:rFonts w:ascii="Arial" w:cs="Arial" w:eastAsia="Arial" w:hAnsi="Arial"/>
                <w:sz w:val="16"/>
                <w:szCs w:val="16"/>
                <w:color w:val="auto"/>
              </w:rPr>
              <w:t>48</w:t>
            </w:r>
          </w:p>
        </w:tc>
        <w:tc>
          <w:tcPr>
            <w:tcW w:w="260" w:type="dxa"/>
            <w:vAlign w:val="bottom"/>
          </w:tcPr>
          <w:p>
            <w:pPr>
              <w:spacing w:after="0"/>
              <w:rPr>
                <w:sz w:val="21"/>
                <w:szCs w:val="21"/>
                <w:color w:val="auto"/>
              </w:rPr>
            </w:pP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22,711</w:t>
            </w:r>
          </w:p>
        </w:tc>
        <w:tc>
          <w:tcPr>
            <w:tcW w:w="340" w:type="dxa"/>
            <w:vAlign w:val="bottom"/>
          </w:tcPr>
          <w:p>
            <w:pPr>
              <w:spacing w:after="0"/>
              <w:rPr>
                <w:sz w:val="21"/>
                <w:szCs w:val="21"/>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22,093</w:t>
            </w: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3</w:t>
            </w:r>
          </w:p>
        </w:tc>
      </w:tr>
    </w:tbl>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Automotive includes eight automotive dealerships in the Washington, DC metropolitan area and Richmond, VA: Ourisman Lexus of Rockville,</w:t>
      </w:r>
    </w:p>
    <w:p>
      <w:pPr>
        <w:spacing w:after="0" w:line="14" w:lineRule="exact"/>
        <w:rPr>
          <w:sz w:val="20"/>
          <w:szCs w:val="20"/>
          <w:color w:val="auto"/>
        </w:rPr>
      </w:pPr>
    </w:p>
    <w:p>
      <w:pPr>
        <w:ind w:right="460"/>
        <w:spacing w:after="0"/>
        <w:rPr>
          <w:sz w:val="20"/>
          <w:szCs w:val="20"/>
          <w:color w:val="auto"/>
        </w:rPr>
      </w:pPr>
      <w:r>
        <w:rPr>
          <w:rFonts w:ascii="Arial" w:cs="Arial" w:eastAsia="Arial" w:hAnsi="Arial"/>
          <w:sz w:val="17"/>
          <w:szCs w:val="17"/>
          <w:color w:val="auto"/>
        </w:rPr>
        <w:t>Ourisman Honda of Tysons Corner, Ourisman Ford of Manassas, Toyota of Woodbridge, Ourisman Chrysler-Dodge-Jeep-Ram of Woodbridge, Ourisman Toyota of Richmond, and Ourisman Kia of Bethesda. In addition, on October 21, 2025, the Company acquired a</w:t>
      </w:r>
    </w:p>
    <w:p>
      <w:pPr>
        <w:spacing w:after="0" w:line="235" w:lineRule="auto"/>
        <w:rPr>
          <w:sz w:val="20"/>
          <w:szCs w:val="20"/>
          <w:color w:val="auto"/>
        </w:rPr>
      </w:pPr>
      <w:r>
        <w:rPr>
          <w:rFonts w:ascii="Arial" w:cs="Arial" w:eastAsia="Arial" w:hAnsi="Arial"/>
          <w:sz w:val="18"/>
          <w:szCs w:val="18"/>
          <w:color w:val="auto"/>
        </w:rPr>
        <w:t>Honda automotive dealership in Woodbridge, VA, including the real property for the dealership operations. Automotive also includes Roda,</w:t>
      </w:r>
    </w:p>
    <w:p>
      <w:pPr>
        <w:ind w:right="700"/>
        <w:spacing w:after="0" w:line="226" w:lineRule="auto"/>
        <w:rPr>
          <w:sz w:val="20"/>
          <w:szCs w:val="20"/>
          <w:color w:val="auto"/>
        </w:rPr>
      </w:pPr>
      <w:r>
        <w:rPr>
          <w:rFonts w:ascii="Arial" w:cs="Arial" w:eastAsia="Arial" w:hAnsi="Arial"/>
          <w:sz w:val="18"/>
          <w:szCs w:val="18"/>
          <w:color w:val="auto"/>
        </w:rPr>
        <w:t>which provides valet automotive repair services in the Washington, DC metropolitan area. Christopher J. Ourisman, a member of the Ourisman Automotive Group family of dealerships, and his team of industry professionals operate and manage the dealerships;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Company holds a 90% stake.</w:t>
      </w:r>
    </w:p>
    <w:p>
      <w:pPr>
        <w:spacing w:after="0" w:line="14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Company ceased operations of the Ourisman Jeep of Bethesda dealership, which was closed in early September 2025. As a result, the Company recorded a $0.6 million intangible asset impairment charge on the related franchise agreement in the third quarter of 2025.</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Revenues for the third quarter of 2026 increased 5% due partly to increased revenues from the Honda of Woodbridge dealership acquisition,</w:t>
      </w:r>
    </w:p>
    <w:p>
      <w:pPr>
        <w:spacing w:after="0" w:line="14" w:lineRule="exact"/>
        <w:rPr>
          <w:sz w:val="20"/>
          <w:szCs w:val="20"/>
          <w:color w:val="auto"/>
        </w:rPr>
      </w:pPr>
    </w:p>
    <w:p>
      <w:pPr>
        <w:ind w:right="220"/>
        <w:spacing w:after="0" w:line="226" w:lineRule="auto"/>
        <w:rPr>
          <w:sz w:val="20"/>
          <w:szCs w:val="20"/>
          <w:color w:val="auto"/>
        </w:rPr>
      </w:pPr>
      <w:r>
        <w:rPr>
          <w:rFonts w:ascii="Arial" w:cs="Arial" w:eastAsia="Arial" w:hAnsi="Arial"/>
          <w:sz w:val="18"/>
          <w:szCs w:val="18"/>
          <w:color w:val="auto"/>
        </w:rPr>
        <w:t>offset by the closure of the Ourisman Jeep of Bethesda dealership in September 2025. Excluding these dealerships, revenues were down mostly from declines in new and used vehicle sales, partially offset by sales growth for services and parts. Operating results were up in the</w:t>
      </w:r>
    </w:p>
    <w:p>
      <w:pPr>
        <w:spacing w:after="0" w:line="236" w:lineRule="auto"/>
        <w:rPr>
          <w:sz w:val="20"/>
          <w:szCs w:val="20"/>
          <w:color w:val="auto"/>
        </w:rPr>
      </w:pPr>
      <w:r>
        <w:rPr>
          <w:rFonts w:ascii="Arial" w:cs="Arial" w:eastAsia="Arial" w:hAnsi="Arial"/>
          <w:sz w:val="18"/>
          <w:szCs w:val="18"/>
          <w:color w:val="auto"/>
        </w:rPr>
        <w:t>third quarter of 2026 due largely to earnings from the Honda of Woodbridge dealership acquisition, the closure of the Ourisman Jeep of</w:t>
      </w:r>
    </w:p>
    <w:p>
      <w:pPr>
        <w:spacing w:after="0" w:line="1"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Bethesda dealership, and higher overall gross profits on new vehicles and services and parts, partially offset by lower gross profits on used vehicles.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Revenues for the first nine months of 2026 increased 2%, due partly to increased revenues from the Honda of Woodbridge dealership</w:t>
      </w:r>
    </w:p>
    <w:p>
      <w:pPr>
        <w:spacing w:after="0" w:line="14"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acquisition, offset by the closure of the Ourisman Jeep of Bethesda dealership in September 2025. Excluding these dealerships, revenues were down mostly from declines in new and used vehicle sales, partially offset by sales growth for services and parts. Operating results were</w:t>
      </w:r>
    </w:p>
    <w:p>
      <w:pPr>
        <w:spacing w:after="0" w:line="236" w:lineRule="auto"/>
        <w:rPr>
          <w:sz w:val="20"/>
          <w:szCs w:val="20"/>
          <w:color w:val="auto"/>
        </w:rPr>
      </w:pPr>
      <w:r>
        <w:rPr>
          <w:rFonts w:ascii="Arial" w:cs="Arial" w:eastAsia="Arial" w:hAnsi="Arial"/>
          <w:sz w:val="18"/>
          <w:szCs w:val="18"/>
          <w:color w:val="auto"/>
        </w:rPr>
        <w:t>up slightly in the first nine months of 2026 due largely to earnings from the Honda of Woodbridge dealership acquisition, the closure of the</w:t>
      </w:r>
    </w:p>
    <w:p>
      <w:pPr>
        <w:spacing w:after="0" w:line="1"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Ourisman Jeep of Bethesda dealership, and higher overall gross profits on services and parts, partially offset by lower gross profits on new and used vehicles.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Other Businesses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revenue by category for other businesses: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80" w:type="dxa"/>
            <w:vAlign w:val="bottom"/>
            <w:gridSpan w:val="3"/>
          </w:tcPr>
          <w:p>
            <w:pPr>
              <w:jc w:val="right"/>
              <w:ind w:right="381"/>
              <w:spacing w:after="0"/>
              <w:rPr>
                <w:sz w:val="20"/>
                <w:szCs w:val="20"/>
                <w:color w:val="auto"/>
              </w:rPr>
            </w:pPr>
            <w:r>
              <w:rPr>
                <w:rFonts w:ascii="Arial" w:cs="Arial" w:eastAsia="Arial" w:hAnsi="Arial"/>
                <w:sz w:val="14"/>
                <w:szCs w:val="14"/>
                <w:b w:val="1"/>
                <w:bCs w:val="1"/>
                <w:color w:val="auto"/>
              </w:rPr>
              <w:t>Three Months Ended</w:t>
            </w: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00" w:type="dxa"/>
            <w:vAlign w:val="bottom"/>
            <w:gridSpan w:val="3"/>
          </w:tcPr>
          <w:p>
            <w:pPr>
              <w:jc w:val="right"/>
              <w:ind w:right="441"/>
              <w:spacing w:after="0"/>
              <w:rPr>
                <w:sz w:val="20"/>
                <w:szCs w:val="20"/>
                <w:color w:val="auto"/>
              </w:rPr>
            </w:pPr>
            <w:r>
              <w:rPr>
                <w:rFonts w:ascii="Arial" w:cs="Arial" w:eastAsia="Arial" w:hAnsi="Arial"/>
                <w:sz w:val="14"/>
                <w:szCs w:val="14"/>
                <w:b w:val="1"/>
                <w:bCs w:val="1"/>
                <w:color w:val="auto"/>
              </w:rPr>
              <w:t>Nine Months Ended</w:t>
            </w:r>
          </w:p>
        </w:tc>
        <w:tc>
          <w:tcPr>
            <w:tcW w:w="1200" w:type="dxa"/>
            <w:vAlign w:val="bottom"/>
          </w:tcPr>
          <w:p>
            <w:pPr>
              <w:spacing w:after="0"/>
              <w:rPr>
                <w:sz w:val="17"/>
                <w:szCs w:val="17"/>
                <w:color w:val="auto"/>
              </w:rPr>
            </w:pPr>
          </w:p>
        </w:tc>
      </w:tr>
      <w:tr>
        <w:trPr>
          <w:trHeight w:val="238"/>
        </w:trPr>
        <w:tc>
          <w:tcPr>
            <w:tcW w:w="40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right"/>
              <w:ind w:right="621"/>
              <w:spacing w:after="0"/>
              <w:rPr>
                <w:sz w:val="20"/>
                <w:szCs w:val="20"/>
                <w:color w:val="auto"/>
              </w:rPr>
            </w:pPr>
            <w:r>
              <w:rPr>
                <w:rFonts w:ascii="Arial" w:cs="Arial" w:eastAsia="Arial" w:hAnsi="Arial"/>
                <w:sz w:val="14"/>
                <w:szCs w:val="14"/>
                <w:b w:val="1"/>
                <w:bCs w:val="1"/>
                <w:color w:val="auto"/>
              </w:rPr>
              <w:t>September 30</w:t>
            </w:r>
          </w:p>
        </w:tc>
        <w:tc>
          <w:tcPr>
            <w:tcW w:w="1320" w:type="dxa"/>
            <w:vAlign w:val="bottom"/>
          </w:tcPr>
          <w:p>
            <w:pPr>
              <w:jc w:val="right"/>
              <w:ind w:right="522"/>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3"/>
          </w:tcPr>
          <w:p>
            <w:pPr>
              <w:jc w:val="right"/>
              <w:ind w:right="641"/>
              <w:spacing w:after="0"/>
              <w:rPr>
                <w:sz w:val="20"/>
                <w:szCs w:val="20"/>
                <w:color w:val="auto"/>
              </w:rPr>
            </w:pPr>
            <w:r>
              <w:rPr>
                <w:rFonts w:ascii="Arial" w:cs="Arial" w:eastAsia="Arial" w:hAnsi="Arial"/>
                <w:sz w:val="14"/>
                <w:szCs w:val="14"/>
                <w:b w:val="1"/>
                <w:bCs w:val="1"/>
                <w:color w:val="auto"/>
              </w:rPr>
              <w:t>September 30</w:t>
            </w:r>
          </w:p>
        </w:tc>
        <w:tc>
          <w:tcPr>
            <w:tcW w:w="1200" w:type="dxa"/>
            <w:vAlign w:val="bottom"/>
          </w:tcPr>
          <w:p>
            <w:pPr>
              <w:jc w:val="right"/>
              <w:ind w:right="402"/>
              <w:spacing w:after="0"/>
              <w:rPr>
                <w:sz w:val="20"/>
                <w:szCs w:val="20"/>
                <w:color w:val="auto"/>
              </w:rPr>
            </w:pPr>
            <w:r>
              <w:rPr>
                <w:rFonts w:ascii="Arial" w:cs="Arial" w:eastAsia="Arial" w:hAnsi="Arial"/>
                <w:sz w:val="14"/>
                <w:szCs w:val="14"/>
                <w:color w:val="auto"/>
              </w:rPr>
              <w:t>%</w:t>
            </w:r>
          </w:p>
        </w:tc>
      </w:tr>
      <w:tr>
        <w:trPr>
          <w:trHeight w:val="223"/>
        </w:trPr>
        <w:tc>
          <w:tcPr>
            <w:tcW w:w="40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2026</w:t>
            </w: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2025</w:t>
            </w:r>
          </w:p>
        </w:tc>
        <w:tc>
          <w:tcPr>
            <w:tcW w:w="132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Change</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2026</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2025</w:t>
            </w:r>
          </w:p>
        </w:tc>
        <w:tc>
          <w:tcPr>
            <w:tcW w:w="120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color w:val="auto"/>
              </w:rPr>
              <w:t>Change</w:t>
            </w:r>
          </w:p>
        </w:tc>
      </w:tr>
      <w:tr>
        <w:trPr>
          <w:trHeight w:val="235"/>
        </w:trPr>
        <w:tc>
          <w:tcPr>
            <w:tcW w:w="4020" w:type="dxa"/>
            <w:vAlign w:val="bottom"/>
          </w:tcPr>
          <w:p>
            <w:pPr>
              <w:ind w:left="20"/>
              <w:spacing w:after="0"/>
              <w:rPr>
                <w:sz w:val="20"/>
                <w:szCs w:val="20"/>
                <w:color w:val="auto"/>
              </w:rPr>
            </w:pPr>
            <w:r>
              <w:rPr>
                <w:rFonts w:ascii="Arial" w:cs="Arial" w:eastAsia="Arial" w:hAnsi="Arial"/>
                <w:sz w:val="16"/>
                <w:szCs w:val="16"/>
                <w:b w:val="1"/>
                <w:bCs w:val="1"/>
                <w:color w:val="auto"/>
              </w:rPr>
              <w:t>Operating Revenues</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63"/>
        </w:trPr>
        <w:tc>
          <w:tcPr>
            <w:tcW w:w="4020" w:type="dxa"/>
            <w:vAlign w:val="bottom"/>
          </w:tcPr>
          <w:p>
            <w:pPr>
              <w:ind w:left="140"/>
              <w:spacing w:after="0"/>
              <w:rPr>
                <w:sz w:val="20"/>
                <w:szCs w:val="20"/>
                <w:color w:val="auto"/>
              </w:rPr>
            </w:pPr>
            <w:r>
              <w:rPr>
                <w:rFonts w:ascii="Arial" w:cs="Arial" w:eastAsia="Arial" w:hAnsi="Arial"/>
                <w:sz w:val="16"/>
                <w:szCs w:val="16"/>
                <w:color w:val="auto"/>
              </w:rPr>
              <w:t xml:space="preserve">Specialty </w:t>
            </w:r>
            <w:r>
              <w:rPr>
                <w:rFonts w:ascii="Arial" w:cs="Arial" w:eastAsia="Arial" w:hAnsi="Arial"/>
                <w:sz w:val="21"/>
                <w:szCs w:val="21"/>
                <w:color w:val="auto"/>
                <w:vertAlign w:val="superscript"/>
              </w:rPr>
              <w:t>(1)</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23"/>
              <w:spacing w:after="0"/>
              <w:rPr>
                <w:sz w:val="20"/>
                <w:szCs w:val="20"/>
                <w:color w:val="auto"/>
              </w:rPr>
            </w:pPr>
            <w:r>
              <w:rPr>
                <w:rFonts w:ascii="Arial" w:cs="Arial" w:eastAsia="Arial" w:hAnsi="Arial"/>
                <w:sz w:val="16"/>
                <w:szCs w:val="16"/>
                <w:b w:val="1"/>
                <w:bCs w:val="1"/>
                <w:color w:val="auto"/>
              </w:rPr>
              <w:t>40,642</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36,517</w:t>
            </w:r>
          </w:p>
        </w:tc>
        <w:tc>
          <w:tcPr>
            <w:tcW w:w="1320" w:type="dxa"/>
            <w:vAlign w:val="bottom"/>
          </w:tcPr>
          <w:p>
            <w:pPr>
              <w:jc w:val="right"/>
              <w:ind w:right="102"/>
              <w:spacing w:after="0"/>
              <w:rPr>
                <w:sz w:val="20"/>
                <w:szCs w:val="20"/>
                <w:color w:val="auto"/>
              </w:rPr>
            </w:pPr>
            <w:r>
              <w:rPr>
                <w:rFonts w:ascii="Arial" w:cs="Arial" w:eastAsia="Arial" w:hAnsi="Arial"/>
                <w:sz w:val="16"/>
                <w:szCs w:val="16"/>
                <w:color w:val="auto"/>
              </w:rPr>
              <w:t>11</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23"/>
              <w:spacing w:after="0"/>
              <w:rPr>
                <w:sz w:val="20"/>
                <w:szCs w:val="20"/>
                <w:color w:val="auto"/>
              </w:rPr>
            </w:pPr>
            <w:r>
              <w:rPr>
                <w:rFonts w:ascii="Arial" w:cs="Arial" w:eastAsia="Arial" w:hAnsi="Arial"/>
                <w:sz w:val="16"/>
                <w:szCs w:val="16"/>
                <w:b w:val="1"/>
                <w:bCs w:val="1"/>
                <w:color w:val="auto"/>
              </w:rPr>
              <w:t>125,467</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118,030</w:t>
            </w: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6</w:t>
            </w:r>
          </w:p>
        </w:tc>
      </w:tr>
      <w:tr>
        <w:trPr>
          <w:trHeight w:val="243"/>
        </w:trPr>
        <w:tc>
          <w:tcPr>
            <w:tcW w:w="4020" w:type="dxa"/>
            <w:vAlign w:val="bottom"/>
          </w:tcPr>
          <w:p>
            <w:pPr>
              <w:ind w:left="140"/>
              <w:spacing w:after="0"/>
              <w:rPr>
                <w:sz w:val="20"/>
                <w:szCs w:val="20"/>
                <w:color w:val="auto"/>
              </w:rPr>
            </w:pPr>
            <w:r>
              <w:rPr>
                <w:rFonts w:ascii="Arial" w:cs="Arial" w:eastAsia="Arial" w:hAnsi="Arial"/>
                <w:sz w:val="16"/>
                <w:szCs w:val="16"/>
                <w:color w:val="auto"/>
              </w:rPr>
              <w:t xml:space="preserve">Retail </w:t>
            </w:r>
            <w:r>
              <w:rPr>
                <w:rFonts w:ascii="Arial" w:cs="Arial" w:eastAsia="Arial" w:hAnsi="Arial"/>
                <w:sz w:val="21"/>
                <w:szCs w:val="21"/>
                <w:color w:val="auto"/>
                <w:vertAlign w:val="superscript"/>
              </w:rPr>
              <w:t>(2)</w:t>
            </w:r>
          </w:p>
        </w:tc>
        <w:tc>
          <w:tcPr>
            <w:tcW w:w="260" w:type="dxa"/>
            <w:vAlign w:val="bottom"/>
          </w:tcPr>
          <w:p>
            <w:pPr>
              <w:spacing w:after="0"/>
              <w:rPr>
                <w:sz w:val="21"/>
                <w:szCs w:val="21"/>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b w:val="1"/>
                <w:bCs w:val="1"/>
                <w:color w:val="auto"/>
              </w:rPr>
              <w:t>31,112</w:t>
            </w: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27,539</w:t>
            </w:r>
          </w:p>
        </w:tc>
        <w:tc>
          <w:tcPr>
            <w:tcW w:w="1320" w:type="dxa"/>
            <w:vAlign w:val="bottom"/>
          </w:tcPr>
          <w:p>
            <w:pPr>
              <w:jc w:val="right"/>
              <w:ind w:right="102"/>
              <w:spacing w:after="0"/>
              <w:rPr>
                <w:sz w:val="20"/>
                <w:szCs w:val="20"/>
                <w:color w:val="auto"/>
              </w:rPr>
            </w:pPr>
            <w:r>
              <w:rPr>
                <w:rFonts w:ascii="Arial" w:cs="Arial" w:eastAsia="Arial" w:hAnsi="Arial"/>
                <w:sz w:val="16"/>
                <w:szCs w:val="16"/>
                <w:color w:val="auto"/>
              </w:rPr>
              <w:t>13</w:t>
            </w:r>
          </w:p>
        </w:tc>
        <w:tc>
          <w:tcPr>
            <w:tcW w:w="260" w:type="dxa"/>
            <w:vAlign w:val="bottom"/>
          </w:tcPr>
          <w:p>
            <w:pPr>
              <w:spacing w:after="0"/>
              <w:rPr>
                <w:sz w:val="21"/>
                <w:szCs w:val="21"/>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b w:val="1"/>
                <w:bCs w:val="1"/>
                <w:color w:val="auto"/>
              </w:rPr>
              <w:t>88,797</w:t>
            </w:r>
          </w:p>
        </w:tc>
        <w:tc>
          <w:tcPr>
            <w:tcW w:w="340" w:type="dxa"/>
            <w:vAlign w:val="bottom"/>
          </w:tcPr>
          <w:p>
            <w:pPr>
              <w:spacing w:after="0"/>
              <w:rPr>
                <w:sz w:val="21"/>
                <w:szCs w:val="21"/>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80,918</w:t>
            </w: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10</w:t>
            </w:r>
          </w:p>
        </w:tc>
      </w:tr>
      <w:tr>
        <w:trPr>
          <w:trHeight w:val="230"/>
        </w:trPr>
        <w:tc>
          <w:tcPr>
            <w:tcW w:w="4020" w:type="dxa"/>
            <w:vAlign w:val="bottom"/>
          </w:tcPr>
          <w:p>
            <w:pPr>
              <w:ind w:left="140"/>
              <w:spacing w:after="0" w:line="230" w:lineRule="exact"/>
              <w:rPr>
                <w:sz w:val="20"/>
                <w:szCs w:val="20"/>
                <w:color w:val="auto"/>
              </w:rPr>
            </w:pPr>
            <w:r>
              <w:rPr>
                <w:rFonts w:ascii="Arial" w:cs="Arial" w:eastAsia="Arial" w:hAnsi="Arial"/>
                <w:sz w:val="16"/>
                <w:szCs w:val="16"/>
                <w:color w:val="auto"/>
              </w:rPr>
              <w:t xml:space="preserve">Media </w:t>
            </w:r>
            <w:r>
              <w:rPr>
                <w:rFonts w:ascii="Arial" w:cs="Arial" w:eastAsia="Arial" w:hAnsi="Arial"/>
                <w:sz w:val="21"/>
                <w:szCs w:val="21"/>
                <w:color w:val="auto"/>
                <w:vertAlign w:val="superscript"/>
              </w:rPr>
              <w:t>(3)</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17,689</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19,159</w:t>
            </w:r>
          </w:p>
        </w:tc>
        <w:tc>
          <w:tcPr>
            <w:tcW w:w="1320" w:type="dxa"/>
            <w:vAlign w:val="bottom"/>
          </w:tcPr>
          <w:p>
            <w:pPr>
              <w:jc w:val="right"/>
              <w:ind w:right="62"/>
              <w:spacing w:after="0"/>
              <w:rPr>
                <w:sz w:val="20"/>
                <w:szCs w:val="20"/>
                <w:color w:val="auto"/>
              </w:rPr>
            </w:pPr>
            <w:r>
              <w:rPr>
                <w:rFonts w:ascii="Arial" w:cs="Arial" w:eastAsia="Arial" w:hAnsi="Arial"/>
                <w:sz w:val="16"/>
                <w:szCs w:val="16"/>
                <w:color w:val="auto"/>
              </w:rPr>
              <w:t>(8)</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49,945</w:t>
            </w: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58,134</w:t>
            </w:r>
          </w:p>
        </w:tc>
        <w:tc>
          <w:tcPr>
            <w:tcW w:w="120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33"/>
        </w:trPr>
        <w:tc>
          <w:tcPr>
            <w:tcW w:w="4020" w:type="dxa"/>
            <w:vAlign w:val="bottom"/>
          </w:tcPr>
          <w:p>
            <w:pPr>
              <w:spacing w:after="0"/>
              <w:rPr>
                <w:sz w:val="20"/>
                <w:szCs w:val="20"/>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89,443</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83,215</w:t>
            </w:r>
          </w:p>
        </w:tc>
        <w:tc>
          <w:tcPr>
            <w:tcW w:w="1320" w:type="dxa"/>
            <w:vAlign w:val="bottom"/>
          </w:tcPr>
          <w:p>
            <w:pPr>
              <w:jc w:val="right"/>
              <w:ind w:right="102"/>
              <w:spacing w:after="0"/>
              <w:rPr>
                <w:sz w:val="20"/>
                <w:szCs w:val="20"/>
                <w:color w:val="auto"/>
              </w:rPr>
            </w:pPr>
            <w:r>
              <w:rPr>
                <w:rFonts w:ascii="Arial" w:cs="Arial" w:eastAsia="Arial" w:hAnsi="Arial"/>
                <w:sz w:val="16"/>
                <w:szCs w:val="16"/>
                <w:color w:val="auto"/>
              </w:rPr>
              <w:t>7</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264,209</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257,082</w:t>
            </w: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3</w:t>
            </w: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69" w:lineRule="exact"/>
        <w:rPr>
          <w:sz w:val="20"/>
          <w:szCs w:val="20"/>
          <w:color w:val="auto"/>
        </w:rPr>
      </w:pPr>
    </w:p>
    <w:p>
      <w:pPr>
        <w:ind w:left="360" w:hanging="334"/>
        <w:spacing w:after="0"/>
        <w:tabs>
          <w:tab w:leader="none" w:pos="3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Includes Clyde’s Restaurant Group (CRG), Decile and Supporting Cast</w:t>
      </w:r>
    </w:p>
    <w:p>
      <w:pPr>
        <w:spacing w:after="0" w:line="68" w:lineRule="exact"/>
        <w:rPr>
          <w:rFonts w:ascii="Arial" w:cs="Arial" w:eastAsia="Arial" w:hAnsi="Arial"/>
          <w:sz w:val="14"/>
          <w:szCs w:val="14"/>
          <w:color w:val="auto"/>
        </w:rPr>
      </w:pPr>
    </w:p>
    <w:p>
      <w:pPr>
        <w:ind w:left="360" w:hanging="334"/>
        <w:spacing w:after="0"/>
        <w:tabs>
          <w:tab w:leader="none" w:pos="3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Includes Framebridge, Saatchi Art and Society6</w:t>
      </w:r>
    </w:p>
    <w:p>
      <w:pPr>
        <w:spacing w:after="0" w:line="68" w:lineRule="exact"/>
        <w:rPr>
          <w:rFonts w:ascii="Arial" w:cs="Arial" w:eastAsia="Arial" w:hAnsi="Arial"/>
          <w:sz w:val="14"/>
          <w:szCs w:val="14"/>
          <w:color w:val="auto"/>
        </w:rPr>
      </w:pPr>
    </w:p>
    <w:p>
      <w:pPr>
        <w:ind w:left="360" w:hanging="334"/>
        <w:spacing w:after="0"/>
        <w:tabs>
          <w:tab w:leader="none" w:pos="3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Includes Slate, Foreign Policy, Code3, World of Good Brands (WGB) (sold in 2025) and City Cast</w:t>
      </w:r>
    </w:p>
    <w:p>
      <w:pPr>
        <w:spacing w:after="0" w:line="207"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Overall, revenue from other businesses increased 3% in the first nine months of 2026. Specialty revenue increased due to revenue growth at CRG and Supporting Cast. Retail revenue increased due to revenue growth at Framebridge and Saatchi Art, partially offset by lower revenue</w:t>
      </w:r>
    </w:p>
    <w:p>
      <w:pPr>
        <w:spacing w:after="0" w:line="1" w:lineRule="exact"/>
        <w:rPr>
          <w:sz w:val="20"/>
          <w:szCs w:val="20"/>
          <w:color w:val="auto"/>
        </w:rPr>
      </w:pPr>
    </w:p>
    <w:p>
      <w:pPr>
        <w:ind w:right="360"/>
        <w:spacing w:after="0" w:line="237" w:lineRule="auto"/>
        <w:rPr>
          <w:sz w:val="20"/>
          <w:szCs w:val="20"/>
          <w:color w:val="auto"/>
        </w:rPr>
      </w:pPr>
      <w:r>
        <w:rPr>
          <w:rFonts w:ascii="Arial" w:cs="Arial" w:eastAsia="Arial" w:hAnsi="Arial"/>
          <w:sz w:val="18"/>
          <w:szCs w:val="18"/>
          <w:color w:val="auto"/>
        </w:rPr>
        <w:t>at Society6. Media revenue declined due to the sale of WGB and lower revenue at Slate and Code3, partially offset by revenue growth at Foreign Policy and City Cast.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Overall, operating losses at other businesses were down in the first nine months of 2026, due to a reduction of losses from the sale of WGB</w:t>
      </w:r>
    </w:p>
    <w:p>
      <w:pPr>
        <w:spacing w:after="0" w:line="14"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and improved results at Society6, Saatchi Art, Code3, Decile, and Supporting Cast, partially offset by declines at CRG, Framebridge, Slate, City Cast and Foreign Policy.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Clyde’s Restaurant Group</w:t>
      </w:r>
    </w:p>
    <w:p>
      <w:pPr>
        <w:spacing w:after="0" w:line="156"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CRG owns and operates 14 restaurants and entertainment venues in the Washington, DC metropolitan area, including Old Ebbitt Grill and The Hamilton. Revenue was up in the third quarter and first nine months of 2026. CRG reported an operating loss for the third quarter of</w:t>
      </w:r>
    </w:p>
    <w:p>
      <w:pPr>
        <w:spacing w:after="0" w:line="235" w:lineRule="auto"/>
        <w:rPr>
          <w:sz w:val="20"/>
          <w:szCs w:val="20"/>
          <w:color w:val="auto"/>
        </w:rPr>
      </w:pPr>
      <w:r>
        <w:rPr>
          <w:rFonts w:ascii="Arial" w:cs="Arial" w:eastAsia="Arial" w:hAnsi="Arial"/>
          <w:sz w:val="18"/>
          <w:szCs w:val="18"/>
          <w:color w:val="auto"/>
        </w:rPr>
        <w:t>2026 and 2025, with improved results in the third quarter of 2026. CRG reported an operating profit for the first nine months of 2026 and</w:t>
      </w:r>
    </w:p>
    <w:p>
      <w:pPr>
        <w:spacing w:after="0" w:line="1"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2025, with operating results down for 2026 due to severe weather conditions and the temporary closure of two restaurants and related repair work that was completed early in the first quarter of 2026.</w:t>
      </w:r>
    </w:p>
    <w:p>
      <w:pPr>
        <w:spacing w:after="0" w:line="127"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color w:val="auto"/>
        </w:rPr>
        <w:t>In the second quarter of 2026, operations commenced under a Clyde’s licensing agreement at Dulles International Airport. CRG plans to open a new restaurant in Reston, VA in the fourth quarter of 2026.</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Framebridge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Framebridge is a custom framing service company, headquartered in the Washington, DC metropolitan area, with 54 retail locations, and five</w:t>
      </w:r>
    </w:p>
    <w:p>
      <w:pPr>
        <w:spacing w:after="0" w:line="14"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manufacturing facilities in Kentucky, Virginia, Nevada (opened in the third quarter of 2025) and Massachusetts (opened in the third quarter of 2026). In the first nine months of 2026, Framebridge opened ten new retail stores. Framebridge plans to open additional stores and</w:t>
      </w:r>
    </w:p>
    <w:p>
      <w:pPr>
        <w:spacing w:after="0" w:line="2"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manufacturing facilities in the fourth quarter of 2026, and continues to actively explore other opportunities for further store and manufacturing expansion.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Revenues grew in the third quarter and first nine months of 2026 due to an increase in retail revenue from same-store sales growth and</w:t>
      </w:r>
    </w:p>
    <w:p>
      <w:pPr>
        <w:spacing w:after="0" w:line="14"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operating additional retail stores compared to the same periods in 2025, and a modest increase in online revenues. Framebridge is an investment stage business and reported significant operating losses in the first nine months of 2026 and 2025. Framebridge operating results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include ongoing expansion investments from new retail store openings and manufacturing facilities.</w:t>
      </w:r>
    </w:p>
    <w:p>
      <w:pPr>
        <w:spacing w:after="0" w:line="140" w:lineRule="exact"/>
        <w:rPr>
          <w:sz w:val="20"/>
          <w:szCs w:val="20"/>
          <w:color w:val="auto"/>
        </w:rPr>
      </w:pPr>
    </w:p>
    <w:p>
      <w:pPr>
        <w:ind w:right="220"/>
        <w:spacing w:after="0" w:line="251" w:lineRule="auto"/>
        <w:rPr>
          <w:sz w:val="20"/>
          <w:szCs w:val="20"/>
          <w:color w:val="auto"/>
        </w:rPr>
      </w:pPr>
      <w:r>
        <w:rPr>
          <w:rFonts w:ascii="Arial" w:cs="Arial" w:eastAsia="Arial" w:hAnsi="Arial"/>
          <w:sz w:val="17"/>
          <w:szCs w:val="17"/>
          <w:color w:val="auto"/>
        </w:rPr>
        <w:t>In the third quarter of 2026, the Company offered a SIP to certain employees at Framebridge; $1.0 million in related non-operating pension expense was recorded. In the first quarter of 2026, the Company offered a SIP to certain employees at Framebridge; $0.2 million in related</w:t>
      </w:r>
    </w:p>
    <w:p>
      <w:pPr>
        <w:spacing w:after="0" w:line="1" w:lineRule="exact"/>
        <w:rPr>
          <w:sz w:val="20"/>
          <w:szCs w:val="20"/>
          <w:color w:val="auto"/>
        </w:rPr>
      </w:pPr>
    </w:p>
    <w:p>
      <w:pPr>
        <w:ind w:right="1280"/>
        <w:spacing w:after="0" w:line="404" w:lineRule="auto"/>
        <w:rPr>
          <w:sz w:val="20"/>
          <w:szCs w:val="20"/>
          <w:color w:val="auto"/>
        </w:rPr>
      </w:pPr>
      <w:r>
        <w:rPr>
          <w:rFonts w:ascii="Arial" w:cs="Arial" w:eastAsia="Arial" w:hAnsi="Arial"/>
          <w:sz w:val="18"/>
          <w:szCs w:val="18"/>
          <w:color w:val="auto"/>
        </w:rPr>
        <w:t xml:space="preserve">non-operating pension expense was recorded. These programs were funded from the assets of the Company’s pension plan. </w:t>
      </w:r>
      <w:r>
        <w:rPr>
          <w:rFonts w:ascii="Arial" w:cs="Arial" w:eastAsia="Arial" w:hAnsi="Arial"/>
          <w:sz w:val="18"/>
          <w:szCs w:val="18"/>
          <w:i w:val="1"/>
          <w:iCs w:val="1"/>
          <w:color w:val="auto"/>
        </w:rPr>
        <w:t>Other</w:t>
      </w:r>
    </w:p>
    <w:p>
      <w:pPr>
        <w:spacing w:after="0" w:line="1" w:lineRule="exact"/>
        <w:rPr>
          <w:sz w:val="20"/>
          <w:szCs w:val="20"/>
          <w:color w:val="auto"/>
        </w:rPr>
      </w:pPr>
    </w:p>
    <w:p>
      <w:pPr>
        <w:ind w:right="580"/>
        <w:spacing w:after="0" w:line="259" w:lineRule="auto"/>
        <w:rPr>
          <w:sz w:val="20"/>
          <w:szCs w:val="20"/>
          <w:color w:val="auto"/>
        </w:rPr>
      </w:pPr>
      <w:r>
        <w:rPr>
          <w:rFonts w:ascii="Arial" w:cs="Arial" w:eastAsia="Arial" w:hAnsi="Arial"/>
          <w:sz w:val="17"/>
          <w:szCs w:val="17"/>
          <w:color w:val="auto"/>
        </w:rPr>
        <w:t>Other businesses also include Code3, a performance marketing agency focused on driving performance for brands through three core elements of digital success: media, creative and commerce; Slate and Foreign Policy, which publish online and print magazines and</w:t>
      </w:r>
    </w:p>
    <w:p>
      <w:pPr>
        <w:spacing w:after="0" w:line="1" w:lineRule="exact"/>
        <w:rPr>
          <w:sz w:val="20"/>
          <w:szCs w:val="20"/>
          <w:color w:val="auto"/>
        </w:rPr>
      </w:pPr>
    </w:p>
    <w:p>
      <w:pPr>
        <w:ind w:right="200"/>
        <w:spacing w:after="0"/>
        <w:rPr>
          <w:sz w:val="20"/>
          <w:szCs w:val="20"/>
          <w:color w:val="auto"/>
        </w:rPr>
      </w:pPr>
      <w:r>
        <w:rPr>
          <w:rFonts w:ascii="Arial" w:cs="Arial" w:eastAsia="Arial" w:hAnsi="Arial"/>
          <w:sz w:val="17"/>
          <w:szCs w:val="17"/>
          <w:color w:val="auto"/>
        </w:rPr>
        <w:t>websites; Saatchi Art and Society6, which offer art and designs of various consumer products; and three investment stage businesses, Decile, City Cast and Supporting Cast. Saatchi Art, Supporting Cast, Foreign Policy, and City Cast reported revenue growth in the first nine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months of 2026, while Society6, Slate, Code3 and Decile reported revenue declines. Losses from City Cast, Society6, Slate, Decile and</w:t>
      </w:r>
    </w:p>
    <w:p>
      <w:pPr>
        <w:sectPr>
          <w:pgSz w:w="11900" w:h="16838" w:orient="portrait"/>
          <w:cols w:equalWidth="0" w:num="1">
            <w:col w:w="11240"/>
          </w:cols>
          <w:pgMar w:left="320" w:top="1041" w:right="33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type w:val="continuous"/>
        </w:sectPr>
      </w:pPr>
    </w:p>
    <w:bookmarkStart w:id="44" w:name="page45"/>
    <w:bookmarkEnd w:id="44"/>
    <w:p>
      <w:pPr>
        <w:ind w:right="220"/>
        <w:spacing w:after="0" w:line="271" w:lineRule="auto"/>
        <w:rPr>
          <w:sz w:val="20"/>
          <w:szCs w:val="20"/>
          <w:color w:val="auto"/>
        </w:rPr>
      </w:pPr>
      <w:r>
        <w:rPr>
          <w:rFonts w:ascii="Arial" w:cs="Arial" w:eastAsia="Arial" w:hAnsi="Arial"/>
          <w:sz w:val="18"/>
          <w:szCs w:val="18"/>
          <w:color w:val="auto"/>
        </w:rPr>
        <w:t>Saatchi Art in the first nine months of 2026 adversely affected operating results, while Foreign Policy, Supporting Cast and Code3 reported an operating profit.</w:t>
      </w:r>
    </w:p>
    <w:p>
      <w:pPr>
        <w:spacing w:after="0" w:line="86" w:lineRule="exact"/>
        <w:rPr>
          <w:sz w:val="20"/>
          <w:szCs w:val="20"/>
          <w:color w:val="auto"/>
        </w:rPr>
      </w:pPr>
    </w:p>
    <w:p>
      <w:pPr>
        <w:ind w:right="200"/>
        <w:spacing w:after="0" w:line="245" w:lineRule="auto"/>
        <w:rPr>
          <w:sz w:val="20"/>
          <w:szCs w:val="20"/>
          <w:color w:val="auto"/>
        </w:rPr>
      </w:pPr>
      <w:r>
        <w:rPr>
          <w:rFonts w:ascii="Arial" w:cs="Arial" w:eastAsia="Arial" w:hAnsi="Arial"/>
          <w:sz w:val="18"/>
          <w:szCs w:val="18"/>
          <w:color w:val="auto"/>
        </w:rPr>
        <w:t>In the third quarter of 2026, the Company offered a SIP to certain employees at Saatchi Art; $0.1 million in related non-operating pension expense was recorded. In the second quarter of 2026, the Company offered a SIP to certain employees at Code3 and Slate; $0.3 million in</w:t>
      </w:r>
    </w:p>
    <w:p>
      <w:pPr>
        <w:ind w:right="220"/>
        <w:spacing w:after="0" w:line="226" w:lineRule="auto"/>
        <w:rPr>
          <w:sz w:val="20"/>
          <w:szCs w:val="20"/>
          <w:color w:val="auto"/>
        </w:rPr>
      </w:pPr>
      <w:r>
        <w:rPr>
          <w:rFonts w:ascii="Arial" w:cs="Arial" w:eastAsia="Arial" w:hAnsi="Arial"/>
          <w:sz w:val="18"/>
          <w:szCs w:val="18"/>
          <w:color w:val="auto"/>
        </w:rPr>
        <w:t>related non-operating pension expense was recorded. In the first quarter of 2026, the Company offered SIPs to certain employees at Slate and Code3; $1.0 million in related non-operating pension expense was recorded. In the third quarter of 2025, the Company offered SIPs to</w:t>
      </w:r>
    </w:p>
    <w:p>
      <w:pPr>
        <w:spacing w:after="0" w:line="236" w:lineRule="auto"/>
        <w:rPr>
          <w:sz w:val="20"/>
          <w:szCs w:val="20"/>
          <w:color w:val="auto"/>
        </w:rPr>
      </w:pPr>
      <w:r>
        <w:rPr>
          <w:rFonts w:ascii="Arial" w:cs="Arial" w:eastAsia="Arial" w:hAnsi="Arial"/>
          <w:sz w:val="18"/>
          <w:szCs w:val="18"/>
          <w:color w:val="auto"/>
        </w:rPr>
        <w:t>certain employees at Code3, Saatchi Art and Society6; $1.1 million in related non-operating pension expense was recorded. In the second</w:t>
      </w:r>
    </w:p>
    <w:p>
      <w:pPr>
        <w:spacing w:after="0" w:line="1" w:lineRule="exact"/>
        <w:rPr>
          <w:sz w:val="20"/>
          <w:szCs w:val="20"/>
          <w:color w:val="auto"/>
        </w:rPr>
      </w:pPr>
    </w:p>
    <w:p>
      <w:pPr>
        <w:ind w:right="160"/>
        <w:spacing w:after="0"/>
        <w:rPr>
          <w:sz w:val="20"/>
          <w:szCs w:val="20"/>
          <w:color w:val="auto"/>
        </w:rPr>
      </w:pPr>
      <w:r>
        <w:rPr>
          <w:rFonts w:ascii="Arial" w:cs="Arial" w:eastAsia="Arial" w:hAnsi="Arial"/>
          <w:sz w:val="17"/>
          <w:szCs w:val="17"/>
          <w:color w:val="auto"/>
        </w:rPr>
        <w:t>quarter of 2025, the Company offered SIPs to certain employees at Code3, Saatchi Art, Society6, WGB and Decile; $5.2 million in related non-operating pension expense was recorded. In the first quarter of 2025, WGB offered a SIP; $0.6 million in related non-operating pension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expense was recorded. These programs were funded from the assets of the Company’s pension plan.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Office</w:t>
      </w:r>
    </w:p>
    <w:p>
      <w:pPr>
        <w:spacing w:after="0" w:line="142"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Corporate office includes the expenses of the Company’s corporate office and certain continuing obligations related to prior business dispositions. Corporate expenses were higher in the first nine months of 2026 due largely to increased costs related to employee healthcare and legal professional services.</w:t>
      </w:r>
    </w:p>
    <w:p>
      <w:pPr>
        <w:spacing w:after="0" w:line="101"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In the third quarter of 2026, the Company offered a VRIP to certain employees at the Corporate office; $0.8 million in related non-operating pension expense was recorded. This program was funded from the assets of the Company’s pension plan.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w:t>
      </w:r>
      <w:r>
        <w:rPr>
          <w:rFonts w:ascii="Arial" w:cs="Arial" w:eastAsia="Arial" w:hAnsi="Arial"/>
          <w:sz w:val="18"/>
          <w:szCs w:val="18"/>
          <w:b w:val="1"/>
          <w:bCs w:val="1"/>
          <w:color w:val="auto"/>
          <w:highlight w:val="white"/>
        </w:rPr>
        <w:t>y in Earnin</w:t>
      </w:r>
      <w:r>
        <w:rPr>
          <w:rFonts w:ascii="Arial" w:cs="Arial" w:eastAsia="Arial" w:hAnsi="Arial"/>
          <w:sz w:val="18"/>
          <w:szCs w:val="18"/>
          <w:b w:val="1"/>
          <w:bCs w:val="1"/>
          <w:color w:val="auto"/>
        </w:rPr>
        <w:t>gs (Losses) of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-7620</wp:posOffset>
            </wp:positionV>
            <wp:extent cx="187261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872615"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2026, the Company held an approximate 25.6% interest in Intersection, a company that provides digital marketing and</w:t>
      </w:r>
    </w:p>
    <w:p>
      <w:pPr>
        <w:spacing w:after="0" w:line="14" w:lineRule="exact"/>
        <w:rPr>
          <w:sz w:val="20"/>
          <w:szCs w:val="20"/>
          <w:color w:val="auto"/>
        </w:rPr>
      </w:pPr>
    </w:p>
    <w:p>
      <w:pPr>
        <w:ind w:right="380"/>
        <w:spacing w:after="0" w:line="226" w:lineRule="auto"/>
        <w:rPr>
          <w:sz w:val="20"/>
          <w:szCs w:val="20"/>
          <w:color w:val="auto"/>
        </w:rPr>
      </w:pPr>
      <w:r>
        <w:rPr>
          <w:rFonts w:ascii="Arial" w:cs="Arial" w:eastAsia="Arial" w:hAnsi="Arial"/>
          <w:sz w:val="18"/>
          <w:szCs w:val="18"/>
          <w:color w:val="auto"/>
        </w:rPr>
        <w:t>advertising services and products for cities, transit systems, airports, and other public and private spaces; and a 41.5% interest on a fully diluted basis in Realm. The Company also holds interests in several other affiliates, including a number of home health and hospice joint</w:t>
      </w:r>
    </w:p>
    <w:p>
      <w:pPr>
        <w:spacing w:after="0" w:line="236" w:lineRule="auto"/>
        <w:rPr>
          <w:sz w:val="20"/>
          <w:szCs w:val="20"/>
          <w:color w:val="auto"/>
        </w:rPr>
      </w:pPr>
      <w:r>
        <w:rPr>
          <w:rFonts w:ascii="Arial" w:cs="Arial" w:eastAsia="Arial" w:hAnsi="Arial"/>
          <w:sz w:val="18"/>
          <w:szCs w:val="18"/>
          <w:color w:val="auto"/>
        </w:rPr>
        <w:t>ventures managed by GHG and a joint venture managed by Kaplan. Overall, the Company recorded equity in losses of affiliates of $3.6</w:t>
      </w:r>
    </w:p>
    <w:p>
      <w:pPr>
        <w:spacing w:after="0" w:line="1" w:lineRule="exact"/>
        <w:rPr>
          <w:sz w:val="20"/>
          <w:szCs w:val="20"/>
          <w:color w:val="auto"/>
        </w:rPr>
      </w:pPr>
    </w:p>
    <w:p>
      <w:pPr>
        <w:ind w:right="240"/>
        <w:spacing w:after="0"/>
        <w:rPr>
          <w:sz w:val="20"/>
          <w:szCs w:val="20"/>
          <w:color w:val="auto"/>
        </w:rPr>
      </w:pPr>
      <w:r>
        <w:rPr>
          <w:rFonts w:ascii="Arial" w:cs="Arial" w:eastAsia="Arial" w:hAnsi="Arial"/>
          <w:sz w:val="17"/>
          <w:szCs w:val="17"/>
          <w:color w:val="auto"/>
        </w:rPr>
        <w:t>million for the third quarter of 2026, compared to earnings of $ 15.8 million for the third quarter of 2025. These amounts include $6.3 million and $5.8 million in net losses for the third quarter of 2026 and 2025, respectively, from affiliates whose operations are not managed by the</w:t>
      </w:r>
    </w:p>
    <w:p>
      <w:pPr>
        <w:spacing w:after="0" w:line="1"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Company. The 2026 amount also includes a $0.5 million impairment loss on one of the Company’s investment in affiliates. The 2025 amount includes a gain of $18.6 million in equity earnings related to the Company’s investment in Intersection.</w:t>
      </w:r>
    </w:p>
    <w:p>
      <w:pPr>
        <w:spacing w:after="0" w:line="104" w:lineRule="exact"/>
        <w:rPr>
          <w:sz w:val="20"/>
          <w:szCs w:val="20"/>
          <w:color w:val="auto"/>
        </w:rPr>
      </w:pPr>
    </w:p>
    <w:p>
      <w:pPr>
        <w:ind w:right="60"/>
        <w:spacing w:after="0" w:line="245" w:lineRule="auto"/>
        <w:rPr>
          <w:sz w:val="20"/>
          <w:szCs w:val="20"/>
          <w:color w:val="auto"/>
        </w:rPr>
      </w:pPr>
      <w:r>
        <w:rPr>
          <w:rFonts w:ascii="Arial" w:cs="Arial" w:eastAsia="Arial" w:hAnsi="Arial"/>
          <w:sz w:val="18"/>
          <w:szCs w:val="18"/>
          <w:color w:val="auto"/>
        </w:rPr>
        <w:t>The Company recorded equity in earnings of affiliates of $11.4 million for the first nine months of 2026, compared to $10.5 million for the first nine months of 2025. These amounts include $6.8 million in net earnings and $18.1 million in net losses for the first nine months of 2026 and</w:t>
      </w:r>
    </w:p>
    <w:p>
      <w:pPr>
        <w:ind w:right="300"/>
        <w:spacing w:after="0"/>
        <w:rPr>
          <w:sz w:val="20"/>
          <w:szCs w:val="20"/>
          <w:color w:val="auto"/>
        </w:rPr>
      </w:pPr>
      <w:r>
        <w:rPr>
          <w:rFonts w:ascii="Arial" w:cs="Arial" w:eastAsia="Arial" w:hAnsi="Arial"/>
          <w:sz w:val="17"/>
          <w:szCs w:val="17"/>
          <w:color w:val="auto"/>
        </w:rPr>
        <w:t>2025, respectively, from affiliates whose operations are not managed by the Company. The 2026 amount also includes $6.3 million impairment losses on the Company’s investment in Realm and one of the Company’s other investment in affiliates. The 2025 amount also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includes a gain of $18.6 million in equity earnings related to the Company’s investment in Intersection.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Interest Expense and Related Balances</w:t>
      </w:r>
    </w:p>
    <w:p>
      <w:pPr>
        <w:spacing w:after="0" w:line="144"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On November 24, 2025, the Company issued $500 million of 5.625% unsecured eight-year fixed-rate notes due December 1, 2033 (the Notes). Interest is paid semi-annually on June 1 and December 1. Also on November 24, 2025, the Company used the net proceeds from the</w:t>
      </w:r>
    </w:p>
    <w:p>
      <w:pPr>
        <w:spacing w:after="0" w:line="1" w:lineRule="exact"/>
        <w:rPr>
          <w:sz w:val="20"/>
          <w:szCs w:val="20"/>
          <w:color w:val="auto"/>
        </w:rPr>
      </w:pPr>
    </w:p>
    <w:p>
      <w:pPr>
        <w:ind w:right="460"/>
        <w:spacing w:after="0" w:line="226" w:lineRule="auto"/>
        <w:rPr>
          <w:sz w:val="20"/>
          <w:szCs w:val="20"/>
          <w:color w:val="auto"/>
        </w:rPr>
      </w:pPr>
      <w:r>
        <w:rPr>
          <w:rFonts w:ascii="Arial" w:cs="Arial" w:eastAsia="Arial" w:hAnsi="Arial"/>
          <w:sz w:val="18"/>
          <w:szCs w:val="18"/>
          <w:color w:val="auto"/>
        </w:rPr>
        <w:t>sale of the Notes, together with the borrowings under the revolving credit agreement, to (i) redeem the $400 million of 5.75% unsecured notes due June 1, 2026, (ii) refinance outstanding revolving loans under the existing revolving credit facility, and (iii) repay all amounts</w:t>
      </w:r>
    </w:p>
    <w:p>
      <w:pPr>
        <w:spacing w:after="0" w:line="236" w:lineRule="auto"/>
        <w:rPr>
          <w:sz w:val="20"/>
          <w:szCs w:val="20"/>
          <w:color w:val="auto"/>
        </w:rPr>
      </w:pPr>
      <w:r>
        <w:rPr>
          <w:rFonts w:ascii="Arial" w:cs="Arial" w:eastAsia="Arial" w:hAnsi="Arial"/>
          <w:sz w:val="18"/>
          <w:szCs w:val="18"/>
          <w:color w:val="auto"/>
        </w:rPr>
        <w:t>outstanding under the Company’s existing $150 million term loan. On October 21, 2025, the automotive subsidiary borrowed $38.7 million</w:t>
      </w:r>
    </w:p>
    <w:p>
      <w:pPr>
        <w:spacing w:after="0" w:line="1"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under the delayed draw term loan to finance the acquisition of a Honda automotive dealership, including the real property for the dealership operations.</w:t>
      </w:r>
    </w:p>
    <w:p>
      <w:pPr>
        <w:spacing w:after="0" w:line="127"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The Company incurred net interest expense of $14.2 million and $43.2 million for the third quarter and first nine months of 2026, compared to $15.7 million and $111.3 million for the third quarter and first nine months of 2025.</w:t>
      </w:r>
    </w:p>
    <w:p>
      <w:pPr>
        <w:spacing w:after="0" w:line="86" w:lineRule="exact"/>
        <w:rPr>
          <w:sz w:val="20"/>
          <w:szCs w:val="20"/>
          <w:color w:val="auto"/>
        </w:rPr>
      </w:pPr>
    </w:p>
    <w:p>
      <w:pPr>
        <w:ind w:right="300"/>
        <w:spacing w:after="0" w:line="259" w:lineRule="auto"/>
        <w:rPr>
          <w:sz w:val="20"/>
          <w:szCs w:val="20"/>
          <w:color w:val="auto"/>
        </w:rPr>
      </w:pPr>
      <w:r>
        <w:rPr>
          <w:rFonts w:ascii="Arial" w:cs="Arial" w:eastAsia="Arial" w:hAnsi="Arial"/>
          <w:sz w:val="17"/>
          <w:szCs w:val="17"/>
          <w:color w:val="auto"/>
        </w:rPr>
        <w:t>The Company recorded a reduction in interest expense of $0.1 million and $1.0 million in the third quarter and first nine months of 2026, respectively, compared to interest expense of $0.7 million and $68.3 million in the third quarter and first nine months of 2025, to adjust the</w:t>
      </w:r>
    </w:p>
    <w:p>
      <w:pPr>
        <w:spacing w:after="0" w:line="1" w:lineRule="exact"/>
        <w:rPr>
          <w:sz w:val="20"/>
          <w:szCs w:val="20"/>
          <w:color w:val="auto"/>
        </w:rPr>
      </w:pPr>
    </w:p>
    <w:p>
      <w:pPr>
        <w:ind w:right="320"/>
        <w:spacing w:after="0" w:line="226" w:lineRule="auto"/>
        <w:rPr>
          <w:sz w:val="20"/>
          <w:szCs w:val="20"/>
          <w:color w:val="auto"/>
        </w:rPr>
      </w:pPr>
      <w:r>
        <w:rPr>
          <w:rFonts w:ascii="Arial" w:cs="Arial" w:eastAsia="Arial" w:hAnsi="Arial"/>
          <w:sz w:val="18"/>
          <w:szCs w:val="18"/>
          <w:color w:val="auto"/>
        </w:rPr>
        <w:t>fair value of the mandatorily redeemable noncontrolling interest at GHG. The significant adjustment recorded in the first quarter of 2025 is largely related to a substantial increase in the estimated fair value of CSI. On February 25, 2025, the Company and a group of minority</w:t>
      </w:r>
    </w:p>
    <w:p>
      <w:pPr>
        <w:spacing w:after="0" w:line="2"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shareholders entered into an agreement to settle a significant portion of the mandatorily redeemable noncontrolling interest for a total of $205 million, which consisted of approximately $186.25 million in cash and $18.75 million in Graham Holdings Company Class B common stock.</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At September 30, 2026, the Company had $853.4 million in borrowings outstanding at an average interest rate of 5.8%, and cash,</w:t>
      </w:r>
    </w:p>
    <w:p>
      <w:pPr>
        <w:spacing w:after="0" w:line="14" w:lineRule="exact"/>
        <w:rPr>
          <w:sz w:val="20"/>
          <w:szCs w:val="20"/>
          <w:color w:val="auto"/>
        </w:rPr>
      </w:pPr>
    </w:p>
    <w:p>
      <w:pPr>
        <w:ind w:right="380"/>
        <w:spacing w:after="0" w:line="237" w:lineRule="auto"/>
        <w:rPr>
          <w:sz w:val="20"/>
          <w:szCs w:val="20"/>
          <w:color w:val="auto"/>
        </w:rPr>
      </w:pPr>
      <w:r>
        <w:rPr>
          <w:rFonts w:ascii="Arial" w:cs="Arial" w:eastAsia="Arial" w:hAnsi="Arial"/>
          <w:sz w:val="18"/>
          <w:szCs w:val="18"/>
          <w:color w:val="auto"/>
        </w:rPr>
        <w:t>marketable equity securities and other investments of $1,246.2 million, excluding DBS cash classified as held for sale. At September 30, 2026, the Company had $186.2 million outstanding on its $400 million revolving credit facility.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Non-operating Pension and Postretirement Benefit Income, net</w:t>
      </w:r>
    </w:p>
    <w:p>
      <w:pPr>
        <w:spacing w:after="0" w:line="15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Company recorded net non-operating pension and postretirement benefit income of $47.6 million and $ 248.3 million for the third quarter and first nine months of 2026, compared to $31.0 million and $94.3 million for the third quarter and first nine months of 2025.</w:t>
      </w:r>
    </w:p>
    <w:p>
      <w:pPr>
        <w:spacing w:after="0" w:line="112"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color w:val="auto"/>
        </w:rPr>
        <w:t>In the third quarter and first nine months of 2026, the Company recorded a pre-tax, noncash settlement gain of $15.0 million and $151.9 million, respectively, in connection with the purchase of an irrevocable group annuity contract from an insurance company.</w:t>
      </w:r>
    </w:p>
    <w:p>
      <w:pPr>
        <w:spacing w:after="0" w:line="86" w:lineRule="exact"/>
        <w:rPr>
          <w:sz w:val="20"/>
          <w:szCs w:val="20"/>
          <w:color w:val="auto"/>
        </w:rPr>
      </w:pPr>
    </w:p>
    <w:p>
      <w:pPr>
        <w:ind w:right="280"/>
        <w:spacing w:after="0" w:line="245" w:lineRule="auto"/>
        <w:rPr>
          <w:sz w:val="20"/>
          <w:szCs w:val="20"/>
          <w:color w:val="auto"/>
        </w:rPr>
      </w:pPr>
      <w:r>
        <w:rPr>
          <w:rFonts w:ascii="Arial" w:cs="Arial" w:eastAsia="Arial" w:hAnsi="Arial"/>
          <w:sz w:val="18"/>
          <w:szCs w:val="18"/>
          <w:color w:val="auto"/>
        </w:rPr>
        <w:t>In the third quarter of 2026, the Company recorded $3.2 million in expenses related to non-operating SIPs and a VRIP at Kaplan, manufacturing, other businesses and the Corporate office. In the second quarter of 2026, the Company recorded $3.8 million in expenses</w:t>
      </w:r>
    </w:p>
    <w:p>
      <w:pPr>
        <w:ind w:right="120"/>
        <w:spacing w:after="0" w:line="226" w:lineRule="auto"/>
        <w:rPr>
          <w:sz w:val="20"/>
          <w:szCs w:val="20"/>
          <w:color w:val="auto"/>
        </w:rPr>
      </w:pPr>
      <w:r>
        <w:rPr>
          <w:rFonts w:ascii="Arial" w:cs="Arial" w:eastAsia="Arial" w:hAnsi="Arial"/>
          <w:sz w:val="18"/>
          <w:szCs w:val="18"/>
          <w:color w:val="auto"/>
        </w:rPr>
        <w:t>related to non-operating SIPs at Kaplan, the television broadcasting division, and other businesses and a VRIP at manufacturing. In the first quarter of 2026, the Company recorded $4.1 million in expenses related to non-operating SIPs at Kaplan, the television broadcasting</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division, manufacturing, other businesses and the Corporate office.</w:t>
      </w:r>
    </w:p>
    <w:p>
      <w:pPr>
        <w:spacing w:after="0" w:line="140"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In the third quarter of 2025, the Company recorded $2.5 million in expenses related to non-operating SIPs at Kaplan, the television broadcasting division, manufacturing and other businesses. In the second quarter of 2025, the Company recorded $6.0 million in expenses</w:t>
      </w:r>
    </w:p>
    <w:p>
      <w:pPr>
        <w:spacing w:after="0" w:line="1" w:lineRule="exact"/>
        <w:rPr>
          <w:sz w:val="20"/>
          <w:szCs w:val="20"/>
          <w:color w:val="auto"/>
        </w:rPr>
      </w:pPr>
    </w:p>
    <w:p>
      <w:pPr>
        <w:ind w:right="300"/>
        <w:spacing w:after="0" w:line="250" w:lineRule="auto"/>
        <w:rPr>
          <w:sz w:val="20"/>
          <w:szCs w:val="20"/>
          <w:color w:val="auto"/>
        </w:rPr>
      </w:pPr>
      <w:r>
        <w:rPr>
          <w:rFonts w:ascii="Arial" w:cs="Arial" w:eastAsia="Arial" w:hAnsi="Arial"/>
          <w:sz w:val="18"/>
          <w:szCs w:val="18"/>
          <w:color w:val="auto"/>
        </w:rPr>
        <w:t>related to non-operating SIPs at the education and television broadcasting divisions and other businesses. In the first quarter of 2025, the Company recorded $0.6 million in expenses related to non-operating SIPs at other businesses.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Gain (Loss) on Marketable Equity Securities, net</w:t>
      </w:r>
    </w:p>
    <w:p>
      <w:pPr>
        <w:spacing w:after="0" w:line="158"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Overall, the Company recognized $15.0 million in net losses and $17.9 million in net gains on marketable equity securities in the third quarter and first nine months of 2026, compared to $84.8 million and $117.0 million in net gains on marketable equity securities in the third quarter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and first nine months of 2025.</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Non-Operatin</w:t>
      </w:r>
      <w:r>
        <w:rPr>
          <w:rFonts w:ascii="Arial" w:cs="Arial" w:eastAsia="Arial" w:hAnsi="Arial"/>
          <w:sz w:val="18"/>
          <w:szCs w:val="18"/>
          <w:b w:val="1"/>
          <w:bCs w:val="1"/>
          <w:u w:val="single" w:color="auto"/>
          <w:color w:val="auto"/>
          <w:highlight w:val="white"/>
        </w:rPr>
        <w:t>g (Expense) Income</w:t>
      </w:r>
    </w:p>
    <w:p>
      <w:pPr>
        <w:spacing w:after="0" w:line="144"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The Company recorded total other non-operating expense, net, of $1.2 million for the third quarter of 2026, compared to a nominal net other non-operating income amount for the third quarter of 2025. The 2026 amounts included $1.5 million in foreign currency losses, partially offset</w:t>
      </w:r>
    </w:p>
    <w:p>
      <w:pPr>
        <w:spacing w:after="0" w:line="1" w:lineRule="exact"/>
        <w:rPr>
          <w:sz w:val="20"/>
          <w:szCs w:val="20"/>
          <w:color w:val="auto"/>
        </w:rPr>
      </w:pPr>
    </w:p>
    <w:p>
      <w:pPr>
        <w:ind w:right="900"/>
        <w:spacing w:after="0" w:line="237" w:lineRule="auto"/>
        <w:rPr>
          <w:sz w:val="20"/>
          <w:szCs w:val="20"/>
          <w:color w:val="auto"/>
        </w:rPr>
      </w:pPr>
      <w:r>
        <w:rPr>
          <w:rFonts w:ascii="Arial" w:cs="Arial" w:eastAsia="Arial" w:hAnsi="Arial"/>
          <w:sz w:val="18"/>
          <w:szCs w:val="18"/>
          <w:color w:val="auto"/>
        </w:rPr>
        <w:t>by other items. The 2025 amounts included $1.1 million in foreign currency gains and other items; partially offset by $1.5 million in impairments on cost method investments.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recorded total other non-operating expense, net, of $4.1 million for the first nine months of 2026, compared to $20.5 million for</w:t>
      </w:r>
    </w:p>
    <w:p>
      <w:pPr>
        <w:spacing w:after="0" w:line="14" w:lineRule="exact"/>
        <w:rPr>
          <w:sz w:val="20"/>
          <w:szCs w:val="20"/>
          <w:color w:val="auto"/>
        </w:rPr>
      </w:pPr>
    </w:p>
    <w:p>
      <w:pPr>
        <w:ind w:right="140"/>
        <w:spacing w:after="0"/>
        <w:rPr>
          <w:sz w:val="20"/>
          <w:szCs w:val="20"/>
          <w:color w:val="auto"/>
        </w:rPr>
      </w:pPr>
      <w:r>
        <w:rPr>
          <w:rFonts w:ascii="Arial" w:cs="Arial" w:eastAsia="Arial" w:hAnsi="Arial"/>
          <w:sz w:val="17"/>
          <w:szCs w:val="17"/>
          <w:color w:val="auto"/>
        </w:rPr>
        <w:t>the first nine months of 2025. The 2026 amounts included a $ 5.2 million loss on the sale of KLG and $2.0 million in foreign currency losses, partially offset by a $0.5 million gain on sale of a cost method investment and other items. The 2025 amounts included $14.2 million in</w:t>
      </w:r>
    </w:p>
    <w:p>
      <w:pPr>
        <w:spacing w:after="0" w:line="1" w:lineRule="exact"/>
        <w:rPr>
          <w:sz w:val="20"/>
          <w:szCs w:val="20"/>
          <w:color w:val="auto"/>
        </w:rPr>
      </w:pPr>
    </w:p>
    <w:p>
      <w:pPr>
        <w:ind w:right="760"/>
        <w:spacing w:after="0" w:line="250" w:lineRule="auto"/>
        <w:rPr>
          <w:sz w:val="20"/>
          <w:szCs w:val="20"/>
          <w:color w:val="auto"/>
        </w:rPr>
      </w:pPr>
      <w:r>
        <w:rPr>
          <w:rFonts w:ascii="Arial" w:cs="Arial" w:eastAsia="Arial" w:hAnsi="Arial"/>
          <w:sz w:val="18"/>
          <w:szCs w:val="18"/>
          <w:color w:val="auto"/>
        </w:rPr>
        <w:t>impairments on cost method investments and $7.7 million in foreign currency losses; partially offset by a $0.4 million gain on sale of businesses and other items.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Company’s effective tax rate for the first nine months of 2026 and 2025 was 14.6% and 30.6%, respectively.</w:t>
      </w:r>
    </w:p>
    <w:p>
      <w:pPr>
        <w:spacing w:after="0" w:line="158"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The Company recognized a U.S. income tax expense of $1.5 million and a benefit of $68.1 million during the third quarter and first nine months of 2026, respectively, in connection with the restructuring and sale of the KLG business. As a result of this significant U.S. income tax</w:t>
      </w:r>
    </w:p>
    <w:p>
      <w:pPr>
        <w:spacing w:after="0" w:line="235" w:lineRule="auto"/>
        <w:rPr>
          <w:sz w:val="20"/>
          <w:szCs w:val="20"/>
          <w:color w:val="auto"/>
        </w:rPr>
      </w:pPr>
      <w:r>
        <w:rPr>
          <w:rFonts w:ascii="Arial" w:cs="Arial" w:eastAsia="Arial" w:hAnsi="Arial"/>
          <w:sz w:val="18"/>
          <w:szCs w:val="18"/>
          <w:color w:val="auto"/>
        </w:rPr>
        <w:t>benefit, the Company recorded a non-U.S. global minimum corporate top-up income tax benefit of $3.9 million and an expense of $15.3</w:t>
      </w:r>
    </w:p>
    <w:p>
      <w:pPr>
        <w:jc w:val="both"/>
        <w:ind w:right="100"/>
        <w:spacing w:after="0"/>
        <w:rPr>
          <w:sz w:val="20"/>
          <w:szCs w:val="20"/>
          <w:color w:val="auto"/>
        </w:rPr>
      </w:pPr>
      <w:r>
        <w:rPr>
          <w:rFonts w:ascii="Arial" w:cs="Arial" w:eastAsia="Arial" w:hAnsi="Arial"/>
          <w:sz w:val="17"/>
          <w:szCs w:val="17"/>
          <w:color w:val="auto"/>
        </w:rPr>
        <w:t>million in the third quarter and first nine months of 2026, respectively. This accrual relates to non-U.S. jurisdictions that have not yet enacted legislation adopting recent guidance from the Organization for Economic Co-operation and Development (OECD), which would exempt U.S.</w:t>
      </w:r>
    </w:p>
    <w:p>
      <w:pPr>
        <w:spacing w:after="0" w:line="235" w:lineRule="auto"/>
        <w:rPr>
          <w:sz w:val="20"/>
          <w:szCs w:val="20"/>
          <w:color w:val="auto"/>
        </w:rPr>
      </w:pPr>
      <w:r>
        <w:rPr>
          <w:rFonts w:ascii="Arial" w:cs="Arial" w:eastAsia="Arial" w:hAnsi="Arial"/>
          <w:sz w:val="18"/>
          <w:szCs w:val="18"/>
          <w:color w:val="auto"/>
        </w:rPr>
        <w:t>parent multinational groups from Pillar Two top-up tax on their U.S. source income. The enactment of legislation in the U.K. and other</w:t>
      </w:r>
    </w:p>
    <w:p>
      <w:pPr>
        <w:ind w:right="480"/>
        <w:spacing w:after="0" w:line="237" w:lineRule="auto"/>
        <w:rPr>
          <w:sz w:val="20"/>
          <w:szCs w:val="20"/>
          <w:color w:val="auto"/>
        </w:rPr>
      </w:pPr>
      <w:r>
        <w:rPr>
          <w:rFonts w:ascii="Arial" w:cs="Arial" w:eastAsia="Arial" w:hAnsi="Arial"/>
          <w:sz w:val="18"/>
          <w:szCs w:val="18"/>
          <w:color w:val="auto"/>
        </w:rPr>
        <w:t>jurisdictions would have a favorable impact on the Company’s income tax provision and could result in a complete reversal of the $15.3 million accrued amount without payment.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Company’s effective tax rate for the first nine months of 2025 was based on the estimated full year 2025 effective tax rate, which</w:t>
      </w:r>
    </w:p>
    <w:p>
      <w:pPr>
        <w:spacing w:after="0" w:line="14"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includes the adverse impact of the permanent difference related to the interest expense recorded to adjust the fair value of the mandatorily redeemable noncontrolling interest at GHG.</w:t>
      </w: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auto"/>
        </w:rPr>
        <w:t>Earnings Per Share</w:t>
      </w:r>
    </w:p>
    <w:p>
      <w:pPr>
        <w:spacing w:after="0" w:line="158" w:lineRule="exact"/>
        <w:rPr>
          <w:sz w:val="20"/>
          <w:szCs w:val="20"/>
          <w:color w:val="auto"/>
        </w:rPr>
      </w:pPr>
    </w:p>
    <w:p>
      <w:pPr>
        <w:ind w:right="60"/>
        <w:spacing w:after="0" w:line="251" w:lineRule="auto"/>
        <w:rPr>
          <w:sz w:val="20"/>
          <w:szCs w:val="20"/>
          <w:color w:val="auto"/>
        </w:rPr>
      </w:pPr>
      <w:r>
        <w:rPr>
          <w:rFonts w:ascii="Arial" w:cs="Arial" w:eastAsia="Arial" w:hAnsi="Arial"/>
          <w:sz w:val="17"/>
          <w:szCs w:val="17"/>
          <w:color w:val="auto"/>
        </w:rPr>
        <w:t>The calculation of diluted earnings per share for the third quarter and first nine months of 2026 was based on 4,242,985 and 4,308,638 weighted average shares outstanding, respectively, compared to 4,377,884 and 4,369,922 for the third quarter and first nine months of 2025.</w:t>
      </w:r>
    </w:p>
    <w:p>
      <w:pPr>
        <w:spacing w:after="0" w:line="235" w:lineRule="auto"/>
        <w:rPr>
          <w:sz w:val="20"/>
          <w:szCs w:val="20"/>
          <w:color w:val="auto"/>
        </w:rPr>
      </w:pPr>
      <w:r>
        <w:rPr>
          <w:rFonts w:ascii="Arial" w:cs="Arial" w:eastAsia="Arial" w:hAnsi="Arial"/>
          <w:sz w:val="18"/>
          <w:szCs w:val="18"/>
          <w:color w:val="auto"/>
        </w:rPr>
        <w:t>At September 30, 2026, there were 4,185,665 shares outstanding. On September 12, 2024, the Board of Directors authorized the Company</w:t>
      </w:r>
    </w:p>
    <w:p>
      <w:pPr>
        <w:ind w:right="980"/>
        <w:spacing w:after="0" w:line="237" w:lineRule="auto"/>
        <w:rPr>
          <w:sz w:val="20"/>
          <w:szCs w:val="20"/>
          <w:color w:val="auto"/>
        </w:rPr>
      </w:pPr>
      <w:r>
        <w:rPr>
          <w:rFonts w:ascii="Arial" w:cs="Arial" w:eastAsia="Arial" w:hAnsi="Arial"/>
          <w:sz w:val="18"/>
          <w:szCs w:val="18"/>
          <w:color w:val="auto"/>
        </w:rPr>
        <w:t>to acquire up to 500,000 shares of its Class B common stock; the Company has remaining authorization for 285,953 shares as of September 30, 2026.</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Condition: Liquidity and Capital Resources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considers the following when assessing its liquidity and capital resources: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4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2"/>
          </w:tcPr>
          <w:p>
            <w:pPr>
              <w:ind w:left="1060"/>
              <w:spacing w:after="0"/>
              <w:rPr>
                <w:sz w:val="20"/>
                <w:szCs w:val="20"/>
                <w:color w:val="auto"/>
              </w:rPr>
            </w:pPr>
            <w:r>
              <w:rPr>
                <w:rFonts w:ascii="Arial" w:cs="Arial" w:eastAsia="Arial" w:hAnsi="Arial"/>
                <w:sz w:val="14"/>
                <w:szCs w:val="14"/>
                <w:b w:val="1"/>
                <w:bCs w:val="1"/>
                <w:color w:val="auto"/>
              </w:rPr>
              <w:t>As of</w:t>
            </w: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84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5"/>
                <w:szCs w:val="15"/>
                <w:color w:val="auto"/>
              </w:rPr>
            </w:pPr>
          </w:p>
        </w:tc>
        <w:tc>
          <w:tcPr>
            <w:tcW w:w="1220" w:type="dxa"/>
            <w:vAlign w:val="bottom"/>
          </w:tcPr>
          <w:p>
            <w:pPr>
              <w:jc w:val="right"/>
              <w:ind w:right="123"/>
              <w:spacing w:after="0"/>
              <w:rPr>
                <w:sz w:val="20"/>
                <w:szCs w:val="20"/>
                <w:color w:val="auto"/>
              </w:rPr>
            </w:pPr>
            <w:r>
              <w:rPr>
                <w:rFonts w:ascii="Arial" w:cs="Arial" w:eastAsia="Arial" w:hAnsi="Arial"/>
                <w:sz w:val="14"/>
                <w:szCs w:val="14"/>
                <w:b w:val="1"/>
                <w:bCs w:val="1"/>
                <w:color w:val="auto"/>
              </w:rPr>
              <w:t>September 30,</w:t>
            </w:r>
          </w:p>
        </w:tc>
        <w:tc>
          <w:tcPr>
            <w:tcW w:w="1420" w:type="dxa"/>
            <w:vAlign w:val="bottom"/>
            <w:gridSpan w:val="2"/>
            <w:vMerge w:val="restart"/>
          </w:tcPr>
          <w:p>
            <w:pPr>
              <w:ind w:left="120"/>
              <w:spacing w:after="0"/>
              <w:rPr>
                <w:sz w:val="20"/>
                <w:szCs w:val="20"/>
                <w:color w:val="auto"/>
              </w:rPr>
            </w:pPr>
            <w:r>
              <w:rPr>
                <w:rFonts w:ascii="Arial" w:cs="Arial" w:eastAsia="Arial" w:hAnsi="Arial"/>
                <w:sz w:val="14"/>
                <w:szCs w:val="14"/>
                <w:color w:val="auto"/>
              </w:rPr>
              <w:t>December 31, 2025</w:t>
            </w:r>
          </w:p>
        </w:tc>
        <w:tc>
          <w:tcPr>
            <w:tcW w:w="0" w:type="dxa"/>
            <w:vAlign w:val="bottom"/>
          </w:tcPr>
          <w:p>
            <w:pPr>
              <w:spacing w:after="0"/>
              <w:rPr>
                <w:sz w:val="1"/>
                <w:szCs w:val="1"/>
                <w:color w:val="auto"/>
              </w:rPr>
            </w:pPr>
          </w:p>
        </w:tc>
      </w:tr>
      <w:tr>
        <w:trPr>
          <w:trHeight w:val="197"/>
        </w:trPr>
        <w:tc>
          <w:tcPr>
            <w:tcW w:w="842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2026</w:t>
            </w:r>
          </w:p>
        </w:tc>
        <w:tc>
          <w:tcPr>
            <w:tcW w:w="142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2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Pr>
          <w:p>
            <w:pPr>
              <w:jc w:val="right"/>
              <w:ind w:right="23"/>
              <w:spacing w:after="0"/>
              <w:rPr>
                <w:sz w:val="20"/>
                <w:szCs w:val="20"/>
                <w:color w:val="auto"/>
              </w:rPr>
            </w:pPr>
            <w:r>
              <w:rPr>
                <w:rFonts w:ascii="Arial" w:cs="Arial" w:eastAsia="Arial" w:hAnsi="Arial"/>
                <w:sz w:val="16"/>
                <w:szCs w:val="16"/>
                <w:b w:val="1"/>
                <w:bCs w:val="1"/>
                <w:color w:val="auto"/>
              </w:rPr>
              <w:t>154,326</w:t>
            </w:r>
          </w:p>
        </w:tc>
        <w:tc>
          <w:tcPr>
            <w:tcW w:w="420" w:type="dxa"/>
            <w:vAlign w:val="bottom"/>
          </w:tcPr>
          <w:p>
            <w:pPr>
              <w:ind w:left="1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266,988</w:t>
            </w:r>
          </w:p>
        </w:tc>
        <w:tc>
          <w:tcPr>
            <w:tcW w:w="0" w:type="dxa"/>
            <w:vAlign w:val="bottom"/>
          </w:tcPr>
          <w:p>
            <w:pPr>
              <w:spacing w:after="0"/>
              <w:rPr>
                <w:sz w:val="1"/>
                <w:szCs w:val="1"/>
                <w:color w:val="auto"/>
              </w:rPr>
            </w:pPr>
          </w:p>
        </w:tc>
      </w:tr>
      <w:tr>
        <w:trPr>
          <w:trHeight w:val="243"/>
        </w:trPr>
        <w:tc>
          <w:tcPr>
            <w:tcW w:w="8420" w:type="dxa"/>
            <w:vAlign w:val="bottom"/>
          </w:tcPr>
          <w:p>
            <w:pPr>
              <w:ind w:left="20"/>
              <w:spacing w:after="0"/>
              <w:rPr>
                <w:sz w:val="20"/>
                <w:szCs w:val="20"/>
                <w:color w:val="auto"/>
              </w:rPr>
            </w:pPr>
            <w:r>
              <w:rPr>
                <w:rFonts w:ascii="Arial" w:cs="Arial" w:eastAsia="Arial" w:hAnsi="Arial"/>
                <w:sz w:val="16"/>
                <w:szCs w:val="16"/>
                <w:color w:val="auto"/>
              </w:rPr>
              <w:t>Restricted cash</w:t>
            </w:r>
          </w:p>
        </w:tc>
        <w:tc>
          <w:tcPr>
            <w:tcW w:w="140" w:type="dxa"/>
            <w:vAlign w:val="bottom"/>
          </w:tcPr>
          <w:p>
            <w:pPr>
              <w:spacing w:after="0"/>
              <w:rPr>
                <w:sz w:val="21"/>
                <w:szCs w:val="21"/>
                <w:color w:val="auto"/>
              </w:rPr>
            </w:pPr>
          </w:p>
        </w:tc>
        <w:tc>
          <w:tcPr>
            <w:tcW w:w="1220" w:type="dxa"/>
            <w:vAlign w:val="bottom"/>
          </w:tcPr>
          <w:p>
            <w:pPr>
              <w:jc w:val="right"/>
              <w:ind w:right="23"/>
              <w:spacing w:after="0"/>
              <w:rPr>
                <w:sz w:val="20"/>
                <w:szCs w:val="20"/>
                <w:color w:val="auto"/>
              </w:rPr>
            </w:pPr>
            <w:r>
              <w:rPr>
                <w:rFonts w:ascii="Arial" w:cs="Arial" w:eastAsia="Arial" w:hAnsi="Arial"/>
                <w:sz w:val="16"/>
                <w:szCs w:val="16"/>
                <w:b w:val="1"/>
                <w:bCs w:val="1"/>
                <w:color w:val="auto"/>
              </w:rPr>
              <w:t>17,756</w:t>
            </w:r>
          </w:p>
        </w:tc>
        <w:tc>
          <w:tcPr>
            <w:tcW w:w="4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44,417</w:t>
            </w:r>
          </w:p>
        </w:tc>
        <w:tc>
          <w:tcPr>
            <w:tcW w:w="0" w:type="dxa"/>
            <w:vAlign w:val="bottom"/>
          </w:tcPr>
          <w:p>
            <w:pPr>
              <w:spacing w:after="0"/>
              <w:rPr>
                <w:sz w:val="1"/>
                <w:szCs w:val="1"/>
                <w:color w:val="auto"/>
              </w:rPr>
            </w:pPr>
          </w:p>
        </w:tc>
      </w:tr>
      <w:tr>
        <w:trPr>
          <w:trHeight w:val="243"/>
        </w:trPr>
        <w:tc>
          <w:tcPr>
            <w:tcW w:w="8420" w:type="dxa"/>
            <w:vAlign w:val="bottom"/>
          </w:tcPr>
          <w:p>
            <w:pPr>
              <w:ind w:left="20"/>
              <w:spacing w:after="0"/>
              <w:rPr>
                <w:sz w:val="20"/>
                <w:szCs w:val="20"/>
                <w:color w:val="auto"/>
              </w:rPr>
            </w:pPr>
            <w:r>
              <w:rPr>
                <w:rFonts w:ascii="Arial" w:cs="Arial" w:eastAsia="Arial" w:hAnsi="Arial"/>
                <w:sz w:val="16"/>
                <w:szCs w:val="16"/>
                <w:color w:val="auto"/>
              </w:rPr>
              <w:t>Investments in marketable equity securities and other investments</w:t>
            </w:r>
          </w:p>
        </w:tc>
        <w:tc>
          <w:tcPr>
            <w:tcW w:w="140" w:type="dxa"/>
            <w:vAlign w:val="bottom"/>
          </w:tcPr>
          <w:p>
            <w:pPr>
              <w:spacing w:after="0"/>
              <w:rPr>
                <w:sz w:val="21"/>
                <w:szCs w:val="21"/>
                <w:color w:val="auto"/>
              </w:rPr>
            </w:pPr>
          </w:p>
        </w:tc>
        <w:tc>
          <w:tcPr>
            <w:tcW w:w="1220" w:type="dxa"/>
            <w:vAlign w:val="bottom"/>
          </w:tcPr>
          <w:p>
            <w:pPr>
              <w:jc w:val="right"/>
              <w:ind w:right="23"/>
              <w:spacing w:after="0"/>
              <w:rPr>
                <w:sz w:val="20"/>
                <w:szCs w:val="20"/>
                <w:color w:val="auto"/>
              </w:rPr>
            </w:pPr>
            <w:r>
              <w:rPr>
                <w:rFonts w:ascii="Arial" w:cs="Arial" w:eastAsia="Arial" w:hAnsi="Arial"/>
                <w:sz w:val="16"/>
                <w:szCs w:val="16"/>
                <w:b w:val="1"/>
                <w:bCs w:val="1"/>
                <w:color w:val="auto"/>
              </w:rPr>
              <w:t>1,074,071</w:t>
            </w:r>
          </w:p>
        </w:tc>
        <w:tc>
          <w:tcPr>
            <w:tcW w:w="4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1,088,970</w:t>
            </w:r>
          </w:p>
        </w:tc>
        <w:tc>
          <w:tcPr>
            <w:tcW w:w="0" w:type="dxa"/>
            <w:vAlign w:val="bottom"/>
          </w:tcPr>
          <w:p>
            <w:pPr>
              <w:spacing w:after="0"/>
              <w:rPr>
                <w:sz w:val="1"/>
                <w:szCs w:val="1"/>
                <w:color w:val="auto"/>
              </w:rPr>
            </w:pPr>
          </w:p>
        </w:tc>
      </w:tr>
      <w:tr>
        <w:trPr>
          <w:trHeight w:val="243"/>
        </w:trPr>
        <w:tc>
          <w:tcPr>
            <w:tcW w:w="8420" w:type="dxa"/>
            <w:vAlign w:val="bottom"/>
          </w:tcPr>
          <w:p>
            <w:pPr>
              <w:ind w:left="20"/>
              <w:spacing w:after="0"/>
              <w:rPr>
                <w:sz w:val="20"/>
                <w:szCs w:val="20"/>
                <w:color w:val="auto"/>
              </w:rPr>
            </w:pPr>
            <w:r>
              <w:rPr>
                <w:rFonts w:ascii="Arial" w:cs="Arial" w:eastAsia="Arial" w:hAnsi="Arial"/>
                <w:sz w:val="16"/>
                <w:szCs w:val="16"/>
                <w:color w:val="auto"/>
              </w:rPr>
              <w:t>Total debt</w:t>
            </w:r>
          </w:p>
        </w:tc>
        <w:tc>
          <w:tcPr>
            <w:tcW w:w="140" w:type="dxa"/>
            <w:vAlign w:val="bottom"/>
          </w:tcPr>
          <w:p>
            <w:pPr>
              <w:spacing w:after="0"/>
              <w:rPr>
                <w:sz w:val="21"/>
                <w:szCs w:val="21"/>
                <w:color w:val="auto"/>
              </w:rPr>
            </w:pPr>
          </w:p>
        </w:tc>
        <w:tc>
          <w:tcPr>
            <w:tcW w:w="1220" w:type="dxa"/>
            <w:vAlign w:val="bottom"/>
          </w:tcPr>
          <w:p>
            <w:pPr>
              <w:jc w:val="right"/>
              <w:ind w:right="23"/>
              <w:spacing w:after="0"/>
              <w:rPr>
                <w:sz w:val="20"/>
                <w:szCs w:val="20"/>
                <w:color w:val="auto"/>
              </w:rPr>
            </w:pPr>
            <w:r>
              <w:rPr>
                <w:rFonts w:ascii="Arial" w:cs="Arial" w:eastAsia="Arial" w:hAnsi="Arial"/>
                <w:sz w:val="16"/>
                <w:szCs w:val="16"/>
                <w:b w:val="1"/>
                <w:bCs w:val="1"/>
                <w:color w:val="auto"/>
              </w:rPr>
              <w:t>853,434</w:t>
            </w:r>
          </w:p>
        </w:tc>
        <w:tc>
          <w:tcPr>
            <w:tcW w:w="4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880,756</w:t>
            </w:r>
          </w:p>
        </w:tc>
        <w:tc>
          <w:tcPr>
            <w:tcW w:w="0" w:type="dxa"/>
            <w:vAlign w:val="bottom"/>
          </w:tcPr>
          <w:p>
            <w:pPr>
              <w:spacing w:after="0"/>
              <w:rPr>
                <w:sz w:val="1"/>
                <w:szCs w:val="1"/>
                <w:color w:val="auto"/>
              </w:rPr>
            </w:pPr>
          </w:p>
        </w:tc>
      </w:tr>
    </w:tbl>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Cash generated by operations is the Company’s primary source of liquidity. The Company maintains investments in a portfolio of marketable</w:t>
      </w:r>
    </w:p>
    <w:p>
      <w:pPr>
        <w:spacing w:after="0" w:line="14" w:lineRule="exact"/>
        <w:rPr>
          <w:sz w:val="20"/>
          <w:szCs w:val="20"/>
          <w:color w:val="auto"/>
        </w:rPr>
      </w:pPr>
    </w:p>
    <w:p>
      <w:pPr>
        <w:ind w:right="580"/>
        <w:spacing w:after="0" w:line="237" w:lineRule="auto"/>
        <w:rPr>
          <w:sz w:val="20"/>
          <w:szCs w:val="20"/>
          <w:color w:val="auto"/>
        </w:rPr>
      </w:pPr>
      <w:r>
        <w:rPr>
          <w:rFonts w:ascii="Arial" w:cs="Arial" w:eastAsia="Arial" w:hAnsi="Arial"/>
          <w:sz w:val="18"/>
          <w:szCs w:val="18"/>
          <w:color w:val="auto"/>
        </w:rPr>
        <w:t>equity securities, which is considered when assessing the Company’s sources of liquidity. An additional source of liquidity includes the undrawn portion of the Company’s $400 million revolving credit facility, amounting to $210.1 million at September 30, 2026.</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nine months of 2026, the Company’s cash and cash equivalents decreased by $87.9 million after adjusting for the inclusion of</w:t>
      </w:r>
    </w:p>
    <w:p>
      <w:pPr>
        <w:spacing w:after="0" w:line="14" w:lineRule="exact"/>
        <w:rPr>
          <w:sz w:val="20"/>
          <w:szCs w:val="20"/>
          <w:color w:val="auto"/>
        </w:rPr>
      </w:pPr>
    </w:p>
    <w:p>
      <w:pPr>
        <w:ind w:right="160"/>
        <w:spacing w:after="0" w:line="226" w:lineRule="auto"/>
        <w:rPr>
          <w:sz w:val="20"/>
          <w:szCs w:val="20"/>
          <w:color w:val="auto"/>
        </w:rPr>
      </w:pPr>
      <w:r>
        <w:rPr>
          <w:rFonts w:ascii="Arial" w:cs="Arial" w:eastAsia="Arial" w:hAnsi="Arial"/>
          <w:sz w:val="18"/>
          <w:szCs w:val="18"/>
          <w:color w:val="auto"/>
        </w:rPr>
        <w:t>$24.8 million of cash and cash equivalents included in current assets held for sale following the classification of the Dublin Business School disposal group as held for sale. The decrease in cash and cash equivalents is due to share repurchases; capital expenditures; business</w:t>
      </w:r>
    </w:p>
    <w:p>
      <w:pPr>
        <w:spacing w:after="0" w:line="236" w:lineRule="auto"/>
        <w:rPr>
          <w:sz w:val="20"/>
          <w:szCs w:val="20"/>
          <w:color w:val="auto"/>
        </w:rPr>
      </w:pPr>
      <w:r>
        <w:rPr>
          <w:rFonts w:ascii="Arial" w:cs="Arial" w:eastAsia="Arial" w:hAnsi="Arial"/>
          <w:sz w:val="18"/>
          <w:szCs w:val="18"/>
          <w:color w:val="auto"/>
        </w:rPr>
        <w:t>acquisitions and dispositions; dividend payments; the redemption of noncontrolling interests; and net repayments of borrowings. The</w:t>
      </w:r>
    </w:p>
    <w:p>
      <w:pPr>
        <w:spacing w:after="0" w:line="1" w:lineRule="exact"/>
        <w:rPr>
          <w:sz w:val="20"/>
          <w:szCs w:val="20"/>
          <w:color w:val="auto"/>
        </w:rPr>
      </w:pPr>
    </w:p>
    <w:p>
      <w:pPr>
        <w:ind w:right="280"/>
        <w:spacing w:after="0"/>
        <w:rPr>
          <w:sz w:val="20"/>
          <w:szCs w:val="20"/>
          <w:color w:val="auto"/>
        </w:rPr>
      </w:pPr>
      <w:r>
        <w:rPr>
          <w:rFonts w:ascii="Arial" w:cs="Arial" w:eastAsia="Arial" w:hAnsi="Arial"/>
          <w:sz w:val="17"/>
          <w:szCs w:val="17"/>
          <w:color w:val="auto"/>
        </w:rPr>
        <w:t>decrease was partially offset by cash generated from operations, proceeds from the net sale of marketable equity securities and the repayment of a related party loan. In the first nine months of 2026, the Company’s borrowings decreased by $27.3 million, primarily due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repayments under the revolving credit facility and commercial notes at the automotive subsidiary, partially offset by increases in other debt.</w:t>
      </w:r>
    </w:p>
    <w:p>
      <w:pPr>
        <w:spacing w:after="0" w:line="126"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color w:val="auto"/>
        </w:rPr>
        <w:t>As of September 30, 2026 and December 31, 2025, the Company had money market investments of $7.9 million and $5.3 million, that are included in cash and cash equivalents. At September 30, 2026, the Company held approximately $116 million in cash and cash equivalents</w:t>
      </w:r>
    </w:p>
    <w:p>
      <w:pPr>
        <w:spacing w:after="0" w:line="1" w:lineRule="exact"/>
        <w:rPr>
          <w:sz w:val="20"/>
          <w:szCs w:val="20"/>
          <w:color w:val="auto"/>
        </w:rPr>
      </w:pPr>
    </w:p>
    <w:p>
      <w:pPr>
        <w:ind w:right="140"/>
        <w:spacing w:after="0" w:line="226" w:lineRule="auto"/>
        <w:rPr>
          <w:sz w:val="20"/>
          <w:szCs w:val="20"/>
          <w:color w:val="auto"/>
        </w:rPr>
      </w:pPr>
      <w:r>
        <w:rPr>
          <w:rFonts w:ascii="Arial" w:cs="Arial" w:eastAsia="Arial" w:hAnsi="Arial"/>
          <w:sz w:val="18"/>
          <w:szCs w:val="18"/>
          <w:color w:val="auto"/>
        </w:rPr>
        <w:t>in businesses domiciled outside the U.S. that includes $24.8 million of cash and cash equivalents included in current assets held for sale, of which approximately $2 million is not available for immediate use in operations or for distribution. Additionally, Kaplan’s business operations</w:t>
      </w:r>
    </w:p>
    <w:p>
      <w:pPr>
        <w:spacing w:after="0" w:line="236" w:lineRule="auto"/>
        <w:rPr>
          <w:sz w:val="20"/>
          <w:szCs w:val="20"/>
          <w:color w:val="auto"/>
        </w:rPr>
      </w:pPr>
      <w:r>
        <w:rPr>
          <w:rFonts w:ascii="Arial" w:cs="Arial" w:eastAsia="Arial" w:hAnsi="Arial"/>
          <w:sz w:val="18"/>
          <w:szCs w:val="18"/>
          <w:color w:val="auto"/>
        </w:rPr>
        <w:t>outside the U.S. retain cash balances to support ongoing working capital requirements, capital expenditures, and regulatory requirements. As</w:t>
      </w:r>
    </w:p>
    <w:p>
      <w:pPr>
        <w:spacing w:after="0" w:line="1"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a result, the Company considers a significant portion of the cash and cash equivalents balance held outside the U.S. as not readily available for use in U.S.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2026, the fair value of the Company’s investments in marketable equity securities was $1,069.7 million, which includes</w:t>
      </w:r>
    </w:p>
    <w:p>
      <w:pPr>
        <w:spacing w:after="0" w:line="14" w:lineRule="exact"/>
        <w:rPr>
          <w:sz w:val="20"/>
          <w:szCs w:val="20"/>
          <w:color w:val="auto"/>
        </w:rPr>
      </w:pPr>
    </w:p>
    <w:p>
      <w:pPr>
        <w:jc w:val="both"/>
        <w:ind w:right="460"/>
        <w:spacing w:after="0" w:line="226" w:lineRule="auto"/>
        <w:rPr>
          <w:sz w:val="20"/>
          <w:szCs w:val="20"/>
          <w:color w:val="auto"/>
        </w:rPr>
      </w:pPr>
      <w:r>
        <w:rPr>
          <w:rFonts w:ascii="Arial" w:cs="Arial" w:eastAsia="Arial" w:hAnsi="Arial"/>
          <w:sz w:val="18"/>
          <w:szCs w:val="18"/>
          <w:color w:val="auto"/>
        </w:rPr>
        <w:t>investments in the common stock of six publicly traded companies. During the first nine months of 2026, the Company purchased $25.0 million of marketable equity securities and sold marketable equity securities that generated proceeds of $54.6 million. At September 30,</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2026, the net unrealized gain related to the Company’s investments totaled $814.5 million.</w:t>
      </w:r>
    </w:p>
    <w:p>
      <w:pPr>
        <w:spacing w:after="0" w:line="140"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Company had working capital of $1,017.3 million and $1,042.5 million at September 30, 2026 and December 31, 2025, respectively. The Company maintains working capital levels consistent with its underlying business requirements and consistently generates cash from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operations in excess of required interest or principal payments.</w:t>
      </w:r>
    </w:p>
    <w:p>
      <w:pPr>
        <w:spacing w:after="0" w:line="140"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At September 30, 2026 and December 31, 2025, the Company had borrowings outstanding of $853.4 million and $880.8 million, respectively. The Company’s borrowings at September 30, 2026 were mostly from $500.0 million of 5.625% unsecured notes due December 1, 2033,</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$186.2 million in outstanding borrowings under the Company’s revolving credit facility, and real estate and capital term loans of $146.4 million</w:t>
      </w:r>
    </w:p>
    <w:p>
      <w:pPr>
        <w:spacing w:after="0" w:line="7" w:lineRule="exact"/>
        <w:rPr>
          <w:sz w:val="20"/>
          <w:szCs w:val="20"/>
          <w:color w:val="auto"/>
        </w:rPr>
      </w:pPr>
    </w:p>
    <w:p>
      <w:pPr>
        <w:ind w:right="60"/>
        <w:spacing w:after="0"/>
        <w:rPr>
          <w:sz w:val="20"/>
          <w:szCs w:val="20"/>
          <w:color w:val="auto"/>
        </w:rPr>
      </w:pPr>
      <w:r>
        <w:rPr>
          <w:rFonts w:ascii="Arial" w:cs="Arial" w:eastAsia="Arial" w:hAnsi="Arial"/>
          <w:sz w:val="17"/>
          <w:szCs w:val="17"/>
          <w:color w:val="auto"/>
        </w:rPr>
        <w:t>at the automotive subsidiary. The Company’s borrowings at December 31, 2025 were mostly from $500.0 million of 5.625% unsecured notes due December 1, 2033, $222.5 million in outstanding borrowings under the Company’s revolving credit facility, and real estate and capital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term loans of $155.9 million at the automotive subsidiary.</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t>On November 24, 2025, the Company issued $500 million of 5.625% unsecured eight-year fixed-rate notes due December 1, 2033. Interest</w:t>
      </w:r>
    </w:p>
    <w:p>
      <w:pPr>
        <w:spacing w:after="0" w:line="14" w:lineRule="exact"/>
        <w:rPr>
          <w:sz w:val="20"/>
          <w:szCs w:val="20"/>
          <w:color w:val="auto"/>
        </w:rPr>
      </w:pPr>
    </w:p>
    <w:p>
      <w:pPr>
        <w:ind w:right="80"/>
        <w:spacing w:after="0"/>
        <w:rPr>
          <w:sz w:val="20"/>
          <w:szCs w:val="20"/>
          <w:color w:val="auto"/>
        </w:rPr>
      </w:pPr>
      <w:r>
        <w:rPr>
          <w:rFonts w:ascii="Arial" w:cs="Arial" w:eastAsia="Arial" w:hAnsi="Arial"/>
          <w:sz w:val="17"/>
          <w:szCs w:val="17"/>
          <w:color w:val="auto"/>
        </w:rPr>
        <w:t>is paid semi-annually on June 1 and December 1. Also on November 24, 2025, the Company used the net proceeds from the sale of the notes, together with the borrowings under the revolving credit agreement, to (i) redeem the $400 million of 5.75% unsecured notes due June</w:t>
      </w:r>
    </w:p>
    <w:p>
      <w:pPr>
        <w:spacing w:after="0" w:line="1"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1, 2026, (ii) refinance outstanding revolving loans under the existing revolving credit facility, and (iii) repay all amounts outstanding under the Company’s existing $150 million term loan.</w:t>
      </w:r>
    </w:p>
    <w:p>
      <w:pPr>
        <w:spacing w:after="0" w:line="104" w:lineRule="exact"/>
        <w:rPr>
          <w:sz w:val="20"/>
          <w:szCs w:val="20"/>
          <w:color w:val="auto"/>
        </w:rPr>
      </w:pPr>
    </w:p>
    <w:p>
      <w:pPr>
        <w:ind w:right="340"/>
        <w:spacing w:after="0" w:line="259" w:lineRule="auto"/>
        <w:rPr>
          <w:sz w:val="20"/>
          <w:szCs w:val="20"/>
          <w:color w:val="auto"/>
        </w:rPr>
      </w:pPr>
      <w:r>
        <w:rPr>
          <w:rFonts w:ascii="Arial" w:cs="Arial" w:eastAsia="Arial" w:hAnsi="Arial"/>
          <w:sz w:val="17"/>
          <w:szCs w:val="17"/>
          <w:color w:val="auto"/>
        </w:rPr>
        <w:t>In combination with the issuance of the Notes, the Company amended and restated the Second Amended and Restated Five Year Credit Agreement, dated as of May 3, 2022, to, among other things, (i) increase the Company’s borrowing capacity by replacing the existing</w:t>
      </w:r>
    </w:p>
    <w:p>
      <w:pPr>
        <w:spacing w:after="0" w:line="1" w:lineRule="exact"/>
        <w:rPr>
          <w:sz w:val="20"/>
          <w:szCs w:val="20"/>
          <w:color w:val="auto"/>
        </w:rPr>
      </w:pPr>
    </w:p>
    <w:p>
      <w:pPr>
        <w:ind w:right="360"/>
        <w:spacing w:after="0" w:line="237" w:lineRule="auto"/>
        <w:rPr>
          <w:sz w:val="20"/>
          <w:szCs w:val="20"/>
          <w:color w:val="auto"/>
        </w:rPr>
      </w:pPr>
      <w:r>
        <w:rPr>
          <w:rFonts w:ascii="Arial" w:cs="Arial" w:eastAsia="Arial" w:hAnsi="Arial"/>
          <w:sz w:val="18"/>
          <w:szCs w:val="18"/>
          <w:color w:val="auto"/>
        </w:rPr>
        <w:t>revolving commitments with a new revolving credit facility in the aggregate principal amount of $400 million, (ii) extend the maturity of the facility to November 24, 2030, and (iii) increase the letter of credit sublimit to $40 million.</w:t>
      </w:r>
    </w:p>
    <w:p>
      <w:pPr>
        <w:spacing w:after="0" w:line="127"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color w:val="auto"/>
        </w:rPr>
        <w:t>On October 21, 2025, the automotive subsidiary borrowed $38.7 million under the delayed draw term loan to finance the acquisition of a Honda automotive dealership, including the real property for the dealership operations.</w:t>
      </w:r>
    </w:p>
    <w:p>
      <w:pPr>
        <w:spacing w:after="0" w:line="86" w:lineRule="exact"/>
        <w:rPr>
          <w:sz w:val="20"/>
          <w:szCs w:val="20"/>
          <w:color w:val="auto"/>
        </w:rPr>
      </w:pPr>
    </w:p>
    <w:p>
      <w:pPr>
        <w:ind w:right="220"/>
        <w:spacing w:after="0" w:line="245" w:lineRule="auto"/>
        <w:rPr>
          <w:sz w:val="20"/>
          <w:szCs w:val="20"/>
          <w:color w:val="auto"/>
        </w:rPr>
      </w:pPr>
      <w:r>
        <w:rPr>
          <w:rFonts w:ascii="Arial" w:cs="Arial" w:eastAsia="Arial" w:hAnsi="Arial"/>
          <w:sz w:val="18"/>
          <w:szCs w:val="18"/>
          <w:color w:val="auto"/>
        </w:rPr>
        <w:t>During the nine months ended September 30, 2026 and 2025, the Company had average borrowings outstanding of approximately $906.7 million and $835.2 million, respectively, at average annual interest rates of approximately 5.8% and 6.0%, respectively. During the nine</w:t>
      </w:r>
    </w:p>
    <w:p>
      <w:pPr>
        <w:ind w:right="100"/>
        <w:spacing w:after="0" w:line="226" w:lineRule="auto"/>
        <w:rPr>
          <w:sz w:val="20"/>
          <w:szCs w:val="20"/>
          <w:color w:val="auto"/>
        </w:rPr>
      </w:pPr>
      <w:r>
        <w:rPr>
          <w:rFonts w:ascii="Arial" w:cs="Arial" w:eastAsia="Arial" w:hAnsi="Arial"/>
          <w:sz w:val="18"/>
          <w:szCs w:val="18"/>
          <w:color w:val="auto"/>
        </w:rPr>
        <w:t>months ended September 30, 2026 and 2025, the Company incurred net interest expense of $ 43.2 million and $111.3 million, respectively. Included in the net interest expense for the nine months ended September 30, 2026 and 2025 is a $1.0 million reduction in interest expense</w:t>
      </w:r>
    </w:p>
    <w:p>
      <w:pPr>
        <w:spacing w:after="0" w:line="2"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and $68.3 million of interest expense, respectively, to adjust the fair value of the mandatorily redeemable noncontrolling interest (see Notes 7 and 8).</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On February 25, 2025, the Company and a group of minority shareholders entered into an agreement to settle a significant portion of the</w:t>
      </w:r>
    </w:p>
    <w:p>
      <w:pPr>
        <w:spacing w:after="0" w:line="14" w:lineRule="exact"/>
        <w:rPr>
          <w:sz w:val="20"/>
          <w:szCs w:val="20"/>
          <w:color w:val="auto"/>
        </w:rPr>
      </w:pPr>
    </w:p>
    <w:p>
      <w:pPr>
        <w:ind w:right="1040"/>
        <w:spacing w:after="0" w:line="237" w:lineRule="auto"/>
        <w:rPr>
          <w:sz w:val="20"/>
          <w:szCs w:val="20"/>
          <w:color w:val="auto"/>
        </w:rPr>
      </w:pPr>
      <w:r>
        <w:rPr>
          <w:rFonts w:ascii="Arial" w:cs="Arial" w:eastAsia="Arial" w:hAnsi="Arial"/>
          <w:sz w:val="18"/>
          <w:szCs w:val="18"/>
          <w:color w:val="auto"/>
        </w:rPr>
        <w:t>mandatorily redeemable noncontrolling interest related to GHC One, including CSI, for a total of $205 million, which consisted of approximately $186.25 million in cash and $18.75 million in Graham Holdings Company Class B common stock.</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settlement agreement resulted in a $66.2 million increase to the mandatorily redeemable noncontrolling interest obligation, which the</w:t>
      </w:r>
    </w:p>
    <w:p>
      <w:pPr>
        <w:spacing w:after="0" w:line="14"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Company recorded as interest expense in the first quarter of 2025. The remaining mandatorily redeemable noncontrolling interest obligation related to GHC One and GHC Two was $7.3 million at September 30, 2026.</w:t>
      </w:r>
    </w:p>
    <w:p>
      <w:pPr>
        <w:spacing w:after="0" w:line="127"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On October 21, 2026, Moody’s affirmed the Company’s credit rating and maintained the outlook as Stable. On June 15, 2026, Standard &amp; Poor’s affirmed the Company’s credit rating and maintained the outlook as Stable.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The Company’s current credit ratings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660" w:type="dxa"/>
            <w:vAlign w:val="bottom"/>
            <w:tcBorders>
              <w:bottom w:val="single" w:sz="8" w:color="auto"/>
            </w:tcBorders>
          </w:tcPr>
          <w:p>
            <w:pPr>
              <w:spacing w:after="0"/>
              <w:rPr>
                <w:sz w:val="17"/>
                <w:szCs w:val="17"/>
                <w:color w:val="auto"/>
              </w:rPr>
            </w:pPr>
          </w:p>
        </w:tc>
        <w:tc>
          <w:tcPr>
            <w:tcW w:w="4760" w:type="dxa"/>
            <w:vAlign w:val="bottom"/>
            <w:tcBorders>
              <w:bottom w:val="single" w:sz="8" w:color="auto"/>
            </w:tcBorders>
          </w:tcPr>
          <w:p>
            <w:pPr>
              <w:jc w:val="center"/>
              <w:ind w:left="3502"/>
              <w:spacing w:after="0"/>
              <w:rPr>
                <w:sz w:val="20"/>
                <w:szCs w:val="20"/>
                <w:color w:val="auto"/>
              </w:rPr>
            </w:pPr>
            <w:r>
              <w:rPr>
                <w:rFonts w:ascii="Arial" w:cs="Arial" w:eastAsia="Arial" w:hAnsi="Arial"/>
                <w:sz w:val="14"/>
                <w:szCs w:val="14"/>
                <w:b w:val="1"/>
                <w:bCs w:val="1"/>
                <w:color w:val="auto"/>
              </w:rPr>
              <w:t>Moody’s</w:t>
            </w: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Standard &amp; Poor’s</w:t>
            </w:r>
          </w:p>
        </w:tc>
      </w:tr>
      <w:tr>
        <w:trPr>
          <w:trHeight w:val="228"/>
        </w:trPr>
        <w:tc>
          <w:tcPr>
            <w:tcW w:w="4660" w:type="dxa"/>
            <w:vAlign w:val="bottom"/>
          </w:tcPr>
          <w:p>
            <w:pPr>
              <w:ind w:left="20"/>
              <w:spacing w:after="0"/>
              <w:rPr>
                <w:sz w:val="20"/>
                <w:szCs w:val="20"/>
                <w:color w:val="auto"/>
              </w:rPr>
            </w:pPr>
            <w:r>
              <w:rPr>
                <w:rFonts w:ascii="Arial" w:cs="Arial" w:eastAsia="Arial" w:hAnsi="Arial"/>
                <w:sz w:val="16"/>
                <w:szCs w:val="16"/>
                <w:color w:val="auto"/>
              </w:rPr>
              <w:t>Long-term</w:t>
            </w:r>
          </w:p>
        </w:tc>
        <w:tc>
          <w:tcPr>
            <w:tcW w:w="4760" w:type="dxa"/>
            <w:vAlign w:val="bottom"/>
          </w:tcPr>
          <w:p>
            <w:pPr>
              <w:jc w:val="center"/>
              <w:ind w:left="3522"/>
              <w:spacing w:after="0"/>
              <w:rPr>
                <w:sz w:val="20"/>
                <w:szCs w:val="20"/>
                <w:color w:val="auto"/>
              </w:rPr>
            </w:pPr>
            <w:r>
              <w:rPr>
                <w:rFonts w:ascii="Arial" w:cs="Arial" w:eastAsia="Arial" w:hAnsi="Arial"/>
                <w:sz w:val="16"/>
                <w:szCs w:val="16"/>
                <w:color w:val="auto"/>
                <w:w w:val="98"/>
              </w:rPr>
              <w:t>Ba1</w:t>
            </w:r>
          </w:p>
        </w:tc>
        <w:tc>
          <w:tcPr>
            <w:tcW w:w="1800" w:type="dxa"/>
            <w:vAlign w:val="bottom"/>
          </w:tcPr>
          <w:p>
            <w:pPr>
              <w:jc w:val="center"/>
              <w:spacing w:after="0"/>
              <w:rPr>
                <w:sz w:val="20"/>
                <w:szCs w:val="20"/>
                <w:color w:val="auto"/>
              </w:rPr>
            </w:pPr>
            <w:r>
              <w:rPr>
                <w:rFonts w:ascii="Arial" w:cs="Arial" w:eastAsia="Arial" w:hAnsi="Arial"/>
                <w:sz w:val="16"/>
                <w:szCs w:val="16"/>
                <w:color w:val="auto"/>
              </w:rPr>
              <w:t>BB</w:t>
            </w:r>
          </w:p>
        </w:tc>
      </w:tr>
      <w:tr>
        <w:trPr>
          <w:trHeight w:val="243"/>
        </w:trPr>
        <w:tc>
          <w:tcPr>
            <w:tcW w:w="4660" w:type="dxa"/>
            <w:vAlign w:val="bottom"/>
          </w:tcPr>
          <w:p>
            <w:pPr>
              <w:ind w:left="20"/>
              <w:spacing w:after="0"/>
              <w:rPr>
                <w:sz w:val="20"/>
                <w:szCs w:val="20"/>
                <w:color w:val="auto"/>
              </w:rPr>
            </w:pPr>
            <w:r>
              <w:rPr>
                <w:rFonts w:ascii="Arial" w:cs="Arial" w:eastAsia="Arial" w:hAnsi="Arial"/>
                <w:sz w:val="16"/>
                <w:szCs w:val="16"/>
                <w:color w:val="auto"/>
              </w:rPr>
              <w:t>Outlook</w:t>
            </w:r>
          </w:p>
        </w:tc>
        <w:tc>
          <w:tcPr>
            <w:tcW w:w="4760" w:type="dxa"/>
            <w:vAlign w:val="bottom"/>
          </w:tcPr>
          <w:p>
            <w:pPr>
              <w:jc w:val="center"/>
              <w:ind w:left="3502"/>
              <w:spacing w:after="0"/>
              <w:rPr>
                <w:sz w:val="20"/>
                <w:szCs w:val="20"/>
                <w:color w:val="auto"/>
              </w:rPr>
            </w:pPr>
            <w:r>
              <w:rPr>
                <w:rFonts w:ascii="Arial" w:cs="Arial" w:eastAsia="Arial" w:hAnsi="Arial"/>
                <w:sz w:val="16"/>
                <w:szCs w:val="16"/>
                <w:color w:val="auto"/>
              </w:rPr>
              <w:t>Stable</w:t>
            </w:r>
          </w:p>
        </w:tc>
        <w:tc>
          <w:tcPr>
            <w:tcW w:w="1800" w:type="dxa"/>
            <w:vAlign w:val="bottom"/>
          </w:tcPr>
          <w:p>
            <w:pPr>
              <w:jc w:val="center"/>
              <w:spacing w:after="0"/>
              <w:rPr>
                <w:sz w:val="20"/>
                <w:szCs w:val="20"/>
                <w:color w:val="auto"/>
              </w:rPr>
            </w:pPr>
            <w:r>
              <w:rPr>
                <w:rFonts w:ascii="Arial" w:cs="Arial" w:eastAsia="Arial" w:hAnsi="Arial"/>
                <w:sz w:val="16"/>
                <w:szCs w:val="16"/>
                <w:color w:val="auto"/>
              </w:rPr>
              <w:t>Stable</w:t>
            </w:r>
          </w:p>
        </w:tc>
      </w:tr>
    </w:tbl>
    <w:p>
      <w:pPr>
        <w:spacing w:after="0" w:line="240" w:lineRule="exact"/>
        <w:rPr>
          <w:sz w:val="20"/>
          <w:szCs w:val="20"/>
          <w:color w:val="auto"/>
        </w:rPr>
      </w:pPr>
    </w:p>
    <w:p>
      <w:pPr>
        <w:jc w:val="both"/>
        <w:ind w:right="20"/>
        <w:spacing w:after="0" w:line="251" w:lineRule="auto"/>
        <w:rPr>
          <w:sz w:val="20"/>
          <w:szCs w:val="20"/>
          <w:color w:val="auto"/>
        </w:rPr>
      </w:pPr>
      <w:r>
        <w:rPr>
          <w:rFonts w:ascii="Arial" w:cs="Arial" w:eastAsia="Arial" w:hAnsi="Arial"/>
          <w:sz w:val="17"/>
          <w:szCs w:val="17"/>
          <w:color w:val="auto"/>
        </w:rPr>
        <w:t>The Company expects to fund its estimated capital needs primarily through existing cash balances and internally generated funds, and, as needed, from borrowings under its revolving credit facility. As of September 30, 2026, the Company had $186.2 million outstanding under the</w:t>
      </w:r>
    </w:p>
    <w:p>
      <w:pPr>
        <w:spacing w:after="0" w:line="235" w:lineRule="auto"/>
        <w:rPr>
          <w:sz w:val="20"/>
          <w:szCs w:val="20"/>
          <w:color w:val="auto"/>
        </w:rPr>
      </w:pPr>
      <w:r>
        <w:rPr>
          <w:rFonts w:ascii="Arial" w:cs="Arial" w:eastAsia="Arial" w:hAnsi="Arial"/>
          <w:sz w:val="18"/>
          <w:szCs w:val="18"/>
          <w:color w:val="auto"/>
        </w:rPr>
        <w:t>$400 million revolving credit facility. In management’s opinion, the Company will have sufficient financial resources to meet its business</w:t>
      </w:r>
    </w:p>
    <w:p>
      <w:pPr>
        <w:ind w:right="260"/>
        <w:spacing w:after="0" w:line="237" w:lineRule="auto"/>
        <w:rPr>
          <w:sz w:val="20"/>
          <w:szCs w:val="20"/>
          <w:color w:val="auto"/>
        </w:rPr>
      </w:pPr>
      <w:r>
        <w:rPr>
          <w:rFonts w:ascii="Arial" w:cs="Arial" w:eastAsia="Arial" w:hAnsi="Arial"/>
          <w:sz w:val="18"/>
          <w:szCs w:val="18"/>
          <w:color w:val="auto"/>
        </w:rPr>
        <w:t>requirements in the next 12 months, including working capital requirements, capital expenditures, interest payments, potential acquisitions and strategic investments, dividends and stock repurchases.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 summary, the Company’s cash flows for each period were as follows:</w:t>
      </w:r>
    </w:p>
    <w:p>
      <w:pPr>
        <w:spacing w:after="0" w:line="235" w:lineRule="exact"/>
        <w:rPr>
          <w:sz w:val="20"/>
          <w:szCs w:val="20"/>
          <w:color w:val="auto"/>
        </w:rPr>
      </w:pPr>
    </w:p>
    <w:p>
      <w:pPr>
        <w:ind w:left="9120"/>
        <w:spacing w:after="0"/>
        <w:rPr>
          <w:sz w:val="20"/>
          <w:szCs w:val="20"/>
          <w:color w:val="auto"/>
        </w:rPr>
      </w:pPr>
      <w:r>
        <w:rPr>
          <w:rFonts w:ascii="Arial" w:cs="Arial" w:eastAsia="Arial" w:hAnsi="Arial"/>
          <w:sz w:val="14"/>
          <w:szCs w:val="14"/>
          <w:b w:val="1"/>
          <w:bCs w:val="1"/>
          <w:color w:val="auto"/>
        </w:rPr>
        <w:t>Nine Months Ended</w:t>
      </w:r>
    </w:p>
    <w:p>
      <w:pPr>
        <w:spacing w:after="0" w:line="2" w:lineRule="exact"/>
        <w:rPr>
          <w:sz w:val="20"/>
          <w:szCs w:val="20"/>
          <w:color w:val="auto"/>
        </w:rPr>
      </w:pPr>
    </w:p>
    <w:p>
      <w:pPr>
        <w:ind w:left="93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5345430</wp:posOffset>
            </wp:positionH>
            <wp:positionV relativeFrom="paragraph">
              <wp:posOffset>23495</wp:posOffset>
            </wp:positionV>
            <wp:extent cx="176593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765935" cy="8890"/>
                    </a:xfrm>
                    <a:prstGeom prst="rect">
                      <a:avLst/>
                    </a:prstGeom>
                    <a:noFill/>
                  </pic:spPr>
                </pic:pic>
              </a:graphicData>
            </a:graphic>
          </wp:anchor>
        </w:drawing>
      </w:r>
    </w:p>
    <w:p>
      <w:pPr>
        <w:spacing w:after="0" w:line="48"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49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4820" w:type="dxa"/>
            <w:vAlign w:val="bottom"/>
          </w:tcPr>
          <w:p>
            <w:pPr>
              <w:jc w:val="right"/>
              <w:ind w:right="488"/>
              <w:spacing w:after="0"/>
              <w:rPr>
                <w:sz w:val="20"/>
                <w:szCs w:val="20"/>
                <w:color w:val="auto"/>
              </w:rPr>
            </w:pPr>
            <w:r>
              <w:rPr>
                <w:rFonts w:ascii="Arial" w:cs="Arial" w:eastAsia="Arial" w:hAnsi="Arial"/>
                <w:sz w:val="14"/>
                <w:szCs w:val="14"/>
                <w:b w:val="1"/>
                <w:bCs w:val="1"/>
                <w:color w:val="auto"/>
              </w:rPr>
              <w:t>2026</w:t>
            </w:r>
          </w:p>
        </w:tc>
        <w:tc>
          <w:tcPr>
            <w:tcW w:w="900" w:type="dxa"/>
            <w:vAlign w:val="bottom"/>
          </w:tcPr>
          <w:p>
            <w:pPr>
              <w:jc w:val="right"/>
              <w:spacing w:after="0"/>
              <w:rPr>
                <w:sz w:val="20"/>
                <w:szCs w:val="20"/>
                <w:color w:val="auto"/>
              </w:rPr>
            </w:pPr>
            <w:r>
              <w:rPr>
                <w:rFonts w:ascii="Arial" w:cs="Arial" w:eastAsia="Arial" w:hAnsi="Arial"/>
                <w:sz w:val="14"/>
                <w:szCs w:val="14"/>
                <w:color w:val="auto"/>
              </w:rPr>
              <w:t>2025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0628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p>
      <w:pPr>
        <w:spacing w:after="0" w:line="42"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cash provided by operating activities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cash used in investing activities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cash used in financing activities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Effect of currency exchange rate change</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Net decrease in cash and cash equivalents and restricted cash</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360" w:type="dxa"/>
            <w:vAlign w:val="bottom"/>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rPr>
              <w:t>280,832</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318,896</w:t>
            </w:r>
          </w:p>
        </w:tc>
      </w:tr>
      <w:tr>
        <w:trPr>
          <w:trHeight w:val="243"/>
        </w:trPr>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(69,721)</w:t>
            </w:r>
          </w:p>
        </w:tc>
        <w:tc>
          <w:tcPr>
            <w:tcW w:w="4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(98,362)</w:t>
            </w:r>
          </w:p>
        </w:tc>
      </w:tr>
      <w:tr>
        <w:trPr>
          <w:trHeight w:val="243"/>
        </w:trPr>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(304,609)</w:t>
            </w:r>
          </w:p>
        </w:tc>
        <w:tc>
          <w:tcPr>
            <w:tcW w:w="4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(290,817)</w:t>
            </w:r>
          </w:p>
        </w:tc>
      </w:tr>
      <w:tr>
        <w:trPr>
          <w:trHeight w:val="247"/>
        </w:trPr>
        <w:tc>
          <w:tcPr>
            <w:tcW w:w="3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(1,861)</w:t>
            </w:r>
          </w:p>
        </w:tc>
        <w:tc>
          <w:tcPr>
            <w:tcW w:w="4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9,533</w:t>
            </w:r>
          </w:p>
        </w:tc>
      </w:tr>
      <w:tr>
        <w:trPr>
          <w:trHeight w:val="236"/>
        </w:trPr>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(95,359)</w:t>
            </w: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(60,750)</w:t>
            </w:r>
          </w:p>
        </w:tc>
      </w:tr>
      <w:tr>
        <w:trPr>
          <w:trHeight w:val="24"/>
        </w:trPr>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7700" w:space="720"/>
            <w:col w:w="2800"/>
          </w:cols>
          <w:pgMar w:left="320" w:top="931" w:right="359"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type w:val="continuous"/>
        </w:sectPr>
      </w:pPr>
    </w:p>
    <w:bookmarkStart w:id="48" w:name="page49"/>
    <w:bookmarkEnd w:id="48"/>
    <w:p>
      <w:pPr>
        <w:ind w:right="340"/>
        <w:spacing w:after="0" w:line="271" w:lineRule="auto"/>
        <w:rPr>
          <w:sz w:val="20"/>
          <w:szCs w:val="20"/>
          <w:color w:val="auto"/>
        </w:rPr>
      </w:pPr>
      <w:r>
        <w:rPr>
          <w:rFonts w:ascii="Arial" w:cs="Arial" w:eastAsia="Arial" w:hAnsi="Arial"/>
          <w:sz w:val="18"/>
          <w:szCs w:val="18"/>
          <w:b w:val="1"/>
          <w:bCs w:val="1"/>
          <w:color w:val="auto"/>
        </w:rPr>
        <w:t xml:space="preserve">Operating Activities. </w:t>
      </w:r>
      <w:r>
        <w:rPr>
          <w:rFonts w:ascii="Arial" w:cs="Arial" w:eastAsia="Arial" w:hAnsi="Arial"/>
          <w:sz w:val="18"/>
          <w:szCs w:val="18"/>
          <w:color w:val="auto"/>
        </w:rPr>
        <w:t>Cash provided by operating activities is net income adjusted for certain non-cash items and changes in assets and</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liabilities. The Company’s net cash flow provided by operating activities were as follows:</w:t>
      </w:r>
    </w:p>
    <w:p>
      <w:pPr>
        <w:spacing w:after="0" w:line="163" w:lineRule="exact"/>
        <w:rPr>
          <w:sz w:val="20"/>
          <w:szCs w:val="20"/>
          <w:color w:val="auto"/>
        </w:rPr>
      </w:pPr>
    </w:p>
    <w:p>
      <w:pPr>
        <w:ind w:left="9120"/>
        <w:spacing w:after="0"/>
        <w:rPr>
          <w:sz w:val="20"/>
          <w:szCs w:val="20"/>
          <w:color w:val="auto"/>
        </w:rPr>
      </w:pPr>
      <w:r>
        <w:rPr>
          <w:rFonts w:ascii="Arial" w:cs="Arial" w:eastAsia="Arial" w:hAnsi="Arial"/>
          <w:sz w:val="14"/>
          <w:szCs w:val="14"/>
          <w:b w:val="1"/>
          <w:bCs w:val="1"/>
          <w:color w:val="auto"/>
        </w:rPr>
        <w:t>Nine Months Ended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r>
      <w:tr>
        <w:trPr>
          <w:trHeight w:val="217"/>
        </w:trPr>
        <w:tc>
          <w:tcPr>
            <w:tcW w:w="8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2026</w:t>
            </w:r>
          </w:p>
        </w:tc>
        <w:tc>
          <w:tcPr>
            <w:tcW w:w="5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2025</w:t>
            </w:r>
          </w:p>
        </w:tc>
      </w:tr>
      <w:tr>
        <w:trPr>
          <w:trHeight w:val="235"/>
        </w:trPr>
        <w:tc>
          <w:tcPr>
            <w:tcW w:w="84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390,370</w:t>
            </w:r>
          </w:p>
        </w:tc>
        <w:tc>
          <w:tcPr>
            <w:tcW w:w="54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192,382</w:t>
            </w:r>
          </w:p>
        </w:tc>
      </w:tr>
      <w:tr>
        <w:trPr>
          <w:trHeight w:val="235"/>
        </w:trPr>
        <w:tc>
          <w:tcPr>
            <w:tcW w:w="8420" w:type="dxa"/>
            <w:vAlign w:val="bottom"/>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51"/>
        </w:trPr>
        <w:tc>
          <w:tcPr>
            <w:tcW w:w="8420" w:type="dxa"/>
            <w:vAlign w:val="bottom"/>
          </w:tcPr>
          <w:p>
            <w:pPr>
              <w:ind w:left="140"/>
              <w:spacing w:after="0"/>
              <w:rPr>
                <w:sz w:val="20"/>
                <w:szCs w:val="20"/>
                <w:color w:val="auto"/>
              </w:rPr>
            </w:pPr>
            <w:r>
              <w:rPr>
                <w:rFonts w:ascii="Arial" w:cs="Arial" w:eastAsia="Arial" w:hAnsi="Arial"/>
                <w:sz w:val="16"/>
                <w:szCs w:val="16"/>
                <w:color w:val="auto"/>
              </w:rPr>
              <w:t>Depreciation, amortization and goodwill and other asset impairments</w:t>
            </w:r>
          </w:p>
        </w:tc>
        <w:tc>
          <w:tcPr>
            <w:tcW w:w="300" w:type="dxa"/>
            <w:vAlign w:val="bottom"/>
          </w:tcPr>
          <w:p>
            <w:pPr>
              <w:spacing w:after="0"/>
              <w:rPr>
                <w:sz w:val="21"/>
                <w:szCs w:val="21"/>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91,631</w:t>
            </w:r>
          </w:p>
        </w:tc>
        <w:tc>
          <w:tcPr>
            <w:tcW w:w="5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86,496</w:t>
            </w:r>
          </w:p>
        </w:tc>
      </w:tr>
      <w:tr>
        <w:trPr>
          <w:trHeight w:val="243"/>
        </w:trPr>
        <w:tc>
          <w:tcPr>
            <w:tcW w:w="8420" w:type="dxa"/>
            <w:vAlign w:val="bottom"/>
          </w:tcPr>
          <w:p>
            <w:pPr>
              <w:ind w:left="140"/>
              <w:spacing w:after="0"/>
              <w:rPr>
                <w:sz w:val="20"/>
                <w:szCs w:val="20"/>
                <w:color w:val="auto"/>
              </w:rPr>
            </w:pPr>
            <w:r>
              <w:rPr>
                <w:rFonts w:ascii="Arial" w:cs="Arial" w:eastAsia="Arial" w:hAnsi="Arial"/>
                <w:sz w:val="16"/>
                <w:szCs w:val="16"/>
                <w:color w:val="auto"/>
              </w:rPr>
              <w:t>Amortization of lease right-of-use asset</w:t>
            </w:r>
          </w:p>
        </w:tc>
        <w:tc>
          <w:tcPr>
            <w:tcW w:w="300" w:type="dxa"/>
            <w:vAlign w:val="bottom"/>
          </w:tcPr>
          <w:p>
            <w:pPr>
              <w:spacing w:after="0"/>
              <w:rPr>
                <w:sz w:val="21"/>
                <w:szCs w:val="21"/>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43,707</w:t>
            </w:r>
          </w:p>
        </w:tc>
        <w:tc>
          <w:tcPr>
            <w:tcW w:w="5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44,229</w:t>
            </w:r>
          </w:p>
        </w:tc>
      </w:tr>
      <w:tr>
        <w:trPr>
          <w:trHeight w:val="243"/>
        </w:trPr>
        <w:tc>
          <w:tcPr>
            <w:tcW w:w="8420" w:type="dxa"/>
            <w:vAlign w:val="bottom"/>
          </w:tcPr>
          <w:p>
            <w:pPr>
              <w:ind w:left="140"/>
              <w:spacing w:after="0"/>
              <w:rPr>
                <w:sz w:val="20"/>
                <w:szCs w:val="20"/>
                <w:color w:val="auto"/>
              </w:rPr>
            </w:pPr>
            <w:r>
              <w:rPr>
                <w:rFonts w:ascii="Arial" w:cs="Arial" w:eastAsia="Arial" w:hAnsi="Arial"/>
                <w:sz w:val="16"/>
                <w:szCs w:val="16"/>
                <w:color w:val="auto"/>
              </w:rPr>
              <w:t>Net pension benefit, settlement gain and early retirement and special separation benefit expense</w:t>
            </w:r>
          </w:p>
        </w:tc>
        <w:tc>
          <w:tcPr>
            <w:tcW w:w="300" w:type="dxa"/>
            <w:vAlign w:val="bottom"/>
          </w:tcPr>
          <w:p>
            <w:pPr>
              <w:spacing w:after="0"/>
              <w:rPr>
                <w:sz w:val="21"/>
                <w:szCs w:val="21"/>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(215,165)</w:t>
            </w:r>
          </w:p>
        </w:tc>
        <w:tc>
          <w:tcPr>
            <w:tcW w:w="5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(61,090)</w:t>
            </w:r>
          </w:p>
        </w:tc>
      </w:tr>
      <w:tr>
        <w:trPr>
          <w:trHeight w:val="243"/>
        </w:trPr>
        <w:tc>
          <w:tcPr>
            <w:tcW w:w="8420" w:type="dxa"/>
            <w:vAlign w:val="bottom"/>
          </w:tcPr>
          <w:p>
            <w:pPr>
              <w:ind w:left="140"/>
              <w:spacing w:after="0"/>
              <w:rPr>
                <w:sz w:val="20"/>
                <w:szCs w:val="20"/>
                <w:color w:val="auto"/>
              </w:rPr>
            </w:pPr>
            <w:r>
              <w:rPr>
                <w:rFonts w:ascii="Arial" w:cs="Arial" w:eastAsia="Arial" w:hAnsi="Arial"/>
                <w:sz w:val="16"/>
                <w:szCs w:val="16"/>
                <w:color w:val="auto"/>
              </w:rPr>
              <w:t>Other non-cash activities</w:t>
            </w:r>
          </w:p>
        </w:tc>
        <w:tc>
          <w:tcPr>
            <w:tcW w:w="300" w:type="dxa"/>
            <w:vAlign w:val="bottom"/>
          </w:tcPr>
          <w:p>
            <w:pPr>
              <w:spacing w:after="0"/>
              <w:rPr>
                <w:sz w:val="21"/>
                <w:szCs w:val="21"/>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49,486</w:t>
            </w:r>
          </w:p>
        </w:tc>
        <w:tc>
          <w:tcPr>
            <w:tcW w:w="5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(59,958)</w:t>
            </w:r>
          </w:p>
        </w:tc>
      </w:tr>
      <w:tr>
        <w:trPr>
          <w:trHeight w:val="247"/>
        </w:trPr>
        <w:tc>
          <w:tcPr>
            <w:tcW w:w="8420" w:type="dxa"/>
            <w:vAlign w:val="bottom"/>
          </w:tcPr>
          <w:p>
            <w:pPr>
              <w:ind w:left="140"/>
              <w:spacing w:after="0"/>
              <w:rPr>
                <w:sz w:val="20"/>
                <w:szCs w:val="20"/>
                <w:color w:val="auto"/>
              </w:rPr>
            </w:pPr>
            <w:r>
              <w:rPr>
                <w:rFonts w:ascii="Arial" w:cs="Arial" w:eastAsia="Arial" w:hAnsi="Arial"/>
                <w:sz w:val="16"/>
                <w:szCs w:val="16"/>
                <w:color w:val="auto"/>
              </w:rPr>
              <w:t>Change in operating assets and liabilities</w:t>
            </w: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(79,197)</w:t>
            </w:r>
          </w:p>
        </w:tc>
        <w:tc>
          <w:tcPr>
            <w:tcW w:w="5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116,837</w:t>
            </w:r>
          </w:p>
        </w:tc>
      </w:tr>
      <w:tr>
        <w:trPr>
          <w:trHeight w:val="240"/>
        </w:trPr>
        <w:tc>
          <w:tcPr>
            <w:tcW w:w="8420" w:type="dxa"/>
            <w:vAlign w:val="bottom"/>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280,832</w:t>
            </w:r>
          </w:p>
        </w:tc>
        <w:tc>
          <w:tcPr>
            <w:tcW w:w="5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318,896</w:t>
            </w:r>
          </w:p>
        </w:tc>
      </w:tr>
      <w:tr>
        <w:trPr>
          <w:trHeight w:val="21"/>
        </w:trPr>
        <w:tc>
          <w:tcPr>
            <w:tcW w:w="8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Net cash provided by operating activities consists primarily of cash receipts from customers, less disbursements for costs, benefits, income taxes, interest and other expenses.</w:t>
      </w:r>
    </w:p>
    <w:p>
      <w:pPr>
        <w:spacing w:after="0" w:line="86" w:lineRule="exact"/>
        <w:rPr>
          <w:sz w:val="20"/>
          <w:szCs w:val="20"/>
          <w:color w:val="auto"/>
        </w:rPr>
      </w:pPr>
    </w:p>
    <w:p>
      <w:pPr>
        <w:ind w:right="520"/>
        <w:spacing w:after="0" w:line="245" w:lineRule="auto"/>
        <w:rPr>
          <w:sz w:val="20"/>
          <w:szCs w:val="20"/>
          <w:color w:val="auto"/>
        </w:rPr>
      </w:pPr>
      <w:r>
        <w:rPr>
          <w:rFonts w:ascii="Arial" w:cs="Arial" w:eastAsia="Arial" w:hAnsi="Arial"/>
          <w:sz w:val="18"/>
          <w:szCs w:val="18"/>
          <w:color w:val="auto"/>
        </w:rPr>
        <w:t>For the first nine months of 2026 compared to the first nine months of 2025, the decrease in net cash provided by operating activities is primarily driven by changes in operating assets and liabilities, offset by higher net income, net of non-cash adjustments. Changes in</w:t>
      </w:r>
    </w:p>
    <w:p>
      <w:pPr>
        <w:ind w:right="100"/>
        <w:spacing w:after="0" w:line="237" w:lineRule="auto"/>
        <w:rPr>
          <w:sz w:val="20"/>
          <w:szCs w:val="20"/>
          <w:color w:val="auto"/>
        </w:rPr>
      </w:pPr>
      <w:r>
        <w:rPr>
          <w:rFonts w:ascii="Arial" w:cs="Arial" w:eastAsia="Arial" w:hAnsi="Arial"/>
          <w:sz w:val="18"/>
          <w:szCs w:val="18"/>
          <w:color w:val="auto"/>
        </w:rPr>
        <w:t>operating assets and liabilities were driven by higher purchases of inventory and a significant decrease in the interest expense related to the mandatorily redeemable noncontrolling interest.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Investing Activities. </w:t>
      </w:r>
      <w:r>
        <w:rPr>
          <w:rFonts w:ascii="Arial" w:cs="Arial" w:eastAsia="Arial" w:hAnsi="Arial"/>
          <w:sz w:val="18"/>
          <w:szCs w:val="18"/>
          <w:color w:val="auto"/>
        </w:rPr>
        <w:t>The Company’s net cash flow used in investing activities were as follows:</w:t>
      </w:r>
    </w:p>
    <w:p>
      <w:pPr>
        <w:spacing w:after="0" w:line="235" w:lineRule="exact"/>
        <w:rPr>
          <w:sz w:val="20"/>
          <w:szCs w:val="20"/>
          <w:color w:val="auto"/>
        </w:rPr>
      </w:pPr>
    </w:p>
    <w:p>
      <w:pPr>
        <w:ind w:left="9120"/>
        <w:spacing w:after="0"/>
        <w:rPr>
          <w:sz w:val="20"/>
          <w:szCs w:val="20"/>
          <w:color w:val="auto"/>
        </w:rPr>
      </w:pPr>
      <w:r>
        <w:rPr>
          <w:rFonts w:ascii="Arial" w:cs="Arial" w:eastAsia="Arial" w:hAnsi="Arial"/>
          <w:sz w:val="14"/>
          <w:szCs w:val="14"/>
          <w:b w:val="1"/>
          <w:bCs w:val="1"/>
          <w:color w:val="auto"/>
        </w:rPr>
        <w:t>Nine Months Ended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4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7"/>
                <w:szCs w:val="17"/>
                <w:color w:val="auto"/>
              </w:rPr>
            </w:pPr>
          </w:p>
        </w:tc>
      </w:tr>
      <w:tr>
        <w:trPr>
          <w:trHeight w:val="217"/>
        </w:trPr>
        <w:tc>
          <w:tcPr>
            <w:tcW w:w="8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2026</w:t>
            </w:r>
          </w:p>
        </w:tc>
        <w:tc>
          <w:tcPr>
            <w:tcW w:w="5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2025</w:t>
            </w:r>
          </w:p>
        </w:tc>
      </w:tr>
      <w:tr>
        <w:trPr>
          <w:trHeight w:val="235"/>
        </w:trPr>
        <w:tc>
          <w:tcPr>
            <w:tcW w:w="8420" w:type="dxa"/>
            <w:vAlign w:val="bottom"/>
          </w:tcPr>
          <w:p>
            <w:pPr>
              <w:ind w:left="20"/>
              <w:spacing w:after="0"/>
              <w:rPr>
                <w:sz w:val="20"/>
                <w:szCs w:val="20"/>
                <w:color w:val="auto"/>
              </w:rPr>
            </w:pPr>
            <w:r>
              <w:rPr>
                <w:rFonts w:ascii="Arial" w:cs="Arial" w:eastAsia="Arial" w:hAnsi="Arial"/>
                <w:sz w:val="16"/>
                <w:szCs w:val="16"/>
                <w:color w:val="auto"/>
              </w:rPr>
              <w:t>Purchases of property, plant and equipment</w:t>
            </w: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(65,013)</w:t>
            </w:r>
          </w:p>
        </w:tc>
        <w:tc>
          <w:tcPr>
            <w:tcW w:w="54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(48,618)</w:t>
            </w:r>
          </w:p>
        </w:tc>
      </w:tr>
      <w:tr>
        <w:trPr>
          <w:trHeight w:val="243"/>
        </w:trPr>
        <w:tc>
          <w:tcPr>
            <w:tcW w:w="8420" w:type="dxa"/>
            <w:vAlign w:val="bottom"/>
          </w:tcPr>
          <w:p>
            <w:pPr>
              <w:ind w:left="20"/>
              <w:spacing w:after="0"/>
              <w:rPr>
                <w:sz w:val="20"/>
                <w:szCs w:val="20"/>
                <w:color w:val="auto"/>
              </w:rPr>
            </w:pPr>
            <w:r>
              <w:rPr>
                <w:rFonts w:ascii="Arial" w:cs="Arial" w:eastAsia="Arial" w:hAnsi="Arial"/>
                <w:sz w:val="16"/>
                <w:szCs w:val="16"/>
                <w:color w:val="auto"/>
              </w:rPr>
              <w:t>Net (payments on) proceeds from disposition of businesses, property, plant and equipment and investments</w:t>
            </w:r>
          </w:p>
        </w:tc>
        <w:tc>
          <w:tcPr>
            <w:tcW w:w="300" w:type="dxa"/>
            <w:vAlign w:val="bottom"/>
          </w:tcPr>
          <w:p>
            <w:pPr>
              <w:spacing w:after="0"/>
              <w:rPr>
                <w:sz w:val="21"/>
                <w:szCs w:val="21"/>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(37,900)</w:t>
            </w:r>
          </w:p>
        </w:tc>
        <w:tc>
          <w:tcPr>
            <w:tcW w:w="5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7,747</w:t>
            </w:r>
          </w:p>
        </w:tc>
      </w:tr>
      <w:tr>
        <w:trPr>
          <w:trHeight w:val="243"/>
        </w:trPr>
        <w:tc>
          <w:tcPr>
            <w:tcW w:w="8420" w:type="dxa"/>
            <w:vAlign w:val="bottom"/>
          </w:tcPr>
          <w:p>
            <w:pPr>
              <w:ind w:left="20"/>
              <w:spacing w:after="0"/>
              <w:rPr>
                <w:sz w:val="20"/>
                <w:szCs w:val="20"/>
                <w:color w:val="auto"/>
              </w:rPr>
            </w:pPr>
            <w:r>
              <w:rPr>
                <w:rFonts w:ascii="Arial" w:cs="Arial" w:eastAsia="Arial" w:hAnsi="Arial"/>
                <w:sz w:val="16"/>
                <w:szCs w:val="16"/>
                <w:color w:val="auto"/>
              </w:rPr>
              <w:t>Net proceeds from sales (purchases) of marketable equity securities</w:t>
            </w:r>
          </w:p>
        </w:tc>
        <w:tc>
          <w:tcPr>
            <w:tcW w:w="300" w:type="dxa"/>
            <w:vAlign w:val="bottom"/>
          </w:tcPr>
          <w:p>
            <w:pPr>
              <w:spacing w:after="0"/>
              <w:rPr>
                <w:sz w:val="21"/>
                <w:szCs w:val="21"/>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29,622</w:t>
            </w:r>
          </w:p>
        </w:tc>
        <w:tc>
          <w:tcPr>
            <w:tcW w:w="5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(29,823)</w:t>
            </w:r>
          </w:p>
        </w:tc>
      </w:tr>
      <w:tr>
        <w:trPr>
          <w:trHeight w:val="243"/>
        </w:trPr>
        <w:tc>
          <w:tcPr>
            <w:tcW w:w="8420" w:type="dxa"/>
            <w:vAlign w:val="bottom"/>
          </w:tcPr>
          <w:p>
            <w:pPr>
              <w:ind w:left="20"/>
              <w:spacing w:after="0"/>
              <w:rPr>
                <w:sz w:val="20"/>
                <w:szCs w:val="20"/>
                <w:color w:val="auto"/>
              </w:rPr>
            </w:pPr>
            <w:r>
              <w:rPr>
                <w:rFonts w:ascii="Arial" w:cs="Arial" w:eastAsia="Arial" w:hAnsi="Arial"/>
                <w:sz w:val="16"/>
                <w:szCs w:val="16"/>
                <w:color w:val="auto"/>
              </w:rPr>
              <w:t>Proceeds from repayment of related party loan</w:t>
            </w:r>
          </w:p>
        </w:tc>
        <w:tc>
          <w:tcPr>
            <w:tcW w:w="300" w:type="dxa"/>
            <w:vAlign w:val="bottom"/>
          </w:tcPr>
          <w:p>
            <w:pPr>
              <w:spacing w:after="0"/>
              <w:rPr>
                <w:sz w:val="21"/>
                <w:szCs w:val="21"/>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20,000</w:t>
            </w:r>
          </w:p>
        </w:tc>
        <w:tc>
          <w:tcPr>
            <w:tcW w:w="5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8420" w:type="dxa"/>
            <w:vAlign w:val="bottom"/>
          </w:tcPr>
          <w:p>
            <w:pPr>
              <w:ind w:left="20"/>
              <w:spacing w:after="0"/>
              <w:rPr>
                <w:sz w:val="20"/>
                <w:szCs w:val="20"/>
                <w:color w:val="auto"/>
              </w:rPr>
            </w:pPr>
            <w:r>
              <w:rPr>
                <w:rFonts w:ascii="Arial" w:cs="Arial" w:eastAsia="Arial" w:hAnsi="Arial"/>
                <w:sz w:val="16"/>
                <w:szCs w:val="16"/>
                <w:color w:val="auto"/>
              </w:rPr>
              <w:t>Investments in certain businesses, net of cash acquired</w:t>
            </w:r>
          </w:p>
        </w:tc>
        <w:tc>
          <w:tcPr>
            <w:tcW w:w="300" w:type="dxa"/>
            <w:vAlign w:val="bottom"/>
          </w:tcPr>
          <w:p>
            <w:pPr>
              <w:spacing w:after="0"/>
              <w:rPr>
                <w:sz w:val="21"/>
                <w:szCs w:val="21"/>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(18,362)</w:t>
            </w:r>
          </w:p>
        </w:tc>
        <w:tc>
          <w:tcPr>
            <w:tcW w:w="5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(19,486)</w:t>
            </w:r>
          </w:p>
        </w:tc>
      </w:tr>
      <w:tr>
        <w:trPr>
          <w:trHeight w:val="243"/>
        </w:trPr>
        <w:tc>
          <w:tcPr>
            <w:tcW w:w="8420" w:type="dxa"/>
            <w:vAlign w:val="bottom"/>
          </w:tcPr>
          <w:p>
            <w:pPr>
              <w:ind w:left="20"/>
              <w:spacing w:after="0"/>
              <w:rPr>
                <w:sz w:val="20"/>
                <w:szCs w:val="20"/>
                <w:color w:val="auto"/>
              </w:rPr>
            </w:pPr>
            <w:r>
              <w:rPr>
                <w:rFonts w:ascii="Arial" w:cs="Arial" w:eastAsia="Arial" w:hAnsi="Arial"/>
                <w:sz w:val="16"/>
                <w:szCs w:val="16"/>
                <w:color w:val="auto"/>
              </w:rPr>
              <w:t>Investments in equity affiliates and cost method investments</w:t>
            </w:r>
          </w:p>
        </w:tc>
        <w:tc>
          <w:tcPr>
            <w:tcW w:w="300" w:type="dxa"/>
            <w:vAlign w:val="bottom"/>
          </w:tcPr>
          <w:p>
            <w:pPr>
              <w:spacing w:after="0"/>
              <w:rPr>
                <w:sz w:val="21"/>
                <w:szCs w:val="21"/>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(204)</w:t>
            </w:r>
          </w:p>
        </w:tc>
        <w:tc>
          <w:tcPr>
            <w:tcW w:w="5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(10,512)</w:t>
            </w:r>
          </w:p>
        </w:tc>
      </w:tr>
      <w:tr>
        <w:trPr>
          <w:trHeight w:val="247"/>
        </w:trPr>
        <w:tc>
          <w:tcPr>
            <w:tcW w:w="8420" w:type="dxa"/>
            <w:vAlign w:val="bottom"/>
          </w:tcPr>
          <w:p>
            <w:pPr>
              <w:ind w:left="2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2,136</w:t>
            </w:r>
          </w:p>
        </w:tc>
        <w:tc>
          <w:tcPr>
            <w:tcW w:w="5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2,330</w:t>
            </w:r>
          </w:p>
        </w:tc>
      </w:tr>
      <w:tr>
        <w:trPr>
          <w:trHeight w:val="240"/>
        </w:trPr>
        <w:tc>
          <w:tcPr>
            <w:tcW w:w="8420" w:type="dxa"/>
            <w:vAlign w:val="bottom"/>
          </w:tcPr>
          <w:p>
            <w:pPr>
              <w:ind w:left="20"/>
              <w:spacing w:after="0"/>
              <w:rPr>
                <w:sz w:val="20"/>
                <w:szCs w:val="20"/>
                <w:color w:val="auto"/>
              </w:rPr>
            </w:pPr>
            <w:r>
              <w:rPr>
                <w:rFonts w:ascii="Arial" w:cs="Arial" w:eastAsia="Arial" w:hAnsi="Arial"/>
                <w:sz w:val="16"/>
                <w:szCs w:val="16"/>
                <w:b w:val="1"/>
                <w:bCs w:val="1"/>
                <w:color w:val="auto"/>
              </w:rPr>
              <w:t>Net Cash Used in Investing Activities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(69,721)</w:t>
            </w:r>
          </w:p>
        </w:tc>
        <w:tc>
          <w:tcPr>
            <w:tcW w:w="5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(98,362)</w:t>
            </w:r>
          </w:p>
        </w:tc>
      </w:tr>
      <w:tr>
        <w:trPr>
          <w:trHeight w:val="21"/>
        </w:trPr>
        <w:tc>
          <w:tcPr>
            <w:tcW w:w="8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500"/>
        <w:spacing w:after="0" w:line="259" w:lineRule="auto"/>
        <w:rPr>
          <w:sz w:val="20"/>
          <w:szCs w:val="20"/>
          <w:color w:val="auto"/>
        </w:rPr>
      </w:pPr>
      <w:r>
        <w:rPr>
          <w:rFonts w:ascii="Arial" w:cs="Arial" w:eastAsia="Arial" w:hAnsi="Arial"/>
          <w:sz w:val="17"/>
          <w:szCs w:val="17"/>
          <w:i w:val="1"/>
          <w:iCs w:val="1"/>
          <w:color w:val="auto"/>
        </w:rPr>
        <w:t xml:space="preserve">Capital Expenditures. </w:t>
      </w:r>
      <w:r>
        <w:rPr>
          <w:rFonts w:ascii="Arial" w:cs="Arial" w:eastAsia="Arial" w:hAnsi="Arial"/>
          <w:sz w:val="17"/>
          <w:szCs w:val="17"/>
          <w:color w:val="auto"/>
        </w:rPr>
        <w:t>The amounts reflected in the Company’s Condensed Consolidated Statements of Cash Flows are based on cash</w:t>
      </w:r>
      <w:r>
        <w:rPr>
          <w:rFonts w:ascii="Arial" w:cs="Arial" w:eastAsia="Arial" w:hAnsi="Arial"/>
          <w:sz w:val="17"/>
          <w:szCs w:val="17"/>
          <w:i w:val="1"/>
          <w:iCs w:val="1"/>
          <w:color w:val="auto"/>
        </w:rPr>
        <w:t xml:space="preserve"> </w:t>
      </w:r>
      <w:r>
        <w:rPr>
          <w:rFonts w:ascii="Arial" w:cs="Arial" w:eastAsia="Arial" w:hAnsi="Arial"/>
          <w:sz w:val="17"/>
          <w:szCs w:val="17"/>
          <w:color w:val="auto"/>
        </w:rPr>
        <w:t>payments made during the relevant periods, whereas the Company’s capital expenditures for the first nine months of 2026 and 2025</w:t>
      </w:r>
    </w:p>
    <w:p>
      <w:pPr>
        <w:spacing w:after="0" w:line="1" w:lineRule="exact"/>
        <w:rPr>
          <w:sz w:val="20"/>
          <w:szCs w:val="20"/>
          <w:color w:val="auto"/>
        </w:rPr>
      </w:pPr>
    </w:p>
    <w:p>
      <w:pPr>
        <w:ind w:right="740"/>
        <w:spacing w:after="0" w:line="237" w:lineRule="auto"/>
        <w:rPr>
          <w:sz w:val="20"/>
          <w:szCs w:val="20"/>
          <w:color w:val="auto"/>
        </w:rPr>
      </w:pPr>
      <w:r>
        <w:rPr>
          <w:rFonts w:ascii="Arial" w:cs="Arial" w:eastAsia="Arial" w:hAnsi="Arial"/>
          <w:sz w:val="18"/>
          <w:szCs w:val="18"/>
          <w:color w:val="auto"/>
        </w:rPr>
        <w:t>disclosed in Note 16 to the Condensed Consolidated Financial Statements include assets acquired during the period. The Company estimates that its capital expenditures will be in the range of $95 million to $105 million in 2026.</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Disposition of Businesses. </w:t>
      </w:r>
      <w:r>
        <w:rPr>
          <w:rFonts w:ascii="Arial" w:cs="Arial" w:eastAsia="Arial" w:hAnsi="Arial"/>
          <w:sz w:val="18"/>
          <w:szCs w:val="18"/>
          <w:color w:val="auto"/>
        </w:rPr>
        <w:t>In May 2026, Kaplan completed the sale of the KLG business, which is included in Kaplan International. KLG</w:t>
      </w:r>
    </w:p>
    <w:p>
      <w:pPr>
        <w:spacing w:after="0" w:line="14" w:lineRule="exact"/>
        <w:rPr>
          <w:sz w:val="20"/>
          <w:szCs w:val="20"/>
          <w:color w:val="auto"/>
        </w:rPr>
      </w:pPr>
    </w:p>
    <w:p>
      <w:pPr>
        <w:ind w:right="200"/>
        <w:spacing w:after="0" w:line="226" w:lineRule="auto"/>
        <w:rPr>
          <w:sz w:val="20"/>
          <w:szCs w:val="20"/>
          <w:color w:val="auto"/>
        </w:rPr>
      </w:pPr>
      <w:r>
        <w:rPr>
          <w:rFonts w:ascii="Arial" w:cs="Arial" w:eastAsia="Arial" w:hAnsi="Arial"/>
          <w:sz w:val="18"/>
          <w:szCs w:val="18"/>
          <w:color w:val="auto"/>
        </w:rPr>
        <w:t>comprised Kaplan International Languages, Alpadia Language Schools, Azurlingua and English as a second language (ESL) Education. In April 2025, Kaplan completed the sale of a small business, BridgeU Limited, which was included in Kaplan International. In the first half of</w:t>
      </w:r>
    </w:p>
    <w:p>
      <w:pPr>
        <w:spacing w:after="0" w:line="2" w:lineRule="exact"/>
        <w:rPr>
          <w:sz w:val="20"/>
          <w:szCs w:val="20"/>
          <w:color w:val="auto"/>
        </w:rPr>
      </w:pPr>
    </w:p>
    <w:p>
      <w:pPr>
        <w:ind w:right="880"/>
        <w:spacing w:after="0" w:line="237" w:lineRule="auto"/>
        <w:rPr>
          <w:sz w:val="20"/>
          <w:szCs w:val="20"/>
          <w:color w:val="auto"/>
        </w:rPr>
      </w:pPr>
      <w:r>
        <w:rPr>
          <w:rFonts w:ascii="Arial" w:cs="Arial" w:eastAsia="Arial" w:hAnsi="Arial"/>
          <w:sz w:val="18"/>
          <w:szCs w:val="18"/>
          <w:color w:val="auto"/>
        </w:rPr>
        <w:t>2025, WGB completed the sale of various websites and related businesses that made up the WGB operations. All remaining WGB operations were substantially shut down by the end of the third quarter of 2025.</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Net proceeds from sales (purchases) of marketable equity securities. </w:t>
      </w:r>
      <w:r>
        <w:rPr>
          <w:rFonts w:ascii="Arial" w:cs="Arial" w:eastAsia="Arial" w:hAnsi="Arial"/>
          <w:sz w:val="18"/>
          <w:szCs w:val="18"/>
          <w:color w:val="auto"/>
        </w:rPr>
        <w:t>During the first nine months of 2026, the Company sold marketable</w:t>
      </w:r>
    </w:p>
    <w:p>
      <w:pPr>
        <w:spacing w:after="0" w:line="14" w:lineRule="exact"/>
        <w:rPr>
          <w:sz w:val="20"/>
          <w:szCs w:val="20"/>
          <w:color w:val="auto"/>
        </w:rPr>
      </w:pPr>
    </w:p>
    <w:p>
      <w:pPr>
        <w:jc w:val="both"/>
        <w:ind w:right="40"/>
        <w:spacing w:after="0" w:line="226" w:lineRule="auto"/>
        <w:rPr>
          <w:sz w:val="20"/>
          <w:szCs w:val="20"/>
          <w:color w:val="auto"/>
        </w:rPr>
      </w:pPr>
      <w:r>
        <w:rPr>
          <w:rFonts w:ascii="Arial" w:cs="Arial" w:eastAsia="Arial" w:hAnsi="Arial"/>
          <w:sz w:val="18"/>
          <w:szCs w:val="18"/>
          <w:color w:val="auto"/>
        </w:rPr>
        <w:t>equity securities that generated proceeds of $54.6 million. There were no sales of marketable equity securities during the first nine months of 2025. The Company purchased $25.0 million and $29.8 million of marketable equity securities during the first nine months of 2026 and 2025,</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respectively.</w:t>
      </w:r>
    </w:p>
    <w:p>
      <w:pPr>
        <w:spacing w:after="0" w:line="140"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i w:val="1"/>
          <w:iCs w:val="1"/>
          <w:color w:val="auto"/>
        </w:rPr>
        <w:t xml:space="preserve">Proceeds from repayment of related party loan. </w:t>
      </w:r>
      <w:r>
        <w:rPr>
          <w:rFonts w:ascii="Arial" w:cs="Arial" w:eastAsia="Arial" w:hAnsi="Arial"/>
          <w:sz w:val="18"/>
          <w:szCs w:val="18"/>
          <w:color w:val="auto"/>
        </w:rPr>
        <w:t>During the first nine months of 2026, the Company received the $20.0 million from Purdue</w:t>
      </w:r>
      <w:r>
        <w:rPr>
          <w:rFonts w:ascii="Arial" w:cs="Arial" w:eastAsia="Arial" w:hAnsi="Arial"/>
          <w:sz w:val="18"/>
          <w:szCs w:val="18"/>
          <w:i w:val="1"/>
          <w:iCs w:val="1"/>
          <w:color w:val="auto"/>
        </w:rPr>
        <w:t xml:space="preserve"> </w:t>
      </w:r>
      <w:r>
        <w:rPr>
          <w:rFonts w:ascii="Arial" w:cs="Arial" w:eastAsia="Arial" w:hAnsi="Arial"/>
          <w:sz w:val="18"/>
          <w:szCs w:val="18"/>
          <w:color w:val="auto"/>
        </w:rPr>
        <w:t>Global related to the advance during the initial KU transaction.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During the first nine months of 2026, the Company acquired two small businesses, one in March and one in July, both of which</w:t>
      </w:r>
    </w:p>
    <w:p>
      <w:pPr>
        <w:spacing w:after="0" w:line="14"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are included in other healthcare businesses. In July 2025, Hoover acquired 100% of Arconic Architectural Products, LLC, a wholly-owned subsidiary of Arconic Corporation, which manufactures aluminum cladding products and operates within the broader non-residential materials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space from its facility in</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49" w:name="page50"/>
    <w:bookmarkEnd w:id="49"/>
    <w:p>
      <w:pPr>
        <w:ind w:right="780"/>
        <w:spacing w:after="0" w:line="271" w:lineRule="auto"/>
        <w:rPr>
          <w:sz w:val="20"/>
          <w:szCs w:val="20"/>
          <w:color w:val="auto"/>
        </w:rPr>
      </w:pPr>
      <w:r>
        <w:rPr>
          <w:rFonts w:ascii="Arial" w:cs="Arial" w:eastAsia="Arial" w:hAnsi="Arial"/>
          <w:sz w:val="18"/>
          <w:szCs w:val="18"/>
          <w:color w:val="auto"/>
        </w:rPr>
        <w:t>Eastman, GA. A significant portion of the purchase price was funded by the Company’s assumption of $107.5 million in net pension obligations. In June 2025, Kaplan acquired one small business which is included in its supplemental education division.</w:t>
      </w:r>
    </w:p>
    <w:p>
      <w:pPr>
        <w:spacing w:after="0" w:line="86"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i w:val="1"/>
          <w:iCs w:val="1"/>
          <w:color w:val="auto"/>
        </w:rPr>
        <w:t>Transactions with equity affiliates</w:t>
      </w:r>
      <w:r>
        <w:rPr>
          <w:rFonts w:ascii="Arial" w:cs="Arial" w:eastAsia="Arial" w:hAnsi="Arial"/>
          <w:sz w:val="18"/>
          <w:szCs w:val="18"/>
          <w:color w:val="auto"/>
        </w:rPr>
        <w:t>. In September 2025, the Company invested an additional $29.3 million in its equity affiliate Intersection.</w:t>
      </w:r>
      <w:r>
        <w:rPr>
          <w:rFonts w:ascii="Arial" w:cs="Arial" w:eastAsia="Arial" w:hAnsi="Arial"/>
          <w:sz w:val="18"/>
          <w:szCs w:val="18"/>
          <w:i w:val="1"/>
          <w:iCs w:val="1"/>
          <w:color w:val="auto"/>
        </w:rPr>
        <w:t xml:space="preserve"> </w:t>
      </w:r>
      <w:r>
        <w:rPr>
          <w:rFonts w:ascii="Arial" w:cs="Arial" w:eastAsia="Arial" w:hAnsi="Arial"/>
          <w:sz w:val="18"/>
          <w:szCs w:val="18"/>
          <w:color w:val="auto"/>
        </w:rPr>
        <w:t>Intersection used a portion of the additional investment to settle, in a non-cash exchange, $19.3 million of the outstanding amount owed to the Company on the $30 million term loan extended in April 2023.</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Financing Activities. </w:t>
      </w:r>
      <w:r>
        <w:rPr>
          <w:rFonts w:ascii="Arial" w:cs="Arial" w:eastAsia="Arial" w:hAnsi="Arial"/>
          <w:sz w:val="18"/>
          <w:szCs w:val="18"/>
          <w:color w:val="auto"/>
        </w:rPr>
        <w:t>The Company’s net cash flow used in financing activities were as follows:</w:t>
      </w:r>
    </w:p>
    <w:p>
      <w:pPr>
        <w:spacing w:after="0" w:line="235" w:lineRule="exact"/>
        <w:rPr>
          <w:sz w:val="20"/>
          <w:szCs w:val="20"/>
          <w:color w:val="auto"/>
        </w:rPr>
      </w:pPr>
    </w:p>
    <w:p>
      <w:pPr>
        <w:ind w:left="9120"/>
        <w:spacing w:after="0"/>
        <w:rPr>
          <w:sz w:val="20"/>
          <w:szCs w:val="20"/>
          <w:color w:val="auto"/>
        </w:rPr>
      </w:pPr>
      <w:r>
        <w:rPr>
          <w:rFonts w:ascii="Arial" w:cs="Arial" w:eastAsia="Arial" w:hAnsi="Arial"/>
          <w:sz w:val="14"/>
          <w:szCs w:val="14"/>
          <w:b w:val="1"/>
          <w:bCs w:val="1"/>
          <w:color w:val="auto"/>
        </w:rPr>
        <w:t>Nine Months Ended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r>
      <w:tr>
        <w:trPr>
          <w:trHeight w:val="217"/>
        </w:trPr>
        <w:tc>
          <w:tcPr>
            <w:tcW w:w="8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2026</w:t>
            </w:r>
          </w:p>
        </w:tc>
        <w:tc>
          <w:tcPr>
            <w:tcW w:w="5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2025</w:t>
            </w:r>
          </w:p>
        </w:tc>
      </w:tr>
      <w:tr>
        <w:trPr>
          <w:trHeight w:val="236"/>
        </w:trPr>
        <w:tc>
          <w:tcPr>
            <w:tcW w:w="8420" w:type="dxa"/>
            <w:vAlign w:val="bottom"/>
          </w:tcPr>
          <w:p>
            <w:pPr>
              <w:ind w:left="20"/>
              <w:spacing w:after="0"/>
              <w:rPr>
                <w:sz w:val="20"/>
                <w:szCs w:val="20"/>
                <w:color w:val="auto"/>
              </w:rPr>
            </w:pPr>
            <w:r>
              <w:rPr>
                <w:rFonts w:ascii="Arial" w:cs="Arial" w:eastAsia="Arial" w:hAnsi="Arial"/>
                <w:sz w:val="16"/>
                <w:szCs w:val="16"/>
                <w:color w:val="auto"/>
              </w:rPr>
              <w:t>Common shares repurchased</w:t>
            </w: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(198,598)</w:t>
            </w:r>
          </w:p>
        </w:tc>
        <w:tc>
          <w:tcPr>
            <w:tcW w:w="54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(3,468)</w:t>
            </w:r>
          </w:p>
        </w:tc>
      </w:tr>
      <w:tr>
        <w:trPr>
          <w:trHeight w:val="243"/>
        </w:trPr>
        <w:tc>
          <w:tcPr>
            <w:tcW w:w="8420" w:type="dxa"/>
            <w:vAlign w:val="bottom"/>
          </w:tcPr>
          <w:p>
            <w:pPr>
              <w:ind w:left="20"/>
              <w:spacing w:after="0"/>
              <w:rPr>
                <w:sz w:val="20"/>
                <w:szCs w:val="20"/>
                <w:color w:val="auto"/>
              </w:rPr>
            </w:pPr>
            <w:r>
              <w:rPr>
                <w:rFonts w:ascii="Arial" w:cs="Arial" w:eastAsia="Arial" w:hAnsi="Arial"/>
                <w:sz w:val="16"/>
                <w:szCs w:val="16"/>
                <w:color w:val="auto"/>
              </w:rPr>
              <w:t>Net (payments) borrowings under revolving credit facility</w:t>
            </w:r>
          </w:p>
        </w:tc>
        <w:tc>
          <w:tcPr>
            <w:tcW w:w="300" w:type="dxa"/>
            <w:vAlign w:val="bottom"/>
          </w:tcPr>
          <w:p>
            <w:pPr>
              <w:spacing w:after="0"/>
              <w:rPr>
                <w:sz w:val="21"/>
                <w:szCs w:val="21"/>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(31,258)</w:t>
            </w:r>
          </w:p>
        </w:tc>
        <w:tc>
          <w:tcPr>
            <w:tcW w:w="5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600</w:t>
            </w:r>
          </w:p>
        </w:tc>
      </w:tr>
      <w:tr>
        <w:trPr>
          <w:trHeight w:val="243"/>
        </w:trPr>
        <w:tc>
          <w:tcPr>
            <w:tcW w:w="8420" w:type="dxa"/>
            <w:vAlign w:val="bottom"/>
          </w:tcPr>
          <w:p>
            <w:pPr>
              <w:ind w:left="20"/>
              <w:spacing w:after="0"/>
              <w:rPr>
                <w:sz w:val="20"/>
                <w:szCs w:val="20"/>
                <w:color w:val="auto"/>
              </w:rPr>
            </w:pPr>
            <w:r>
              <w:rPr>
                <w:rFonts w:ascii="Arial" w:cs="Arial" w:eastAsia="Arial" w:hAnsi="Arial"/>
                <w:sz w:val="16"/>
                <w:szCs w:val="16"/>
                <w:color w:val="auto"/>
              </w:rPr>
              <w:t>Repayments of borrowings</w:t>
            </w:r>
          </w:p>
        </w:tc>
        <w:tc>
          <w:tcPr>
            <w:tcW w:w="300" w:type="dxa"/>
            <w:vAlign w:val="bottom"/>
          </w:tcPr>
          <w:p>
            <w:pPr>
              <w:spacing w:after="0"/>
              <w:rPr>
                <w:sz w:val="21"/>
                <w:szCs w:val="21"/>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(21,535)</w:t>
            </w:r>
          </w:p>
        </w:tc>
        <w:tc>
          <w:tcPr>
            <w:tcW w:w="5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(22,089)</w:t>
            </w:r>
          </w:p>
        </w:tc>
      </w:tr>
      <w:tr>
        <w:trPr>
          <w:trHeight w:val="243"/>
        </w:trPr>
        <w:tc>
          <w:tcPr>
            <w:tcW w:w="8420" w:type="dxa"/>
            <w:vAlign w:val="bottom"/>
          </w:tcPr>
          <w:p>
            <w:pPr>
              <w:ind w:left="20"/>
              <w:spacing w:after="0"/>
              <w:rPr>
                <w:sz w:val="20"/>
                <w:szCs w:val="20"/>
                <w:color w:val="auto"/>
              </w:rPr>
            </w:pPr>
            <w:r>
              <w:rPr>
                <w:rFonts w:ascii="Arial" w:cs="Arial" w:eastAsia="Arial" w:hAnsi="Arial"/>
                <w:sz w:val="16"/>
                <w:szCs w:val="16"/>
                <w:color w:val="auto"/>
              </w:rPr>
              <w:t>Net proceeds from (repayments of) vehicle floor plan payable</w:t>
            </w:r>
          </w:p>
        </w:tc>
        <w:tc>
          <w:tcPr>
            <w:tcW w:w="300" w:type="dxa"/>
            <w:vAlign w:val="bottom"/>
          </w:tcPr>
          <w:p>
            <w:pPr>
              <w:spacing w:after="0"/>
              <w:rPr>
                <w:sz w:val="21"/>
                <w:szCs w:val="21"/>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4,863</w:t>
            </w:r>
          </w:p>
        </w:tc>
        <w:tc>
          <w:tcPr>
            <w:tcW w:w="5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(27,897)</w:t>
            </w:r>
          </w:p>
        </w:tc>
      </w:tr>
      <w:tr>
        <w:trPr>
          <w:trHeight w:val="243"/>
        </w:trPr>
        <w:tc>
          <w:tcPr>
            <w:tcW w:w="8420" w:type="dxa"/>
            <w:vAlign w:val="bottom"/>
          </w:tcPr>
          <w:p>
            <w:pPr>
              <w:ind w:left="20"/>
              <w:spacing w:after="0"/>
              <w:rPr>
                <w:sz w:val="20"/>
                <w:szCs w:val="20"/>
                <w:color w:val="auto"/>
              </w:rPr>
            </w:pPr>
            <w:r>
              <w:rPr>
                <w:rFonts w:ascii="Arial" w:cs="Arial" w:eastAsia="Arial" w:hAnsi="Arial"/>
                <w:sz w:val="16"/>
                <w:szCs w:val="16"/>
                <w:color w:val="auto"/>
              </w:rPr>
              <w:t>Issuance of borrowings</w:t>
            </w:r>
          </w:p>
        </w:tc>
        <w:tc>
          <w:tcPr>
            <w:tcW w:w="300" w:type="dxa"/>
            <w:vAlign w:val="bottom"/>
          </w:tcPr>
          <w:p>
            <w:pPr>
              <w:spacing w:after="0"/>
              <w:rPr>
                <w:sz w:val="21"/>
                <w:szCs w:val="21"/>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1,800</w:t>
            </w:r>
          </w:p>
        </w:tc>
        <w:tc>
          <w:tcPr>
            <w:tcW w:w="5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8420" w:type="dxa"/>
            <w:vAlign w:val="bottom"/>
          </w:tcPr>
          <w:p>
            <w:pPr>
              <w:ind w:left="20"/>
              <w:spacing w:after="0"/>
              <w:rPr>
                <w:sz w:val="20"/>
                <w:szCs w:val="20"/>
                <w:color w:val="auto"/>
              </w:rPr>
            </w:pPr>
            <w:r>
              <w:rPr>
                <w:rFonts w:ascii="Arial" w:cs="Arial" w:eastAsia="Arial" w:hAnsi="Arial"/>
                <w:sz w:val="16"/>
                <w:szCs w:val="16"/>
                <w:color w:val="auto"/>
              </w:rPr>
              <w:t>Dividends paid</w:t>
            </w:r>
          </w:p>
        </w:tc>
        <w:tc>
          <w:tcPr>
            <w:tcW w:w="300" w:type="dxa"/>
            <w:vAlign w:val="bottom"/>
          </w:tcPr>
          <w:p>
            <w:pPr>
              <w:spacing w:after="0"/>
              <w:rPr>
                <w:sz w:val="21"/>
                <w:szCs w:val="21"/>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(24,285)</w:t>
            </w:r>
          </w:p>
        </w:tc>
        <w:tc>
          <w:tcPr>
            <w:tcW w:w="5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(23,508)</w:t>
            </w:r>
          </w:p>
        </w:tc>
      </w:tr>
      <w:tr>
        <w:trPr>
          <w:trHeight w:val="243"/>
        </w:trPr>
        <w:tc>
          <w:tcPr>
            <w:tcW w:w="8420" w:type="dxa"/>
            <w:vAlign w:val="bottom"/>
          </w:tcPr>
          <w:p>
            <w:pPr>
              <w:ind w:left="20"/>
              <w:spacing w:after="0"/>
              <w:rPr>
                <w:sz w:val="20"/>
                <w:szCs w:val="20"/>
                <w:color w:val="auto"/>
              </w:rPr>
            </w:pPr>
            <w:r>
              <w:rPr>
                <w:rFonts w:ascii="Arial" w:cs="Arial" w:eastAsia="Arial" w:hAnsi="Arial"/>
                <w:sz w:val="16"/>
                <w:szCs w:val="16"/>
                <w:color w:val="auto"/>
              </w:rPr>
              <w:t>Purchase of noncontrolling interests</w:t>
            </w:r>
          </w:p>
        </w:tc>
        <w:tc>
          <w:tcPr>
            <w:tcW w:w="300" w:type="dxa"/>
            <w:vAlign w:val="bottom"/>
          </w:tcPr>
          <w:p>
            <w:pPr>
              <w:spacing w:after="0"/>
              <w:rPr>
                <w:sz w:val="21"/>
                <w:szCs w:val="21"/>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(17,526)</w:t>
            </w:r>
          </w:p>
        </w:tc>
        <w:tc>
          <w:tcPr>
            <w:tcW w:w="5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(1,761)</w:t>
            </w:r>
          </w:p>
        </w:tc>
      </w:tr>
      <w:tr>
        <w:trPr>
          <w:trHeight w:val="243"/>
        </w:trPr>
        <w:tc>
          <w:tcPr>
            <w:tcW w:w="8420" w:type="dxa"/>
            <w:vAlign w:val="bottom"/>
          </w:tcPr>
          <w:p>
            <w:pPr>
              <w:ind w:left="20"/>
              <w:spacing w:after="0"/>
              <w:rPr>
                <w:sz w:val="20"/>
                <w:szCs w:val="20"/>
                <w:color w:val="auto"/>
              </w:rPr>
            </w:pPr>
            <w:r>
              <w:rPr>
                <w:rFonts w:ascii="Arial" w:cs="Arial" w:eastAsia="Arial" w:hAnsi="Arial"/>
                <w:sz w:val="16"/>
                <w:szCs w:val="16"/>
                <w:color w:val="auto"/>
              </w:rPr>
              <w:t>Distributions paid to noncontrolling interests</w:t>
            </w:r>
          </w:p>
        </w:tc>
        <w:tc>
          <w:tcPr>
            <w:tcW w:w="300" w:type="dxa"/>
            <w:vAlign w:val="bottom"/>
          </w:tcPr>
          <w:p>
            <w:pPr>
              <w:spacing w:after="0"/>
              <w:rPr>
                <w:sz w:val="21"/>
                <w:szCs w:val="21"/>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(5,269)</w:t>
            </w:r>
          </w:p>
        </w:tc>
        <w:tc>
          <w:tcPr>
            <w:tcW w:w="5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(191,609)</w:t>
            </w:r>
          </w:p>
        </w:tc>
      </w:tr>
      <w:tr>
        <w:trPr>
          <w:trHeight w:val="247"/>
        </w:trPr>
        <w:tc>
          <w:tcPr>
            <w:tcW w:w="8420" w:type="dxa"/>
            <w:vAlign w:val="bottom"/>
          </w:tcPr>
          <w:p>
            <w:pPr>
              <w:ind w:left="2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(12,801)</w:t>
            </w:r>
          </w:p>
        </w:tc>
        <w:tc>
          <w:tcPr>
            <w:tcW w:w="5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(21,085)</w:t>
            </w:r>
          </w:p>
        </w:tc>
      </w:tr>
      <w:tr>
        <w:trPr>
          <w:trHeight w:val="240"/>
        </w:trPr>
        <w:tc>
          <w:tcPr>
            <w:tcW w:w="8420" w:type="dxa"/>
            <w:vAlign w:val="bottom"/>
          </w:tcPr>
          <w:p>
            <w:pPr>
              <w:ind w:left="20"/>
              <w:spacing w:after="0"/>
              <w:rPr>
                <w:sz w:val="20"/>
                <w:szCs w:val="20"/>
                <w:color w:val="auto"/>
              </w:rPr>
            </w:pPr>
            <w:r>
              <w:rPr>
                <w:rFonts w:ascii="Arial" w:cs="Arial" w:eastAsia="Arial" w:hAnsi="Arial"/>
                <w:sz w:val="16"/>
                <w:szCs w:val="16"/>
                <w:b w:val="1"/>
                <w:bCs w:val="1"/>
                <w:color w:val="auto"/>
              </w:rPr>
              <w:t>Net Cash Used in Financing Activities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(304,609)</w:t>
            </w:r>
          </w:p>
        </w:tc>
        <w:tc>
          <w:tcPr>
            <w:tcW w:w="5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(290,817)</w:t>
            </w:r>
          </w:p>
        </w:tc>
      </w:tr>
      <w:tr>
        <w:trPr>
          <w:trHeight w:val="21"/>
        </w:trPr>
        <w:tc>
          <w:tcPr>
            <w:tcW w:w="8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both"/>
        <w:spacing w:after="0" w:line="251" w:lineRule="auto"/>
        <w:rPr>
          <w:sz w:val="20"/>
          <w:szCs w:val="20"/>
          <w:color w:val="auto"/>
        </w:rPr>
      </w:pPr>
      <w:r>
        <w:rPr>
          <w:rFonts w:ascii="Arial" w:cs="Arial" w:eastAsia="Arial" w:hAnsi="Arial"/>
          <w:sz w:val="17"/>
          <w:szCs w:val="17"/>
          <w:i w:val="1"/>
          <w:iCs w:val="1"/>
          <w:color w:val="auto"/>
        </w:rPr>
        <w:t xml:space="preserve">Common Stock Repurchases. </w:t>
      </w:r>
      <w:r>
        <w:rPr>
          <w:rFonts w:ascii="Arial" w:cs="Arial" w:eastAsia="Arial" w:hAnsi="Arial"/>
          <w:sz w:val="17"/>
          <w:szCs w:val="17"/>
          <w:color w:val="auto"/>
        </w:rPr>
        <w:t>During the first nine months of 2026, the Company purchased a total of 176,529 shares of its Class B common</w:t>
      </w:r>
      <w:r>
        <w:rPr>
          <w:rFonts w:ascii="Arial" w:cs="Arial" w:eastAsia="Arial" w:hAnsi="Arial"/>
          <w:sz w:val="17"/>
          <w:szCs w:val="17"/>
          <w:i w:val="1"/>
          <w:iCs w:val="1"/>
          <w:color w:val="auto"/>
        </w:rPr>
        <w:t xml:space="preserve"> </w:t>
      </w:r>
      <w:r>
        <w:rPr>
          <w:rFonts w:ascii="Arial" w:cs="Arial" w:eastAsia="Arial" w:hAnsi="Arial"/>
          <w:sz w:val="17"/>
          <w:szCs w:val="17"/>
          <w:color w:val="auto"/>
        </w:rPr>
        <w:t>stock at a cost of approximately $200.6 million, including commissions and accrued excise tax of $2.0 million. On September 12, 2024, the</w:t>
      </w:r>
    </w:p>
    <w:p>
      <w:pPr>
        <w:spacing w:after="0" w:line="235" w:lineRule="auto"/>
        <w:rPr>
          <w:sz w:val="20"/>
          <w:szCs w:val="20"/>
          <w:color w:val="auto"/>
        </w:rPr>
      </w:pPr>
      <w:r>
        <w:rPr>
          <w:rFonts w:ascii="Arial" w:cs="Arial" w:eastAsia="Arial" w:hAnsi="Arial"/>
          <w:sz w:val="18"/>
          <w:szCs w:val="18"/>
          <w:color w:val="auto"/>
        </w:rPr>
        <w:t>Board of Directors authorized the Company to acquire up to 500,000 shares of its Class B common stock. The Company did not announce a</w:t>
      </w:r>
    </w:p>
    <w:p>
      <w:pPr>
        <w:ind w:right="60"/>
        <w:spacing w:after="0" w:line="237" w:lineRule="auto"/>
        <w:rPr>
          <w:sz w:val="20"/>
          <w:szCs w:val="20"/>
          <w:color w:val="auto"/>
        </w:rPr>
      </w:pPr>
      <w:r>
        <w:rPr>
          <w:rFonts w:ascii="Arial" w:cs="Arial" w:eastAsia="Arial" w:hAnsi="Arial"/>
          <w:sz w:val="18"/>
          <w:szCs w:val="18"/>
          <w:color w:val="auto"/>
        </w:rPr>
        <w:t>ceiling price or time limit for the purchases. At September 30, 2026, the Company had remaining authorization from the Board of Directors to purchase up to 285,953 shares of Class B common stock.</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Borrowings and Vehicle Floor Plan Payable. </w:t>
      </w:r>
      <w:r>
        <w:rPr>
          <w:rFonts w:ascii="Arial" w:cs="Arial" w:eastAsia="Arial" w:hAnsi="Arial"/>
          <w:sz w:val="18"/>
          <w:szCs w:val="18"/>
          <w:color w:val="auto"/>
        </w:rPr>
        <w:t>In the first nine months of 2026, the Company repaid amounts borrowed under the $400 million</w:t>
      </w:r>
    </w:p>
    <w:p>
      <w:pPr>
        <w:spacing w:after="0" w:line="14" w:lineRule="exact"/>
        <w:rPr>
          <w:sz w:val="20"/>
          <w:szCs w:val="20"/>
          <w:color w:val="auto"/>
        </w:rPr>
      </w:pPr>
    </w:p>
    <w:p>
      <w:pPr>
        <w:jc w:val="both"/>
        <w:ind w:right="40"/>
        <w:spacing w:after="0" w:line="226" w:lineRule="auto"/>
        <w:rPr>
          <w:sz w:val="20"/>
          <w:szCs w:val="20"/>
          <w:color w:val="auto"/>
        </w:rPr>
      </w:pPr>
      <w:r>
        <w:rPr>
          <w:rFonts w:ascii="Arial" w:cs="Arial" w:eastAsia="Arial" w:hAnsi="Arial"/>
          <w:sz w:val="18"/>
          <w:szCs w:val="18"/>
          <w:color w:val="auto"/>
        </w:rPr>
        <w:t>revolving credit facility and the commercial notes at the automotive subsidiary, and made additional borrowings of other debt. In the first nine months of 2025, the Company repaid amounts borrowed under the term loan, commercial notes at the automotive subsidiary and other debt.</w:t>
      </w:r>
    </w:p>
    <w:p>
      <w:pPr>
        <w:spacing w:after="0" w:line="236" w:lineRule="auto"/>
        <w:rPr>
          <w:sz w:val="20"/>
          <w:szCs w:val="20"/>
          <w:color w:val="auto"/>
        </w:rPr>
      </w:pPr>
      <w:r>
        <w:rPr>
          <w:rFonts w:ascii="Arial" w:cs="Arial" w:eastAsia="Arial" w:hAnsi="Arial"/>
          <w:sz w:val="18"/>
          <w:szCs w:val="18"/>
          <w:color w:val="auto"/>
        </w:rPr>
        <w:t>In the first nine months of 2026 and 2025, the Company used vehicle floor plan financing to fund the purchase of new, used and service</w:t>
      </w:r>
    </w:p>
    <w:p>
      <w:pPr>
        <w:spacing w:after="0" w:line="1" w:lineRule="exact"/>
        <w:rPr>
          <w:sz w:val="20"/>
          <w:szCs w:val="20"/>
          <w:color w:val="auto"/>
        </w:rPr>
      </w:pPr>
    </w:p>
    <w:p>
      <w:pPr>
        <w:ind w:right="400"/>
        <w:spacing w:after="0" w:line="237" w:lineRule="auto"/>
        <w:rPr>
          <w:sz w:val="20"/>
          <w:szCs w:val="20"/>
          <w:color w:val="auto"/>
        </w:rPr>
      </w:pPr>
      <w:r>
        <w:rPr>
          <w:rFonts w:ascii="Arial" w:cs="Arial" w:eastAsia="Arial" w:hAnsi="Arial"/>
          <w:sz w:val="18"/>
          <w:szCs w:val="18"/>
          <w:color w:val="auto"/>
        </w:rPr>
        <w:t>loaner vehicles at its automotive subsidiary. The proceeds from (repayments of) vehicle floor plan payable fluctuates with changes in the amount of vehicle inventory held by the automotive dealerships.</w:t>
      </w:r>
    </w:p>
    <w:p>
      <w:pPr>
        <w:spacing w:after="0" w:line="127"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The quarterly dividend rate per share was $1.88 and $1.80 for the first nine months of 2026 and 2025, respectively.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expects to pay a dividend of $7.52 per share in 2026.</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Transactions with minority shareholders. </w:t>
      </w:r>
      <w:r>
        <w:rPr>
          <w:rFonts w:ascii="Arial" w:cs="Arial" w:eastAsia="Arial" w:hAnsi="Arial"/>
          <w:sz w:val="18"/>
          <w:szCs w:val="18"/>
          <w:color w:val="auto"/>
        </w:rPr>
        <w:t>In July 2026, CSI exercised its call option to purchase some of the minority-owned interest of CSI</w:t>
      </w:r>
    </w:p>
    <w:p>
      <w:pPr>
        <w:spacing w:after="0" w:line="14"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for $1.9 million. CSI paid cash of $0.2 million and entered into promissory notes for the remaining $1.7 million. In March 2026, the Company acquired some of the minority-owned shares of CSI for a total amount of $41.0 million. The Company paid cash of $16.4 million and entered</w:t>
      </w:r>
    </w:p>
    <w:p>
      <w:pPr>
        <w:spacing w:after="0" w:line="1" w:lineRule="exact"/>
        <w:rPr>
          <w:sz w:val="20"/>
          <w:szCs w:val="20"/>
          <w:color w:val="auto"/>
        </w:rPr>
      </w:pPr>
    </w:p>
    <w:p>
      <w:pPr>
        <w:ind w:right="260"/>
        <w:spacing w:after="0" w:line="250" w:lineRule="auto"/>
        <w:rPr>
          <w:sz w:val="20"/>
          <w:szCs w:val="20"/>
          <w:color w:val="auto"/>
        </w:rPr>
      </w:pPr>
      <w:r>
        <w:rPr>
          <w:rFonts w:ascii="Arial" w:cs="Arial" w:eastAsia="Arial" w:hAnsi="Arial"/>
          <w:sz w:val="18"/>
          <w:szCs w:val="18"/>
          <w:color w:val="auto"/>
        </w:rPr>
        <w:t>into promissory notes with the minority owners for the remaining $24.6 million. In January 2026, pursuant to the exercise of a put right, the Company purchased some of the minority-owned interest of Clarus for $1.0 million.</w:t>
      </w:r>
    </w:p>
    <w:p>
      <w:pPr>
        <w:spacing w:after="0" w:line="104"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In October 2026, the Company acquired the 49% minority-owned shares of Skin Clique for $18.4 million; the Company now owns 100% of Skin Clique.</w:t>
      </w:r>
    </w:p>
    <w:p>
      <w:pPr>
        <w:spacing w:after="0" w:line="100" w:lineRule="exact"/>
        <w:rPr>
          <w:sz w:val="20"/>
          <w:szCs w:val="20"/>
          <w:color w:val="auto"/>
        </w:rPr>
      </w:pPr>
    </w:p>
    <w:p>
      <w:pPr>
        <w:ind w:right="360"/>
        <w:spacing w:after="0" w:line="237" w:lineRule="auto"/>
        <w:rPr>
          <w:sz w:val="20"/>
          <w:szCs w:val="20"/>
          <w:color w:val="auto"/>
        </w:rPr>
      </w:pPr>
      <w:r>
        <w:rPr>
          <w:rFonts w:ascii="Arial" w:cs="Arial" w:eastAsia="Arial" w:hAnsi="Arial"/>
          <w:sz w:val="18"/>
          <w:szCs w:val="18"/>
          <w:color w:val="auto"/>
        </w:rPr>
        <w:t>On February 25, 2025, the Company and a group of minority shareholders entered into an agreement to settle a significant portion of the mandatorily redeemable noncontrolling interest related to GHC One, including CSI, for a total of $205 million, which consisted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approximately $186.25 million in cash and $18.75 million in Graham Holdings Company Class B common stock.</w:t>
      </w:r>
    </w:p>
    <w:p>
      <w:pPr>
        <w:spacing w:after="0" w:line="140" w:lineRule="exact"/>
        <w:rPr>
          <w:sz w:val="20"/>
          <w:szCs w:val="20"/>
          <w:color w:val="auto"/>
        </w:rPr>
      </w:pPr>
    </w:p>
    <w:p>
      <w:pPr>
        <w:ind w:right="580"/>
        <w:spacing w:after="0" w:line="256"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During the first nine months of 2026 and 2025, the Company paid $0.4 million and $7.0 million, respectively, related to deferred</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from prior acquisitions.</w:t>
      </w:r>
    </w:p>
    <w:p>
      <w:pPr>
        <w:spacing w:after="0" w:line="112"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There were no other significant changes to the Company’s contractual obligations or other commercial commitments from those disclosed in the Company’s Annual Report on Form 10-K for the year ended December 31, 2025.</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58" w:lineRule="exact"/>
        <w:rPr>
          <w:sz w:val="20"/>
          <w:szCs w:val="20"/>
          <w:color w:val="auto"/>
        </w:rPr>
      </w:pPr>
    </w:p>
    <w:p>
      <w:pPr>
        <w:ind w:right="120"/>
        <w:spacing w:after="0" w:line="251" w:lineRule="auto"/>
        <w:rPr>
          <w:sz w:val="20"/>
          <w:szCs w:val="20"/>
          <w:color w:val="auto"/>
        </w:rPr>
      </w:pPr>
      <w:r>
        <w:rPr>
          <w:rFonts w:ascii="Arial" w:cs="Arial" w:eastAsia="Arial" w:hAnsi="Arial"/>
          <w:sz w:val="17"/>
          <w:szCs w:val="17"/>
          <w:color w:val="auto"/>
        </w:rPr>
        <w:t>All public statements made by the Company and its representatives that are not statements of historical fact, including certain statements in this report, in the Company’s Annual Report on Form 10-K and in the Company’s 2025 Annual Report to Stockholders, are “forward-looking</w:t>
      </w:r>
    </w:p>
    <w:p>
      <w:pPr>
        <w:spacing w:after="0" w:line="235" w:lineRule="auto"/>
        <w:rPr>
          <w:sz w:val="20"/>
          <w:szCs w:val="20"/>
          <w:color w:val="auto"/>
        </w:rPr>
      </w:pPr>
      <w:r>
        <w:rPr>
          <w:rFonts w:ascii="Arial" w:cs="Arial" w:eastAsia="Arial" w:hAnsi="Arial"/>
          <w:sz w:val="18"/>
          <w:szCs w:val="18"/>
          <w:color w:val="auto"/>
        </w:rPr>
        <w:t>statements” within the meaning of the Private Securities Litigation Reform Act of 1995. Forward-looking statements are based on</w:t>
      </w:r>
    </w:p>
    <w:p>
      <w:pPr>
        <w:spacing w:after="0"/>
        <w:rPr>
          <w:sz w:val="20"/>
          <w:szCs w:val="20"/>
          <w:color w:val="auto"/>
        </w:rPr>
      </w:pPr>
      <w:r>
        <w:rPr>
          <w:rFonts w:ascii="Arial" w:cs="Arial" w:eastAsia="Arial" w:hAnsi="Arial"/>
          <w:sz w:val="17"/>
          <w:szCs w:val="17"/>
          <w:color w:val="auto"/>
        </w:rPr>
        <w:t>expectations, forecasts, and assumptions by the Company’s management and involve a number of risks, uncertainties, and other factors that could cause actual results to differ from those stated, including, without limitation, comments about expectations related to acquisitions or</w:t>
      </w:r>
    </w:p>
    <w:p>
      <w:pPr>
        <w:spacing w:after="0" w:line="235" w:lineRule="auto"/>
        <w:rPr>
          <w:sz w:val="20"/>
          <w:szCs w:val="20"/>
          <w:color w:val="auto"/>
        </w:rPr>
      </w:pPr>
      <w:r>
        <w:rPr>
          <w:rFonts w:ascii="Arial" w:cs="Arial" w:eastAsia="Arial" w:hAnsi="Arial"/>
          <w:sz w:val="18"/>
          <w:szCs w:val="18"/>
          <w:color w:val="auto"/>
        </w:rPr>
        <w:t>dispositions or related business activities, the Company’s business strategies and objectives, the prospects for growth in the Company’s</w:t>
      </w:r>
    </w:p>
    <w:p>
      <w:pPr>
        <w:ind w:right="20"/>
        <w:spacing w:after="0"/>
        <w:rPr>
          <w:sz w:val="20"/>
          <w:szCs w:val="20"/>
          <w:color w:val="auto"/>
        </w:rPr>
      </w:pPr>
      <w:r>
        <w:rPr>
          <w:rFonts w:ascii="Arial" w:cs="Arial" w:eastAsia="Arial" w:hAnsi="Arial"/>
          <w:sz w:val="17"/>
          <w:szCs w:val="17"/>
          <w:color w:val="auto"/>
        </w:rPr>
        <w:t>various business operations, the Company’s future financial performance, and the risks and uncertainties described in Item 1A of the Company’s Annual Report on Form 10-K. Accordingly, undue reliance should not be placed on any forward-looking statement made by or on</w:t>
      </w:r>
    </w:p>
    <w:p>
      <w:pPr>
        <w:spacing w:after="0" w:line="1" w:lineRule="exact"/>
        <w:rPr>
          <w:sz w:val="20"/>
          <w:szCs w:val="20"/>
          <w:color w:val="auto"/>
        </w:rPr>
      </w:pPr>
    </w:p>
    <w:p>
      <w:pPr>
        <w:ind w:right="760"/>
        <w:spacing w:after="0" w:line="250" w:lineRule="auto"/>
        <w:rPr>
          <w:sz w:val="20"/>
          <w:szCs w:val="20"/>
          <w:color w:val="auto"/>
        </w:rPr>
      </w:pPr>
      <w:r>
        <w:rPr>
          <w:rFonts w:ascii="Arial" w:cs="Arial" w:eastAsia="Arial" w:hAnsi="Arial"/>
          <w:sz w:val="18"/>
          <w:szCs w:val="18"/>
          <w:color w:val="auto"/>
        </w:rPr>
        <w:t>behalf of the Company. The Company assumes no obligation to update any forward-looking statement after the date on which such statement is made, even if new information subsequently becomes available.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exposed to market risk in the normal course of its business due primarily to its ownership of marketable equity securities,</w:t>
      </w:r>
    </w:p>
    <w:p>
      <w:pPr>
        <w:spacing w:after="0" w:line="14" w:lineRule="exact"/>
        <w:rPr>
          <w:sz w:val="20"/>
          <w:szCs w:val="20"/>
          <w:color w:val="auto"/>
        </w:rPr>
      </w:pPr>
    </w:p>
    <w:p>
      <w:pPr>
        <w:ind w:right="380"/>
        <w:spacing w:after="0"/>
        <w:rPr>
          <w:sz w:val="20"/>
          <w:szCs w:val="20"/>
          <w:color w:val="auto"/>
        </w:rPr>
      </w:pPr>
      <w:r>
        <w:rPr>
          <w:rFonts w:ascii="Arial" w:cs="Arial" w:eastAsia="Arial" w:hAnsi="Arial"/>
          <w:sz w:val="17"/>
          <w:szCs w:val="17"/>
          <w:color w:val="auto"/>
        </w:rPr>
        <w:t>which are subject to equity price risk; to its borrowing and cash-management activities, which are subject to interest rate risk; and to its foreign business operations, which are subject to foreign exchange rate risk. The Company’s market risk disclosures set forth in its 2025</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Annual Report filed on Form 10-K have not otherwise changed significantly.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An evaluation was performed by the Company’s management, with the participation of the Company’s Chief Executive Officer (principal</w:t>
      </w:r>
    </w:p>
    <w:p>
      <w:pPr>
        <w:spacing w:after="0" w:line="14"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executive officer) and the Company’s Chief Financial Officer (principal financial officer), of the effectiveness of the Company’s disclosure controls and procedures (as defined in Exchange Act Rules 13a-15(e) and 15d-15(e)), as of September 30, 2026. Based on that evaluation,</w:t>
      </w:r>
    </w:p>
    <w:p>
      <w:pPr>
        <w:spacing w:after="0" w:line="236" w:lineRule="auto"/>
        <w:rPr>
          <w:sz w:val="20"/>
          <w:szCs w:val="20"/>
          <w:color w:val="auto"/>
        </w:rPr>
      </w:pPr>
      <w:r>
        <w:rPr>
          <w:rFonts w:ascii="Arial" w:cs="Arial" w:eastAsia="Arial" w:hAnsi="Arial"/>
          <w:sz w:val="18"/>
          <w:szCs w:val="18"/>
          <w:color w:val="auto"/>
        </w:rPr>
        <w:t>the Company’s Chief Executive Officer and Chief Financial Officer have concluded that the Company’s disclosure controls and procedures,</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as designed and implemented, are effective in ensuring that information required to be disclosed by the Company in the reports that it files or submits under the Exchange Act is recorded, processed, summarized and reported, within the time periods specified in the Securities and</w:t>
      </w:r>
    </w:p>
    <w:p>
      <w:pPr>
        <w:spacing w:after="0" w:line="2"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Exchange Commission’s rules and forms and is accumulated and communicated to management, including the Chief Executive Officer and Chief Financial Officer, in a manner that allows timely decisions regarding required disclosure.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Changes in Internal Control Over Financial Reporting</w:t>
      </w:r>
    </w:p>
    <w:p>
      <w:pPr>
        <w:spacing w:after="0" w:line="156"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222222"/>
        </w:rPr>
        <w:t xml:space="preserve">There has been no change in the Company’s internal control over financial reporting during the quarter ended </w:t>
      </w:r>
      <w:r>
        <w:rPr>
          <w:rFonts w:ascii="Arial" w:cs="Arial" w:eastAsia="Arial" w:hAnsi="Arial"/>
          <w:sz w:val="18"/>
          <w:szCs w:val="18"/>
          <w:color w:val="000000"/>
        </w:rPr>
        <w:t>September 30, 2026</w:t>
      </w:r>
      <w:r>
        <w:rPr>
          <w:rFonts w:ascii="Arial" w:cs="Arial" w:eastAsia="Arial" w:hAnsi="Arial"/>
          <w:sz w:val="18"/>
          <w:szCs w:val="18"/>
          <w:color w:val="222222"/>
        </w:rPr>
        <w:t xml:space="preserve"> that has materially affected, or is reasonably likely to materially affect, the Company’s internal control over financial reporting.</w:t>
      </w: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9" w:right="379" w:bottom="1440" w:gutter="0" w:footer="0" w:header="0"/>
        </w:sectPr>
      </w:pPr>
    </w:p>
    <w:bookmarkStart w:id="51" w:name="page52"/>
    <w:bookmarkEnd w:id="51"/>
    <w:p>
      <w:pPr>
        <w:ind w:left="4300"/>
        <w:spacing w:after="0"/>
        <w:rPr>
          <w:sz w:val="20"/>
          <w:szCs w:val="20"/>
          <w:color w:val="auto"/>
        </w:rPr>
      </w:pPr>
      <w:r>
        <w:rPr>
          <w:rFonts w:ascii="Arial" w:cs="Arial" w:eastAsia="Arial" w:hAnsi="Arial"/>
          <w:sz w:val="18"/>
          <w:szCs w:val="18"/>
          <w:b w:val="1"/>
          <w:bCs w:val="1"/>
          <w:color w:val="auto"/>
        </w:rPr>
        <w:t>PART II. OTHER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156"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color w:val="auto"/>
        </w:rPr>
        <w:t>During the quarter ended September 30, 2026, the Company purchased shares of its Class B Common Stock as set forth in the following table: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2300" w:type="dxa"/>
            <w:vAlign w:val="bottom"/>
          </w:tcPr>
          <w:p>
            <w:pPr>
              <w:jc w:val="center"/>
              <w:ind w:left="404"/>
              <w:spacing w:after="0"/>
              <w:rPr>
                <w:sz w:val="20"/>
                <w:szCs w:val="20"/>
                <w:color w:val="auto"/>
              </w:rPr>
            </w:pPr>
            <w:r>
              <w:rPr>
                <w:rFonts w:ascii="Arial" w:cs="Arial" w:eastAsia="Arial" w:hAnsi="Arial"/>
                <w:sz w:val="14"/>
                <w:szCs w:val="14"/>
                <w:b w:val="1"/>
                <w:bCs w:val="1"/>
                <w:color w:val="auto"/>
              </w:rPr>
              <w:t>Maximum Number of</w:t>
            </w:r>
          </w:p>
        </w:tc>
      </w:tr>
      <w:tr>
        <w:trPr>
          <w:trHeight w:val="162"/>
        </w:trPr>
        <w:tc>
          <w:tcPr>
            <w:tcW w:w="4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rPr>
              <w:t>Average Price</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Purchased as Part of</w:t>
            </w:r>
          </w:p>
        </w:tc>
        <w:tc>
          <w:tcPr>
            <w:tcW w:w="2300" w:type="dxa"/>
            <w:vAlign w:val="bottom"/>
          </w:tcPr>
          <w:p>
            <w:pPr>
              <w:jc w:val="center"/>
              <w:ind w:left="404"/>
              <w:spacing w:after="0"/>
              <w:rPr>
                <w:sz w:val="20"/>
                <w:szCs w:val="20"/>
                <w:color w:val="auto"/>
              </w:rPr>
            </w:pPr>
            <w:r>
              <w:rPr>
                <w:rFonts w:ascii="Arial" w:cs="Arial" w:eastAsia="Arial" w:hAnsi="Arial"/>
                <w:sz w:val="14"/>
                <w:szCs w:val="14"/>
                <w:b w:val="1"/>
                <w:bCs w:val="1"/>
                <w:color w:val="auto"/>
              </w:rPr>
              <w:t>Shares that May Yet Be</w:t>
            </w:r>
          </w:p>
        </w:tc>
      </w:tr>
      <w:tr>
        <w:trPr>
          <w:trHeight w:val="149"/>
        </w:trPr>
        <w:tc>
          <w:tcPr>
            <w:tcW w:w="4620" w:type="dxa"/>
            <w:vAlign w:val="bottom"/>
          </w:tcPr>
          <w:p>
            <w:pPr>
              <w:spacing w:after="0"/>
              <w:rPr>
                <w:sz w:val="12"/>
                <w:szCs w:val="12"/>
                <w:color w:val="auto"/>
              </w:rPr>
            </w:pPr>
          </w:p>
        </w:tc>
        <w:tc>
          <w:tcPr>
            <w:tcW w:w="1320" w:type="dxa"/>
            <w:vAlign w:val="bottom"/>
          </w:tcPr>
          <w:p>
            <w:pPr>
              <w:jc w:val="right"/>
              <w:ind w:right="22"/>
              <w:spacing w:after="0" w:line="149" w:lineRule="exact"/>
              <w:rPr>
                <w:sz w:val="20"/>
                <w:szCs w:val="20"/>
                <w:color w:val="auto"/>
              </w:rPr>
            </w:pPr>
            <w:r>
              <w:rPr>
                <w:rFonts w:ascii="Arial" w:cs="Arial" w:eastAsia="Arial" w:hAnsi="Arial"/>
                <w:sz w:val="14"/>
                <w:szCs w:val="14"/>
                <w:b w:val="1"/>
                <w:bCs w:val="1"/>
                <w:color w:val="auto"/>
              </w:rPr>
              <w:t>Total Number of</w:t>
            </w:r>
          </w:p>
        </w:tc>
        <w:tc>
          <w:tcPr>
            <w:tcW w:w="300" w:type="dxa"/>
            <w:vAlign w:val="bottom"/>
          </w:tcPr>
          <w:p>
            <w:pPr>
              <w:spacing w:after="0"/>
              <w:rPr>
                <w:sz w:val="12"/>
                <w:szCs w:val="12"/>
                <w:color w:val="auto"/>
              </w:rPr>
            </w:pPr>
          </w:p>
        </w:tc>
        <w:tc>
          <w:tcPr>
            <w:tcW w:w="1000" w:type="dxa"/>
            <w:vAlign w:val="bottom"/>
          </w:tcPr>
          <w:p>
            <w:pPr>
              <w:jc w:val="center"/>
              <w:ind w:right="222"/>
              <w:spacing w:after="0" w:line="149" w:lineRule="exact"/>
              <w:rPr>
                <w:sz w:val="20"/>
                <w:szCs w:val="20"/>
                <w:color w:val="auto"/>
              </w:rPr>
            </w:pPr>
            <w:r>
              <w:rPr>
                <w:rFonts w:ascii="Arial" w:cs="Arial" w:eastAsia="Arial" w:hAnsi="Arial"/>
                <w:sz w:val="14"/>
                <w:szCs w:val="14"/>
                <w:b w:val="1"/>
                <w:bCs w:val="1"/>
                <w:color w:val="auto"/>
              </w:rPr>
              <w:t>Paid per</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Publicly Announced</w:t>
            </w:r>
          </w:p>
        </w:tc>
        <w:tc>
          <w:tcPr>
            <w:tcW w:w="2300" w:type="dxa"/>
            <w:vAlign w:val="bottom"/>
          </w:tcPr>
          <w:p>
            <w:pPr>
              <w:jc w:val="center"/>
              <w:ind w:left="384"/>
              <w:spacing w:after="0" w:line="149" w:lineRule="exact"/>
              <w:rPr>
                <w:sz w:val="20"/>
                <w:szCs w:val="20"/>
                <w:color w:val="auto"/>
              </w:rPr>
            </w:pPr>
            <w:r>
              <w:rPr>
                <w:rFonts w:ascii="Arial" w:cs="Arial" w:eastAsia="Arial" w:hAnsi="Arial"/>
                <w:sz w:val="14"/>
                <w:szCs w:val="14"/>
                <w:b w:val="1"/>
                <w:bCs w:val="1"/>
                <w:color w:val="auto"/>
              </w:rPr>
              <w:t>Purchased Under the</w:t>
            </w:r>
          </w:p>
        </w:tc>
      </w:tr>
      <w:tr>
        <w:trPr>
          <w:trHeight w:val="212"/>
        </w:trPr>
        <w:tc>
          <w:tcPr>
            <w:tcW w:w="4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Period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Shares Purchased</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222"/>
              <w:spacing w:after="0"/>
              <w:rPr>
                <w:sz w:val="20"/>
                <w:szCs w:val="20"/>
                <w:color w:val="auto"/>
              </w:rPr>
            </w:pPr>
            <w:r>
              <w:rPr>
                <w:rFonts w:ascii="Arial" w:cs="Arial" w:eastAsia="Arial" w:hAnsi="Arial"/>
                <w:sz w:val="14"/>
                <w:szCs w:val="14"/>
                <w:b w:val="1"/>
                <w:bCs w:val="1"/>
                <w:color w:val="auto"/>
                <w:w w:val="93"/>
              </w:rPr>
              <w:t>Share</w:t>
            </w:r>
            <w:r>
              <w:rPr>
                <w:rFonts w:ascii="Arial" w:cs="Arial" w:eastAsia="Arial" w:hAnsi="Arial"/>
                <w:sz w:val="18"/>
                <w:szCs w:val="18"/>
                <w:b w:val="1"/>
                <w:bCs w:val="1"/>
                <w:color w:val="auto"/>
                <w:w w:val="93"/>
                <w:vertAlign w:val="superscript"/>
              </w:rPr>
              <w:t>(1)</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Plan</w:t>
            </w:r>
            <w:r>
              <w:rPr>
                <w:rFonts w:ascii="Arial" w:cs="Arial" w:eastAsia="Arial" w:hAnsi="Arial"/>
                <w:sz w:val="9"/>
                <w:szCs w:val="9"/>
                <w:b w:val="1"/>
                <w:bCs w:val="1"/>
                <w:color w:val="auto"/>
              </w:rPr>
              <w:t>(2)</w:t>
            </w:r>
          </w:p>
        </w:tc>
        <w:tc>
          <w:tcPr>
            <w:tcW w:w="2300" w:type="dxa"/>
            <w:vAlign w:val="bottom"/>
            <w:tcBorders>
              <w:bottom w:val="single" w:sz="8" w:color="auto"/>
            </w:tcBorders>
          </w:tcPr>
          <w:p>
            <w:pPr>
              <w:jc w:val="center"/>
              <w:ind w:left="404"/>
              <w:spacing w:after="0"/>
              <w:rPr>
                <w:sz w:val="20"/>
                <w:szCs w:val="20"/>
                <w:color w:val="auto"/>
              </w:rPr>
            </w:pPr>
            <w:r>
              <w:rPr>
                <w:rFonts w:ascii="Arial" w:cs="Arial" w:eastAsia="Arial" w:hAnsi="Arial"/>
                <w:sz w:val="14"/>
                <w:szCs w:val="14"/>
                <w:b w:val="1"/>
                <w:bCs w:val="1"/>
                <w:color w:val="auto"/>
              </w:rPr>
              <w:t>Plan</w:t>
            </w:r>
            <w:r>
              <w:rPr>
                <w:rFonts w:ascii="Arial" w:cs="Arial" w:eastAsia="Arial" w:hAnsi="Arial"/>
                <w:sz w:val="9"/>
                <w:szCs w:val="9"/>
                <w:b w:val="1"/>
                <w:bCs w:val="1"/>
                <w:color w:val="auto"/>
              </w:rPr>
              <w:t>(2)</w:t>
            </w:r>
          </w:p>
        </w:tc>
      </w:tr>
      <w:tr>
        <w:trPr>
          <w:trHeight w:val="221"/>
        </w:trPr>
        <w:tc>
          <w:tcPr>
            <w:tcW w:w="4620" w:type="dxa"/>
            <w:vAlign w:val="bottom"/>
          </w:tcPr>
          <w:p>
            <w:pPr>
              <w:ind w:left="20"/>
              <w:spacing w:after="0"/>
              <w:rPr>
                <w:sz w:val="20"/>
                <w:szCs w:val="20"/>
                <w:color w:val="auto"/>
              </w:rPr>
            </w:pPr>
            <w:r>
              <w:rPr>
                <w:rFonts w:ascii="Arial" w:cs="Arial" w:eastAsia="Arial" w:hAnsi="Arial"/>
                <w:sz w:val="16"/>
                <w:szCs w:val="16"/>
                <w:color w:val="auto"/>
              </w:rPr>
              <w:t>July 1 - 31</w:t>
            </w:r>
          </w:p>
        </w:tc>
        <w:tc>
          <w:tcPr>
            <w:tcW w:w="1320" w:type="dxa"/>
            <w:vAlign w:val="bottom"/>
          </w:tcPr>
          <w:p>
            <w:pPr>
              <w:jc w:val="right"/>
              <w:spacing w:after="0"/>
              <w:rPr>
                <w:sz w:val="20"/>
                <w:szCs w:val="20"/>
                <w:color w:val="auto"/>
              </w:rPr>
            </w:pPr>
            <w:r>
              <w:rPr>
                <w:rFonts w:ascii="Arial" w:cs="Arial" w:eastAsia="Arial" w:hAnsi="Arial"/>
                <w:sz w:val="16"/>
                <w:szCs w:val="16"/>
                <w:color w:val="auto"/>
              </w:rPr>
              <w:t>20,893</w:t>
            </w:r>
          </w:p>
        </w:tc>
        <w:tc>
          <w:tcPr>
            <w:tcW w:w="3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02"/>
              <w:spacing w:after="0"/>
              <w:rPr>
                <w:sz w:val="20"/>
                <w:szCs w:val="20"/>
                <w:color w:val="auto"/>
              </w:rPr>
            </w:pPr>
            <w:r>
              <w:rPr>
                <w:rFonts w:ascii="Arial" w:cs="Arial" w:eastAsia="Arial" w:hAnsi="Arial"/>
                <w:sz w:val="16"/>
                <w:szCs w:val="16"/>
                <w:color w:val="auto"/>
              </w:rPr>
              <w:t>1,182.59</w:t>
            </w:r>
          </w:p>
        </w:tc>
        <w:tc>
          <w:tcPr>
            <w:tcW w:w="1700" w:type="dxa"/>
            <w:vAlign w:val="bottom"/>
          </w:tcPr>
          <w:p>
            <w:pPr>
              <w:jc w:val="right"/>
              <w:spacing w:after="0"/>
              <w:rPr>
                <w:sz w:val="20"/>
                <w:szCs w:val="20"/>
                <w:color w:val="auto"/>
              </w:rPr>
            </w:pPr>
            <w:r>
              <w:rPr>
                <w:rFonts w:ascii="Arial" w:cs="Arial" w:eastAsia="Arial" w:hAnsi="Arial"/>
                <w:sz w:val="16"/>
                <w:szCs w:val="16"/>
                <w:color w:val="auto"/>
              </w:rPr>
              <w:t>20,893</w:t>
            </w:r>
          </w:p>
        </w:tc>
        <w:tc>
          <w:tcPr>
            <w:tcW w:w="2300" w:type="dxa"/>
            <w:vAlign w:val="bottom"/>
          </w:tcPr>
          <w:p>
            <w:pPr>
              <w:jc w:val="right"/>
              <w:ind w:right="4"/>
              <w:spacing w:after="0"/>
              <w:rPr>
                <w:sz w:val="20"/>
                <w:szCs w:val="20"/>
                <w:color w:val="auto"/>
              </w:rPr>
            </w:pPr>
            <w:r>
              <w:rPr>
                <w:rFonts w:ascii="Arial" w:cs="Arial" w:eastAsia="Arial" w:hAnsi="Arial"/>
                <w:sz w:val="16"/>
                <w:szCs w:val="16"/>
                <w:color w:val="auto"/>
              </w:rPr>
              <w:t>331,118</w:t>
            </w:r>
          </w:p>
        </w:tc>
      </w:tr>
      <w:tr>
        <w:trPr>
          <w:trHeight w:val="243"/>
        </w:trPr>
        <w:tc>
          <w:tcPr>
            <w:tcW w:w="4620" w:type="dxa"/>
            <w:vAlign w:val="bottom"/>
          </w:tcPr>
          <w:p>
            <w:pPr>
              <w:ind w:left="20"/>
              <w:spacing w:after="0"/>
              <w:rPr>
                <w:sz w:val="20"/>
                <w:szCs w:val="20"/>
                <w:color w:val="auto"/>
              </w:rPr>
            </w:pPr>
            <w:r>
              <w:rPr>
                <w:rFonts w:ascii="Arial" w:cs="Arial" w:eastAsia="Arial" w:hAnsi="Arial"/>
                <w:sz w:val="16"/>
                <w:szCs w:val="16"/>
                <w:color w:val="auto"/>
              </w:rPr>
              <w:t>August 1 - 31</w:t>
            </w:r>
          </w:p>
        </w:tc>
        <w:tc>
          <w:tcPr>
            <w:tcW w:w="1320" w:type="dxa"/>
            <w:vAlign w:val="bottom"/>
          </w:tcPr>
          <w:p>
            <w:pPr>
              <w:jc w:val="right"/>
              <w:spacing w:after="0"/>
              <w:rPr>
                <w:sz w:val="20"/>
                <w:szCs w:val="20"/>
                <w:color w:val="auto"/>
              </w:rPr>
            </w:pPr>
            <w:r>
              <w:rPr>
                <w:rFonts w:ascii="Arial" w:cs="Arial" w:eastAsia="Arial" w:hAnsi="Arial"/>
                <w:sz w:val="16"/>
                <w:szCs w:val="16"/>
                <w:color w:val="auto"/>
              </w:rPr>
              <w:t>17,846</w:t>
            </w:r>
          </w:p>
        </w:tc>
        <w:tc>
          <w:tcPr>
            <w:tcW w:w="300" w:type="dxa"/>
            <w:vAlign w:val="bottom"/>
          </w:tcPr>
          <w:p>
            <w:pPr>
              <w:spacing w:after="0"/>
              <w:rPr>
                <w:sz w:val="21"/>
                <w:szCs w:val="21"/>
                <w:color w:val="auto"/>
              </w:rPr>
            </w:pPr>
          </w:p>
        </w:tc>
        <w:tc>
          <w:tcPr>
            <w:tcW w:w="1000" w:type="dxa"/>
            <w:vAlign w:val="bottom"/>
          </w:tcPr>
          <w:p>
            <w:pPr>
              <w:jc w:val="right"/>
              <w:ind w:right="102"/>
              <w:spacing w:after="0"/>
              <w:rPr>
                <w:sz w:val="20"/>
                <w:szCs w:val="20"/>
                <w:color w:val="auto"/>
              </w:rPr>
            </w:pPr>
            <w:r>
              <w:rPr>
                <w:rFonts w:ascii="Arial" w:cs="Arial" w:eastAsia="Arial" w:hAnsi="Arial"/>
                <w:sz w:val="16"/>
                <w:szCs w:val="16"/>
                <w:color w:val="auto"/>
              </w:rPr>
              <w:t>1,192.72</w:t>
            </w:r>
          </w:p>
        </w:tc>
        <w:tc>
          <w:tcPr>
            <w:tcW w:w="1700" w:type="dxa"/>
            <w:vAlign w:val="bottom"/>
          </w:tcPr>
          <w:p>
            <w:pPr>
              <w:jc w:val="right"/>
              <w:spacing w:after="0"/>
              <w:rPr>
                <w:sz w:val="20"/>
                <w:szCs w:val="20"/>
                <w:color w:val="auto"/>
              </w:rPr>
            </w:pPr>
            <w:r>
              <w:rPr>
                <w:rFonts w:ascii="Arial" w:cs="Arial" w:eastAsia="Arial" w:hAnsi="Arial"/>
                <w:sz w:val="16"/>
                <w:szCs w:val="16"/>
                <w:color w:val="auto"/>
              </w:rPr>
              <w:t>17,846</w:t>
            </w:r>
          </w:p>
        </w:tc>
        <w:tc>
          <w:tcPr>
            <w:tcW w:w="2300" w:type="dxa"/>
            <w:vAlign w:val="bottom"/>
          </w:tcPr>
          <w:p>
            <w:pPr>
              <w:jc w:val="right"/>
              <w:ind w:right="4"/>
              <w:spacing w:after="0"/>
              <w:rPr>
                <w:sz w:val="20"/>
                <w:szCs w:val="20"/>
                <w:color w:val="auto"/>
              </w:rPr>
            </w:pPr>
            <w:r>
              <w:rPr>
                <w:rFonts w:ascii="Arial" w:cs="Arial" w:eastAsia="Arial" w:hAnsi="Arial"/>
                <w:sz w:val="16"/>
                <w:szCs w:val="16"/>
                <w:color w:val="auto"/>
              </w:rPr>
              <w:t>313,272</w:t>
            </w:r>
          </w:p>
        </w:tc>
      </w:tr>
      <w:tr>
        <w:trPr>
          <w:trHeight w:val="252"/>
        </w:trPr>
        <w:tc>
          <w:tcPr>
            <w:tcW w:w="4620" w:type="dxa"/>
            <w:vAlign w:val="bottom"/>
          </w:tcPr>
          <w:p>
            <w:pPr>
              <w:ind w:left="20"/>
              <w:spacing w:after="0"/>
              <w:rPr>
                <w:sz w:val="20"/>
                <w:szCs w:val="20"/>
                <w:color w:val="auto"/>
              </w:rPr>
            </w:pPr>
            <w:r>
              <w:rPr>
                <w:rFonts w:ascii="Arial" w:cs="Arial" w:eastAsia="Arial" w:hAnsi="Arial"/>
                <w:sz w:val="16"/>
                <w:szCs w:val="16"/>
                <w:color w:val="auto"/>
              </w:rPr>
              <w:t>September 1 - 30</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27,319</w:t>
            </w:r>
          </w:p>
        </w:tc>
        <w:tc>
          <w:tcPr>
            <w:tcW w:w="300" w:type="dxa"/>
            <w:vAlign w:val="bottom"/>
          </w:tcPr>
          <w:p>
            <w:pPr>
              <w:spacing w:after="0"/>
              <w:rPr>
                <w:sz w:val="21"/>
                <w:szCs w:val="21"/>
                <w:color w:val="auto"/>
              </w:rPr>
            </w:pPr>
          </w:p>
        </w:tc>
        <w:tc>
          <w:tcPr>
            <w:tcW w:w="1000" w:type="dxa"/>
            <w:vAlign w:val="bottom"/>
          </w:tcPr>
          <w:p>
            <w:pPr>
              <w:jc w:val="right"/>
              <w:ind w:right="102"/>
              <w:spacing w:after="0"/>
              <w:rPr>
                <w:sz w:val="20"/>
                <w:szCs w:val="20"/>
                <w:color w:val="auto"/>
              </w:rPr>
            </w:pPr>
            <w:r>
              <w:rPr>
                <w:rFonts w:ascii="Arial" w:cs="Arial" w:eastAsia="Arial" w:hAnsi="Arial"/>
                <w:sz w:val="16"/>
                <w:szCs w:val="16"/>
                <w:color w:val="auto"/>
              </w:rPr>
              <w:t>1,148.54</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27,319</w:t>
            </w:r>
          </w:p>
        </w:tc>
        <w:tc>
          <w:tcPr>
            <w:tcW w:w="2300" w:type="dxa"/>
            <w:vAlign w:val="bottom"/>
          </w:tcPr>
          <w:p>
            <w:pPr>
              <w:jc w:val="right"/>
              <w:ind w:right="4"/>
              <w:spacing w:after="0"/>
              <w:rPr>
                <w:sz w:val="20"/>
                <w:szCs w:val="20"/>
                <w:color w:val="auto"/>
              </w:rPr>
            </w:pPr>
            <w:r>
              <w:rPr>
                <w:rFonts w:ascii="Arial" w:cs="Arial" w:eastAsia="Arial" w:hAnsi="Arial"/>
                <w:sz w:val="16"/>
                <w:szCs w:val="16"/>
                <w:color w:val="auto"/>
              </w:rPr>
              <w:t>285,953</w:t>
            </w:r>
          </w:p>
        </w:tc>
      </w:tr>
      <w:tr>
        <w:trPr>
          <w:trHeight w:val="228"/>
        </w:trPr>
        <w:tc>
          <w:tcPr>
            <w:tcW w:w="46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66,058</w:t>
            </w:r>
          </w:p>
        </w:tc>
        <w:tc>
          <w:tcPr>
            <w:tcW w:w="3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02"/>
              <w:spacing w:after="0"/>
              <w:rPr>
                <w:sz w:val="20"/>
                <w:szCs w:val="20"/>
                <w:color w:val="auto"/>
              </w:rPr>
            </w:pPr>
            <w:r>
              <w:rPr>
                <w:rFonts w:ascii="Arial" w:cs="Arial" w:eastAsia="Arial" w:hAnsi="Arial"/>
                <w:sz w:val="16"/>
                <w:szCs w:val="16"/>
                <w:color w:val="auto"/>
              </w:rPr>
              <w:t>1,171.25</w:t>
            </w:r>
          </w:p>
        </w:tc>
        <w:tc>
          <w:tcPr>
            <w:tcW w:w="1700" w:type="dxa"/>
            <w:vAlign w:val="bottom"/>
          </w:tcPr>
          <w:p>
            <w:pPr>
              <w:jc w:val="right"/>
              <w:spacing w:after="0"/>
              <w:rPr>
                <w:sz w:val="20"/>
                <w:szCs w:val="20"/>
                <w:color w:val="auto"/>
              </w:rPr>
            </w:pPr>
            <w:r>
              <w:rPr>
                <w:rFonts w:ascii="Arial" w:cs="Arial" w:eastAsia="Arial" w:hAnsi="Arial"/>
                <w:sz w:val="16"/>
                <w:szCs w:val="16"/>
                <w:color w:val="auto"/>
              </w:rPr>
              <w:t>66,058</w:t>
            </w:r>
          </w:p>
        </w:tc>
        <w:tc>
          <w:tcPr>
            <w:tcW w:w="2300" w:type="dxa"/>
            <w:vAlign w:val="bottom"/>
          </w:tcPr>
          <w:p>
            <w:pPr>
              <w:spacing w:after="0"/>
              <w:rPr>
                <w:sz w:val="19"/>
                <w:szCs w:val="19"/>
                <w:color w:val="auto"/>
              </w:rPr>
            </w:pPr>
          </w:p>
        </w:tc>
      </w:tr>
    </w:tbl>
    <w:p>
      <w:pPr>
        <w:spacing w:after="0" w:line="209" w:lineRule="exact"/>
        <w:rPr>
          <w:sz w:val="20"/>
          <w:szCs w:val="20"/>
          <w:color w:val="auto"/>
        </w:rPr>
      </w:pPr>
    </w:p>
    <w:p>
      <w:pPr>
        <w:ind w:left="220" w:hanging="212"/>
        <w:spacing w:after="0"/>
        <w:tabs>
          <w:tab w:leader="none" w:pos="2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Average price paid per share includes costs associated with repurchases, including commissions and excise taxes.</w:t>
      </w:r>
    </w:p>
    <w:p>
      <w:pPr>
        <w:spacing w:after="0" w:line="163" w:lineRule="exact"/>
        <w:rPr>
          <w:rFonts w:ascii="Arial" w:cs="Arial" w:eastAsia="Arial" w:hAnsi="Arial"/>
          <w:sz w:val="14"/>
          <w:szCs w:val="14"/>
          <w:color w:val="auto"/>
        </w:rPr>
      </w:pPr>
    </w:p>
    <w:p>
      <w:pPr>
        <w:ind w:right="220" w:firstLine="8"/>
        <w:spacing w:after="0" w:line="249" w:lineRule="auto"/>
        <w:tabs>
          <w:tab w:leader="none" w:pos="216" w:val="left"/>
        </w:tabs>
        <w:numPr>
          <w:ilvl w:val="0"/>
          <w:numId w:val="25"/>
        </w:numPr>
        <w:rPr>
          <w:rFonts w:ascii="Arial" w:cs="Arial" w:eastAsia="Arial" w:hAnsi="Arial"/>
          <w:sz w:val="14"/>
          <w:szCs w:val="14"/>
          <w:color w:val="auto"/>
        </w:rPr>
      </w:pPr>
      <w:r>
        <w:rPr>
          <w:rFonts w:ascii="Arial" w:cs="Arial" w:eastAsia="Arial" w:hAnsi="Arial"/>
          <w:sz w:val="14"/>
          <w:szCs w:val="14"/>
          <w:color w:val="auto"/>
        </w:rPr>
        <w:t>On September 12, 2024, the Company’s Board of Directors authorized the Company to purchase, on the open market or otherwise, up to 500,000 shares of its Class B Common Stock. This authorization includes shares that remained under the previous authorization. There is no expiration date for this authorization. Share purchases made during the quarter ended September 30, 2026 were open market transactions or transactions to settle employee tax withholding obligations related to the vesting of restricted stock awards.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Rule 10b5-1 Trading Plans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During the quarter ended September 30, 2026, the following directors or officers of the Company (as defined in Rule 16a-1(f) of the</w:t>
      </w:r>
    </w:p>
    <w:p>
      <w:pPr>
        <w:spacing w:after="0" w:line="1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Exchange Act) adopted a “Rule 10b5-1 trading arrangement” or “non-Rule 10b5-1 trading arrangement,” as defined in Item 408 of Regulation S-K:</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On September 22, 2026, Marcel A. Snyman, the Company’s Vice President and Chief Accounting Officer, adopted a Rule 10b5-1 trading</w:t>
      </w:r>
    </w:p>
    <w:p>
      <w:pPr>
        <w:spacing w:after="0" w:line="14" w:lineRule="exact"/>
        <w:rPr>
          <w:sz w:val="20"/>
          <w:szCs w:val="20"/>
          <w:color w:val="auto"/>
        </w:rPr>
      </w:pPr>
    </w:p>
    <w:p>
      <w:pPr>
        <w:ind w:right="160"/>
        <w:spacing w:after="0"/>
        <w:rPr>
          <w:sz w:val="20"/>
          <w:szCs w:val="20"/>
          <w:color w:val="auto"/>
        </w:rPr>
      </w:pPr>
      <w:r>
        <w:rPr>
          <w:rFonts w:ascii="Arial" w:cs="Arial" w:eastAsia="Arial" w:hAnsi="Arial"/>
          <w:sz w:val="17"/>
          <w:szCs w:val="17"/>
          <w:color w:val="auto"/>
        </w:rPr>
        <w:t>arrangement providing for the sale of an aggregate of up to 213 shares of the Company’s Class B common stock acquired upon the vesting of restricted stock awards held by Mr. Snyman. The actual number of shares sold under the trading arrangement will be net of shares</w:t>
      </w:r>
    </w:p>
    <w:p>
      <w:pPr>
        <w:spacing w:after="0" w:line="235" w:lineRule="auto"/>
        <w:rPr>
          <w:sz w:val="20"/>
          <w:szCs w:val="20"/>
          <w:color w:val="auto"/>
        </w:rPr>
      </w:pPr>
      <w:r>
        <w:rPr>
          <w:rFonts w:ascii="Arial" w:cs="Arial" w:eastAsia="Arial" w:hAnsi="Arial"/>
          <w:sz w:val="18"/>
          <w:szCs w:val="18"/>
          <w:color w:val="auto"/>
        </w:rPr>
        <w:t>withheld for taxes upon vesting and settlement of the restricted stock awards subject to the trading plan. The trading arrangement is intended</w:t>
      </w:r>
    </w:p>
    <w:p>
      <w:pPr>
        <w:ind w:right="240"/>
        <w:spacing w:after="0" w:line="226" w:lineRule="auto"/>
        <w:rPr>
          <w:sz w:val="20"/>
          <w:szCs w:val="20"/>
          <w:color w:val="auto"/>
        </w:rPr>
      </w:pPr>
      <w:r>
        <w:rPr>
          <w:rFonts w:ascii="Arial" w:cs="Arial" w:eastAsia="Arial" w:hAnsi="Arial"/>
          <w:sz w:val="18"/>
          <w:szCs w:val="18"/>
          <w:color w:val="auto"/>
        </w:rPr>
        <w:t>to satisfy the affirmative defense in Rule 10b5-1(c). The first date that sales of any shares are permitted to be sold under the trading arrangement is January 6, 2027, and subsequent sales under the trading arrangement may occur on a regular basis for the duration of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trading arrangement until February 26, 2027, or earlier if all transactions under the trading arrangement are completed.</w:t>
      </w:r>
    </w:p>
    <w:p>
      <w:pPr>
        <w:spacing w:after="0" w:line="140"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During the quarter ended September 30, 2026, no other directors or officers of the Company (as defined in Rule 16a-1(f) of the Exchange Act) adopted, modified or terminated a “Rule 10b5-1 trading arrangement” or “non-Rule 10b5-1 trading arrangement,” as defined in Item 408</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of Regulation S-K.</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Item 6. Exhibits</w:t>
      </w:r>
      <w:r>
        <w:rPr>
          <w:rFonts w:ascii="Arial" w:cs="Arial" w:eastAsia="Arial" w:hAnsi="Arial"/>
          <w:sz w:val="16"/>
          <w:szCs w:val="16"/>
          <w:b w:val="1"/>
          <w:bCs w:val="1"/>
          <w:color w:val="auto"/>
        </w:rPr>
        <w: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Pr>
          <w:p>
            <w:pPr>
              <w:ind w:left="300"/>
              <w:spacing w:after="0"/>
              <w:rPr>
                <w:sz w:val="20"/>
                <w:szCs w:val="20"/>
                <w:color w:val="auto"/>
              </w:rPr>
            </w:pPr>
            <w:r>
              <w:rPr>
                <w:rFonts w:ascii="Arial" w:cs="Arial" w:eastAsia="Arial" w:hAnsi="Arial"/>
                <w:sz w:val="14"/>
                <w:szCs w:val="14"/>
                <w:b w:val="1"/>
                <w:bCs w:val="1"/>
                <w:color w:val="auto"/>
              </w:rPr>
              <w:t>Exhibit</w:t>
            </w:r>
          </w:p>
        </w:tc>
        <w:tc>
          <w:tcPr>
            <w:tcW w:w="4080" w:type="dxa"/>
            <w:vAlign w:val="bottom"/>
          </w:tcPr>
          <w:p>
            <w:pPr>
              <w:spacing w:after="0"/>
              <w:rPr>
                <w:sz w:val="14"/>
                <w:szCs w:val="14"/>
                <w:color w:val="auto"/>
              </w:rPr>
            </w:pPr>
          </w:p>
        </w:tc>
        <w:tc>
          <w:tcPr>
            <w:tcW w:w="6020" w:type="dxa"/>
            <w:vAlign w:val="bottom"/>
            <w:gridSpan w:val="10"/>
            <w:vMerge w:val="restart"/>
          </w:tcPr>
          <w:p>
            <w:pPr>
              <w:ind w:left="48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189"/>
        </w:trPr>
        <w:tc>
          <w:tcPr>
            <w:tcW w:w="110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Number</w:t>
            </w:r>
          </w:p>
        </w:tc>
        <w:tc>
          <w:tcPr>
            <w:tcW w:w="4080" w:type="dxa"/>
            <w:vAlign w:val="bottom"/>
            <w:tcBorders>
              <w:bottom w:val="single" w:sz="8" w:color="auto"/>
            </w:tcBorders>
          </w:tcPr>
          <w:p>
            <w:pPr>
              <w:spacing w:after="0"/>
              <w:rPr>
                <w:sz w:val="16"/>
                <w:szCs w:val="16"/>
                <w:color w:val="auto"/>
              </w:rPr>
            </w:pPr>
          </w:p>
        </w:tc>
        <w:tc>
          <w:tcPr>
            <w:tcW w:w="6020" w:type="dxa"/>
            <w:vAlign w:val="bottom"/>
            <w:tcBorders>
              <w:bottom w:val="single" w:sz="8" w:color="auto"/>
            </w:tcBorders>
            <w:gridSpan w:val="10"/>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1"/>
        </w:trPr>
        <w:tc>
          <w:tcPr>
            <w:tcW w:w="1100" w:type="dxa"/>
            <w:vAlign w:val="bottom"/>
          </w:tcPr>
          <w:p>
            <w:pPr>
              <w:ind w:left="140"/>
              <w:spacing w:after="0"/>
              <w:rPr>
                <w:sz w:val="20"/>
                <w:szCs w:val="20"/>
                <w:color w:val="auto"/>
              </w:rPr>
            </w:pPr>
            <w:r>
              <w:rPr>
                <w:rFonts w:ascii="Arial" w:cs="Arial" w:eastAsia="Arial" w:hAnsi="Arial"/>
                <w:sz w:val="16"/>
                <w:szCs w:val="16"/>
                <w:color w:val="auto"/>
              </w:rPr>
              <w:t>3.1</w:t>
            </w:r>
          </w:p>
        </w:tc>
        <w:tc>
          <w:tcPr>
            <w:tcW w:w="10100" w:type="dxa"/>
            <w:vAlign w:val="bottom"/>
            <w:gridSpan w:val="11"/>
          </w:tcPr>
          <w:p>
            <w:pPr>
              <w:spacing w:after="0"/>
              <w:rPr>
                <w:rFonts w:ascii="Arial" w:cs="Arial" w:eastAsia="Arial" w:hAnsi="Arial"/>
                <w:sz w:val="16"/>
                <w:szCs w:val="16"/>
                <w:color w:val="0000FF"/>
              </w:rPr>
            </w:pPr>
            <w:hyperlink r:id="rId76">
              <w:r>
                <w:rPr>
                  <w:rFonts w:ascii="Arial" w:cs="Arial" w:eastAsia="Arial" w:hAnsi="Arial"/>
                  <w:sz w:val="16"/>
                  <w:szCs w:val="16"/>
                  <w:color w:val="0000FF"/>
                </w:rPr>
                <w:t>Restated Certificate of Incorporation of the Company dated November 13, 2003 (incorporated by reference to Exhibit 3.1 to the Company’s</w:t>
              </w:r>
            </w:hyperlink>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9920" w:type="dxa"/>
            <w:vAlign w:val="bottom"/>
            <w:tcBorders>
              <w:top w:val="single" w:sz="8" w:color="0000FF"/>
            </w:tcBorders>
            <w:gridSpan w:val="8"/>
          </w:tcPr>
          <w:p>
            <w:pPr>
              <w:spacing w:after="0" w:line="155" w:lineRule="exact"/>
              <w:rPr>
                <w:rFonts w:ascii="Arial" w:cs="Arial" w:eastAsia="Arial" w:hAnsi="Arial"/>
                <w:sz w:val="16"/>
                <w:szCs w:val="16"/>
                <w:color w:val="0000FF"/>
              </w:rPr>
            </w:pPr>
            <w:hyperlink r:id="rId76">
              <w:r>
                <w:rPr>
                  <w:rFonts w:ascii="Arial" w:cs="Arial" w:eastAsia="Arial" w:hAnsi="Arial"/>
                  <w:sz w:val="16"/>
                  <w:szCs w:val="16"/>
                  <w:color w:val="0000FF"/>
                </w:rPr>
                <w:t>Annual Report on Form 10-K for the fiscal year ended December 28, 2003).</w:t>
              </w:r>
            </w:hyperlink>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00" w:type="dxa"/>
            <w:vAlign w:val="bottom"/>
          </w:tcPr>
          <w:p>
            <w:pPr>
              <w:ind w:left="140"/>
              <w:spacing w:after="0"/>
              <w:rPr>
                <w:sz w:val="20"/>
                <w:szCs w:val="20"/>
                <w:color w:val="auto"/>
              </w:rPr>
            </w:pPr>
            <w:r>
              <w:rPr>
                <w:rFonts w:ascii="Arial" w:cs="Arial" w:eastAsia="Arial" w:hAnsi="Arial"/>
                <w:sz w:val="16"/>
                <w:szCs w:val="16"/>
                <w:color w:val="auto"/>
              </w:rPr>
              <w:t>3.2</w:t>
            </w:r>
          </w:p>
        </w:tc>
        <w:tc>
          <w:tcPr>
            <w:tcW w:w="10100" w:type="dxa"/>
            <w:vAlign w:val="bottom"/>
            <w:gridSpan w:val="11"/>
          </w:tcPr>
          <w:p>
            <w:pPr>
              <w:spacing w:after="0"/>
              <w:rPr>
                <w:rFonts w:ascii="Arial" w:cs="Arial" w:eastAsia="Arial" w:hAnsi="Arial"/>
                <w:sz w:val="16"/>
                <w:szCs w:val="16"/>
                <w:color w:val="0000FF"/>
              </w:rPr>
            </w:pPr>
            <w:hyperlink r:id="rId77">
              <w:r>
                <w:rPr>
                  <w:rFonts w:ascii="Arial" w:cs="Arial" w:eastAsia="Arial" w:hAnsi="Arial"/>
                  <w:sz w:val="16"/>
                  <w:szCs w:val="16"/>
                  <w:color w:val="0000FF"/>
                </w:rPr>
                <w:t>Certificate of Amendment, effective November 29, 2013, to the Restated Certificate of Incorporation of the Company (incorporated by</w:t>
              </w:r>
            </w:hyperlink>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7040" w:type="dxa"/>
            <w:vAlign w:val="bottom"/>
            <w:tcBorders>
              <w:top w:val="single" w:sz="8" w:color="0000FF"/>
              <w:bottom w:val="single" w:sz="8" w:color="0000FF"/>
            </w:tcBorders>
            <w:gridSpan w:val="5"/>
          </w:tcPr>
          <w:p>
            <w:pPr>
              <w:spacing w:after="0" w:line="155" w:lineRule="exact"/>
              <w:rPr>
                <w:rFonts w:ascii="Arial" w:cs="Arial" w:eastAsia="Arial" w:hAnsi="Arial"/>
                <w:sz w:val="16"/>
                <w:szCs w:val="16"/>
                <w:color w:val="0000FF"/>
              </w:rPr>
            </w:pPr>
            <w:hyperlink r:id="rId77">
              <w:r>
                <w:rPr>
                  <w:rFonts w:ascii="Arial" w:cs="Arial" w:eastAsia="Arial" w:hAnsi="Arial"/>
                  <w:sz w:val="16"/>
                  <w:szCs w:val="16"/>
                  <w:color w:val="0000FF"/>
                </w:rPr>
                <w:t>reference to Exhibit 3.1 to the Company’s Current Report on Form 8-K dated November 29, 2013).</w:t>
              </w:r>
            </w:hyperlink>
          </w:p>
        </w:tc>
        <w:tc>
          <w:tcPr>
            <w:tcW w:w="2480" w:type="dxa"/>
            <w:vAlign w:val="bottom"/>
            <w:tcBorders>
              <w:top w:val="single" w:sz="8" w:color="0000FF"/>
            </w:tcBorders>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1100" w:type="dxa"/>
            <w:vAlign w:val="bottom"/>
          </w:tcPr>
          <w:p>
            <w:pPr>
              <w:ind w:left="140"/>
              <w:spacing w:after="0"/>
              <w:rPr>
                <w:sz w:val="20"/>
                <w:szCs w:val="20"/>
                <w:color w:val="auto"/>
              </w:rPr>
            </w:pPr>
            <w:r>
              <w:rPr>
                <w:rFonts w:ascii="Arial" w:cs="Arial" w:eastAsia="Arial" w:hAnsi="Arial"/>
                <w:sz w:val="16"/>
                <w:szCs w:val="16"/>
                <w:color w:val="auto"/>
              </w:rPr>
              <w:t>3.3</w:t>
            </w:r>
          </w:p>
        </w:tc>
        <w:tc>
          <w:tcPr>
            <w:tcW w:w="10100" w:type="dxa"/>
            <w:vAlign w:val="bottom"/>
            <w:gridSpan w:val="11"/>
          </w:tcPr>
          <w:p>
            <w:pPr>
              <w:spacing w:after="0"/>
              <w:rPr>
                <w:rFonts w:ascii="Arial" w:cs="Arial" w:eastAsia="Arial" w:hAnsi="Arial"/>
                <w:sz w:val="16"/>
                <w:szCs w:val="16"/>
                <w:color w:val="0000FF"/>
              </w:rPr>
            </w:pPr>
            <w:hyperlink r:id="rId78">
              <w:r>
                <w:rPr>
                  <w:rFonts w:ascii="Arial" w:cs="Arial" w:eastAsia="Arial" w:hAnsi="Arial"/>
                  <w:sz w:val="16"/>
                  <w:szCs w:val="16"/>
                  <w:color w:val="0000FF"/>
                </w:rPr>
                <w:t>By-Laws of the Company as amended and restated through September 12, 2024 (incorporated by reference to Exhibit 3.1 to the Company’s</w:t>
              </w:r>
            </w:hyperlink>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4080" w:type="dxa"/>
            <w:vAlign w:val="bottom"/>
            <w:tcBorders>
              <w:top w:val="single" w:sz="8" w:color="0000FF"/>
              <w:bottom w:val="single" w:sz="8" w:color="0000FF"/>
            </w:tcBorders>
          </w:tcPr>
          <w:p>
            <w:pPr>
              <w:spacing w:after="0" w:line="155" w:lineRule="exact"/>
              <w:rPr>
                <w:rFonts w:ascii="Arial" w:cs="Arial" w:eastAsia="Arial" w:hAnsi="Arial"/>
                <w:sz w:val="16"/>
                <w:szCs w:val="16"/>
                <w:color w:val="0000FF"/>
              </w:rPr>
            </w:pPr>
            <w:hyperlink r:id="rId78">
              <w:r>
                <w:rPr>
                  <w:rFonts w:ascii="Arial" w:cs="Arial" w:eastAsia="Arial" w:hAnsi="Arial"/>
                  <w:sz w:val="16"/>
                  <w:szCs w:val="16"/>
                  <w:color w:val="0000FF"/>
                </w:rPr>
                <w:t>Current Report on Form 8-K dated September 12, 2024).</w:t>
              </w:r>
            </w:hyperlink>
          </w:p>
        </w:tc>
        <w:tc>
          <w:tcPr>
            <w:tcW w:w="5940" w:type="dxa"/>
            <w:vAlign w:val="bottom"/>
            <w:tcBorders>
              <w:top w:val="single" w:sz="8" w:color="0000FF"/>
            </w:tcBorders>
            <w:gridSpan w:val="9"/>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1100" w:type="dxa"/>
            <w:vAlign w:val="bottom"/>
          </w:tcPr>
          <w:p>
            <w:pPr>
              <w:ind w:left="140"/>
              <w:spacing w:after="0"/>
              <w:rPr>
                <w:sz w:val="20"/>
                <w:szCs w:val="20"/>
                <w:color w:val="auto"/>
              </w:rPr>
            </w:pPr>
            <w:r>
              <w:rPr>
                <w:rFonts w:ascii="Arial" w:cs="Arial" w:eastAsia="Arial" w:hAnsi="Arial"/>
                <w:sz w:val="16"/>
                <w:szCs w:val="16"/>
                <w:color w:val="auto"/>
              </w:rPr>
              <w:t>4.1</w:t>
            </w:r>
          </w:p>
        </w:tc>
        <w:tc>
          <w:tcPr>
            <w:tcW w:w="10100" w:type="dxa"/>
            <w:vAlign w:val="bottom"/>
            <w:gridSpan w:val="11"/>
          </w:tcPr>
          <w:p>
            <w:pPr>
              <w:spacing w:after="0"/>
              <w:rPr>
                <w:rFonts w:ascii="Arial" w:cs="Arial" w:eastAsia="Arial" w:hAnsi="Arial"/>
                <w:sz w:val="17"/>
                <w:szCs w:val="17"/>
                <w:color w:val="0000FF"/>
              </w:rPr>
            </w:pPr>
            <w:hyperlink r:id="rId79">
              <w:r>
                <w:rPr>
                  <w:rFonts w:ascii="Arial" w:cs="Arial" w:eastAsia="Arial" w:hAnsi="Arial"/>
                  <w:sz w:val="17"/>
                  <w:szCs w:val="17"/>
                  <w:color w:val="0000FF"/>
                </w:rPr>
                <w:t>Senior Notes Indenture dated as of November 24, 2025, between the Company and The Bank of New York Mellon Trust Company,</w:t>
              </w:r>
            </w:hyperlink>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9860" w:type="dxa"/>
            <w:vAlign w:val="bottom"/>
            <w:tcBorders>
              <w:top w:val="single" w:sz="8" w:color="0000FF"/>
            </w:tcBorders>
            <w:gridSpan w:val="7"/>
          </w:tcPr>
          <w:p>
            <w:pPr>
              <w:spacing w:after="0" w:line="169" w:lineRule="exact"/>
              <w:rPr>
                <w:rFonts w:ascii="Arial" w:cs="Arial" w:eastAsia="Arial" w:hAnsi="Arial"/>
                <w:sz w:val="17"/>
                <w:szCs w:val="17"/>
                <w:color w:val="0000FF"/>
                <w:w w:val="99"/>
              </w:rPr>
            </w:pPr>
            <w:hyperlink r:id="rId79">
              <w:r>
                <w:rPr>
                  <w:rFonts w:ascii="Arial" w:cs="Arial" w:eastAsia="Arial" w:hAnsi="Arial"/>
                  <w:sz w:val="17"/>
                  <w:szCs w:val="17"/>
                  <w:color w:val="0000FF"/>
                  <w:w w:val="99"/>
                </w:rPr>
                <w:t>N.A., as Trustee (incorporated by reference to Exhibit 4.1 to the Company’s Current Report on Form 8-K dated November 24, 2025)</w:t>
              </w:r>
            </w:hyperlink>
          </w:p>
        </w:tc>
        <w:tc>
          <w:tcPr>
            <w:tcW w:w="240" w:type="dxa"/>
            <w:vAlign w:val="bottom"/>
            <w:gridSpan w:val="4"/>
          </w:tcPr>
          <w:p>
            <w:pPr>
              <w:jc w:val="right"/>
              <w:ind w:right="120"/>
              <w:spacing w:after="0" w:line="169" w:lineRule="exact"/>
              <w:rPr>
                <w:rFonts w:ascii="Arial" w:cs="Arial" w:eastAsia="Arial" w:hAnsi="Arial"/>
                <w:sz w:val="17"/>
                <w:szCs w:val="17"/>
                <w:color w:val="0000FF"/>
              </w:rPr>
            </w:pPr>
            <w:hyperlink r:id="rId79">
              <w:r>
                <w:rPr>
                  <w:rFonts w:ascii="Arial" w:cs="Arial" w:eastAsia="Arial" w:hAnsi="Arial"/>
                  <w:sz w:val="17"/>
                  <w:szCs w:val="17"/>
                  <w:color w:val="0000FF"/>
                </w:rPr>
                <w:t>.</w:t>
              </w:r>
            </w:hyperlink>
          </w:p>
        </w:tc>
        <w:tc>
          <w:tcPr>
            <w:tcW w:w="0" w:type="dxa"/>
            <w:vAlign w:val="bottom"/>
          </w:tcPr>
          <w:p>
            <w:pPr>
              <w:spacing w:after="0"/>
              <w:rPr>
                <w:sz w:val="1"/>
                <w:szCs w:val="1"/>
                <w:color w:val="auto"/>
              </w:rPr>
            </w:pPr>
          </w:p>
        </w:tc>
      </w:tr>
      <w:tr>
        <w:trPr>
          <w:trHeight w:val="398"/>
        </w:trPr>
        <w:tc>
          <w:tcPr>
            <w:tcW w:w="1100" w:type="dxa"/>
            <w:vAlign w:val="bottom"/>
          </w:tcPr>
          <w:p>
            <w:pPr>
              <w:ind w:left="140"/>
              <w:spacing w:after="0"/>
              <w:rPr>
                <w:sz w:val="20"/>
                <w:szCs w:val="20"/>
                <w:color w:val="auto"/>
              </w:rPr>
            </w:pPr>
            <w:r>
              <w:rPr>
                <w:rFonts w:ascii="Arial" w:cs="Arial" w:eastAsia="Arial" w:hAnsi="Arial"/>
                <w:sz w:val="16"/>
                <w:szCs w:val="16"/>
                <w:color w:val="auto"/>
              </w:rPr>
              <w:t>31.1</w:t>
            </w:r>
          </w:p>
        </w:tc>
        <w:tc>
          <w:tcPr>
            <w:tcW w:w="490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6"/>
                <w:szCs w:val="16"/>
                <w:color w:val="0000FF"/>
              </w:rPr>
              <w:t>Rule 13a-14(a)/15d-14(a) Certification of the Chief Executive Officer.</w:t>
            </w:r>
          </w:p>
        </w:tc>
        <w:tc>
          <w:tcPr>
            <w:tcW w:w="5080" w:type="dxa"/>
            <w:vAlign w:val="bottom"/>
            <w:tcBorders>
              <w:top w:val="single" w:sz="8" w:color="0000FF"/>
            </w:tcBorders>
            <w:gridSpan w:val="6"/>
          </w:tcPr>
          <w:p>
            <w:pPr>
              <w:spacing w:after="0"/>
              <w:rPr>
                <w:sz w:val="24"/>
                <w:szCs w:val="24"/>
                <w:color w:val="auto"/>
              </w:rPr>
            </w:pP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100" w:type="dxa"/>
            <w:vAlign w:val="bottom"/>
          </w:tcPr>
          <w:p>
            <w:pPr>
              <w:ind w:left="140"/>
              <w:spacing w:after="0"/>
              <w:rPr>
                <w:sz w:val="20"/>
                <w:szCs w:val="20"/>
                <w:color w:val="auto"/>
              </w:rPr>
            </w:pPr>
            <w:r>
              <w:rPr>
                <w:rFonts w:ascii="Arial" w:cs="Arial" w:eastAsia="Arial" w:hAnsi="Arial"/>
                <w:sz w:val="16"/>
                <w:szCs w:val="16"/>
                <w:color w:val="auto"/>
              </w:rPr>
              <w:t>31.2</w:t>
            </w:r>
          </w:p>
        </w:tc>
        <w:tc>
          <w:tcPr>
            <w:tcW w:w="10100" w:type="dxa"/>
            <w:vAlign w:val="bottom"/>
            <w:gridSpan w:val="11"/>
          </w:tcPr>
          <w:p>
            <w:pPr>
              <w:spacing w:after="0"/>
              <w:rPr>
                <w:sz w:val="20"/>
                <w:szCs w:val="20"/>
                <w:color w:val="auto"/>
              </w:rPr>
            </w:pPr>
            <w:r>
              <w:rPr>
                <w:rFonts w:ascii="Arial" w:cs="Arial" w:eastAsia="Arial" w:hAnsi="Arial"/>
                <w:sz w:val="16"/>
                <w:szCs w:val="16"/>
                <w:color w:val="0000FF"/>
              </w:rPr>
              <w:t>Rule 13a-14(a)/15d-14(a) Certification of the Chief Financial Officer.</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100" w:hanging="953"/>
        <w:spacing w:after="0"/>
        <w:tabs>
          <w:tab w:leader="none" w:pos="1100"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0000FF"/>
        </w:rPr>
        <w:t>Section 1350 Certification of the Chief Executive Officer and the Chief Financial Officer.</w:t>
      </w:r>
      <w:r>
        <w:rPr>
          <w:rFonts w:ascii="Arial" w:cs="Arial" w:eastAsia="Arial" w:hAnsi="Arial"/>
          <w:sz w:val="16"/>
          <w:szCs w:val="16"/>
          <w:color w:val="0000FF"/>
        </w:rPr>
        <w:t xml:space="preserve"> </w:t>
      </w:r>
      <w:r>
        <w:rPr>
          <w:rFonts w:ascii="Arial" w:cs="Arial" w:eastAsia="Arial" w:hAnsi="Arial"/>
          <w:sz w:val="16"/>
          <w:szCs w:val="16"/>
          <w:color w:val="000000"/>
        </w:rPr>
        <w:t>*</w:t>
      </w:r>
    </w:p>
    <w:p>
      <w:pPr>
        <w:spacing w:after="0" w:line="213"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800" w:type="dxa"/>
            <w:vAlign w:val="bottom"/>
          </w:tcPr>
          <w:p>
            <w:pPr>
              <w:spacing w:after="0"/>
              <w:rPr>
                <w:sz w:val="20"/>
                <w:szCs w:val="20"/>
                <w:color w:val="auto"/>
              </w:rPr>
            </w:pPr>
            <w:r>
              <w:rPr>
                <w:rFonts w:ascii="Arial" w:cs="Arial" w:eastAsia="Arial" w:hAnsi="Arial"/>
                <w:sz w:val="16"/>
                <w:szCs w:val="16"/>
                <w:color w:val="auto"/>
              </w:rPr>
              <w:t>101.INS</w:t>
            </w:r>
          </w:p>
        </w:tc>
        <w:tc>
          <w:tcPr>
            <w:tcW w:w="10140" w:type="dxa"/>
            <w:vAlign w:val="bottom"/>
          </w:tcPr>
          <w:p>
            <w:pPr>
              <w:ind w:left="160"/>
              <w:spacing w:after="0"/>
              <w:rPr>
                <w:sz w:val="20"/>
                <w:szCs w:val="20"/>
                <w:color w:val="auto"/>
              </w:rPr>
            </w:pPr>
            <w:r>
              <w:rPr>
                <w:rFonts w:ascii="Arial" w:cs="Arial" w:eastAsia="Arial" w:hAnsi="Arial"/>
                <w:sz w:val="16"/>
                <w:szCs w:val="16"/>
                <w:color w:val="auto"/>
              </w:rPr>
              <w:t>Inline XBRL Instance Document - the instance document does not appear in the Interactive Data File because its XBRL tags are embedded</w:t>
            </w:r>
          </w:p>
        </w:tc>
      </w:tr>
      <w:tr>
        <w:trPr>
          <w:trHeight w:val="215"/>
        </w:trPr>
        <w:tc>
          <w:tcPr>
            <w:tcW w:w="800" w:type="dxa"/>
            <w:vAlign w:val="bottom"/>
          </w:tcPr>
          <w:p>
            <w:pPr>
              <w:spacing w:after="0"/>
              <w:rPr>
                <w:sz w:val="18"/>
                <w:szCs w:val="18"/>
                <w:color w:val="auto"/>
              </w:rPr>
            </w:pPr>
          </w:p>
        </w:tc>
        <w:tc>
          <w:tcPr>
            <w:tcW w:w="10140" w:type="dxa"/>
            <w:vAlign w:val="bottom"/>
          </w:tcPr>
          <w:p>
            <w:pPr>
              <w:ind w:left="160"/>
              <w:spacing w:after="0"/>
              <w:rPr>
                <w:sz w:val="20"/>
                <w:szCs w:val="20"/>
                <w:color w:val="auto"/>
              </w:rPr>
            </w:pPr>
            <w:r>
              <w:rPr>
                <w:rFonts w:ascii="Arial" w:cs="Arial" w:eastAsia="Arial" w:hAnsi="Arial"/>
                <w:sz w:val="16"/>
                <w:szCs w:val="16"/>
                <w:color w:val="auto"/>
              </w:rPr>
              <w:t>within the Inline XBRL document</w:t>
            </w:r>
          </w:p>
        </w:tc>
      </w:tr>
      <w:tr>
        <w:trPr>
          <w:trHeight w:val="405"/>
        </w:trPr>
        <w:tc>
          <w:tcPr>
            <w:tcW w:w="800" w:type="dxa"/>
            <w:vAlign w:val="bottom"/>
          </w:tcPr>
          <w:p>
            <w:pPr>
              <w:spacing w:after="0"/>
              <w:rPr>
                <w:sz w:val="20"/>
                <w:szCs w:val="20"/>
                <w:color w:val="auto"/>
              </w:rPr>
            </w:pPr>
            <w:r>
              <w:rPr>
                <w:rFonts w:ascii="Arial" w:cs="Arial" w:eastAsia="Arial" w:hAnsi="Arial"/>
                <w:sz w:val="16"/>
                <w:szCs w:val="16"/>
                <w:color w:val="auto"/>
              </w:rPr>
              <w:t>101.SCH</w:t>
            </w:r>
          </w:p>
        </w:tc>
        <w:tc>
          <w:tcPr>
            <w:tcW w:w="10140" w:type="dxa"/>
            <w:vAlign w:val="bottom"/>
          </w:tcPr>
          <w:p>
            <w:pPr>
              <w:ind w:left="160"/>
              <w:spacing w:after="0"/>
              <w:rPr>
                <w:sz w:val="20"/>
                <w:szCs w:val="20"/>
                <w:color w:val="auto"/>
              </w:rPr>
            </w:pPr>
            <w:r>
              <w:rPr>
                <w:rFonts w:ascii="Arial" w:cs="Arial" w:eastAsia="Arial" w:hAnsi="Arial"/>
                <w:sz w:val="16"/>
                <w:szCs w:val="16"/>
                <w:color w:val="auto"/>
              </w:rPr>
              <w:t>Inline XBRL Taxonomy Extension Schema Document</w:t>
            </w:r>
          </w:p>
        </w:tc>
      </w:tr>
      <w:tr>
        <w:trPr>
          <w:trHeight w:val="405"/>
        </w:trPr>
        <w:tc>
          <w:tcPr>
            <w:tcW w:w="800" w:type="dxa"/>
            <w:vAlign w:val="bottom"/>
          </w:tcPr>
          <w:p>
            <w:pPr>
              <w:spacing w:after="0"/>
              <w:rPr>
                <w:sz w:val="20"/>
                <w:szCs w:val="20"/>
                <w:color w:val="auto"/>
              </w:rPr>
            </w:pPr>
            <w:r>
              <w:rPr>
                <w:rFonts w:ascii="Arial" w:cs="Arial" w:eastAsia="Arial" w:hAnsi="Arial"/>
                <w:sz w:val="16"/>
                <w:szCs w:val="16"/>
                <w:color w:val="auto"/>
              </w:rPr>
              <w:t>101.CAL</w:t>
            </w:r>
          </w:p>
        </w:tc>
        <w:tc>
          <w:tcPr>
            <w:tcW w:w="10140" w:type="dxa"/>
            <w:vAlign w:val="bottom"/>
          </w:tcPr>
          <w:p>
            <w:pPr>
              <w:ind w:left="160"/>
              <w:spacing w:after="0"/>
              <w:rPr>
                <w:sz w:val="20"/>
                <w:szCs w:val="20"/>
                <w:color w:val="auto"/>
              </w:rPr>
            </w:pPr>
            <w:r>
              <w:rPr>
                <w:rFonts w:ascii="Arial" w:cs="Arial" w:eastAsia="Arial" w:hAnsi="Arial"/>
                <w:sz w:val="16"/>
                <w:szCs w:val="16"/>
                <w:color w:val="auto"/>
              </w:rPr>
              <w:t>Inline XBRL Taxonomy Extension Calculation Linkbase Document</w:t>
            </w:r>
          </w:p>
        </w:tc>
      </w:tr>
      <w:tr>
        <w:trPr>
          <w:trHeight w:val="405"/>
        </w:trPr>
        <w:tc>
          <w:tcPr>
            <w:tcW w:w="800" w:type="dxa"/>
            <w:vAlign w:val="bottom"/>
          </w:tcPr>
          <w:p>
            <w:pPr>
              <w:spacing w:after="0"/>
              <w:rPr>
                <w:sz w:val="20"/>
                <w:szCs w:val="20"/>
                <w:color w:val="auto"/>
              </w:rPr>
            </w:pPr>
            <w:r>
              <w:rPr>
                <w:rFonts w:ascii="Arial" w:cs="Arial" w:eastAsia="Arial" w:hAnsi="Arial"/>
                <w:sz w:val="16"/>
                <w:szCs w:val="16"/>
                <w:color w:val="auto"/>
              </w:rPr>
              <w:t>101.DEF</w:t>
            </w:r>
          </w:p>
        </w:tc>
        <w:tc>
          <w:tcPr>
            <w:tcW w:w="10140" w:type="dxa"/>
            <w:vAlign w:val="bottom"/>
          </w:tcPr>
          <w:p>
            <w:pPr>
              <w:ind w:left="160"/>
              <w:spacing w:after="0"/>
              <w:rPr>
                <w:sz w:val="20"/>
                <w:szCs w:val="20"/>
                <w:color w:val="auto"/>
              </w:rPr>
            </w:pPr>
            <w:r>
              <w:rPr>
                <w:rFonts w:ascii="Arial" w:cs="Arial" w:eastAsia="Arial" w:hAnsi="Arial"/>
                <w:sz w:val="16"/>
                <w:szCs w:val="16"/>
                <w:color w:val="auto"/>
              </w:rPr>
              <w:t>Inline XBRL Taxonomy Extension Definition Linkbase Document</w:t>
            </w:r>
          </w:p>
        </w:tc>
      </w:tr>
      <w:tr>
        <w:trPr>
          <w:trHeight w:val="405"/>
        </w:trPr>
        <w:tc>
          <w:tcPr>
            <w:tcW w:w="800" w:type="dxa"/>
            <w:vAlign w:val="bottom"/>
          </w:tcPr>
          <w:p>
            <w:pPr>
              <w:spacing w:after="0"/>
              <w:rPr>
                <w:sz w:val="20"/>
                <w:szCs w:val="20"/>
                <w:color w:val="auto"/>
              </w:rPr>
            </w:pPr>
            <w:r>
              <w:rPr>
                <w:rFonts w:ascii="Arial" w:cs="Arial" w:eastAsia="Arial" w:hAnsi="Arial"/>
                <w:sz w:val="16"/>
                <w:szCs w:val="16"/>
                <w:color w:val="auto"/>
              </w:rPr>
              <w:t>101.LAB</w:t>
            </w:r>
          </w:p>
        </w:tc>
        <w:tc>
          <w:tcPr>
            <w:tcW w:w="10140" w:type="dxa"/>
            <w:vAlign w:val="bottom"/>
          </w:tcPr>
          <w:p>
            <w:pPr>
              <w:ind w:left="160"/>
              <w:spacing w:after="0"/>
              <w:rPr>
                <w:sz w:val="20"/>
                <w:szCs w:val="20"/>
                <w:color w:val="auto"/>
              </w:rPr>
            </w:pPr>
            <w:r>
              <w:rPr>
                <w:rFonts w:ascii="Arial" w:cs="Arial" w:eastAsia="Arial" w:hAnsi="Arial"/>
                <w:sz w:val="16"/>
                <w:szCs w:val="16"/>
                <w:color w:val="auto"/>
              </w:rPr>
              <w:t>Inline XBRL Taxonomy Extension Label Linkbase Document</w:t>
            </w:r>
          </w:p>
        </w:tc>
      </w:tr>
      <w:tr>
        <w:trPr>
          <w:trHeight w:val="405"/>
        </w:trPr>
        <w:tc>
          <w:tcPr>
            <w:tcW w:w="800" w:type="dxa"/>
            <w:vAlign w:val="bottom"/>
          </w:tcPr>
          <w:p>
            <w:pPr>
              <w:spacing w:after="0"/>
              <w:rPr>
                <w:sz w:val="20"/>
                <w:szCs w:val="20"/>
                <w:color w:val="auto"/>
              </w:rPr>
            </w:pPr>
            <w:r>
              <w:rPr>
                <w:rFonts w:ascii="Arial" w:cs="Arial" w:eastAsia="Arial" w:hAnsi="Arial"/>
                <w:sz w:val="16"/>
                <w:szCs w:val="16"/>
                <w:color w:val="auto"/>
              </w:rPr>
              <w:t>101.PRE</w:t>
            </w:r>
          </w:p>
        </w:tc>
        <w:tc>
          <w:tcPr>
            <w:tcW w:w="10140" w:type="dxa"/>
            <w:vAlign w:val="bottom"/>
          </w:tcPr>
          <w:p>
            <w:pPr>
              <w:ind w:left="160"/>
              <w:spacing w:after="0"/>
              <w:rPr>
                <w:sz w:val="20"/>
                <w:szCs w:val="20"/>
                <w:color w:val="auto"/>
              </w:rPr>
            </w:pPr>
            <w:r>
              <w:rPr>
                <w:rFonts w:ascii="Arial" w:cs="Arial" w:eastAsia="Arial" w:hAnsi="Arial"/>
                <w:sz w:val="16"/>
                <w:szCs w:val="16"/>
                <w:color w:val="auto"/>
              </w:rPr>
              <w:t>Inline XBRL Taxonomy Extension Presentation Linkbase Document</w:t>
            </w:r>
          </w:p>
        </w:tc>
      </w:tr>
    </w:tbl>
    <w:p>
      <w:pPr>
        <w:spacing w:after="0" w:line="190" w:lineRule="exact"/>
        <w:rPr>
          <w:sz w:val="20"/>
          <w:szCs w:val="20"/>
          <w:color w:val="auto"/>
        </w:rPr>
      </w:pPr>
    </w:p>
    <w:p>
      <w:pPr>
        <w:ind w:left="1100" w:hanging="953"/>
        <w:spacing w:after="0"/>
        <w:tabs>
          <w:tab w:leader="none" w:pos="1100" w:val="left"/>
        </w:tabs>
        <w:numPr>
          <w:ilvl w:val="1"/>
          <w:numId w:val="27"/>
        </w:numPr>
        <w:rPr>
          <w:rFonts w:ascii="Arial" w:cs="Arial" w:eastAsia="Arial" w:hAnsi="Arial"/>
          <w:sz w:val="16"/>
          <w:szCs w:val="16"/>
          <w:color w:val="auto"/>
        </w:rPr>
      </w:pPr>
      <w:r>
        <w:rPr>
          <w:rFonts w:ascii="Arial" w:cs="Arial" w:eastAsia="Arial" w:hAnsi="Arial"/>
          <w:sz w:val="16"/>
          <w:szCs w:val="16"/>
          <w:color w:val="auto"/>
        </w:rPr>
        <w:t>Cover Page Interactive Data File, formatted in Inline XBRL and included as Exhibit 101</w:t>
      </w:r>
    </w:p>
    <w:p>
      <w:pPr>
        <w:spacing w:after="0" w:line="24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3"/>
          <w:szCs w:val="13"/>
          <w:color w:val="auto"/>
        </w:rPr>
        <w:t>*   Furnished herewith.</w:t>
      </w: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31" w:right="379" w:bottom="1440" w:gutter="0" w:footer="0" w:header="0"/>
        </w:sectPr>
      </w:pPr>
    </w:p>
    <w:bookmarkStart w:id="53" w:name="page54"/>
    <w:bookmarkEnd w:id="53"/>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14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368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9"/>
              </w:rPr>
              <w:t>GRAHAM HOLDINGS COMPANY</w:t>
            </w:r>
          </w:p>
        </w:tc>
      </w:tr>
      <w:tr>
        <w:trPr>
          <w:trHeight w:val="270"/>
        </w:trPr>
        <w:tc>
          <w:tcPr>
            <w:tcW w:w="3680" w:type="dxa"/>
            <w:vAlign w:val="bottom"/>
          </w:tcPr>
          <w:p>
            <w:pPr>
              <w:spacing w:after="0"/>
              <w:rPr>
                <w:sz w:val="23"/>
                <w:szCs w:val="23"/>
                <w:color w:val="auto"/>
              </w:rPr>
            </w:pPr>
          </w:p>
        </w:tc>
        <w:tc>
          <w:tcPr>
            <w:tcW w:w="3480" w:type="dxa"/>
            <w:vAlign w:val="bottom"/>
          </w:tcPr>
          <w:p>
            <w:pPr>
              <w:spacing w:after="0"/>
              <w:rPr>
                <w:sz w:val="23"/>
                <w:szCs w:val="23"/>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9"/>
              </w:rPr>
              <w:t>(Registrant)</w:t>
            </w:r>
          </w:p>
        </w:tc>
      </w:tr>
      <w:tr>
        <w:trPr>
          <w:trHeight w:val="338"/>
        </w:trPr>
        <w:tc>
          <w:tcPr>
            <w:tcW w:w="3680" w:type="dxa"/>
            <w:vAlign w:val="bottom"/>
          </w:tcPr>
          <w:p>
            <w:pPr>
              <w:spacing w:after="0"/>
              <w:rPr>
                <w:sz w:val="20"/>
                <w:szCs w:val="20"/>
                <w:color w:val="auto"/>
              </w:rPr>
            </w:pPr>
            <w:r>
              <w:rPr>
                <w:rFonts w:ascii="Arial" w:cs="Arial" w:eastAsia="Arial" w:hAnsi="Arial"/>
                <w:sz w:val="18"/>
                <w:szCs w:val="18"/>
                <w:color w:val="auto"/>
              </w:rPr>
              <w:t>Date: October 29, 2026</w:t>
            </w:r>
          </w:p>
        </w:tc>
        <w:tc>
          <w:tcPr>
            <w:tcW w:w="3480" w:type="dxa"/>
            <w:vAlign w:val="bottom"/>
          </w:tcPr>
          <w:p>
            <w:pPr>
              <w:spacing w:after="0"/>
              <w:rPr>
                <w:sz w:val="24"/>
                <w:szCs w:val="24"/>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9"/>
              </w:rPr>
              <w:t>/s/ Timothy J. O’Shaughnessy</w:t>
            </w:r>
          </w:p>
        </w:tc>
      </w:tr>
      <w:tr>
        <w:trPr>
          <w:trHeight w:val="23"/>
        </w:trPr>
        <w:tc>
          <w:tcPr>
            <w:tcW w:w="3680" w:type="dxa"/>
            <w:vAlign w:val="bottom"/>
          </w:tcPr>
          <w:p>
            <w:pPr>
              <w:spacing w:after="0"/>
              <w:rPr>
                <w:sz w:val="2"/>
                <w:szCs w:val="2"/>
                <w:color w:val="auto"/>
              </w:rPr>
            </w:pPr>
          </w:p>
        </w:tc>
        <w:tc>
          <w:tcPr>
            <w:tcW w:w="3480" w:type="dxa"/>
            <w:vAlign w:val="bottom"/>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r>
      <w:tr>
        <w:trPr>
          <w:trHeight w:val="160"/>
        </w:trPr>
        <w:tc>
          <w:tcPr>
            <w:tcW w:w="368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402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rPr>
              <w:t>Timothy J. O’Shaughnessy,</w:t>
            </w:r>
          </w:p>
        </w:tc>
      </w:tr>
      <w:tr>
        <w:trPr>
          <w:trHeight w:val="144"/>
        </w:trPr>
        <w:tc>
          <w:tcPr>
            <w:tcW w:w="368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40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President &amp; Chief Executive Officer</w:t>
            </w:r>
          </w:p>
        </w:tc>
      </w:tr>
      <w:tr>
        <w:trPr>
          <w:trHeight w:val="196"/>
        </w:trPr>
        <w:tc>
          <w:tcPr>
            <w:tcW w:w="368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rPr>
              <w:t>(Principal Executive Officer)</w:t>
            </w:r>
          </w:p>
        </w:tc>
      </w:tr>
      <w:tr>
        <w:trPr>
          <w:trHeight w:val="307"/>
        </w:trPr>
        <w:tc>
          <w:tcPr>
            <w:tcW w:w="3680" w:type="dxa"/>
            <w:vAlign w:val="bottom"/>
          </w:tcPr>
          <w:p>
            <w:pPr>
              <w:spacing w:after="0"/>
              <w:rPr>
                <w:sz w:val="20"/>
                <w:szCs w:val="20"/>
                <w:color w:val="auto"/>
              </w:rPr>
            </w:pPr>
            <w:r>
              <w:rPr>
                <w:rFonts w:ascii="Arial" w:cs="Arial" w:eastAsia="Arial" w:hAnsi="Arial"/>
                <w:sz w:val="18"/>
                <w:szCs w:val="18"/>
                <w:color w:val="auto"/>
              </w:rPr>
              <w:t>Date: October 29, 2026</w:t>
            </w:r>
          </w:p>
        </w:tc>
        <w:tc>
          <w:tcPr>
            <w:tcW w:w="3480" w:type="dxa"/>
            <w:vAlign w:val="bottom"/>
          </w:tcPr>
          <w:p>
            <w:pPr>
              <w:spacing w:after="0"/>
              <w:rPr>
                <w:sz w:val="24"/>
                <w:szCs w:val="24"/>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9"/>
              </w:rPr>
              <w:t>/s/ Wallace R. Cooney</w:t>
            </w:r>
          </w:p>
        </w:tc>
      </w:tr>
      <w:tr>
        <w:trPr>
          <w:trHeight w:val="23"/>
        </w:trPr>
        <w:tc>
          <w:tcPr>
            <w:tcW w:w="3680" w:type="dxa"/>
            <w:vAlign w:val="bottom"/>
          </w:tcPr>
          <w:p>
            <w:pPr>
              <w:spacing w:after="0"/>
              <w:rPr>
                <w:sz w:val="2"/>
                <w:szCs w:val="2"/>
                <w:color w:val="auto"/>
              </w:rPr>
            </w:pPr>
          </w:p>
        </w:tc>
        <w:tc>
          <w:tcPr>
            <w:tcW w:w="3480" w:type="dxa"/>
            <w:vAlign w:val="bottom"/>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r>
      <w:tr>
        <w:trPr>
          <w:trHeight w:val="173"/>
        </w:trPr>
        <w:tc>
          <w:tcPr>
            <w:tcW w:w="368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rPr>
              <w:t>Wallace R. Cooney,</w:t>
            </w:r>
          </w:p>
        </w:tc>
      </w:tr>
      <w:tr>
        <w:trPr>
          <w:trHeight w:val="162"/>
        </w:trPr>
        <w:tc>
          <w:tcPr>
            <w:tcW w:w="36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rPr>
              <w:t>Chief Financial Officer</w:t>
            </w:r>
          </w:p>
        </w:tc>
      </w:tr>
      <w:tr>
        <w:trPr>
          <w:trHeight w:val="196"/>
        </w:trPr>
        <w:tc>
          <w:tcPr>
            <w:tcW w:w="368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rPr>
              <w:t>(Principal Financial Officer)</w:t>
            </w:r>
          </w:p>
        </w:tc>
      </w:tr>
      <w:tr>
        <w:trPr>
          <w:trHeight w:val="708"/>
        </w:trPr>
        <w:tc>
          <w:tcPr>
            <w:tcW w:w="3680" w:type="dxa"/>
            <w:vAlign w:val="bottom"/>
          </w:tcPr>
          <w:p>
            <w:pPr>
              <w:spacing w:after="0"/>
              <w:rPr>
                <w:sz w:val="24"/>
                <w:szCs w:val="24"/>
                <w:color w:val="auto"/>
              </w:rPr>
            </w:pPr>
          </w:p>
        </w:tc>
        <w:tc>
          <w:tcPr>
            <w:tcW w:w="3480" w:type="dxa"/>
            <w:vAlign w:val="bottom"/>
          </w:tcPr>
          <w:p>
            <w:pPr>
              <w:jc w:val="right"/>
              <w:ind w:right="1390"/>
              <w:spacing w:after="0"/>
              <w:rPr>
                <w:sz w:val="20"/>
                <w:szCs w:val="20"/>
                <w:color w:val="auto"/>
              </w:rPr>
            </w:pPr>
            <w:r>
              <w:rPr>
                <w:rFonts w:ascii="Arial" w:cs="Arial" w:eastAsia="Arial" w:hAnsi="Arial"/>
                <w:sz w:val="18"/>
                <w:szCs w:val="18"/>
                <w:color w:val="auto"/>
              </w:rPr>
              <w:t>51</w:t>
            </w:r>
          </w:p>
        </w:tc>
        <w:tc>
          <w:tcPr>
            <w:tcW w:w="4020" w:type="dxa"/>
            <w:vAlign w:val="bottom"/>
          </w:tcPr>
          <w:p>
            <w:pPr>
              <w:spacing w:after="0"/>
              <w:rPr>
                <w:sz w:val="24"/>
                <w:szCs w:val="24"/>
                <w:color w:val="auto"/>
              </w:rPr>
            </w:pPr>
          </w:p>
        </w:tc>
      </w:tr>
    </w:tbl>
    <w:p>
      <w:pPr>
        <w:sectPr>
          <w:pgSz w:w="11900" w:h="16838" w:orient="portrait"/>
          <w:cols w:equalWidth="0" w:num="1">
            <w:col w:w="11220"/>
          </w:cols>
          <w:pgMar w:left="320" w:top="1043" w:right="35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13a-14(a)/15d-14(a) 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302 OF THE SARBANES-OXLEY ACT OF 2002</w:t>
      </w:r>
    </w:p>
    <w:p>
      <w:pPr>
        <w:spacing w:after="0" w:line="153"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I, Timothy J. O’Shaughnessy, Chief Executive Officer (principal executive officer) of Graham Holdings Company (the “Registrant”), certify that:</w:t>
      </w:r>
    </w:p>
    <w:p>
      <w:pPr>
        <w:spacing w:after="0" w:line="99" w:lineRule="exact"/>
        <w:rPr>
          <w:sz w:val="20"/>
          <w:szCs w:val="20"/>
          <w:color w:val="auto"/>
        </w:rPr>
      </w:pPr>
    </w:p>
    <w:p>
      <w:pPr>
        <w:ind w:left="640" w:hanging="308"/>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171" w:lineRule="exact"/>
        <w:rPr>
          <w:rFonts w:ascii="Arial" w:cs="Arial" w:eastAsia="Arial" w:hAnsi="Arial"/>
          <w:sz w:val="18"/>
          <w:szCs w:val="18"/>
          <w:color w:val="auto"/>
        </w:rPr>
      </w:pPr>
    </w:p>
    <w:p>
      <w:pPr>
        <w:ind w:left="340" w:right="400" w:hanging="8"/>
        <w:spacing w:after="0" w:line="268" w:lineRule="auto"/>
        <w:tabs>
          <w:tab w:leader="none" w:pos="652"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jc w:val="both"/>
        <w:ind w:left="340" w:right="100" w:hanging="8"/>
        <w:spacing w:after="0" w:line="318" w:lineRule="auto"/>
        <w:tabs>
          <w:tab w:leader="none" w:pos="652"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7"/>
          <w:szCs w:val="17"/>
          <w:color w:val="auto"/>
        </w:rPr>
      </w:pPr>
    </w:p>
    <w:p>
      <w:pPr>
        <w:jc w:val="both"/>
        <w:ind w:left="340" w:right="80" w:hanging="8"/>
        <w:spacing w:after="0" w:line="276" w:lineRule="auto"/>
        <w:tabs>
          <w:tab w:leader="none" w:pos="652"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53" w:lineRule="exact"/>
        <w:rPr>
          <w:rFonts w:ascii="Arial" w:cs="Arial" w:eastAsia="Arial" w:hAnsi="Arial"/>
          <w:sz w:val="17"/>
          <w:szCs w:val="17"/>
          <w:color w:val="auto"/>
        </w:rPr>
      </w:pPr>
    </w:p>
    <w:p>
      <w:pPr>
        <w:jc w:val="both"/>
        <w:ind w:left="1300" w:right="20" w:hanging="320"/>
        <w:spacing w:after="0" w:line="268" w:lineRule="auto"/>
        <w:tabs>
          <w:tab w:leader="none" w:pos="1288"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ind w:left="1300" w:right="540" w:hanging="320"/>
        <w:spacing w:after="0" w:line="291" w:lineRule="auto"/>
        <w:tabs>
          <w:tab w:leader="none" w:pos="1288" w:val="left"/>
        </w:tabs>
        <w:numPr>
          <w:ilvl w:val="1"/>
          <w:numId w:val="2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8" w:lineRule="exact"/>
        <w:rPr>
          <w:rFonts w:ascii="Arial" w:cs="Arial" w:eastAsia="Arial" w:hAnsi="Arial"/>
          <w:sz w:val="17"/>
          <w:szCs w:val="17"/>
          <w:color w:val="auto"/>
        </w:rPr>
      </w:pPr>
    </w:p>
    <w:p>
      <w:pPr>
        <w:ind w:left="1300" w:right="300" w:hanging="320"/>
        <w:spacing w:after="0" w:line="268" w:lineRule="auto"/>
        <w:tabs>
          <w:tab w:leader="none" w:pos="1291" w:val="left"/>
        </w:tabs>
        <w:numPr>
          <w:ilvl w:val="1"/>
          <w:numId w:val="2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1300" w:right="300" w:hanging="320"/>
        <w:spacing w:after="0" w:line="291" w:lineRule="auto"/>
        <w:tabs>
          <w:tab w:leader="none" w:pos="1288" w:val="left"/>
        </w:tabs>
        <w:numPr>
          <w:ilvl w:val="1"/>
          <w:numId w:val="2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8" w:lineRule="exact"/>
        <w:rPr>
          <w:rFonts w:ascii="Arial" w:cs="Arial" w:eastAsia="Arial" w:hAnsi="Arial"/>
          <w:sz w:val="17"/>
          <w:szCs w:val="17"/>
          <w:color w:val="auto"/>
        </w:rPr>
      </w:pPr>
    </w:p>
    <w:p>
      <w:pPr>
        <w:ind w:left="340" w:hanging="8"/>
        <w:spacing w:after="0" w:line="268" w:lineRule="auto"/>
        <w:tabs>
          <w:tab w:leader="none" w:pos="652"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jc w:val="both"/>
        <w:ind w:left="1300" w:right="420" w:hanging="320"/>
        <w:spacing w:after="0" w:line="268" w:lineRule="auto"/>
        <w:tabs>
          <w:tab w:leader="none" w:pos="1288"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1300" w:right="780" w:hanging="320"/>
        <w:spacing w:after="0" w:line="287" w:lineRule="auto"/>
        <w:tabs>
          <w:tab w:leader="none" w:pos="1288"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Timothy J. O’Shaughnessy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00596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2005965" cy="8890"/>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Timothy J. O’Shaughnessy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29, 2026</w:t>
      </w:r>
    </w:p>
    <w:p>
      <w:pPr>
        <w:sectPr>
          <w:pgSz w:w="11900" w:h="16838" w:orient="portrait"/>
          <w:cols w:equalWidth="0" w:num="1">
            <w:col w:w="11240"/>
          </w:cols>
          <w:pgMar w:left="320" w:top="1147"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13a-14(a)/15d-14(a) CERTIFICATION OF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302 OF THE SARBANES-OXLEY ACT OF 2002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I, Wallace R. Cooney, Chief Financial Officer (principal financial officer) of Graham Holdings Company (the “Registrant”), certify that:</w:t>
      </w:r>
    </w:p>
    <w:p>
      <w:pPr>
        <w:spacing w:after="0" w:line="171" w:lineRule="exact"/>
        <w:rPr>
          <w:sz w:val="20"/>
          <w:szCs w:val="20"/>
          <w:color w:val="auto"/>
        </w:rPr>
      </w:pPr>
    </w:p>
    <w:p>
      <w:pPr>
        <w:ind w:left="640" w:hanging="308"/>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171" w:lineRule="exact"/>
        <w:rPr>
          <w:rFonts w:ascii="Arial" w:cs="Arial" w:eastAsia="Arial" w:hAnsi="Arial"/>
          <w:sz w:val="18"/>
          <w:szCs w:val="18"/>
          <w:color w:val="auto"/>
        </w:rPr>
      </w:pPr>
    </w:p>
    <w:p>
      <w:pPr>
        <w:ind w:left="340" w:right="400" w:hanging="8"/>
        <w:spacing w:after="0" w:line="268" w:lineRule="auto"/>
        <w:tabs>
          <w:tab w:leader="none" w:pos="652"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jc w:val="both"/>
        <w:ind w:left="340" w:right="100" w:hanging="8"/>
        <w:spacing w:after="0" w:line="318" w:lineRule="auto"/>
        <w:tabs>
          <w:tab w:leader="none" w:pos="652"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7"/>
          <w:szCs w:val="17"/>
          <w:color w:val="auto"/>
        </w:rPr>
      </w:pPr>
    </w:p>
    <w:p>
      <w:pPr>
        <w:jc w:val="both"/>
        <w:ind w:left="340" w:right="80" w:hanging="8"/>
        <w:spacing w:after="0" w:line="276" w:lineRule="auto"/>
        <w:tabs>
          <w:tab w:leader="none" w:pos="652"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53" w:lineRule="exact"/>
        <w:rPr>
          <w:rFonts w:ascii="Arial" w:cs="Arial" w:eastAsia="Arial" w:hAnsi="Arial"/>
          <w:sz w:val="17"/>
          <w:szCs w:val="17"/>
          <w:color w:val="auto"/>
        </w:rPr>
      </w:pPr>
    </w:p>
    <w:p>
      <w:pPr>
        <w:jc w:val="both"/>
        <w:ind w:left="1300" w:right="20" w:hanging="320"/>
        <w:spacing w:after="0" w:line="268" w:lineRule="auto"/>
        <w:tabs>
          <w:tab w:leader="none" w:pos="1288"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ind w:left="1300" w:right="540" w:hanging="320"/>
        <w:spacing w:after="0" w:line="291" w:lineRule="auto"/>
        <w:tabs>
          <w:tab w:leader="none" w:pos="1288" w:val="left"/>
        </w:tabs>
        <w:numPr>
          <w:ilvl w:val="1"/>
          <w:numId w:val="2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8" w:lineRule="exact"/>
        <w:rPr>
          <w:rFonts w:ascii="Arial" w:cs="Arial" w:eastAsia="Arial" w:hAnsi="Arial"/>
          <w:sz w:val="17"/>
          <w:szCs w:val="17"/>
          <w:color w:val="auto"/>
        </w:rPr>
      </w:pPr>
    </w:p>
    <w:p>
      <w:pPr>
        <w:ind w:left="1300" w:right="300" w:hanging="320"/>
        <w:spacing w:after="0" w:line="268" w:lineRule="auto"/>
        <w:tabs>
          <w:tab w:leader="none" w:pos="1291" w:val="left"/>
        </w:tabs>
        <w:numPr>
          <w:ilvl w:val="1"/>
          <w:numId w:val="2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1300" w:right="300" w:hanging="320"/>
        <w:spacing w:after="0" w:line="291" w:lineRule="auto"/>
        <w:tabs>
          <w:tab w:leader="none" w:pos="1288" w:val="left"/>
        </w:tabs>
        <w:numPr>
          <w:ilvl w:val="1"/>
          <w:numId w:val="2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8" w:lineRule="exact"/>
        <w:rPr>
          <w:rFonts w:ascii="Arial" w:cs="Arial" w:eastAsia="Arial" w:hAnsi="Arial"/>
          <w:sz w:val="17"/>
          <w:szCs w:val="17"/>
          <w:color w:val="auto"/>
        </w:rPr>
      </w:pPr>
    </w:p>
    <w:p>
      <w:pPr>
        <w:ind w:left="340" w:hanging="8"/>
        <w:spacing w:after="0" w:line="268" w:lineRule="auto"/>
        <w:tabs>
          <w:tab w:leader="none" w:pos="652"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jc w:val="both"/>
        <w:ind w:left="1300" w:right="420" w:hanging="320"/>
        <w:spacing w:after="0" w:line="268" w:lineRule="auto"/>
        <w:tabs>
          <w:tab w:leader="none" w:pos="1288"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1300" w:right="780" w:hanging="320"/>
        <w:spacing w:after="0" w:line="287" w:lineRule="auto"/>
        <w:tabs>
          <w:tab w:leader="none" w:pos="1288"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00596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Wallace R. Cooney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29, 2026</w:t>
      </w:r>
    </w:p>
    <w:p>
      <w:pPr>
        <w:sectPr>
          <w:pgSz w:w="11900" w:h="16838" w:orient="portrait"/>
          <w:cols w:equalWidth="0" w:num="1">
            <w:col w:w="11240"/>
          </w:cols>
          <w:pgMar w:left="320" w:top="1147"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 OF THE CHIEF EXECUTIVE OFFICER AND THE CHIEF FINANCIAL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 OF THE SARBANES-OXLEY ACT OF 2002</w:t>
      </w:r>
    </w:p>
    <w:p>
      <w:pPr>
        <w:spacing w:after="0" w:line="153"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In connection with the Quarterly Report of Graham Holdings Company (the “Company”) on Form 10-Q for the period ended September 30, 2026 (the “Report”), Timothy J. O’Shaughnessy, Chief Executive Officer (principal executive officer) of the Company and Wallace R. Cooney, Chief Financial Officer (principal financial officer) of the Company, each hereby certifies, pursuant to 18 U.S.C. Section 1350, as adopted pursuant to Section 906 of the Sarbanes-Oxley Act of 2002, that:</w:t>
      </w:r>
    </w:p>
    <w:p>
      <w:pPr>
        <w:spacing w:after="0" w:line="122" w:lineRule="exact"/>
        <w:rPr>
          <w:sz w:val="20"/>
          <w:szCs w:val="20"/>
          <w:color w:val="auto"/>
        </w:rPr>
      </w:pPr>
    </w:p>
    <w:p>
      <w:pPr>
        <w:ind w:left="320" w:hanging="312"/>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340" w:right="340" w:hanging="332"/>
        <w:spacing w:after="0" w:line="287" w:lineRule="auto"/>
        <w:tabs>
          <w:tab w:leader="none" w:pos="33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Timothy J. O’Shaughnessy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00596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2005965" cy="8890"/>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Timothy J. O’Shaughnessy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29, 2026</w:t>
      </w:r>
    </w:p>
    <w:p>
      <w:pPr>
        <w:spacing w:after="0" w:line="26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00596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Wallace R. Cooney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29, 2026</w:t>
      </w:r>
    </w:p>
    <w:sectPr>
      <w:pgSz w:w="11900" w:h="16838" w:orient="portrait"/>
      <w:cols w:equalWidth="0" w:num="1">
        <w:col w:w="11240"/>
      </w:cols>
      <w:pgMar w:left="320" w:top="11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lowerRoman"/>
      <w:start w:val="1"/>
    </w:lvl>
  </w:abstractNum>
  <w:abstractNum w:abstractNumId="3">
    <w:nsid w:val="25E45D32"/>
    <w:multiLevelType w:val="hybridMultilevel"/>
    <w:lvl w:ilvl="0">
      <w:lvlJc w:val="left"/>
      <w:lvlText w:val="(%1)"/>
      <w:numFmt w:val="decimal"/>
      <w:start w:val="1"/>
    </w:lvl>
  </w:abstractNum>
  <w:abstractNum w:abstractNumId="4">
    <w:nsid w:val="519B500D"/>
    <w:multiLevelType w:val="hybridMultilevel"/>
    <w:lvl w:ilvl="0">
      <w:lvlJc w:val="left"/>
      <w:lvlText w:val="(%1)"/>
      <w:numFmt w:val="decimal"/>
      <w:start w:val="1"/>
    </w:lvl>
  </w:abstractNum>
  <w:abstractNum w:abstractNumId="5">
    <w:nsid w:val="431BD7B7"/>
    <w:multiLevelType w:val="hybridMultilevel"/>
    <w:lvl w:ilvl="0">
      <w:lvlJc w:val="left"/>
      <w:lvlText w:val="(%1)"/>
      <w:numFmt w:val="decimal"/>
      <w:start w:val="1"/>
    </w:lvl>
  </w:abstractNum>
  <w:abstractNum w:abstractNumId="6">
    <w:nsid w:val="3F2DBA31"/>
    <w:multiLevelType w:val="hybridMultilevel"/>
    <w:lvl w:ilvl="0">
      <w:lvlJc w:val="left"/>
      <w:lvlText w:val="(%1)"/>
      <w:numFmt w:val="decimal"/>
      <w:start w:val="1"/>
    </w:lvl>
  </w:abstractNum>
  <w:abstractNum w:abstractNumId="7">
    <w:nsid w:val="7C83E458"/>
    <w:multiLevelType w:val="hybridMultilevel"/>
    <w:lvl w:ilvl="0">
      <w:lvlJc w:val="left"/>
      <w:lvlText w:val="(%1)"/>
      <w:numFmt w:val="decimal"/>
      <w:start w:val="1"/>
    </w:lvl>
    <w:lvl w:ilvl="1">
      <w:lvlJc w:val="left"/>
      <w:lvlText w:val="(%2)"/>
      <w:numFmt w:val="lowerLetter"/>
      <w:start w:val="1"/>
    </w:lvl>
  </w:abstractNum>
  <w:abstractNum w:abstractNumId="8">
    <w:nsid w:val="257130A3"/>
    <w:multiLevelType w:val="hybridMultilevel"/>
    <w:lvl w:ilvl="0">
      <w:lvlJc w:val="left"/>
      <w:lvlText w:val="(%1)"/>
      <w:numFmt w:val="decimal"/>
      <w:start w:val="1"/>
    </w:lvl>
    <w:lvl w:ilvl="1">
      <w:lvlJc w:val="left"/>
      <w:lvlText w:val="(%2)"/>
      <w:numFmt w:val="lowerLetter"/>
      <w:start w:val="1"/>
    </w:lvl>
  </w:abstractNum>
  <w:abstractNum w:abstractNumId="9">
    <w:nsid w:val="62BBD95A"/>
    <w:multiLevelType w:val="hybridMultilevel"/>
    <w:lvl w:ilvl="0">
      <w:lvlJc w:val="left"/>
      <w:lvlText w:val="(%1)"/>
      <w:numFmt w:val="decimal"/>
      <w:start w:val="1"/>
    </w:lvl>
  </w:abstractNum>
  <w:abstractNum w:abstractNumId="10">
    <w:nsid w:val="436C6125"/>
    <w:multiLevelType w:val="hybridMultilevel"/>
    <w:lvl w:ilvl="0">
      <w:lvlJc w:val="left"/>
      <w:lvlText w:val="(%1)"/>
      <w:numFmt w:val="decimal"/>
      <w:start w:val="1"/>
    </w:lvl>
    <w:lvl w:ilvl="1">
      <w:lvlJc w:val="left"/>
      <w:lvlText w:val="(%2)"/>
      <w:numFmt w:val="lowerLetter"/>
      <w:start w:val="1"/>
    </w:lvl>
  </w:abstractNum>
  <w:abstractNum w:abstractNumId="11">
    <w:nsid w:val="628C895D"/>
    <w:multiLevelType w:val="hybridMultilevel"/>
    <w:lvl w:ilvl="0">
      <w:lvlJc w:val="left"/>
      <w:lvlText w:val="(%1)"/>
      <w:numFmt w:val="decimal"/>
      <w:start w:val="1"/>
    </w:lvl>
    <w:lvl w:ilvl="1">
      <w:lvlJc w:val="left"/>
      <w:lvlText w:val="(%2)"/>
      <w:numFmt w:val="lowerLetter"/>
      <w:start w:val="1"/>
    </w:lvl>
  </w:abstractNum>
  <w:abstractNum w:abstractNumId="12">
    <w:nsid w:val="333AB105"/>
    <w:multiLevelType w:val="hybridMultilevel"/>
    <w:lvl w:ilvl="0">
      <w:lvlJc w:val="left"/>
      <w:lvlText w:val="(%1)"/>
      <w:numFmt w:val="decimal"/>
      <w:start w:val="1"/>
    </w:lvl>
  </w:abstractNum>
  <w:abstractNum w:abstractNumId="13">
    <w:nsid w:val="721DA317"/>
    <w:multiLevelType w:val="hybridMultilevel"/>
    <w:lvl w:ilvl="0">
      <w:lvlJc w:val="left"/>
      <w:lvlText w:val="(%1)"/>
      <w:numFmt w:val="decimal"/>
      <w:start w:val="1"/>
    </w:lvl>
    <w:lvl w:ilvl="1">
      <w:lvlJc w:val="left"/>
      <w:lvlText w:val="(%2)"/>
      <w:numFmt w:val="lowerLetter"/>
      <w:start w:val="1"/>
    </w:lvl>
  </w:abstractNum>
  <w:abstractNum w:abstractNumId="14">
    <w:nsid w:val="2443A858"/>
    <w:multiLevelType w:val="hybridMultilevel"/>
    <w:lvl w:ilvl="0">
      <w:lvlJc w:val="left"/>
      <w:lvlText w:val="(%1)"/>
      <w:numFmt w:val="decimal"/>
      <w:start w:val="1"/>
    </w:lvl>
    <w:lvl w:ilvl="1">
      <w:lvlJc w:val="left"/>
      <w:lvlText w:val="(%2)"/>
      <w:numFmt w:val="lowerLetter"/>
      <w:start w:val="1"/>
    </w:lvl>
  </w:abstractNum>
  <w:abstractNum w:abstractNumId="15">
    <w:nsid w:val="2D1D5AE9"/>
    <w:multiLevelType w:val="hybridMultilevel"/>
    <w:lvl w:ilvl="0">
      <w:lvlJc w:val="left"/>
      <w:lvlText w:val="(%1)"/>
      <w:numFmt w:val="decimal"/>
      <w:start w:val="1"/>
    </w:lvl>
  </w:abstractNum>
  <w:abstractNum w:abstractNumId="16">
    <w:nsid w:val="6763845E"/>
    <w:multiLevelType w:val="hybridMultilevel"/>
    <w:lvl w:ilvl="0">
      <w:lvlJc w:val="left"/>
      <w:lvlText w:val="(%1)"/>
      <w:numFmt w:val="decimal"/>
      <w:start w:val="1"/>
    </w:lvl>
    <w:lvl w:ilvl="1">
      <w:lvlJc w:val="left"/>
      <w:lvlText w:val="(%2)"/>
      <w:numFmt w:val="lowerLetter"/>
      <w:start w:val="1"/>
    </w:lvl>
  </w:abstractNum>
  <w:abstractNum w:abstractNumId="17">
    <w:nsid w:val="75A2A8D4"/>
    <w:multiLevelType w:val="hybridMultilevel"/>
    <w:lvl w:ilvl="0">
      <w:lvlJc w:val="left"/>
      <w:lvlText w:val="(%1)"/>
      <w:numFmt w:val="decimal"/>
      <w:start w:val="1"/>
    </w:lvl>
    <w:lvl w:ilvl="1">
      <w:lvlJc w:val="left"/>
      <w:lvlText w:val="(%2)"/>
      <w:numFmt w:val="lowerLetter"/>
      <w:start w:val="1"/>
    </w:lvl>
  </w:abstractNum>
  <w:abstractNum w:abstractNumId="18">
    <w:nsid w:val="8EDBDAB"/>
    <w:multiLevelType w:val="hybridMultilevel"/>
    <w:lvl w:ilvl="0">
      <w:lvlJc w:val="left"/>
      <w:lvlText w:val="(%1)"/>
      <w:numFmt w:val="decimal"/>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1)"/>
      <w:numFmt w:val="decimal"/>
      <w:start w:val="1"/>
    </w:lvl>
  </w:abstractNum>
  <w:abstractNum w:abstractNumId="24">
    <w:nsid w:val="71F32454"/>
    <w:multiLevelType w:val="hybridMultilevel"/>
    <w:lvl w:ilvl="0">
      <w:lvlJc w:val="left"/>
      <w:lvlText w:val="(%1)"/>
      <w:numFmt w:val="decimal"/>
      <w:start w:val="1"/>
    </w:lvl>
  </w:abstractNum>
  <w:abstractNum w:abstractNumId="25">
    <w:nsid w:val="2CA88611"/>
    <w:multiLevelType w:val="hybridMultilevel"/>
    <w:lvl w:ilvl="0">
      <w:lvlJc w:val="left"/>
      <w:lvlText w:val="%1"/>
      <w:numFmt w:val="decimal"/>
      <w:start w:val="32"/>
    </w:lvl>
  </w:abstractNum>
  <w:abstractNum w:abstractNumId="26">
    <w:nsid w:val="836C40E"/>
    <w:multiLevelType w:val="hybridMultilevel"/>
    <w:lvl w:ilvl="0">
      <w:lvlJc w:val="left"/>
      <w:lvlText w:val="*"/>
      <w:numFmt w:val="bullet"/>
      <w:start w:val="1"/>
    </w:lvl>
    <w:lvl w:ilvl="1">
      <w:lvlJc w:val="left"/>
      <w:lvlText w:val="%2"/>
      <w:numFmt w:val="decimal"/>
      <w:start w:val="104"/>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lvl w:ilvl="1">
      <w:lvlJc w:val="left"/>
      <w:lvlText w:val="%2."/>
      <w:numFmt w:val="lowerLetter"/>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76" Type="http://schemas.openxmlformats.org/officeDocument/2006/relationships/hyperlink" Target="https://www.sec.gov/Archives/edgar/data/104889/000095013304000785/w94191exv3w1.htm" TargetMode="External"/><Relationship Id="rId77" Type="http://schemas.openxmlformats.org/officeDocument/2006/relationships/hyperlink" Target="https://www.sec.gov/Archives/edgar/data/104889/000095015713000428/ex3-1.htm" TargetMode="External"/><Relationship Id="rId78" Type="http://schemas.openxmlformats.org/officeDocument/2006/relationships/hyperlink" Target="https://www.sec.gov/Archives/edgar/data/104889/000010488924000047/a2024-09x12form8xkexhibit31.htm" TargetMode="External"/><Relationship Id="rId79" Type="http://schemas.openxmlformats.org/officeDocument/2006/relationships/hyperlink" Target="https://www.sec.gov/Archives/edgar/data/104889/000162828025053825/a2025-11x24form8xkexhibit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2026-10-29T07:21:31Z</dcterms:created>
  <dcterms:modified xsi:type="dcterms:W3CDTF">2026-10-29T07:21:31Z</dcterms:modified>
</cp:coreProperties>
</file>