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Current Report Pursuant to Section 13 or 15(d)</w:t>
      </w:r>
    </w:p>
    <w:p>
      <w:pPr>
        <w:jc w:val="center"/>
        <w:ind w:right="325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Date of Report (Date of earliest event reported) January 20, 2006</w:t>
      </w:r>
    </w:p>
    <w:p>
      <w:pPr>
        <w:spacing w:after="0" w:line="21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THE WASHINGTON POST COMPANY</w:t>
      </w:r>
    </w:p>
    <w:p>
      <w:pPr>
        <w:jc w:val="center"/>
        <w:ind w:right="31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Delaware</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1-6714</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rPr>
              <w:t>53-0182885</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(State or other</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(Commission File</w:t>
            </w:r>
          </w:p>
        </w:tc>
        <w:tc>
          <w:tcPr>
            <w:tcW w:w="23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jurisdiction of</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Number)</w:t>
            </w:r>
          </w:p>
        </w:tc>
        <w:tc>
          <w:tcPr>
            <w:tcW w:w="23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incorporation)</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3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1150 15th Street,</w:t>
            </w:r>
          </w:p>
        </w:tc>
        <w:tc>
          <w:tcPr>
            <w:tcW w:w="2160" w:type="dxa"/>
            <w:vAlign w:val="bottom"/>
          </w:tcPr>
          <w:p>
            <w:pPr>
              <w:spacing w:after="0"/>
              <w:rPr>
                <w:sz w:val="24"/>
                <w:szCs w:val="24"/>
                <w:color w:val="auto"/>
              </w:rPr>
            </w:pPr>
          </w:p>
        </w:tc>
        <w:tc>
          <w:tcPr>
            <w:tcW w:w="23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20071</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N.W. Washington, D.C.</w:t>
            </w:r>
          </w:p>
        </w:tc>
        <w:tc>
          <w:tcPr>
            <w:tcW w:w="2160" w:type="dxa"/>
            <w:vAlign w:val="bottom"/>
          </w:tcPr>
          <w:p>
            <w:pPr>
              <w:spacing w:after="0"/>
              <w:rPr>
                <w:sz w:val="17"/>
                <w:szCs w:val="17"/>
                <w:color w:val="auto"/>
              </w:rPr>
            </w:pP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(Address of principal</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3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executive offices)</w:t>
            </w:r>
          </w:p>
        </w:tc>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(202) 334-6000</w:t>
      </w:r>
    </w:p>
    <w:p>
      <w:pPr>
        <w:jc w:val="center"/>
        <w:ind w:right="32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Not Applicable</w:t>
      </w:r>
    </w:p>
    <w:p>
      <w:pPr>
        <w:jc w:val="center"/>
        <w:ind w:right="32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w:t>
      </w:r>
    </w:p>
    <w:p>
      <w:pPr>
        <w:spacing w:after="0" w:line="207" w:lineRule="exact"/>
        <w:rPr>
          <w:sz w:val="24"/>
          <w:szCs w:val="24"/>
          <w:color w:val="auto"/>
        </w:rPr>
      </w:pPr>
    </w:p>
    <w:p>
      <w:pPr>
        <w:ind w:left="540" w:right="409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540" w:right="367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540" w:right="367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1 - Registrants Business and Operations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Item 1.01(a) On January 20, 2006, the Board of</w:t>
      </w:r>
    </w:p>
    <w:p>
      <w:pPr>
        <w:spacing w:after="0" w:line="238" w:lineRule="auto"/>
        <w:rPr>
          <w:sz w:val="20"/>
          <w:szCs w:val="20"/>
          <w:color w:val="auto"/>
        </w:rPr>
      </w:pPr>
      <w:r>
        <w:rPr>
          <w:rFonts w:ascii="Courier New" w:cs="Courier New" w:eastAsia="Courier New" w:hAnsi="Courier New"/>
          <w:sz w:val="18"/>
          <w:szCs w:val="18"/>
          <w:color w:val="auto"/>
        </w:rPr>
        <w:t>Directors of the Company approved a series of amendments</w:t>
      </w:r>
    </w:p>
    <w:p>
      <w:pPr>
        <w:spacing w:after="0"/>
        <w:rPr>
          <w:sz w:val="20"/>
          <w:szCs w:val="20"/>
          <w:color w:val="auto"/>
        </w:rPr>
      </w:pPr>
      <w:r>
        <w:rPr>
          <w:rFonts w:ascii="Courier New" w:cs="Courier New" w:eastAsia="Courier New" w:hAnsi="Courier New"/>
          <w:sz w:val="18"/>
          <w:szCs w:val="18"/>
          <w:color w:val="auto"/>
        </w:rPr>
        <w:t>to The Washington Post Company Incentive Compensation Plan</w:t>
      </w:r>
    </w:p>
    <w:p>
      <w:pPr>
        <w:spacing w:after="0" w:line="237" w:lineRule="auto"/>
        <w:rPr>
          <w:sz w:val="20"/>
          <w:szCs w:val="20"/>
          <w:color w:val="auto"/>
        </w:rPr>
      </w:pPr>
      <w:r>
        <w:rPr>
          <w:rFonts w:ascii="Courier New" w:cs="Courier New" w:eastAsia="Courier New" w:hAnsi="Courier New"/>
          <w:sz w:val="18"/>
          <w:szCs w:val="18"/>
          <w:color w:val="auto"/>
        </w:rPr>
        <w:t>(the Plan). The primary purpose of the changes to the</w:t>
      </w:r>
    </w:p>
    <w:p>
      <w:pPr>
        <w:spacing w:after="0" w:line="238" w:lineRule="auto"/>
        <w:rPr>
          <w:sz w:val="20"/>
          <w:szCs w:val="20"/>
          <w:color w:val="auto"/>
        </w:rPr>
      </w:pPr>
      <w:r>
        <w:rPr>
          <w:rFonts w:ascii="Courier New" w:cs="Courier New" w:eastAsia="Courier New" w:hAnsi="Courier New"/>
          <w:sz w:val="18"/>
          <w:szCs w:val="18"/>
          <w:color w:val="auto"/>
        </w:rPr>
        <w:t>Plan was to give the Compensation Committee of the Company</w:t>
      </w:r>
    </w:p>
    <w:p>
      <w:pPr>
        <w:spacing w:after="0"/>
        <w:rPr>
          <w:sz w:val="20"/>
          <w:szCs w:val="20"/>
          <w:color w:val="auto"/>
        </w:rPr>
      </w:pPr>
      <w:r>
        <w:rPr>
          <w:rFonts w:ascii="Courier New" w:cs="Courier New" w:eastAsia="Courier New" w:hAnsi="Courier New"/>
          <w:sz w:val="18"/>
          <w:szCs w:val="18"/>
          <w:color w:val="auto"/>
        </w:rPr>
        <w:t>greater flexibility in making special restricted stock</w:t>
      </w:r>
    </w:p>
    <w:p>
      <w:pPr>
        <w:spacing w:after="0" w:line="237" w:lineRule="auto"/>
        <w:rPr>
          <w:sz w:val="20"/>
          <w:szCs w:val="20"/>
          <w:color w:val="auto"/>
        </w:rPr>
      </w:pPr>
      <w:r>
        <w:rPr>
          <w:rFonts w:ascii="Courier New" w:cs="Courier New" w:eastAsia="Courier New" w:hAnsi="Courier New"/>
          <w:sz w:val="18"/>
          <w:szCs w:val="18"/>
          <w:color w:val="auto"/>
        </w:rPr>
        <w:t>grants outside of the normal Award Cycle provided in the</w:t>
      </w:r>
    </w:p>
    <w:p>
      <w:pPr>
        <w:spacing w:after="0"/>
        <w:tabs>
          <w:tab w:leader="none" w:pos="3140" w:val="left"/>
        </w:tabs>
        <w:rPr>
          <w:sz w:val="20"/>
          <w:szCs w:val="20"/>
          <w:color w:val="auto"/>
        </w:rPr>
      </w:pPr>
      <w:r>
        <w:rPr>
          <w:rFonts w:ascii="Courier New" w:cs="Courier New" w:eastAsia="Courier New" w:hAnsi="Courier New"/>
          <w:sz w:val="18"/>
          <w:szCs w:val="18"/>
          <w:color w:val="auto"/>
        </w:rPr>
        <w:t>Plan prior to its amendment.</w:t>
      </w:r>
      <w:r>
        <w:rPr>
          <w:sz w:val="20"/>
          <w:szCs w:val="20"/>
          <w:color w:val="auto"/>
        </w:rPr>
        <w:tab/>
      </w:r>
      <w:r>
        <w:rPr>
          <w:rFonts w:ascii="Courier New" w:cs="Courier New" w:eastAsia="Courier New" w:hAnsi="Courier New"/>
          <w:sz w:val="16"/>
          <w:szCs w:val="16"/>
          <w:color w:val="auto"/>
        </w:rPr>
        <w:t>There were additional amendments</w:t>
      </w:r>
    </w:p>
    <w:p>
      <w:pPr>
        <w:spacing w:after="0" w:line="237" w:lineRule="auto"/>
        <w:rPr>
          <w:sz w:val="20"/>
          <w:szCs w:val="20"/>
          <w:color w:val="auto"/>
        </w:rPr>
      </w:pPr>
      <w:r>
        <w:rPr>
          <w:rFonts w:ascii="Courier New" w:cs="Courier New" w:eastAsia="Courier New" w:hAnsi="Courier New"/>
          <w:sz w:val="18"/>
          <w:szCs w:val="18"/>
          <w:color w:val="auto"/>
        </w:rPr>
        <w:t>to the Plan which eliminate the right of an employee whose</w:t>
      </w:r>
    </w:p>
    <w:p>
      <w:pPr>
        <w:spacing w:after="0"/>
        <w:rPr>
          <w:sz w:val="20"/>
          <w:szCs w:val="20"/>
          <w:color w:val="auto"/>
        </w:rPr>
      </w:pPr>
      <w:r>
        <w:rPr>
          <w:rFonts w:ascii="Courier New" w:cs="Courier New" w:eastAsia="Courier New" w:hAnsi="Courier New"/>
          <w:sz w:val="18"/>
          <w:szCs w:val="18"/>
          <w:color w:val="auto"/>
        </w:rPr>
        <w:t>employment terminated prior to the completion of two years of</w:t>
      </w:r>
    </w:p>
    <w:p>
      <w:pPr>
        <w:spacing w:after="0" w:line="237" w:lineRule="auto"/>
        <w:rPr>
          <w:sz w:val="20"/>
          <w:szCs w:val="20"/>
          <w:color w:val="auto"/>
        </w:rPr>
      </w:pPr>
      <w:r>
        <w:rPr>
          <w:rFonts w:ascii="Courier New" w:cs="Courier New" w:eastAsia="Courier New" w:hAnsi="Courier New"/>
          <w:sz w:val="18"/>
          <w:szCs w:val="18"/>
          <w:color w:val="auto"/>
        </w:rPr>
        <w:t>an Award Cycle by reason of death, disability or retirement</w:t>
      </w:r>
    </w:p>
    <w:p>
      <w:pPr>
        <w:spacing w:after="0" w:line="238" w:lineRule="auto"/>
        <w:rPr>
          <w:sz w:val="20"/>
          <w:szCs w:val="20"/>
          <w:color w:val="auto"/>
        </w:rPr>
      </w:pPr>
      <w:r>
        <w:rPr>
          <w:rFonts w:ascii="Courier New" w:cs="Courier New" w:eastAsia="Courier New" w:hAnsi="Courier New"/>
          <w:sz w:val="18"/>
          <w:szCs w:val="18"/>
          <w:color w:val="auto"/>
        </w:rPr>
        <w:t>at normal retirement age from having an automatic right to</w:t>
      </w:r>
    </w:p>
    <w:p>
      <w:pPr>
        <w:spacing w:after="0"/>
        <w:tabs>
          <w:tab w:leader="none" w:pos="5680" w:val="left"/>
        </w:tabs>
        <w:rPr>
          <w:sz w:val="20"/>
          <w:szCs w:val="20"/>
          <w:color w:val="auto"/>
        </w:rPr>
      </w:pPr>
      <w:r>
        <w:rPr>
          <w:rFonts w:ascii="Courier New" w:cs="Courier New" w:eastAsia="Courier New" w:hAnsi="Courier New"/>
          <w:sz w:val="18"/>
          <w:szCs w:val="18"/>
          <w:color w:val="auto"/>
        </w:rPr>
        <w:t>receive a prorata portion of a grant under the Plan.</w:t>
      </w:r>
      <w:r>
        <w:rPr>
          <w:sz w:val="20"/>
          <w:szCs w:val="20"/>
          <w:color w:val="auto"/>
        </w:rPr>
        <w:tab/>
      </w:r>
      <w:r>
        <w:rPr>
          <w:rFonts w:ascii="Courier New" w:cs="Courier New" w:eastAsia="Courier New" w:hAnsi="Courier New"/>
          <w:sz w:val="16"/>
          <w:szCs w:val="16"/>
          <w:color w:val="auto"/>
        </w:rPr>
        <w:t>There</w:t>
      </w:r>
    </w:p>
    <w:p>
      <w:pPr>
        <w:spacing w:after="0" w:line="237" w:lineRule="auto"/>
        <w:rPr>
          <w:sz w:val="20"/>
          <w:szCs w:val="20"/>
          <w:color w:val="auto"/>
        </w:rPr>
      </w:pPr>
      <w:r>
        <w:rPr>
          <w:rFonts w:ascii="Courier New" w:cs="Courier New" w:eastAsia="Courier New" w:hAnsi="Courier New"/>
          <w:sz w:val="18"/>
          <w:szCs w:val="18"/>
          <w:color w:val="auto"/>
        </w:rPr>
        <w:t>also were amendments related to the treatment of participants</w:t>
      </w:r>
    </w:p>
    <w:p>
      <w:pPr>
        <w:spacing w:after="0"/>
        <w:rPr>
          <w:sz w:val="20"/>
          <w:szCs w:val="20"/>
          <w:color w:val="auto"/>
        </w:rPr>
      </w:pPr>
      <w:r>
        <w:rPr>
          <w:rFonts w:ascii="Courier New" w:cs="Courier New" w:eastAsia="Courier New" w:hAnsi="Courier New"/>
          <w:sz w:val="18"/>
          <w:szCs w:val="18"/>
          <w:color w:val="auto"/>
        </w:rPr>
        <w:t>who are on certain types of unpaid leaves of absence with</w:t>
      </w:r>
    </w:p>
    <w:p>
      <w:pPr>
        <w:spacing w:after="0" w:line="237" w:lineRule="auto"/>
        <w:rPr>
          <w:sz w:val="20"/>
          <w:szCs w:val="20"/>
          <w:color w:val="auto"/>
        </w:rPr>
      </w:pPr>
      <w:r>
        <w:rPr>
          <w:rFonts w:ascii="Courier New" w:cs="Courier New" w:eastAsia="Courier New" w:hAnsi="Courier New"/>
          <w:sz w:val="18"/>
          <w:szCs w:val="18"/>
          <w:color w:val="auto"/>
        </w:rPr>
        <w:t>respect to the vesting and payout of grants of restricted</w:t>
      </w:r>
    </w:p>
    <w:p>
      <w:pPr>
        <w:spacing w:after="0"/>
        <w:rPr>
          <w:sz w:val="20"/>
          <w:szCs w:val="20"/>
          <w:color w:val="auto"/>
        </w:rPr>
      </w:pPr>
      <w:r>
        <w:rPr>
          <w:rFonts w:ascii="Courier New" w:cs="Courier New" w:eastAsia="Courier New" w:hAnsi="Courier New"/>
          <w:sz w:val="18"/>
          <w:szCs w:val="18"/>
          <w:color w:val="auto"/>
        </w:rPr>
        <w:t>stock and performance units under the Plan, as well as certain</w:t>
      </w:r>
    </w:p>
    <w:p>
      <w:pPr>
        <w:spacing w:after="0" w:line="237" w:lineRule="auto"/>
        <w:rPr>
          <w:sz w:val="20"/>
          <w:szCs w:val="20"/>
          <w:color w:val="auto"/>
        </w:rPr>
      </w:pPr>
      <w:r>
        <w:rPr>
          <w:rFonts w:ascii="Courier New" w:cs="Courier New" w:eastAsia="Courier New" w:hAnsi="Courier New"/>
          <w:sz w:val="18"/>
          <w:szCs w:val="18"/>
          <w:color w:val="auto"/>
        </w:rPr>
        <w:t>other non-material procedural and administrative amendments</w:t>
      </w:r>
    </w:p>
    <w:p>
      <w:pPr>
        <w:spacing w:after="0" w:line="238" w:lineRule="auto"/>
        <w:rPr>
          <w:sz w:val="20"/>
          <w:szCs w:val="20"/>
          <w:color w:val="auto"/>
        </w:rPr>
      </w:pPr>
      <w:r>
        <w:rPr>
          <w:rFonts w:ascii="Courier New" w:cs="Courier New" w:eastAsia="Courier New" w:hAnsi="Courier New"/>
          <w:sz w:val="18"/>
          <w:szCs w:val="18"/>
          <w:color w:val="auto"/>
        </w:rPr>
        <w:t>to the Plan.</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Item 9.01(c) Exhibits</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Washington Post Company Incentive Compensation</w:t>
      </w:r>
    </w:p>
    <w:p>
      <w:pPr>
        <w:sectPr>
          <w:pgSz w:w="11900" w:h="16838" w:orient="portrait"/>
          <w:cols w:equalWidth="0" w:num="2">
            <w:col w:w="1820" w:space="720"/>
            <w:col w:w="7679"/>
          </w:cols>
          <w:pgMar w:left="240" w:top="244" w:right="1440" w:bottom="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Plan as adopted January 20, 2006.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Washington Post Company</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23, 2006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Diana M. Daniels</w:t>
      </w:r>
    </w:p>
    <w:p>
      <w:pPr>
        <w:ind w:left="1160"/>
        <w:spacing w:after="0" w:line="238" w:lineRule="auto"/>
        <w:rPr>
          <w:sz w:val="20"/>
          <w:szCs w:val="20"/>
          <w:color w:val="auto"/>
        </w:rPr>
      </w:pPr>
      <w:r>
        <w:rPr>
          <w:rFonts w:ascii="Courier New" w:cs="Courier New" w:eastAsia="Courier New" w:hAnsi="Courier New"/>
          <w:sz w:val="18"/>
          <w:szCs w:val="18"/>
          <w:color w:val="auto"/>
        </w:rPr>
        <w:t>(Signature)</w:t>
      </w:r>
    </w:p>
    <w:p>
      <w:pPr>
        <w:ind w:left="740"/>
        <w:spacing w:after="0"/>
        <w:rPr>
          <w:sz w:val="20"/>
          <w:szCs w:val="20"/>
          <w:color w:val="auto"/>
        </w:rPr>
      </w:pPr>
      <w:r>
        <w:rPr>
          <w:rFonts w:ascii="Courier New" w:cs="Courier New" w:eastAsia="Courier New" w:hAnsi="Courier New"/>
          <w:sz w:val="18"/>
          <w:szCs w:val="18"/>
          <w:color w:val="auto"/>
        </w:rPr>
        <w:t>Diana M. Daniels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&amp;</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ectPr>
          <w:pgSz w:w="11900" w:h="16838" w:orient="portrait"/>
          <w:cols w:equalWidth="0" w:num="2">
            <w:col w:w="2760" w:space="720"/>
            <w:col w:w="6739"/>
          </w:cols>
          <w:pgMar w:left="240" w:top="136" w:right="1440" w:bottom="1440" w:gutter="0" w:footer="0" w:header="0"/>
          <w:type w:val="continuous"/>
        </w:sect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6"/>
          <w:szCs w:val="16"/>
          <w:color w:val="auto"/>
        </w:rPr>
        <w:t>The Washington Post Company Incentive</w:t>
      </w:r>
    </w:p>
    <w:p>
      <w:pPr>
        <w:ind w:left="1700"/>
        <w:spacing w:after="0" w:line="238" w:lineRule="auto"/>
        <w:rPr>
          <w:sz w:val="20"/>
          <w:szCs w:val="20"/>
          <w:color w:val="auto"/>
        </w:rPr>
      </w:pPr>
      <w:r>
        <w:rPr>
          <w:rFonts w:ascii="Courier New" w:cs="Courier New" w:eastAsia="Courier New" w:hAnsi="Courier New"/>
          <w:sz w:val="18"/>
          <w:szCs w:val="18"/>
          <w:color w:val="auto"/>
        </w:rPr>
        <w:t>Compensation Plan as adopted</w:t>
      </w:r>
    </w:p>
    <w:p>
      <w:pPr>
        <w:ind w:left="1700"/>
        <w:spacing w:after="0"/>
        <w:rPr>
          <w:sz w:val="20"/>
          <w:szCs w:val="20"/>
          <w:color w:val="auto"/>
        </w:rPr>
      </w:pPr>
      <w:r>
        <w:rPr>
          <w:rFonts w:ascii="Courier New" w:cs="Courier New" w:eastAsia="Courier New" w:hAnsi="Courier New"/>
          <w:sz w:val="18"/>
          <w:szCs w:val="18"/>
          <w:color w:val="auto"/>
        </w:rPr>
        <w:t>January 20, 2006</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INCENTIVE COMPENSATION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amended and restated on January 20,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Purposes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Administration of the 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Participation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Duration of 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Incentive Provision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Determination of Annual Awards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Payment of Annual Awards</w:t>
      </w:r>
    </w:p>
    <w:tbl>
      <w:tblPr>
        <w:tblLayout w:type="fixed"/>
        <w:tblInd w:w="42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rPr>
              <w:t>and Time of Payment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bl>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Award Cycles;</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Awards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 Stock</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10.</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Performance Units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Adjustments in Class B Common</w:t>
            </w:r>
          </w:p>
        </w:tc>
        <w:tc>
          <w:tcPr>
            <w:tcW w:w="5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13.</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ind w:left="860"/>
        <w:spacing w:after="0" w:line="238" w:lineRule="auto"/>
        <w:rPr>
          <w:sz w:val="20"/>
          <w:szCs w:val="20"/>
          <w:color w:val="auto"/>
        </w:rPr>
      </w:pPr>
      <w:r>
        <w:rPr>
          <w:rFonts w:ascii="Courier New" w:cs="Courier New" w:eastAsia="Courier New" w:hAnsi="Courier New"/>
          <w:sz w:val="18"/>
          <w:szCs w:val="18"/>
          <w:color w:val="auto"/>
        </w:rPr>
        <w:t>INCENTIVE COMPENSATION PLAN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Amended and Restated</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on January 20, 2006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w:t>
      </w:r>
    </w:p>
    <w:p>
      <w:pPr>
        <w:spacing w:after="0" w:line="207" w:lineRule="exact"/>
        <w:rPr>
          <w:sz w:val="20"/>
          <w:szCs w:val="20"/>
          <w:color w:val="auto"/>
        </w:rPr>
      </w:pPr>
    </w:p>
    <w:p>
      <w:pPr>
        <w:ind w:right="4839" w:firstLine="843"/>
        <w:spacing w:after="0" w:line="268" w:lineRule="auto"/>
        <w:rPr>
          <w:sz w:val="20"/>
          <w:szCs w:val="20"/>
          <w:color w:val="auto"/>
        </w:rPr>
      </w:pPr>
      <w:r>
        <w:rPr>
          <w:rFonts w:ascii="Courier New" w:cs="Courier New" w:eastAsia="Courier New" w:hAnsi="Courier New"/>
          <w:sz w:val="16"/>
          <w:szCs w:val="16"/>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w:t>
      </w:r>
    </w:p>
    <w:p>
      <w:pPr>
        <w:spacing w:after="0" w:line="1" w:lineRule="exact"/>
        <w:rPr>
          <w:sz w:val="20"/>
          <w:szCs w:val="20"/>
          <w:color w:val="auto"/>
        </w:rPr>
      </w:pPr>
    </w:p>
    <w:p>
      <w:pPr>
        <w:ind w:right="4839"/>
        <w:spacing w:after="0" w:line="237" w:lineRule="auto"/>
        <w:rPr>
          <w:sz w:val="20"/>
          <w:szCs w:val="20"/>
          <w:color w:val="auto"/>
        </w:rPr>
      </w:pPr>
      <w:r>
        <w:rPr>
          <w:rFonts w:ascii="Courier New" w:cs="Courier New" w:eastAsia="Courier New" w:hAnsi="Courier New"/>
          <w:sz w:val="18"/>
          <w:szCs w:val="18"/>
          <w:color w:val="auto"/>
        </w:rPr>
        <w:t>its subsidiaries and (b) to strengthen the ability of the Company and its subsidiaries to attract, motivate and retain persons of merit and competence upon which, in large measure, continued growth and profitability depend.</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4839" w:firstLine="843"/>
        <w:spacing w:after="0" w:line="268" w:lineRule="auto"/>
        <w:rPr>
          <w:sz w:val="20"/>
          <w:szCs w:val="20"/>
          <w:color w:val="auto"/>
        </w:rPr>
      </w:pPr>
      <w:r>
        <w:rPr>
          <w:rFonts w:ascii="Courier New" w:cs="Courier New" w:eastAsia="Courier New" w:hAnsi="Courier New"/>
          <w:sz w:val="16"/>
          <w:szCs w:val="16"/>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w:t>
      </w:r>
    </w:p>
    <w:p>
      <w:pPr>
        <w:spacing w:after="0" w:line="2" w:lineRule="exact"/>
        <w:rPr>
          <w:sz w:val="20"/>
          <w:szCs w:val="20"/>
          <w:color w:val="auto"/>
        </w:rPr>
      </w:pPr>
    </w:p>
    <w:p>
      <w:pPr>
        <w:ind w:right="4739"/>
        <w:spacing w:after="0" w:line="236" w:lineRule="auto"/>
        <w:rPr>
          <w:sz w:val="20"/>
          <w:szCs w:val="20"/>
          <w:color w:val="auto"/>
        </w:rPr>
      </w:pPr>
      <w:r>
        <w:rPr>
          <w:rFonts w:ascii="Courier New" w:cs="Courier New" w:eastAsia="Courier New" w:hAnsi="Courier New"/>
          <w:sz w:val="18"/>
          <w:szCs w:val="18"/>
          <w:color w:val="auto"/>
        </w:rPr>
        <w:t>and conditions, not inconsistent with the provisions of the Plan, for the administration of its business and the implementation of the Plan.</w:t>
      </w:r>
    </w:p>
    <w:p>
      <w:pPr>
        <w:spacing w:after="0" w:line="203"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206" w:lineRule="exact"/>
        <w:rPr>
          <w:rFonts w:ascii="Courier New" w:cs="Courier New" w:eastAsia="Courier New" w:hAnsi="Courier New"/>
          <w:sz w:val="18"/>
          <w:szCs w:val="18"/>
          <w:color w:val="auto"/>
        </w:rPr>
      </w:pPr>
    </w:p>
    <w:p>
      <w:pPr>
        <w:ind w:right="5059" w:firstLine="851"/>
        <w:spacing w:after="0" w:line="271" w:lineRule="auto"/>
        <w:tabs>
          <w:tab w:leader="none" w:pos="137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183" w:lineRule="exact"/>
        <w:rPr>
          <w:rFonts w:ascii="Courier New" w:cs="Courier New" w:eastAsia="Courier New" w:hAnsi="Courier New"/>
          <w:sz w:val="16"/>
          <w:szCs w:val="16"/>
          <w:color w:val="auto"/>
        </w:rPr>
      </w:pPr>
    </w:p>
    <w:p>
      <w:pPr>
        <w:ind w:right="4519" w:firstLine="851"/>
        <w:spacing w:after="0" w:line="290" w:lineRule="auto"/>
        <w:tabs>
          <w:tab w:leader="none" w:pos="137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as such, shall not participate in the Plan, but the fact that an employee is also a</w:t>
      </w:r>
    </w:p>
    <w:p>
      <w:pPr>
        <w:sectPr>
          <w:pgSz w:w="11900" w:h="16838" w:orient="portrait"/>
          <w:cols w:equalWidth="0" w:num="1">
            <w:col w:w="10219"/>
          </w:cols>
          <w:pgMar w:left="240" w:top="136" w:right="1440" w:bottom="0" w:gutter="0" w:footer="0" w:header="0"/>
        </w:sectPr>
      </w:pPr>
    </w:p>
    <w:bookmarkStart w:id="3" w:name="page4"/>
    <w:bookmarkEnd w:id="3"/>
    <w:p>
      <w:pPr>
        <w:ind w:right="5059"/>
        <w:spacing w:after="0" w:line="235" w:lineRule="auto"/>
        <w:rPr>
          <w:sz w:val="20"/>
          <w:szCs w:val="20"/>
          <w:color w:val="auto"/>
        </w:rPr>
      </w:pPr>
      <w:r>
        <w:rPr>
          <w:rFonts w:ascii="Courier New" w:cs="Courier New" w:eastAsia="Courier New" w:hAnsi="Courier New"/>
          <w:sz w:val="18"/>
          <w:szCs w:val="18"/>
          <w:color w:val="auto"/>
        </w:rPr>
        <w:t>Director of the Company or a subsidiary shall not prevent his or her participation.</w:t>
      </w:r>
    </w:p>
    <w:p>
      <w:pPr>
        <w:spacing w:after="0" w:line="208" w:lineRule="exact"/>
        <w:rPr>
          <w:sz w:val="20"/>
          <w:szCs w:val="20"/>
          <w:color w:val="auto"/>
        </w:rPr>
      </w:pPr>
    </w:p>
    <w:p>
      <w:pPr>
        <w:ind w:right="4939" w:firstLine="851"/>
        <w:spacing w:after="0" w:line="236" w:lineRule="auto"/>
        <w:tabs>
          <w:tab w:leader="none" w:pos="137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the Plan, the term Company shall mean The Washington Post Company and any subsidiary thereof.</w:t>
      </w:r>
    </w:p>
    <w:p>
      <w:pPr>
        <w:spacing w:after="0" w:line="208" w:lineRule="exact"/>
        <w:rPr>
          <w:rFonts w:ascii="Courier New" w:cs="Courier New" w:eastAsia="Courier New" w:hAnsi="Courier New"/>
          <w:sz w:val="18"/>
          <w:szCs w:val="18"/>
          <w:color w:val="auto"/>
        </w:rPr>
      </w:pPr>
    </w:p>
    <w:p>
      <w:pPr>
        <w:jc w:val="both"/>
        <w:ind w:right="5579" w:firstLine="851"/>
        <w:spacing w:after="0" w:line="268" w:lineRule="auto"/>
        <w:tabs>
          <w:tab w:leader="none" w:pos="137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not be deemed to preclude the making of any award pursuant to</w:t>
      </w:r>
    </w:p>
    <w:p>
      <w:pPr>
        <w:ind w:right="46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compensation, incentive, bonus or stock option plan which may be in effect from time to time.</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Plan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Plan shall remain in effect until</w:t>
      </w:r>
    </w:p>
    <w:p>
      <w:pPr>
        <w:spacing w:after="0" w:line="238" w:lineRule="auto"/>
        <w:rPr>
          <w:sz w:val="20"/>
          <w:szCs w:val="20"/>
          <w:color w:val="auto"/>
        </w:rPr>
      </w:pPr>
      <w:r>
        <w:rPr>
          <w:rFonts w:ascii="Courier New" w:cs="Courier New" w:eastAsia="Courier New" w:hAnsi="Courier New"/>
          <w:sz w:val="18"/>
          <w:szCs w:val="18"/>
          <w:color w:val="auto"/>
        </w:rPr>
        <w:t>terminated by the Board of Directors; provided,</w:t>
      </w:r>
    </w:p>
    <w:p>
      <w:pPr>
        <w:spacing w:after="0"/>
        <w:rPr>
          <w:sz w:val="20"/>
          <w:szCs w:val="20"/>
          <w:color w:val="auto"/>
        </w:rPr>
      </w:pPr>
      <w:r>
        <w:rPr>
          <w:rFonts w:ascii="Courier New" w:cs="Courier New" w:eastAsia="Courier New" w:hAnsi="Courier New"/>
          <w:sz w:val="18"/>
          <w:szCs w:val="18"/>
          <w:color w:val="auto"/>
        </w:rPr>
        <w:t>however, that the termination of the Plan shall</w:t>
      </w:r>
    </w:p>
    <w:p>
      <w:pPr>
        <w:spacing w:after="0" w:line="237" w:lineRule="auto"/>
        <w:rPr>
          <w:sz w:val="20"/>
          <w:szCs w:val="20"/>
          <w:color w:val="auto"/>
        </w:rPr>
      </w:pPr>
      <w:r>
        <w:rPr>
          <w:rFonts w:ascii="Courier New" w:cs="Courier New" w:eastAsia="Courier New" w:hAnsi="Courier New"/>
          <w:sz w:val="18"/>
          <w:szCs w:val="18"/>
          <w:color w:val="auto"/>
        </w:rPr>
        <w:t>not affect the delivery or payment of any award</w:t>
      </w:r>
    </w:p>
    <w:p>
      <w:pPr>
        <w:spacing w:after="0" w:line="238" w:lineRule="auto"/>
        <w:rPr>
          <w:sz w:val="20"/>
          <w:szCs w:val="20"/>
          <w:color w:val="auto"/>
        </w:rPr>
      </w:pPr>
      <w:r>
        <w:rPr>
          <w:rFonts w:ascii="Courier New" w:cs="Courier New" w:eastAsia="Courier New" w:hAnsi="Courier New"/>
          <w:sz w:val="18"/>
          <w:szCs w:val="18"/>
          <w:color w:val="auto"/>
        </w:rPr>
        <w:t>made prior to the termination of the Plan.</w:t>
      </w:r>
    </w:p>
    <w:p>
      <w:pPr>
        <w:spacing w:after="0" w:line="202"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Incentive Provision</w:t>
      </w:r>
    </w:p>
    <w:p>
      <w:pPr>
        <w:spacing w:after="0" w:line="206" w:lineRule="exact"/>
        <w:rPr>
          <w:rFonts w:ascii="Courier New" w:cs="Courier New" w:eastAsia="Courier New" w:hAnsi="Courier New"/>
          <w:sz w:val="18"/>
          <w:szCs w:val="18"/>
          <w:color w:val="auto"/>
        </w:rPr>
      </w:pPr>
    </w:p>
    <w:p>
      <w:pPr>
        <w:ind w:right="4419" w:firstLine="851"/>
        <w:spacing w:after="0" w:line="272" w:lineRule="auto"/>
        <w:tabs>
          <w:tab w:leader="none" w:pos="126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fiscal year, the Committee may make annual incentive awards in an aggregate amount not to exceed the Maximum Incentive Credit (as hereinafter defined) for such year. All annual incentive awards granted under the Plan are hereinafter collectively referred to as Annual Awards.</w:t>
      </w:r>
    </w:p>
    <w:p>
      <w:pPr>
        <w:spacing w:after="0" w:line="179" w:lineRule="exact"/>
        <w:rPr>
          <w:rFonts w:ascii="Courier New" w:cs="Courier New" w:eastAsia="Courier New" w:hAnsi="Courier New"/>
          <w:sz w:val="16"/>
          <w:szCs w:val="16"/>
          <w:color w:val="auto"/>
        </w:rPr>
      </w:pPr>
    </w:p>
    <w:p>
      <w:pPr>
        <w:ind w:left="1380" w:hanging="529"/>
        <w:spacing w:after="0"/>
        <w:tabs>
          <w:tab w:leader="none" w:pos="13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Maximum Incentive Credit,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w:t>
      </w:r>
    </w:p>
    <w:p>
      <w:pPr>
        <w:spacing w:after="0" w:line="10"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 of the Company for such year and</w:t>
      </w:r>
    </w:p>
    <w:p>
      <w:pPr>
        <w:spacing w:after="0" w:line="1" w:lineRule="exact"/>
        <w:rPr>
          <w:sz w:val="20"/>
          <w:szCs w:val="20"/>
          <w:color w:val="auto"/>
        </w:rPr>
      </w:pPr>
    </w:p>
    <w:p>
      <w:pPr>
        <w:ind w:right="4519" w:firstLine="8"/>
        <w:spacing w:after="0" w:line="235"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incentive compensation provided for in computing such profit before income taxes.</w:t>
      </w:r>
    </w:p>
    <w:p>
      <w:pPr>
        <w:spacing w:after="0" w:line="5" w:lineRule="exact"/>
        <w:rPr>
          <w:rFonts w:ascii="Courier New" w:cs="Courier New" w:eastAsia="Courier New" w:hAnsi="Courier New"/>
          <w:sz w:val="18"/>
          <w:szCs w:val="18"/>
          <w:color w:val="auto"/>
        </w:rPr>
      </w:pPr>
    </w:p>
    <w:p>
      <w:pPr>
        <w:ind w:right="473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w:t>
      </w:r>
    </w:p>
    <w:p>
      <w:pPr>
        <w:spacing w:after="0" w:line="388" w:lineRule="exact"/>
        <w:rPr>
          <w:rFonts w:ascii="Courier New" w:cs="Courier New" w:eastAsia="Courier New" w:hAnsi="Courier New"/>
          <w:sz w:val="18"/>
          <w:szCs w:val="18"/>
          <w:color w:val="auto"/>
        </w:rPr>
      </w:pPr>
    </w:p>
    <w:p>
      <w:pPr>
        <w:ind w:right="4419" w:firstLine="851"/>
        <w:spacing w:after="0" w:line="272" w:lineRule="auto"/>
        <w:tabs>
          <w:tab w:leader="none" w:pos="137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179" w:lineRule="exact"/>
        <w:rPr>
          <w:rFonts w:ascii="Courier New" w:cs="Courier New" w:eastAsia="Courier New" w:hAnsi="Courier New"/>
          <w:sz w:val="16"/>
          <w:szCs w:val="16"/>
          <w:color w:val="auto"/>
        </w:rPr>
      </w:pPr>
    </w:p>
    <w:p>
      <w:pPr>
        <w:ind w:left="1380" w:hanging="529"/>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close</w:t>
      </w:r>
    </w:p>
    <w:p>
      <w:pPr>
        <w:spacing w:after="0" w:line="4"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of each fiscal year, the Companys independent public accountants shall calculate and certify to the Committee the Maximum Incentive Credit for such fiscal year.</w:t>
      </w:r>
    </w:p>
    <w:p>
      <w:pPr>
        <w:spacing w:after="0" w:line="178" w:lineRule="exact"/>
        <w:rPr>
          <w:sz w:val="20"/>
          <w:szCs w:val="20"/>
          <w:color w:val="auto"/>
        </w:rPr>
      </w:pPr>
    </w:p>
    <w:p>
      <w:pPr>
        <w:ind w:right="4519" w:firstLine="851"/>
        <w:spacing w:after="0" w:line="268" w:lineRule="auto"/>
        <w:tabs>
          <w:tab w:leader="none" w:pos="137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determined and reported by the Companys independent auditors as the Maximum Incentive Credit for any fiscal year shall be final, conclusive and binding upon all parties, including the Company, its stockholders and employees, notwithstanding any subsequent special item or surplus charge or credit that may be considered applicable in whole or in part</w:t>
      </w:r>
    </w:p>
    <w:p>
      <w:pPr>
        <w:spacing w:after="0" w:line="1" w:lineRule="exact"/>
        <w:rPr>
          <w:rFonts w:ascii="Courier New" w:cs="Courier New" w:eastAsia="Courier New" w:hAnsi="Courier New"/>
          <w:sz w:val="16"/>
          <w:szCs w:val="16"/>
          <w:color w:val="auto"/>
        </w:rPr>
      </w:pPr>
    </w:p>
    <w:p>
      <w:pPr>
        <w:ind w:right="419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such fiscal year; provided that if the amount actually awarded for any fiscal year should later be determined by a court of competent jurisdiction to have exceeded the Maximum Incentive Credit for such fiscal year, the Maximum Incentive Credit for the fiscal year next</w:t>
      </w:r>
    </w:p>
    <w:p>
      <w:pPr>
        <w:sectPr>
          <w:pgSz w:w="11900" w:h="16838" w:orient="portrait"/>
          <w:cols w:equalWidth="0" w:num="1">
            <w:col w:w="10219"/>
          </w:cols>
          <w:pgMar w:left="240" w:top="142" w:right="1440" w:bottom="0" w:gutter="0" w:footer="0" w:header="0"/>
        </w:sectPr>
      </w:pPr>
    </w:p>
    <w:bookmarkStart w:id="4" w:name="page5"/>
    <w:bookmarkEnd w:id="4"/>
    <w:p>
      <w:pPr>
        <w:ind w:right="4519"/>
        <w:spacing w:after="0" w:line="237" w:lineRule="auto"/>
        <w:rPr>
          <w:sz w:val="20"/>
          <w:szCs w:val="20"/>
          <w:color w:val="auto"/>
        </w:rPr>
      </w:pPr>
      <w:r>
        <w:rPr>
          <w:rFonts w:ascii="Courier New" w:cs="Courier New" w:eastAsia="Courier New" w:hAnsi="Courier New"/>
          <w:sz w:val="18"/>
          <w:szCs w:val="18"/>
          <w:color w:val="auto"/>
        </w:rPr>
        <w:t>succeeding such determination shall be reduced by the amount of such excess. Any such excess shall thus be corrected exclusively by adjustments of the amounts subsequently available for awards and not by recourse to the Company, the Board of Directors, the Committee, any participant or any other person.</w:t>
      </w:r>
    </w:p>
    <w:p>
      <w:pPr>
        <w:spacing w:after="0" w:line="204"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Annual Awards</w:t>
      </w:r>
    </w:p>
    <w:p>
      <w:pPr>
        <w:spacing w:after="0" w:line="207" w:lineRule="exact"/>
        <w:rPr>
          <w:sz w:val="20"/>
          <w:szCs w:val="20"/>
          <w:color w:val="auto"/>
        </w:rPr>
      </w:pPr>
    </w:p>
    <w:p>
      <w:pPr>
        <w:ind w:right="4319" w:firstLine="843"/>
        <w:spacing w:after="0" w:line="238" w:lineRule="auto"/>
        <w:rPr>
          <w:sz w:val="20"/>
          <w:szCs w:val="20"/>
          <w:color w:val="auto"/>
        </w:rPr>
      </w:pPr>
      <w:r>
        <w:rPr>
          <w:rFonts w:ascii="Courier New" w:cs="Courier New" w:eastAsia="Courier New" w:hAnsi="Courier New"/>
          <w:sz w:val="18"/>
          <w:szCs w:val="18"/>
          <w:color w:val="auto"/>
        </w:rPr>
        <w:t>The Committee shall, consistent with all applicable provisions of the Plan, determine the participants to receive Annual Awards for each fiscal year, the amount and the form of each Annual Award, and the other terms and conditions applicable thereto. The value of the Annual Awards payable to any one participant with respect to any fiscal year shall not exceed in value the lesser of 200% of a participants base earnings or $5 million. In determining the terms and conditions of the Annual Award, the Committee shall, in the case of each participant who is an executive officer of the Company (for purposes of Item 402 of Regulation S-K under the Securities Exchange Act of 1934), establish in writing, not later than 90 days after the commencement of the fiscal year, performance goals relating to one or more of the following: operating income, cash flow, earnings per share, return on assets, return on equity, operating margins, economic value added (EVA), cash flow margins, shareholder return, cost control and/ revenue growth measurements, which may be in respect</w:t>
      </w:r>
    </w:p>
    <w:p>
      <w:pPr>
        <w:spacing w:after="0" w:line="8" w:lineRule="exact"/>
        <w:rPr>
          <w:sz w:val="20"/>
          <w:szCs w:val="20"/>
          <w:color w:val="auto"/>
        </w:rPr>
      </w:pPr>
    </w:p>
    <w:p>
      <w:pPr>
        <w:ind w:right="4199"/>
        <w:spacing w:after="0" w:line="279" w:lineRule="auto"/>
        <w:rPr>
          <w:sz w:val="20"/>
          <w:szCs w:val="20"/>
          <w:color w:val="auto"/>
        </w:rPr>
      </w:pPr>
      <w:r>
        <w:rPr>
          <w:rFonts w:ascii="Courier New" w:cs="Courier New" w:eastAsia="Courier New" w:hAnsi="Courier New"/>
          <w:sz w:val="16"/>
          <w:szCs w:val="16"/>
          <w:color w:val="auto"/>
        </w:rPr>
        <w:t>of the Company, as a whole, or any business unit thereof, which will have to be achieved if such executive officer is to receive payment for an Annual Award.</w:t>
      </w:r>
    </w:p>
    <w:p>
      <w:pPr>
        <w:spacing w:after="0" w:line="173"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Payment of Annual Awards and Time of Payment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Annual Awards shall be made in cash.</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Annual Awards shall be paid in a</w:t>
      </w:r>
    </w:p>
    <w:p>
      <w:pPr>
        <w:spacing w:after="0" w:line="4" w:lineRule="exact"/>
        <w:rPr>
          <w:sz w:val="20"/>
          <w:szCs w:val="20"/>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lump sum as soon as practicable in the year following the fiscal year to which the award relates , except as otherwise provided herein below.</w:t>
      </w:r>
    </w:p>
    <w:p>
      <w:pPr>
        <w:spacing w:after="0" w:line="209" w:lineRule="exact"/>
        <w:rPr>
          <w:sz w:val="20"/>
          <w:szCs w:val="20"/>
          <w:color w:val="auto"/>
        </w:rPr>
      </w:pPr>
    </w:p>
    <w:p>
      <w:pPr>
        <w:ind w:right="4939" w:firstLine="851"/>
        <w:spacing w:after="0" w:line="268" w:lineRule="auto"/>
        <w:tabs>
          <w:tab w:leader="none" w:pos="137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in its sole discretion, establish terms and conditions under which a participant may elect to defer the payment of an award in whole or in part pursuant to</w:t>
      </w:r>
    </w:p>
    <w:p>
      <w:pPr>
        <w:ind w:right="50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Washington Post Company Deferred Compensation Plan (the Deferred Compensation Plan).</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Award Cycles; Awards</w:t>
      </w:r>
    </w:p>
    <w:p>
      <w:pPr>
        <w:spacing w:after="0" w:line="206" w:lineRule="exact"/>
        <w:rPr>
          <w:rFonts w:ascii="Courier New" w:cs="Courier New" w:eastAsia="Courier New" w:hAnsi="Courier New"/>
          <w:sz w:val="18"/>
          <w:szCs w:val="18"/>
          <w:color w:val="auto"/>
        </w:rPr>
      </w:pPr>
    </w:p>
    <w:p>
      <w:pPr>
        <w:ind w:right="4739" w:firstLine="851"/>
        <w:spacing w:after="0" w:line="238" w:lineRule="auto"/>
        <w:tabs>
          <w:tab w:leader="none" w:pos="137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 (i)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Award Cycle, the Committee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w:t>
      </w:r>
    </w:p>
    <w:p>
      <w:pPr>
        <w:spacing w:after="0" w:line="5" w:lineRule="exact"/>
        <w:rPr>
          <w:sz w:val="20"/>
          <w:szCs w:val="20"/>
          <w:color w:val="auto"/>
        </w:rPr>
      </w:pPr>
    </w:p>
    <w:p>
      <w:pPr>
        <w:ind w:right="4839" w:firstLine="851"/>
        <w:spacing w:after="0" w:line="237" w:lineRule="auto"/>
        <w:tabs>
          <w:tab w:leader="none" w:pos="137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 subject to paragraph 10(a), the participants who are to receive awards of Performance Units for such Award Cycle and the number of Performance Units awarded to each such participant, and</w:t>
      </w:r>
    </w:p>
    <w:p>
      <w:pPr>
        <w:spacing w:after="0" w:line="208" w:lineRule="exact"/>
        <w:rPr>
          <w:rFonts w:ascii="Courier New" w:cs="Courier New" w:eastAsia="Courier New" w:hAnsi="Courier New"/>
          <w:sz w:val="18"/>
          <w:szCs w:val="18"/>
          <w:color w:val="auto"/>
        </w:rPr>
      </w:pPr>
    </w:p>
    <w:p>
      <w:pPr>
        <w:ind w:right="4739" w:firstLine="851"/>
        <w:spacing w:after="0" w:line="237" w:lineRule="auto"/>
        <w:tabs>
          <w:tab w:leader="none" w:pos="147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subject to paragraph 10(b), the method for determining at the end of such Award Cycle the value of a Performance Unit awarded at the beginning of such Award Cycle.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ectPr>
          <w:pgSz w:w="11900" w:h="16838" w:orient="portrait"/>
          <w:cols w:equalWidth="0" w:num="1">
            <w:col w:w="10219"/>
          </w:cols>
          <w:pgMar w:left="240" w:top="142" w:right="1440" w:bottom="0" w:gutter="0" w:footer="0" w:header="0"/>
        </w:sectPr>
      </w:pPr>
    </w:p>
    <w:bookmarkStart w:id="5" w:name="page6"/>
    <w:bookmarkEnd w:id="5"/>
    <w:p>
      <w:pPr>
        <w:ind w:right="4619" w:firstLine="851"/>
        <w:spacing w:after="0" w:line="270" w:lineRule="auto"/>
        <w:tabs>
          <w:tab w:leader="none" w:pos="137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w:t>
      </w:r>
    </w:p>
    <w:p>
      <w:pPr>
        <w:spacing w:after="0" w:line="189" w:lineRule="exact"/>
        <w:rPr>
          <w:rFonts w:ascii="Courier New" w:cs="Courier New" w:eastAsia="Courier New" w:hAnsi="Courier New"/>
          <w:sz w:val="16"/>
          <w:szCs w:val="16"/>
          <w:color w:val="auto"/>
        </w:rPr>
      </w:pPr>
    </w:p>
    <w:p>
      <w:pPr>
        <w:ind w:right="5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less than one year nor more than six years from the date of the award of Restricted Stock</w:t>
      </w:r>
    </w:p>
    <w:p>
      <w:pPr>
        <w:ind w:right="46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which it relates. If the Committee so determines, a single award of Restricted Stock can provide for more than one Vesting Date with a portion of the full award to vest on each specified Vesting Date. To each participant designated to receive an award of Restricted Stock, there shall be (1) issued (subject to subparagraph (b) below) a stock certificate, registered in the name of such participant, or (2) a book entry made in the name of such participant, in each case representing such number of shares of Restricted Stock awarded to such participant; provided, however, that at any time, not more</w:t>
      </w:r>
    </w:p>
    <w:p>
      <w:pPr>
        <w:spacing w:after="0" w:line="187" w:lineRule="exact"/>
        <w:rPr>
          <w:rFonts w:ascii="Courier New" w:cs="Courier New" w:eastAsia="Courier New" w:hAnsi="Courier New"/>
          <w:sz w:val="16"/>
          <w:szCs w:val="16"/>
          <w:color w:val="auto"/>
        </w:rPr>
      </w:pPr>
    </w:p>
    <w:p>
      <w:pPr>
        <w:ind w:right="5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than 10,000 share of Restricted Stock may be awarded to any participant under</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outstanding awards of Restricted Stock.</w:t>
      </w:r>
    </w:p>
    <w:p>
      <w:pPr>
        <w:spacing w:after="0" w:line="201"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after the effective</w:t>
      </w:r>
    </w:p>
    <w:p>
      <w:pPr>
        <w:spacing w:after="0" w:line="238" w:lineRule="auto"/>
        <w:rPr>
          <w:sz w:val="20"/>
          <w:szCs w:val="20"/>
          <w:color w:val="auto"/>
        </w:rPr>
      </w:pPr>
      <w:r>
        <w:rPr>
          <w:rFonts w:ascii="Courier New" w:cs="Courier New" w:eastAsia="Courier New" w:hAnsi="Courier New"/>
          <w:sz w:val="18"/>
          <w:szCs w:val="18"/>
          <w:color w:val="auto"/>
        </w:rPr>
        <w:t>date of a Restricted Stock award, each recipient</w:t>
      </w:r>
    </w:p>
    <w:p>
      <w:pPr>
        <w:spacing w:after="0"/>
        <w:rPr>
          <w:sz w:val="20"/>
          <w:szCs w:val="20"/>
          <w:color w:val="auto"/>
        </w:rPr>
      </w:pPr>
      <w:r>
        <w:rPr>
          <w:rFonts w:ascii="Courier New" w:cs="Courier New" w:eastAsia="Courier New" w:hAnsi="Courier New"/>
          <w:sz w:val="18"/>
          <w:szCs w:val="18"/>
          <w:color w:val="auto"/>
        </w:rPr>
        <w:t>of such an award shall deliver to the Company</w:t>
      </w:r>
    </w:p>
    <w:p>
      <w:pPr>
        <w:spacing w:after="0" w:line="3" w:lineRule="exact"/>
        <w:rPr>
          <w:sz w:val="20"/>
          <w:szCs w:val="20"/>
          <w:color w:val="auto"/>
        </w:rPr>
      </w:pPr>
    </w:p>
    <w:p>
      <w:pPr>
        <w:ind w:right="5479" w:firstLine="8"/>
        <w:spacing w:after="0" w:line="268"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a Restricted Stock Agreement containing the terms and provisions set forth in subparagraph (c) below and</w:t>
      </w:r>
    </w:p>
    <w:p>
      <w:pPr>
        <w:ind w:right="4839" w:firstLine="8"/>
        <w:spacing w:after="0" w:line="238"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 power executed in blank. Upon receipt of such agreement and stock power executed by the participant, the Company shall cause the stock certificate referred to in subparagraph (a) above to be issued in the name of the participant and delivered to the Secretary of the Company in custody for such participant or the book entry referred to in subparagraph (a)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participants name.</w:t>
      </w:r>
    </w:p>
    <w:p>
      <w:pPr>
        <w:spacing w:after="0" w:line="207" w:lineRule="exact"/>
        <w:rPr>
          <w:rFonts w:ascii="Courier New" w:cs="Courier New" w:eastAsia="Courier New" w:hAnsi="Courier New"/>
          <w:sz w:val="18"/>
          <w:szCs w:val="18"/>
          <w:color w:val="auto"/>
        </w:rPr>
      </w:pPr>
    </w:p>
    <w:p>
      <w:pPr>
        <w:ind w:right="5159" w:firstLine="851"/>
        <w:spacing w:after="0" w:line="237" w:lineRule="auto"/>
        <w:tabs>
          <w:tab w:leader="none" w:pos="137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Restricted Stock Agreement accompanying an award of Restricted Stock shall contain the following provisions, as applicable, together with such other provisions as the Committee shall determine:</w:t>
      </w:r>
    </w:p>
    <w:p>
      <w:pPr>
        <w:spacing w:after="0" w:line="209" w:lineRule="exact"/>
        <w:rPr>
          <w:sz w:val="20"/>
          <w:szCs w:val="20"/>
          <w:color w:val="auto"/>
        </w:rPr>
      </w:pPr>
    </w:p>
    <w:p>
      <w:pPr>
        <w:ind w:right="5359" w:firstLine="851"/>
        <w:spacing w:after="0" w:line="237" w:lineRule="auto"/>
        <w:tabs>
          <w:tab w:leader="none" w:pos="137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209" w:lineRule="exact"/>
        <w:rPr>
          <w:rFonts w:ascii="Courier New" w:cs="Courier New" w:eastAsia="Courier New" w:hAnsi="Courier New"/>
          <w:sz w:val="18"/>
          <w:szCs w:val="18"/>
          <w:color w:val="auto"/>
        </w:rPr>
      </w:pPr>
    </w:p>
    <w:p>
      <w:pPr>
        <w:ind w:right="5359" w:firstLine="85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w:t>
      </w:r>
    </w:p>
    <w:p>
      <w:pPr>
        <w:spacing w:after="0" w:line="8" w:lineRule="exact"/>
        <w:rPr>
          <w:rFonts w:ascii="Courier New" w:cs="Courier New" w:eastAsia="Courier New" w:hAnsi="Courier New"/>
          <w:sz w:val="18"/>
          <w:szCs w:val="18"/>
          <w:color w:val="auto"/>
        </w:rPr>
      </w:pPr>
    </w:p>
    <w:p>
      <w:pPr>
        <w:ind w:right="5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that Vesting Date. In the event that the participant takes one or more unpaid leave(s) of absence where the leave is greater than 90 days in duration at any time before an award of Restricted Stock has vested, the Vesting Date or Dates for such grant shall</w:t>
      </w:r>
    </w:p>
    <w:p>
      <w:pPr>
        <w:spacing w:after="0" w:line="1" w:lineRule="exact"/>
        <w:rPr>
          <w:rFonts w:ascii="Courier New" w:cs="Courier New" w:eastAsia="Courier New" w:hAnsi="Courier New"/>
          <w:sz w:val="18"/>
          <w:szCs w:val="18"/>
          <w:color w:val="auto"/>
        </w:rPr>
      </w:pPr>
    </w:p>
    <w:p>
      <w:pPr>
        <w:jc w:val="both"/>
        <w:ind w:right="5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 extended by a period equal to the aggregate number of days that the participant was out on</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such leave(s) of absence (the Extended Vesting</w:t>
      </w:r>
    </w:p>
    <w:p>
      <w:pPr>
        <w:spacing w:after="0" w:line="238" w:lineRule="auto"/>
        <w:rPr>
          <w:sz w:val="20"/>
          <w:szCs w:val="20"/>
          <w:color w:val="auto"/>
        </w:rPr>
      </w:pPr>
      <w:r>
        <w:rPr>
          <w:rFonts w:ascii="Courier New" w:cs="Courier New" w:eastAsia="Courier New" w:hAnsi="Courier New"/>
          <w:sz w:val="18"/>
          <w:szCs w:val="18"/>
          <w:color w:val="auto"/>
        </w:rPr>
        <w:t>Date(s)) and the restrictions set forth in</w:t>
      </w:r>
    </w:p>
    <w:p>
      <w:pPr>
        <w:spacing w:after="0"/>
        <w:rPr>
          <w:sz w:val="20"/>
          <w:szCs w:val="20"/>
          <w:color w:val="auto"/>
        </w:rPr>
      </w:pPr>
      <w:r>
        <w:rPr>
          <w:rFonts w:ascii="Courier New" w:cs="Courier New" w:eastAsia="Courier New" w:hAnsi="Courier New"/>
          <w:sz w:val="18"/>
          <w:szCs w:val="18"/>
          <w:color w:val="auto"/>
        </w:rPr>
        <w:t>subparagraph (c)(i) above shall then terminate</w:t>
      </w:r>
    </w:p>
    <w:p>
      <w:pPr>
        <w:spacing w:after="0" w:line="237" w:lineRule="auto"/>
        <w:rPr>
          <w:sz w:val="20"/>
          <w:szCs w:val="20"/>
          <w:color w:val="auto"/>
        </w:rPr>
      </w:pPr>
      <w:r>
        <w:rPr>
          <w:rFonts w:ascii="Courier New" w:cs="Courier New" w:eastAsia="Courier New" w:hAnsi="Courier New"/>
          <w:sz w:val="18"/>
          <w:szCs w:val="18"/>
          <w:color w:val="auto"/>
        </w:rPr>
        <w:t>on such Extended Vesting Date or Dates.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Notwithstanding any of the foregoing,</w:t>
      </w:r>
    </w:p>
    <w:p>
      <w:pPr>
        <w:spacing w:after="0" w:line="238" w:lineRule="auto"/>
        <w:rPr>
          <w:sz w:val="20"/>
          <w:szCs w:val="20"/>
          <w:color w:val="auto"/>
        </w:rPr>
      </w:pPr>
      <w:r>
        <w:rPr>
          <w:rFonts w:ascii="Courier New" w:cs="Courier New" w:eastAsia="Courier New" w:hAnsi="Courier New"/>
          <w:sz w:val="18"/>
          <w:szCs w:val="18"/>
          <w:color w:val="auto"/>
        </w:rPr>
        <w:t>in the case of a participant who is an</w:t>
      </w:r>
    </w:p>
    <w:p>
      <w:pPr>
        <w:spacing w:after="0"/>
        <w:rPr>
          <w:sz w:val="20"/>
          <w:szCs w:val="20"/>
          <w:color w:val="auto"/>
        </w:rPr>
      </w:pPr>
      <w:r>
        <w:rPr>
          <w:rFonts w:ascii="Courier New" w:cs="Courier New" w:eastAsia="Courier New" w:hAnsi="Courier New"/>
          <w:sz w:val="18"/>
          <w:szCs w:val="18"/>
          <w:color w:val="auto"/>
        </w:rPr>
        <w:t>executive officer of the Company at the time</w:t>
      </w:r>
    </w:p>
    <w:p>
      <w:pPr>
        <w:spacing w:after="0" w:line="237" w:lineRule="auto"/>
        <w:rPr>
          <w:sz w:val="20"/>
          <w:szCs w:val="20"/>
          <w:color w:val="auto"/>
        </w:rPr>
      </w:pPr>
      <w:r>
        <w:rPr>
          <w:rFonts w:ascii="Courier New" w:cs="Courier New" w:eastAsia="Courier New" w:hAnsi="Courier New"/>
          <w:sz w:val="18"/>
          <w:szCs w:val="18"/>
          <w:color w:val="auto"/>
        </w:rPr>
        <w:t>of the award, the Committee shall, prior to the</w:t>
      </w:r>
    </w:p>
    <w:p>
      <w:pPr>
        <w:spacing w:after="0" w:line="238" w:lineRule="auto"/>
        <w:rPr>
          <w:sz w:val="20"/>
          <w:szCs w:val="20"/>
          <w:color w:val="auto"/>
        </w:rPr>
      </w:pPr>
      <w:r>
        <w:rPr>
          <w:rFonts w:ascii="Courier New" w:cs="Courier New" w:eastAsia="Courier New" w:hAnsi="Courier New"/>
          <w:sz w:val="18"/>
          <w:szCs w:val="18"/>
          <w:color w:val="auto"/>
        </w:rPr>
        <w:t>effective date of Restricted Stock Award,</w:t>
      </w:r>
    </w:p>
    <w:p>
      <w:pPr>
        <w:spacing w:after="0"/>
        <w:rPr>
          <w:sz w:val="20"/>
          <w:szCs w:val="20"/>
          <w:color w:val="auto"/>
        </w:rPr>
      </w:pPr>
      <w:r>
        <w:rPr>
          <w:rFonts w:ascii="Courier New" w:cs="Courier New" w:eastAsia="Courier New" w:hAnsi="Courier New"/>
          <w:sz w:val="18"/>
          <w:szCs w:val="18"/>
          <w:color w:val="auto"/>
        </w:rPr>
        <w:t>establish in writing a formula based on one or</w:t>
      </w:r>
    </w:p>
    <w:p>
      <w:pPr>
        <w:spacing w:after="0"/>
        <w:tabs>
          <w:tab w:leader="none" w:pos="2520" w:val="left"/>
        </w:tabs>
        <w:rPr>
          <w:sz w:val="20"/>
          <w:szCs w:val="20"/>
          <w:color w:val="auto"/>
        </w:rPr>
      </w:pPr>
      <w:r>
        <w:rPr>
          <w:rFonts w:ascii="Courier New" w:cs="Courier New" w:eastAsia="Courier New" w:hAnsi="Courier New"/>
          <w:sz w:val="18"/>
          <w:szCs w:val="18"/>
          <w:color w:val="auto"/>
        </w:rPr>
        <w:t>more of the following:</w:t>
      </w:r>
      <w:r>
        <w:rPr>
          <w:sz w:val="20"/>
          <w:szCs w:val="20"/>
          <w:color w:val="auto"/>
        </w:rPr>
        <w:tab/>
      </w:r>
      <w:r>
        <w:rPr>
          <w:rFonts w:ascii="Courier New" w:cs="Courier New" w:eastAsia="Courier New" w:hAnsi="Courier New"/>
          <w:sz w:val="16"/>
          <w:szCs w:val="16"/>
          <w:color w:val="auto"/>
        </w:rPr>
        <w:t>cash flow, operating</w:t>
      </w:r>
    </w:p>
    <w:p>
      <w:pPr>
        <w:spacing w:after="0"/>
        <w:rPr>
          <w:sz w:val="20"/>
          <w:szCs w:val="20"/>
          <w:color w:val="auto"/>
        </w:rPr>
      </w:pPr>
      <w:r>
        <w:rPr>
          <w:rFonts w:ascii="Courier New" w:cs="Courier New" w:eastAsia="Courier New" w:hAnsi="Courier New"/>
          <w:sz w:val="18"/>
          <w:szCs w:val="18"/>
          <w:color w:val="auto"/>
        </w:rPr>
        <w:t>income, earnings per share, economic value</w:t>
      </w:r>
    </w:p>
    <w:p>
      <w:pPr>
        <w:spacing w:after="0" w:line="237" w:lineRule="auto"/>
        <w:rPr>
          <w:sz w:val="20"/>
          <w:szCs w:val="20"/>
          <w:color w:val="auto"/>
        </w:rPr>
      </w:pPr>
      <w:r>
        <w:rPr>
          <w:rFonts w:ascii="Courier New" w:cs="Courier New" w:eastAsia="Courier New" w:hAnsi="Courier New"/>
          <w:sz w:val="18"/>
          <w:szCs w:val="18"/>
          <w:color w:val="auto"/>
        </w:rPr>
        <w:t>added (EVA), return on assets, total return</w:t>
      </w:r>
    </w:p>
    <w:p>
      <w:pPr>
        <w:spacing w:after="0"/>
        <w:rPr>
          <w:sz w:val="20"/>
          <w:szCs w:val="20"/>
          <w:color w:val="auto"/>
        </w:rPr>
      </w:pPr>
      <w:r>
        <w:rPr>
          <w:rFonts w:ascii="Courier New" w:cs="Courier New" w:eastAsia="Courier New" w:hAnsi="Courier New"/>
          <w:sz w:val="18"/>
          <w:szCs w:val="18"/>
          <w:color w:val="auto"/>
        </w:rPr>
        <w:t>on equity of the Company, operating margins,</w:t>
      </w:r>
    </w:p>
    <w:p>
      <w:pPr>
        <w:spacing w:after="0" w:line="237" w:lineRule="auto"/>
        <w:rPr>
          <w:sz w:val="20"/>
          <w:szCs w:val="20"/>
          <w:color w:val="auto"/>
        </w:rPr>
      </w:pPr>
      <w:r>
        <w:rPr>
          <w:rFonts w:ascii="Courier New" w:cs="Courier New" w:eastAsia="Courier New" w:hAnsi="Courier New"/>
          <w:sz w:val="18"/>
          <w:szCs w:val="18"/>
          <w:color w:val="auto"/>
        </w:rPr>
        <w:t>cash flow margins, shareholder return,</w:t>
      </w:r>
    </w:p>
    <w:p>
      <w:pPr>
        <w:spacing w:after="0" w:line="238" w:lineRule="auto"/>
        <w:rPr>
          <w:sz w:val="20"/>
          <w:szCs w:val="20"/>
          <w:color w:val="auto"/>
        </w:rPr>
      </w:pPr>
      <w:r>
        <w:rPr>
          <w:rFonts w:ascii="Courier New" w:cs="Courier New" w:eastAsia="Courier New" w:hAnsi="Courier New"/>
          <w:sz w:val="18"/>
          <w:szCs w:val="18"/>
          <w:color w:val="auto"/>
        </w:rPr>
        <w:t>cost control and/or quantitative revenue,</w:t>
      </w:r>
    </w:p>
    <w:p>
      <w:pPr>
        <w:spacing w:after="0"/>
        <w:rPr>
          <w:sz w:val="20"/>
          <w:szCs w:val="20"/>
          <w:color w:val="auto"/>
        </w:rPr>
      </w:pPr>
      <w:r>
        <w:rPr>
          <w:rFonts w:ascii="Courier New" w:cs="Courier New" w:eastAsia="Courier New" w:hAnsi="Courier New"/>
          <w:sz w:val="18"/>
          <w:szCs w:val="18"/>
          <w:color w:val="auto"/>
        </w:rPr>
        <w:t>growth or profitability measurements over</w:t>
      </w:r>
    </w:p>
    <w:p>
      <w:pPr>
        <w:spacing w:after="0" w:line="237" w:lineRule="auto"/>
        <w:rPr>
          <w:sz w:val="20"/>
          <w:szCs w:val="20"/>
          <w:color w:val="auto"/>
        </w:rPr>
      </w:pPr>
      <w:r>
        <w:rPr>
          <w:rFonts w:ascii="Courier New" w:cs="Courier New" w:eastAsia="Courier New" w:hAnsi="Courier New"/>
          <w:sz w:val="18"/>
          <w:szCs w:val="18"/>
          <w:color w:val="auto"/>
        </w:rPr>
        <w:t>the period of time it takes for the</w:t>
      </w:r>
    </w:p>
    <w:p>
      <w:pPr>
        <w:spacing w:after="0"/>
        <w:rPr>
          <w:sz w:val="20"/>
          <w:szCs w:val="20"/>
          <w:color w:val="auto"/>
        </w:rPr>
      </w:pPr>
      <w:r>
        <w:rPr>
          <w:rFonts w:ascii="Courier New" w:cs="Courier New" w:eastAsia="Courier New" w:hAnsi="Courier New"/>
          <w:sz w:val="18"/>
          <w:szCs w:val="18"/>
          <w:color w:val="auto"/>
        </w:rPr>
        <w:t>Restricted Stock Award to vest fully,</w:t>
      </w:r>
    </w:p>
    <w:p>
      <w:pPr>
        <w:spacing w:after="0" w:line="237" w:lineRule="auto"/>
        <w:rPr>
          <w:sz w:val="20"/>
          <w:szCs w:val="20"/>
          <w:color w:val="auto"/>
        </w:rPr>
      </w:pPr>
      <w:r>
        <w:rPr>
          <w:rFonts w:ascii="Courier New" w:cs="Courier New" w:eastAsia="Courier New" w:hAnsi="Courier New"/>
          <w:sz w:val="18"/>
          <w:szCs w:val="18"/>
          <w:color w:val="auto"/>
        </w:rPr>
        <w:t>which will have to be achieved if the</w:t>
      </w:r>
    </w:p>
    <w:p>
      <w:pPr>
        <w:spacing w:after="0"/>
        <w:rPr>
          <w:sz w:val="20"/>
          <w:szCs w:val="20"/>
          <w:color w:val="auto"/>
        </w:rPr>
      </w:pPr>
      <w:r>
        <w:rPr>
          <w:rFonts w:ascii="Courier New" w:cs="Courier New" w:eastAsia="Courier New" w:hAnsi="Courier New"/>
          <w:sz w:val="18"/>
          <w:szCs w:val="18"/>
          <w:color w:val="auto"/>
        </w:rPr>
        <w:t>restriction set forth in subparagraph</w:t>
      </w:r>
    </w:p>
    <w:p>
      <w:pPr>
        <w:spacing w:after="0" w:line="237" w:lineRule="auto"/>
        <w:rPr>
          <w:sz w:val="20"/>
          <w:szCs w:val="20"/>
          <w:color w:val="auto"/>
        </w:rPr>
      </w:pPr>
      <w:r>
        <w:rPr>
          <w:rFonts w:ascii="Courier New" w:cs="Courier New" w:eastAsia="Courier New" w:hAnsi="Courier New"/>
          <w:sz w:val="18"/>
          <w:szCs w:val="18"/>
          <w:color w:val="auto"/>
        </w:rPr>
        <w:t>(c)(i) above is to terminate as provided</w:t>
      </w:r>
    </w:p>
    <w:p>
      <w:pPr>
        <w:spacing w:after="0" w:line="238" w:lineRule="auto"/>
        <w:rPr>
          <w:sz w:val="20"/>
          <w:szCs w:val="20"/>
          <w:color w:val="auto"/>
        </w:rPr>
      </w:pPr>
      <w:r>
        <w:rPr>
          <w:rFonts w:ascii="Courier New" w:cs="Courier New" w:eastAsia="Courier New" w:hAnsi="Courier New"/>
          <w:sz w:val="18"/>
          <w:szCs w:val="18"/>
          <w:color w:val="auto"/>
        </w:rPr>
        <w:t>in this subparagraph (c)(ii).</w:t>
      </w:r>
    </w:p>
    <w:p>
      <w:pPr>
        <w:spacing w:after="0" w:line="202" w:lineRule="exact"/>
        <w:rPr>
          <w:sz w:val="20"/>
          <w:szCs w:val="20"/>
          <w:color w:val="auto"/>
        </w:rPr>
      </w:pPr>
    </w:p>
    <w:p>
      <w:pPr>
        <w:ind w:left="1580" w:hanging="729"/>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participants employment</w:t>
      </w:r>
    </w:p>
    <w:p>
      <w:pPr>
        <w:spacing w:after="0" w:line="4" w:lineRule="exact"/>
        <w:rPr>
          <w:sz w:val="20"/>
          <w:szCs w:val="20"/>
          <w:color w:val="auto"/>
        </w:rPr>
      </w:pPr>
    </w:p>
    <w:p>
      <w:pPr>
        <w:ind w:right="5059"/>
        <w:spacing w:after="0" w:line="268" w:lineRule="auto"/>
        <w:rPr>
          <w:sz w:val="20"/>
          <w:szCs w:val="20"/>
          <w:color w:val="auto"/>
        </w:rPr>
      </w:pPr>
      <w:r>
        <w:rPr>
          <w:rFonts w:ascii="Courier New" w:cs="Courier New" w:eastAsia="Courier New" w:hAnsi="Courier New"/>
          <w:sz w:val="16"/>
          <w:szCs w:val="16"/>
          <w:color w:val="auto"/>
        </w:rPr>
        <w:t>by the Company terminates for any reason (whether voluntary or involuntary and including death</w:t>
      </w:r>
    </w:p>
    <w:p>
      <w:pPr>
        <w:ind w:right="4939"/>
        <w:spacing w:after="0" w:line="237" w:lineRule="auto"/>
        <w:rPr>
          <w:sz w:val="20"/>
          <w:szCs w:val="20"/>
          <w:color w:val="auto"/>
        </w:rPr>
      </w:pPr>
      <w:r>
        <w:rPr>
          <w:rFonts w:ascii="Courier New" w:cs="Courier New" w:eastAsia="Courier New" w:hAnsi="Courier New"/>
          <w:sz w:val="18"/>
          <w:szCs w:val="18"/>
          <w:color w:val="auto"/>
        </w:rPr>
        <w:t>or disability) before the Vesting Date or Extended Vesting Date, as the case may be, the restriction set forth in paragraph (c)(i) above shall terminate on the date the participants employment terminates as to such percentage of the number of shares of Restricted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originally awarded (rounded to the nearest</w:t>
      </w:r>
    </w:p>
    <w:p>
      <w:pPr>
        <w:spacing w:after="0" w:line="238" w:lineRule="auto"/>
        <w:rPr>
          <w:sz w:val="20"/>
          <w:szCs w:val="20"/>
          <w:color w:val="auto"/>
        </w:rPr>
      </w:pPr>
      <w:r>
        <w:rPr>
          <w:rFonts w:ascii="Courier New" w:cs="Courier New" w:eastAsia="Courier New" w:hAnsi="Courier New"/>
          <w:sz w:val="18"/>
          <w:szCs w:val="18"/>
          <w:color w:val="auto"/>
        </w:rPr>
        <w:t>whole share), if any, as shall be determined in</w:t>
      </w:r>
    </w:p>
    <w:p>
      <w:pPr>
        <w:spacing w:after="0"/>
        <w:rPr>
          <w:sz w:val="20"/>
          <w:szCs w:val="20"/>
          <w:color w:val="auto"/>
        </w:rPr>
      </w:pPr>
      <w:r>
        <w:rPr>
          <w:rFonts w:ascii="Courier New" w:cs="Courier New" w:eastAsia="Courier New" w:hAnsi="Courier New"/>
          <w:sz w:val="18"/>
          <w:szCs w:val="18"/>
          <w:color w:val="auto"/>
        </w:rPr>
        <w:t>accordance with the following provisions</w:t>
      </w:r>
    </w:p>
    <w:p>
      <w:pPr>
        <w:spacing w:after="0" w:line="237" w:lineRule="auto"/>
        <w:rPr>
          <w:sz w:val="20"/>
          <w:szCs w:val="20"/>
          <w:color w:val="auto"/>
        </w:rPr>
      </w:pPr>
      <w:r>
        <w:rPr>
          <w:rFonts w:ascii="Courier New" w:cs="Courier New" w:eastAsia="Courier New" w:hAnsi="Courier New"/>
          <w:sz w:val="18"/>
          <w:szCs w:val="18"/>
          <w:color w:val="auto"/>
        </w:rPr>
        <w:t>(and ownership of all shares of Restricted</w:t>
      </w:r>
    </w:p>
    <w:p>
      <w:pPr>
        <w:spacing w:after="0" w:line="238" w:lineRule="auto"/>
        <w:rPr>
          <w:sz w:val="20"/>
          <w:szCs w:val="20"/>
          <w:color w:val="auto"/>
        </w:rPr>
      </w:pPr>
      <w:r>
        <w:rPr>
          <w:rFonts w:ascii="Courier New" w:cs="Courier New" w:eastAsia="Courier New" w:hAnsi="Courier New"/>
          <w:sz w:val="18"/>
          <w:szCs w:val="18"/>
          <w:color w:val="auto"/>
        </w:rPr>
        <w:t>Stock as to which such restriction shall not</w:t>
      </w:r>
    </w:p>
    <w:p>
      <w:pPr>
        <w:spacing w:after="0"/>
        <w:rPr>
          <w:sz w:val="20"/>
          <w:szCs w:val="20"/>
          <w:color w:val="auto"/>
        </w:rPr>
      </w:pPr>
      <w:r>
        <w:rPr>
          <w:rFonts w:ascii="Courier New" w:cs="Courier New" w:eastAsia="Courier New" w:hAnsi="Courier New"/>
          <w:sz w:val="18"/>
          <w:szCs w:val="18"/>
          <w:color w:val="auto"/>
        </w:rPr>
        <w:t>so terminate shall forthwith revert to</w:t>
      </w:r>
    </w:p>
    <w:p>
      <w:pPr>
        <w:spacing w:after="0" w:line="237" w:lineRule="auto"/>
        <w:rPr>
          <w:sz w:val="20"/>
          <w:szCs w:val="20"/>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1580" w:hanging="729"/>
        <w:spacing w:after="0"/>
        <w:tabs>
          <w:tab w:leader="none" w:pos="15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two or</w:t>
      </w:r>
    </w:p>
    <w:p>
      <w:pPr>
        <w:spacing w:after="0" w:line="4" w:lineRule="exact"/>
        <w:rPr>
          <w:rFonts w:ascii="Courier New" w:cs="Courier New" w:eastAsia="Courier New" w:hAnsi="Courier New"/>
          <w:sz w:val="18"/>
          <w:szCs w:val="18"/>
          <w:color w:val="auto"/>
        </w:rPr>
      </w:pPr>
    </w:p>
    <w:p>
      <w:pPr>
        <w:ind w:right="5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more years from the effective date of the award, such percentage, if any, as the Committee may, in its sole discretion, determine; provided, however, that the percentage determined by the Committee may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exceed the percentage calculated by dividing</w:t>
      </w:r>
    </w:p>
    <w:p>
      <w:pPr>
        <w:spacing w:after="0" w:line="4" w:lineRule="exact"/>
        <w:rPr>
          <w:rFonts w:ascii="Courier New" w:cs="Courier New" w:eastAsia="Courier New" w:hAnsi="Courier New"/>
          <w:sz w:val="18"/>
          <w:szCs w:val="18"/>
          <w:color w:val="auto"/>
        </w:rPr>
      </w:pPr>
    </w:p>
    <w:p>
      <w:pPr>
        <w:ind w:right="5259" w:firstLine="8"/>
        <w:spacing w:after="0" w:line="236"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full months elapsed from the effective date of the award to the date of such termination (less the period of full</w:t>
      </w:r>
    </w:p>
    <w:p>
      <w:pPr>
        <w:spacing w:after="0" w:line="6" w:lineRule="exact"/>
        <w:rPr>
          <w:rFonts w:ascii="Courier New" w:cs="Courier New" w:eastAsia="Courier New" w:hAnsi="Courier New"/>
          <w:sz w:val="18"/>
          <w:szCs w:val="18"/>
          <w:color w:val="auto"/>
        </w:rPr>
      </w:pPr>
    </w:p>
    <w:p>
      <w:pPr>
        <w:ind w:right="54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months that a participant was on one or more unpaid leaves of absence where the leave is greater than 90 days during such period by (ii) the number of full months from such effective date to the Vesting Date for such award (such percentage being hereinafter called the Pro-Rated Percentage);and</w:t>
      </w:r>
    </w:p>
    <w:p>
      <w:pPr>
        <w:spacing w:after="0" w:line="182"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within</w:t>
      </w:r>
    </w:p>
    <w:p>
      <w:pPr>
        <w:spacing w:after="0" w:line="238" w:lineRule="auto"/>
        <w:rPr>
          <w:sz w:val="20"/>
          <w:szCs w:val="20"/>
          <w:color w:val="auto"/>
        </w:rPr>
      </w:pPr>
      <w:r>
        <w:rPr>
          <w:rFonts w:ascii="Courier New" w:cs="Courier New" w:eastAsia="Courier New" w:hAnsi="Courier New"/>
          <w:sz w:val="18"/>
          <w:szCs w:val="18"/>
          <w:color w:val="auto"/>
        </w:rPr>
        <w:t>two years from the effective date of the award,</w:t>
      </w:r>
    </w:p>
    <w:p>
      <w:pPr>
        <w:spacing w:after="0"/>
        <w:rPr>
          <w:sz w:val="20"/>
          <w:szCs w:val="20"/>
          <w:color w:val="auto"/>
        </w:rPr>
      </w:pPr>
      <w:r>
        <w:rPr>
          <w:rFonts w:ascii="Courier New" w:cs="Courier New" w:eastAsia="Courier New" w:hAnsi="Courier New"/>
          <w:sz w:val="18"/>
          <w:szCs w:val="18"/>
          <w:color w:val="auto"/>
        </w:rPr>
        <w:t>ownership of all the shares of Restricted</w:t>
      </w:r>
    </w:p>
    <w:p>
      <w:pPr>
        <w:spacing w:after="0" w:line="237" w:lineRule="auto"/>
        <w:rPr>
          <w:sz w:val="20"/>
          <w:szCs w:val="20"/>
          <w:color w:val="auto"/>
        </w:rPr>
      </w:pPr>
      <w:r>
        <w:rPr>
          <w:rFonts w:ascii="Courier New" w:cs="Courier New" w:eastAsia="Courier New" w:hAnsi="Courier New"/>
          <w:sz w:val="18"/>
          <w:szCs w:val="18"/>
          <w:color w:val="auto"/>
        </w:rPr>
        <w:t>Stock shall revert to the Company.</w:t>
      </w:r>
    </w:p>
    <w:p>
      <w:pPr>
        <w:spacing w:after="0" w:line="207" w:lineRule="exact"/>
        <w:rPr>
          <w:sz w:val="20"/>
          <w:szCs w:val="20"/>
          <w:color w:val="auto"/>
        </w:rPr>
      </w:pPr>
    </w:p>
    <w:p>
      <w:pPr>
        <w:ind w:right="5159" w:firstLine="851"/>
        <w:spacing w:after="0" w:line="271"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w:t>
      </w:r>
    </w:p>
    <w:p>
      <w:pPr>
        <w:spacing w:after="0" w:line="183" w:lineRule="exact"/>
        <w:rPr>
          <w:rFonts w:ascii="Courier New" w:cs="Courier New" w:eastAsia="Courier New" w:hAnsi="Courier New"/>
          <w:sz w:val="16"/>
          <w:szCs w:val="16"/>
          <w:color w:val="auto"/>
        </w:rPr>
      </w:pPr>
    </w:p>
    <w:p>
      <w:pPr>
        <w:ind w:right="55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stock certificate or certificates for such shares. Alternatively, pursuant to rules established by the Compensation Committee, a participant may elect to receive all or</w:t>
      </w:r>
    </w:p>
    <w:p>
      <w:pPr>
        <w:ind w:right="57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portion of the participants award in the form of cash in lieu of shares, based on</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the fair market value (the mean between</w:t>
      </w:r>
    </w:p>
    <w:p>
      <w:pPr>
        <w:spacing w:after="0" w:line="238" w:lineRule="auto"/>
        <w:rPr>
          <w:sz w:val="20"/>
          <w:szCs w:val="20"/>
          <w:color w:val="auto"/>
        </w:rPr>
      </w:pPr>
      <w:r>
        <w:rPr>
          <w:rFonts w:ascii="Courier New" w:cs="Courier New" w:eastAsia="Courier New" w:hAnsi="Courier New"/>
          <w:sz w:val="18"/>
          <w:szCs w:val="18"/>
          <w:color w:val="auto"/>
        </w:rPr>
        <w:t>the high and low price per share on the</w:t>
      </w:r>
    </w:p>
    <w:p>
      <w:pPr>
        <w:spacing w:after="0"/>
        <w:rPr>
          <w:sz w:val="20"/>
          <w:szCs w:val="20"/>
          <w:color w:val="auto"/>
        </w:rPr>
      </w:pPr>
      <w:r>
        <w:rPr>
          <w:rFonts w:ascii="Courier New" w:cs="Courier New" w:eastAsia="Courier New" w:hAnsi="Courier New"/>
          <w:sz w:val="18"/>
          <w:szCs w:val="18"/>
          <w:color w:val="auto"/>
        </w:rPr>
        <w:t>New York Stock Exchange) of such shares</w:t>
      </w:r>
    </w:p>
    <w:p>
      <w:pPr>
        <w:spacing w:after="0" w:line="237" w:lineRule="auto"/>
        <w:rPr>
          <w:sz w:val="20"/>
          <w:szCs w:val="20"/>
          <w:color w:val="auto"/>
        </w:rPr>
      </w:pPr>
      <w:r>
        <w:rPr>
          <w:rFonts w:ascii="Courier New" w:cs="Courier New" w:eastAsia="Courier New" w:hAnsi="Courier New"/>
          <w:sz w:val="18"/>
          <w:szCs w:val="18"/>
          <w:color w:val="auto"/>
        </w:rPr>
        <w:t>on the date the restrictions set forth</w:t>
      </w:r>
    </w:p>
    <w:p>
      <w:pPr>
        <w:spacing w:after="0" w:line="238" w:lineRule="auto"/>
        <w:rPr>
          <w:sz w:val="20"/>
          <w:szCs w:val="20"/>
          <w:color w:val="auto"/>
        </w:rPr>
      </w:pPr>
      <w:r>
        <w:rPr>
          <w:rFonts w:ascii="Courier New" w:cs="Courier New" w:eastAsia="Courier New" w:hAnsi="Courier New"/>
          <w:sz w:val="18"/>
          <w:szCs w:val="18"/>
          <w:color w:val="auto"/>
        </w:rPr>
        <w:t>in subparagraph (c)(i) above shall</w:t>
      </w:r>
    </w:p>
    <w:p>
      <w:pPr>
        <w:spacing w:after="0"/>
        <w:rPr>
          <w:sz w:val="20"/>
          <w:szCs w:val="20"/>
          <w:color w:val="auto"/>
        </w:rPr>
      </w:pPr>
      <w:r>
        <w:rPr>
          <w:rFonts w:ascii="Courier New" w:cs="Courier New" w:eastAsia="Courier New" w:hAnsi="Courier New"/>
          <w:sz w:val="18"/>
          <w:szCs w:val="18"/>
          <w:color w:val="auto"/>
        </w:rPr>
        <w:t>terminate; and the Company will deduct</w:t>
      </w:r>
    </w:p>
    <w:p>
      <w:pPr>
        <w:spacing w:after="0" w:line="237" w:lineRule="auto"/>
        <w:rPr>
          <w:sz w:val="20"/>
          <w:szCs w:val="20"/>
          <w:color w:val="auto"/>
        </w:rPr>
      </w:pPr>
      <w:r>
        <w:rPr>
          <w:rFonts w:ascii="Courier New" w:cs="Courier New" w:eastAsia="Courier New" w:hAnsi="Courier New"/>
          <w:sz w:val="18"/>
          <w:szCs w:val="18"/>
          <w:color w:val="auto"/>
        </w:rPr>
        <w:t>the amount of all withholding taxes</w:t>
      </w:r>
    </w:p>
    <w:p>
      <w:pPr>
        <w:spacing w:after="0"/>
        <w:rPr>
          <w:sz w:val="20"/>
          <w:szCs w:val="20"/>
          <w:color w:val="auto"/>
        </w:rPr>
      </w:pPr>
      <w:r>
        <w:rPr>
          <w:rFonts w:ascii="Courier New" w:cs="Courier New" w:eastAsia="Courier New" w:hAnsi="Courier New"/>
          <w:sz w:val="18"/>
          <w:szCs w:val="18"/>
          <w:color w:val="auto"/>
        </w:rPr>
        <w:t>payable on the compensation represented</w:t>
      </w:r>
    </w:p>
    <w:p>
      <w:pPr>
        <w:spacing w:after="0" w:line="237" w:lineRule="auto"/>
        <w:rPr>
          <w:sz w:val="20"/>
          <w:szCs w:val="20"/>
          <w:color w:val="auto"/>
        </w:rPr>
      </w:pPr>
      <w:r>
        <w:rPr>
          <w:rFonts w:ascii="Courier New" w:cs="Courier New" w:eastAsia="Courier New" w:hAnsi="Courier New"/>
          <w:sz w:val="18"/>
          <w:szCs w:val="18"/>
          <w:color w:val="auto"/>
        </w:rPr>
        <w:t>by such shares from the cash value of</w:t>
      </w:r>
    </w:p>
    <w:p>
      <w:pPr>
        <w:spacing w:after="0"/>
        <w:rPr>
          <w:sz w:val="20"/>
          <w:szCs w:val="20"/>
          <w:color w:val="auto"/>
        </w:rPr>
      </w:pPr>
      <w:r>
        <w:rPr>
          <w:rFonts w:ascii="Courier New" w:cs="Courier New" w:eastAsia="Courier New" w:hAnsi="Courier New"/>
          <w:sz w:val="18"/>
          <w:szCs w:val="18"/>
          <w:color w:val="auto"/>
        </w:rPr>
        <w:t>the shares to be paid to the participant.</w:t>
      </w:r>
    </w:p>
    <w:p>
      <w:pPr>
        <w:spacing w:after="0" w:line="206" w:lineRule="exact"/>
        <w:rPr>
          <w:sz w:val="20"/>
          <w:szCs w:val="20"/>
          <w:color w:val="auto"/>
        </w:rPr>
      </w:pPr>
    </w:p>
    <w:p>
      <w:pPr>
        <w:ind w:right="5679" w:firstLine="851"/>
        <w:spacing w:after="0" w:line="237" w:lineRule="auto"/>
        <w:tabs>
          <w:tab w:leader="none" w:pos="137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 and to receive all dividends declared and paid on such shares.</w:t>
      </w:r>
    </w:p>
    <w:p>
      <w:pPr>
        <w:spacing w:after="0" w:line="214" w:lineRule="exact"/>
        <w:rPr>
          <w:sz w:val="20"/>
          <w:szCs w:val="20"/>
          <w:color w:val="auto"/>
        </w:rPr>
      </w:pPr>
    </w:p>
    <w:p>
      <w:pPr>
        <w:ind w:right="5899" w:firstLine="851"/>
        <w:spacing w:after="0" w:line="273" w:lineRule="auto"/>
        <w:tabs>
          <w:tab w:leader="none" w:pos="137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Common Stock issued to recipients of Restricted Stock awards shall be issued from previously issued and outstanding shares held in the Treasury of the Company.</w:t>
      </w:r>
    </w:p>
    <w:p>
      <w:pPr>
        <w:spacing w:after="0" w:line="184" w:lineRule="exact"/>
        <w:rPr>
          <w:rFonts w:ascii="Courier New" w:cs="Courier New" w:eastAsia="Courier New" w:hAnsi="Courier New"/>
          <w:sz w:val="16"/>
          <w:szCs w:val="16"/>
          <w:color w:val="auto"/>
        </w:rPr>
      </w:pPr>
    </w:p>
    <w:p>
      <w:pPr>
        <w:ind w:right="5359" w:firstLine="851"/>
        <w:spacing w:after="0" w:line="270" w:lineRule="auto"/>
        <w:tabs>
          <w:tab w:leader="none" w:pos="137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Common Stock that may be awarded as Restricted Stock under the Plan shall not exceed 425,000 shares; provided, however, that effective November 1, 1991, shares which revert to the Company in accordance with paragraph 9(c)(iii) shall be deemed to have been awarded as Restricted Stock for purposes of determining the number of shares of Restricted Stock remaining available to be awarded hereunder.</w:t>
      </w:r>
    </w:p>
    <w:p>
      <w:pPr>
        <w:spacing w:after="0" w:line="18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Units</w:t>
      </w:r>
    </w:p>
    <w:p>
      <w:pPr>
        <w:spacing w:after="0" w:line="206" w:lineRule="exact"/>
        <w:rPr>
          <w:rFonts w:ascii="Courier New" w:cs="Courier New" w:eastAsia="Courier New" w:hAnsi="Courier New"/>
          <w:sz w:val="18"/>
          <w:szCs w:val="18"/>
          <w:color w:val="auto"/>
        </w:rPr>
      </w:pPr>
    </w:p>
    <w:p>
      <w:pPr>
        <w:ind w:right="5579" w:firstLine="851"/>
        <w:spacing w:after="0" w:line="270" w:lineRule="auto"/>
        <w:tabs>
          <w:tab w:leader="none" w:pos="137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each participant designated to receive an award of Performance Units for an Award Cycle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182" w:lineRule="exact"/>
        <w:rPr>
          <w:rFonts w:ascii="Courier New" w:cs="Courier New" w:eastAsia="Courier New" w:hAnsi="Courier New"/>
          <w:sz w:val="16"/>
          <w:szCs w:val="16"/>
          <w:color w:val="auto"/>
        </w:rPr>
      </w:pPr>
    </w:p>
    <w:p>
      <w:pPr>
        <w:ind w:left="1380" w:hanging="529"/>
        <w:spacing w:after="0"/>
        <w:tabs>
          <w:tab w:leader="none" w:pos="13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90 days after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beginning of each Award Cycle the Committee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establish in writing a method for</w:t>
      </w:r>
    </w:p>
    <w:p>
      <w:pPr>
        <w:spacing w:after="0" w:line="238" w:lineRule="auto"/>
        <w:rPr>
          <w:sz w:val="20"/>
          <w:szCs w:val="20"/>
          <w:color w:val="auto"/>
        </w:rPr>
      </w:pPr>
      <w:r>
        <w:rPr>
          <w:rFonts w:ascii="Courier New" w:cs="Courier New" w:eastAsia="Courier New" w:hAnsi="Courier New"/>
          <w:sz w:val="18"/>
          <w:szCs w:val="18"/>
          <w:color w:val="auto"/>
        </w:rPr>
        <w:t>determining the earned value of a 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 at the end of such Award Cycle (hereinafter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called the Payout Value) based on performance</w:t>
      </w:r>
    </w:p>
    <w:p>
      <w:pPr>
        <w:spacing w:after="0" w:line="238" w:lineRule="auto"/>
        <w:rPr>
          <w:sz w:val="20"/>
          <w:szCs w:val="20"/>
          <w:color w:val="auto"/>
        </w:rPr>
      </w:pPr>
      <w:r>
        <w:rPr>
          <w:rFonts w:ascii="Courier New" w:cs="Courier New" w:eastAsia="Courier New" w:hAnsi="Courier New"/>
          <w:sz w:val="18"/>
          <w:szCs w:val="18"/>
          <w:color w:val="auto"/>
        </w:rPr>
        <w:t>goals over the period of the Award Cycle</w:t>
      </w:r>
    </w:p>
    <w:p>
      <w:pPr>
        <w:spacing w:after="0"/>
        <w:rPr>
          <w:sz w:val="20"/>
          <w:szCs w:val="20"/>
          <w:color w:val="auto"/>
        </w:rPr>
      </w:pPr>
      <w:r>
        <w:rPr>
          <w:rFonts w:ascii="Courier New" w:cs="Courier New" w:eastAsia="Courier New" w:hAnsi="Courier New"/>
          <w:sz w:val="18"/>
          <w:szCs w:val="18"/>
          <w:color w:val="auto"/>
        </w:rPr>
        <w:t>related to one or more of the following:</w:t>
      </w:r>
    </w:p>
    <w:p>
      <w:pPr>
        <w:spacing w:after="0" w:line="237" w:lineRule="auto"/>
        <w:rPr>
          <w:sz w:val="20"/>
          <w:szCs w:val="20"/>
          <w:color w:val="auto"/>
        </w:rPr>
      </w:pPr>
      <w:r>
        <w:rPr>
          <w:rFonts w:ascii="Courier New" w:cs="Courier New" w:eastAsia="Courier New" w:hAnsi="Courier New"/>
          <w:sz w:val="18"/>
          <w:szCs w:val="18"/>
          <w:color w:val="auto"/>
        </w:rPr>
        <w:t>operating income, cash flow, shareholder</w:t>
      </w:r>
    </w:p>
    <w:p>
      <w:pPr>
        <w:spacing w:after="0" w:line="238" w:lineRule="auto"/>
        <w:rPr>
          <w:sz w:val="20"/>
          <w:szCs w:val="20"/>
          <w:color w:val="auto"/>
        </w:rPr>
      </w:pPr>
      <w:r>
        <w:rPr>
          <w:rFonts w:ascii="Courier New" w:cs="Courier New" w:eastAsia="Courier New" w:hAnsi="Courier New"/>
          <w:sz w:val="18"/>
          <w:szCs w:val="18"/>
          <w:color w:val="auto"/>
        </w:rPr>
        <w:t>return, return on assets, return on equity,</w:t>
      </w:r>
    </w:p>
    <w:p>
      <w:pPr>
        <w:spacing w:after="0"/>
        <w:rPr>
          <w:sz w:val="20"/>
          <w:szCs w:val="20"/>
          <w:color w:val="auto"/>
        </w:rPr>
      </w:pPr>
      <w:r>
        <w:rPr>
          <w:rFonts w:ascii="Courier New" w:cs="Courier New" w:eastAsia="Courier New" w:hAnsi="Courier New"/>
          <w:sz w:val="18"/>
          <w:szCs w:val="18"/>
          <w:color w:val="auto"/>
        </w:rPr>
        <w:t>operating margins, cost control, customer</w:t>
      </w:r>
    </w:p>
    <w:p>
      <w:pPr>
        <w:spacing w:after="0" w:line="237" w:lineRule="auto"/>
        <w:rPr>
          <w:sz w:val="20"/>
          <w:szCs w:val="20"/>
          <w:color w:val="auto"/>
        </w:rPr>
      </w:pPr>
      <w:r>
        <w:rPr>
          <w:rFonts w:ascii="Courier New" w:cs="Courier New" w:eastAsia="Courier New" w:hAnsi="Courier New"/>
          <w:sz w:val="18"/>
          <w:szCs w:val="18"/>
          <w:color w:val="auto"/>
        </w:rPr>
        <w:t>satisfaction, economic value added (EVA)</w:t>
      </w:r>
    </w:p>
    <w:p>
      <w:pPr>
        <w:spacing w:after="0"/>
        <w:rPr>
          <w:sz w:val="20"/>
          <w:szCs w:val="20"/>
          <w:color w:val="auto"/>
        </w:rPr>
      </w:pPr>
      <w:r>
        <w:rPr>
          <w:rFonts w:ascii="Courier New" w:cs="Courier New" w:eastAsia="Courier New" w:hAnsi="Courier New"/>
          <w:sz w:val="18"/>
          <w:szCs w:val="18"/>
          <w:color w:val="auto"/>
        </w:rPr>
        <w:t>and/or other quantitative revenue, growth</w:t>
      </w:r>
    </w:p>
    <w:p>
      <w:pPr>
        <w:spacing w:after="0" w:line="237" w:lineRule="auto"/>
        <w:rPr>
          <w:sz w:val="20"/>
          <w:szCs w:val="20"/>
          <w:color w:val="auto"/>
        </w:rPr>
      </w:pPr>
      <w:r>
        <w:rPr>
          <w:rFonts w:ascii="Courier New" w:cs="Courier New" w:eastAsia="Courier New" w:hAnsi="Courier New"/>
          <w:sz w:val="18"/>
          <w:szCs w:val="18"/>
          <w:color w:val="auto"/>
        </w:rPr>
        <w:t>or profitability measurements, which may</w:t>
      </w:r>
    </w:p>
    <w:p>
      <w:pPr>
        <w:spacing w:after="0"/>
        <w:rPr>
          <w:sz w:val="20"/>
          <w:szCs w:val="20"/>
          <w:color w:val="auto"/>
        </w:rPr>
      </w:pPr>
      <w:r>
        <w:rPr>
          <w:rFonts w:ascii="Courier New" w:cs="Courier New" w:eastAsia="Courier New" w:hAnsi="Courier New"/>
          <w:sz w:val="18"/>
          <w:szCs w:val="18"/>
          <w:color w:val="auto"/>
        </w:rPr>
        <w:t>be in respect of the Company, as a whole,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any business unit thereof; provided, however,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such method shall provide</w:t>
      </w:r>
    </w:p>
    <w:p>
      <w:pPr>
        <w:spacing w:after="0" w:line="238" w:lineRule="auto"/>
        <w:rPr>
          <w:sz w:val="20"/>
          <w:szCs w:val="20"/>
          <w:color w:val="auto"/>
        </w:rPr>
      </w:pPr>
      <w:r>
        <w:rPr>
          <w:rFonts w:ascii="Courier New" w:cs="Courier New" w:eastAsia="Courier New" w:hAnsi="Courier New"/>
          <w:sz w:val="18"/>
          <w:szCs w:val="18"/>
          <w:color w:val="auto"/>
        </w:rPr>
        <w:t>that (i) no Payout Value may exceed $200 and</w:t>
      </w:r>
    </w:p>
    <w:p>
      <w:pPr>
        <w:spacing w:after="0" w:line="5" w:lineRule="exact"/>
        <w:rPr>
          <w:sz w:val="20"/>
          <w:szCs w:val="20"/>
          <w:color w:val="auto"/>
        </w:rPr>
      </w:pPr>
    </w:p>
    <w:p>
      <w:pPr>
        <w:ind w:right="5479" w:firstLine="8"/>
        <w:spacing w:after="0" w:line="237"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 award of Performance Units to any participant at the end of an Award Cycle shall be the lesser of $5 million or the amount determined by multiplying the Payout Value times the number of Performance Units granted to such participant.</w:t>
      </w:r>
    </w:p>
    <w:p>
      <w:pPr>
        <w:spacing w:after="0" w:line="211" w:lineRule="exact"/>
        <w:rPr>
          <w:sz w:val="20"/>
          <w:szCs w:val="20"/>
          <w:color w:val="auto"/>
        </w:rPr>
      </w:pPr>
    </w:p>
    <w:p>
      <w:pPr>
        <w:ind w:right="5899" w:firstLine="851"/>
        <w:spacing w:after="0" w:line="279" w:lineRule="auto"/>
        <w:tabs>
          <w:tab w:leader="none" w:pos="137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participants employment by the Company terminates for any reason (whether voluntary or involuntary and</w:t>
      </w:r>
    </w:p>
    <w:p>
      <w:pPr>
        <w:sectPr>
          <w:pgSz w:w="11900" w:h="16838" w:orient="portrait"/>
          <w:cols w:equalWidth="0" w:num="1">
            <w:col w:w="10219"/>
          </w:cols>
          <w:pgMar w:left="24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including death or disability) before the</w:t>
      </w:r>
    </w:p>
    <w:p>
      <w:pPr>
        <w:spacing w:after="0" w:line="238" w:lineRule="auto"/>
        <w:rPr>
          <w:sz w:val="20"/>
          <w:szCs w:val="20"/>
          <w:color w:val="auto"/>
        </w:rPr>
      </w:pPr>
      <w:r>
        <w:rPr>
          <w:rFonts w:ascii="Courier New" w:cs="Courier New" w:eastAsia="Courier New" w:hAnsi="Courier New"/>
          <w:sz w:val="18"/>
          <w:szCs w:val="18"/>
          <w:color w:val="auto"/>
        </w:rPr>
        <w:t>end of an Award Cycle for which the</w:t>
      </w:r>
    </w:p>
    <w:p>
      <w:pPr>
        <w:spacing w:after="0"/>
        <w:rPr>
          <w:sz w:val="20"/>
          <w:szCs w:val="20"/>
          <w:color w:val="auto"/>
        </w:rPr>
      </w:pPr>
      <w:r>
        <w:rPr>
          <w:rFonts w:ascii="Courier New" w:cs="Courier New" w:eastAsia="Courier New" w:hAnsi="Courier New"/>
          <w:sz w:val="18"/>
          <w:szCs w:val="18"/>
          <w:color w:val="auto"/>
        </w:rPr>
        <w:t>participant was granted Performance Units,</w:t>
      </w:r>
    </w:p>
    <w:p>
      <w:pPr>
        <w:spacing w:after="0" w:line="237" w:lineRule="auto"/>
        <w:rPr>
          <w:sz w:val="20"/>
          <w:szCs w:val="20"/>
          <w:color w:val="auto"/>
        </w:rPr>
      </w:pPr>
      <w:r>
        <w:rPr>
          <w:rFonts w:ascii="Courier New" w:cs="Courier New" w:eastAsia="Courier New" w:hAnsi="Courier New"/>
          <w:sz w:val="18"/>
          <w:szCs w:val="18"/>
          <w:color w:val="auto"/>
        </w:rPr>
        <w:t>after the end of such Award Cycle, the</w:t>
      </w:r>
    </w:p>
    <w:p>
      <w:pPr>
        <w:spacing w:after="0" w:line="238" w:lineRule="auto"/>
        <w:rPr>
          <w:sz w:val="20"/>
          <w:szCs w:val="20"/>
          <w:color w:val="auto"/>
        </w:rPr>
      </w:pPr>
      <w:r>
        <w:rPr>
          <w:rFonts w:ascii="Courier New" w:cs="Courier New" w:eastAsia="Courier New" w:hAnsi="Courier New"/>
          <w:sz w:val="18"/>
          <w:szCs w:val="18"/>
          <w:color w:val="auto"/>
        </w:rPr>
        <w:t>participant shall be entitled to such</w:t>
      </w:r>
    </w:p>
    <w:p>
      <w:pPr>
        <w:spacing w:after="0"/>
        <w:rPr>
          <w:sz w:val="20"/>
          <w:szCs w:val="20"/>
          <w:color w:val="auto"/>
        </w:rPr>
      </w:pPr>
      <w:r>
        <w:rPr>
          <w:rFonts w:ascii="Courier New" w:cs="Courier New" w:eastAsia="Courier New" w:hAnsi="Courier New"/>
          <w:sz w:val="18"/>
          <w:szCs w:val="18"/>
          <w:color w:val="auto"/>
        </w:rPr>
        <w:t>percentage of the Payout Value of said</w:t>
      </w:r>
    </w:p>
    <w:p>
      <w:pPr>
        <w:spacing w:after="0" w:line="237" w:lineRule="auto"/>
        <w:rPr>
          <w:sz w:val="20"/>
          <w:szCs w:val="20"/>
          <w:color w:val="auto"/>
        </w:rPr>
      </w:pPr>
      <w:r>
        <w:rPr>
          <w:rFonts w:ascii="Courier New" w:cs="Courier New" w:eastAsia="Courier New" w:hAnsi="Courier New"/>
          <w:sz w:val="18"/>
          <w:szCs w:val="18"/>
          <w:color w:val="auto"/>
        </w:rPr>
        <w:t>Performance Units, if any, as shall be</w:t>
      </w:r>
    </w:p>
    <w:p>
      <w:pPr>
        <w:spacing w:after="0"/>
        <w:rPr>
          <w:sz w:val="20"/>
          <w:szCs w:val="20"/>
          <w:color w:val="auto"/>
        </w:rPr>
      </w:pPr>
      <w:r>
        <w:rPr>
          <w:rFonts w:ascii="Courier New" w:cs="Courier New" w:eastAsia="Courier New" w:hAnsi="Courier New"/>
          <w:sz w:val="18"/>
          <w:szCs w:val="18"/>
          <w:color w:val="auto"/>
        </w:rPr>
        <w:t>determined in accordance with the</w:t>
      </w:r>
    </w:p>
    <w:p>
      <w:pPr>
        <w:spacing w:after="0" w:line="237" w:lineRule="auto"/>
        <w:rPr>
          <w:sz w:val="20"/>
          <w:szCs w:val="20"/>
          <w:color w:val="auto"/>
        </w:rPr>
      </w:pPr>
      <w:r>
        <w:rPr>
          <w:rFonts w:ascii="Courier New" w:cs="Courier New" w:eastAsia="Courier New" w:hAnsi="Courier New"/>
          <w:sz w:val="18"/>
          <w:szCs w:val="18"/>
          <w:color w:val="auto"/>
        </w:rPr>
        <w:t>following provisions:</w:t>
      </w:r>
    </w:p>
    <w:p>
      <w:pPr>
        <w:spacing w:after="0" w:line="207" w:lineRule="exact"/>
        <w:rPr>
          <w:sz w:val="20"/>
          <w:szCs w:val="20"/>
          <w:color w:val="auto"/>
        </w:rPr>
      </w:pPr>
    </w:p>
    <w:p>
      <w:pPr>
        <w:ind w:right="5779" w:firstLine="851"/>
        <w:spacing w:after="0" w:line="268" w:lineRule="auto"/>
        <w:tabs>
          <w:tab w:leader="none" w:pos="137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two or more years after the effective date of the award, such percentage, if any (but not greater than the Pro-Rated Percentage),</w:t>
      </w:r>
    </w:p>
    <w:p>
      <w:pPr>
        <w:ind w:right="5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the Committee may, in its sole discretion, determine; and</w:t>
      </w:r>
    </w:p>
    <w:p>
      <w:pPr>
        <w:spacing w:after="0" w:line="202" w:lineRule="exact"/>
        <w:rPr>
          <w:rFonts w:ascii="Courier New" w:cs="Courier New" w:eastAsia="Courier New" w:hAnsi="Courier New"/>
          <w:sz w:val="16"/>
          <w:szCs w:val="16"/>
          <w:color w:val="auto"/>
        </w:rPr>
      </w:pPr>
    </w:p>
    <w:p>
      <w:pPr>
        <w:ind w:left="1480" w:hanging="629"/>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within</w:t>
      </w:r>
    </w:p>
    <w:p>
      <w:pPr>
        <w:spacing w:after="0" w:line="4" w:lineRule="exact"/>
        <w:rPr>
          <w:rFonts w:ascii="Courier New" w:cs="Courier New" w:eastAsia="Courier New" w:hAnsi="Courier New"/>
          <w:sz w:val="18"/>
          <w:szCs w:val="18"/>
          <w:color w:val="auto"/>
        </w:rPr>
      </w:pPr>
    </w:p>
    <w:p>
      <w:pPr>
        <w:jc w:val="both"/>
        <w:ind w:right="5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effective date of the award, no percentage of the Payout Value shall be paid.</w:t>
      </w:r>
    </w:p>
    <w:p>
      <w:pPr>
        <w:spacing w:after="0" w:line="209" w:lineRule="exact"/>
        <w:rPr>
          <w:sz w:val="20"/>
          <w:szCs w:val="20"/>
          <w:color w:val="auto"/>
        </w:rPr>
      </w:pPr>
    </w:p>
    <w:p>
      <w:pPr>
        <w:ind w:right="5259" w:firstLine="851"/>
        <w:spacing w:after="0" w:line="237" w:lineRule="auto"/>
        <w:tabs>
          <w:tab w:leader="none" w:pos="137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the end of each Award Cycle and in the calendar that begins closest to the last day of the Award Cycle, the Payout Value of a Performance Unit awarded at the beginning</w:t>
      </w:r>
    </w:p>
    <w:p>
      <w:pPr>
        <w:spacing w:after="0" w:line="6" w:lineRule="exact"/>
        <w:rPr>
          <w:rFonts w:ascii="Courier New" w:cs="Courier New" w:eastAsia="Courier New" w:hAnsi="Courier New"/>
          <w:sz w:val="18"/>
          <w:szCs w:val="18"/>
          <w:color w:val="auto"/>
        </w:rPr>
      </w:pPr>
    </w:p>
    <w:p>
      <w:pPr>
        <w:ind w:right="5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such Award Cycle shall be calculated and paid (unless otherwise deferred as provided herein) in cash to the recipients awarded such Performance Units after deduction of all Federal, state and local withholding taxes payable on</w:t>
      </w:r>
    </w:p>
    <w:p>
      <w:pPr>
        <w:spacing w:after="0" w:line="7" w:lineRule="exact"/>
        <w:rPr>
          <w:rFonts w:ascii="Courier New" w:cs="Courier New" w:eastAsia="Courier New" w:hAnsi="Courier New"/>
          <w:sz w:val="18"/>
          <w:szCs w:val="18"/>
          <w:color w:val="auto"/>
        </w:rPr>
      </w:pPr>
    </w:p>
    <w:p>
      <w:pPr>
        <w:ind w:right="5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represented thereby. In addition, the Committee may, in its sole discretion, establish terms and conditions under which a participant may elect to defer the payment of the Payout Value of a Performance Unit in whole or in part pursuant to the Deferred Compensation Plan.</w:t>
      </w:r>
    </w:p>
    <w:p>
      <w:pPr>
        <w:spacing w:after="0" w:line="20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paragraphs</w:t>
      </w:r>
    </w:p>
    <w:p>
      <w:pPr>
        <w:spacing w:after="0" w:line="238" w:lineRule="auto"/>
        <w:rPr>
          <w:sz w:val="20"/>
          <w:szCs w:val="20"/>
          <w:color w:val="auto"/>
        </w:rPr>
      </w:pPr>
      <w:r>
        <w:rPr>
          <w:rFonts w:ascii="Courier New" w:cs="Courier New" w:eastAsia="Courier New" w:hAnsi="Courier New"/>
          <w:sz w:val="18"/>
          <w:szCs w:val="18"/>
          <w:color w:val="auto"/>
        </w:rPr>
        <w:t>10(c) and 10(d), and notwithstanding any</w:t>
      </w:r>
    </w:p>
    <w:p>
      <w:pPr>
        <w:spacing w:after="0"/>
        <w:rPr>
          <w:sz w:val="20"/>
          <w:szCs w:val="20"/>
          <w:color w:val="auto"/>
        </w:rPr>
      </w:pPr>
      <w:r>
        <w:rPr>
          <w:rFonts w:ascii="Courier New" w:cs="Courier New" w:eastAsia="Courier New" w:hAnsi="Courier New"/>
          <w:sz w:val="18"/>
          <w:szCs w:val="18"/>
          <w:color w:val="auto"/>
        </w:rPr>
        <w:t>contrary terms thereof, in the event a</w:t>
      </w:r>
    </w:p>
    <w:p>
      <w:pPr>
        <w:spacing w:after="0" w:line="237" w:lineRule="auto"/>
        <w:rPr>
          <w:sz w:val="20"/>
          <w:szCs w:val="20"/>
          <w:color w:val="auto"/>
        </w:rPr>
      </w:pPr>
      <w:r>
        <w:rPr>
          <w:rFonts w:ascii="Courier New" w:cs="Courier New" w:eastAsia="Courier New" w:hAnsi="Courier New"/>
          <w:sz w:val="18"/>
          <w:szCs w:val="18"/>
          <w:color w:val="auto"/>
        </w:rPr>
        <w:t>participant takes one or more unpaid leave(s)</w:t>
      </w:r>
    </w:p>
    <w:p>
      <w:pPr>
        <w:spacing w:after="0" w:line="238" w:lineRule="auto"/>
        <w:rPr>
          <w:sz w:val="20"/>
          <w:szCs w:val="20"/>
          <w:color w:val="auto"/>
        </w:rPr>
      </w:pPr>
      <w:r>
        <w:rPr>
          <w:rFonts w:ascii="Courier New" w:cs="Courier New" w:eastAsia="Courier New" w:hAnsi="Courier New"/>
          <w:sz w:val="18"/>
          <w:szCs w:val="18"/>
          <w:color w:val="auto"/>
        </w:rPr>
        <w:t>of absence where the leave is greater than</w:t>
      </w:r>
    </w:p>
    <w:p>
      <w:pPr>
        <w:spacing w:after="0"/>
        <w:rPr>
          <w:sz w:val="20"/>
          <w:szCs w:val="20"/>
          <w:color w:val="auto"/>
        </w:rPr>
      </w:pPr>
      <w:r>
        <w:rPr>
          <w:rFonts w:ascii="Courier New" w:cs="Courier New" w:eastAsia="Courier New" w:hAnsi="Courier New"/>
          <w:sz w:val="18"/>
          <w:szCs w:val="18"/>
          <w:color w:val="auto"/>
        </w:rPr>
        <w:t>ninety (90) days in duration at any time</w:t>
      </w:r>
    </w:p>
    <w:p>
      <w:pPr>
        <w:spacing w:after="0" w:line="237" w:lineRule="auto"/>
        <w:rPr>
          <w:sz w:val="20"/>
          <w:szCs w:val="20"/>
          <w:color w:val="auto"/>
        </w:rPr>
      </w:pPr>
      <w:r>
        <w:rPr>
          <w:rFonts w:ascii="Courier New" w:cs="Courier New" w:eastAsia="Courier New" w:hAnsi="Courier New"/>
          <w:sz w:val="18"/>
          <w:szCs w:val="18"/>
          <w:color w:val="auto"/>
        </w:rPr>
        <w:t>during an Award Cycle, the payment of the</w:t>
      </w:r>
    </w:p>
    <w:p>
      <w:pPr>
        <w:spacing w:after="0"/>
        <w:rPr>
          <w:sz w:val="20"/>
          <w:szCs w:val="20"/>
          <w:color w:val="auto"/>
        </w:rPr>
      </w:pPr>
      <w:r>
        <w:rPr>
          <w:rFonts w:ascii="Courier New" w:cs="Courier New" w:eastAsia="Courier New" w:hAnsi="Courier New"/>
          <w:sz w:val="18"/>
          <w:szCs w:val="18"/>
          <w:color w:val="auto"/>
        </w:rPr>
        <w:t>Payout Value of the Performance Units</w:t>
      </w:r>
    </w:p>
    <w:p>
      <w:pPr>
        <w:spacing w:after="0" w:line="237" w:lineRule="auto"/>
        <w:rPr>
          <w:sz w:val="20"/>
          <w:szCs w:val="20"/>
          <w:color w:val="auto"/>
        </w:rPr>
      </w:pPr>
      <w:r>
        <w:rPr>
          <w:rFonts w:ascii="Courier New" w:cs="Courier New" w:eastAsia="Courier New" w:hAnsi="Courier New"/>
          <w:sz w:val="18"/>
          <w:szCs w:val="18"/>
          <w:color w:val="auto"/>
        </w:rPr>
        <w:t>payable to that participant shall be</w:t>
      </w:r>
    </w:p>
    <w:p>
      <w:pPr>
        <w:spacing w:after="0"/>
        <w:rPr>
          <w:sz w:val="20"/>
          <w:szCs w:val="20"/>
          <w:color w:val="auto"/>
        </w:rPr>
      </w:pPr>
      <w:r>
        <w:rPr>
          <w:rFonts w:ascii="Courier New" w:cs="Courier New" w:eastAsia="Courier New" w:hAnsi="Courier New"/>
          <w:sz w:val="18"/>
          <w:szCs w:val="18"/>
          <w:color w:val="auto"/>
        </w:rPr>
        <w:t>determined as if the duration of the</w:t>
      </w:r>
    </w:p>
    <w:p>
      <w:pPr>
        <w:spacing w:after="0" w:line="237" w:lineRule="auto"/>
        <w:rPr>
          <w:sz w:val="20"/>
          <w:szCs w:val="20"/>
          <w:color w:val="auto"/>
        </w:rPr>
      </w:pPr>
      <w:r>
        <w:rPr>
          <w:rFonts w:ascii="Courier New" w:cs="Courier New" w:eastAsia="Courier New" w:hAnsi="Courier New"/>
          <w:sz w:val="18"/>
          <w:szCs w:val="18"/>
          <w:color w:val="auto"/>
        </w:rPr>
        <w:t>Award Cycle were extended by a period</w:t>
      </w:r>
    </w:p>
    <w:p>
      <w:pPr>
        <w:spacing w:after="0"/>
        <w:tabs>
          <w:tab w:leader="none" w:pos="1040" w:val="left"/>
        </w:tabs>
        <w:rPr>
          <w:sz w:val="20"/>
          <w:szCs w:val="20"/>
          <w:color w:val="auto"/>
        </w:rPr>
      </w:pPr>
      <w:r>
        <w:rPr>
          <w:rFonts w:ascii="Courier New" w:cs="Courier New" w:eastAsia="Courier New" w:hAnsi="Courier New"/>
          <w:sz w:val="18"/>
          <w:szCs w:val="18"/>
          <w:color w:val="auto"/>
        </w:rPr>
        <w:t>equal to</w:t>
      </w:r>
      <w:r>
        <w:rPr>
          <w:sz w:val="20"/>
          <w:szCs w:val="20"/>
          <w:color w:val="auto"/>
        </w:rPr>
        <w:tab/>
      </w:r>
      <w:r>
        <w:rPr>
          <w:rFonts w:ascii="Courier New" w:cs="Courier New" w:eastAsia="Courier New" w:hAnsi="Courier New"/>
          <w:sz w:val="16"/>
          <w:szCs w:val="16"/>
          <w:color w:val="auto"/>
        </w:rPr>
        <w:t>the number of days that the</w:t>
      </w:r>
    </w:p>
    <w:p>
      <w:pPr>
        <w:spacing w:after="0"/>
        <w:rPr>
          <w:sz w:val="20"/>
          <w:szCs w:val="20"/>
          <w:color w:val="auto"/>
        </w:rPr>
      </w:pPr>
      <w:r>
        <w:rPr>
          <w:rFonts w:ascii="Courier New" w:cs="Courier New" w:eastAsia="Courier New" w:hAnsi="Courier New"/>
          <w:sz w:val="18"/>
          <w:szCs w:val="18"/>
          <w:color w:val="auto"/>
        </w:rPr>
        <w:t>participant was out on such leave(s) of</w:t>
      </w:r>
    </w:p>
    <w:p>
      <w:pPr>
        <w:spacing w:after="0" w:line="237" w:lineRule="auto"/>
        <w:rPr>
          <w:sz w:val="20"/>
          <w:szCs w:val="20"/>
          <w:color w:val="auto"/>
        </w:rPr>
      </w:pPr>
      <w:r>
        <w:rPr>
          <w:rFonts w:ascii="Courier New" w:cs="Courier New" w:eastAsia="Courier New" w:hAnsi="Courier New"/>
          <w:sz w:val="18"/>
          <w:szCs w:val="18"/>
          <w:color w:val="auto"/>
        </w:rPr>
        <w:t>absence and by not giving the participant</w:t>
      </w:r>
    </w:p>
    <w:p>
      <w:pPr>
        <w:spacing w:after="0"/>
        <w:rPr>
          <w:sz w:val="20"/>
          <w:szCs w:val="20"/>
          <w:color w:val="auto"/>
        </w:rPr>
      </w:pPr>
      <w:r>
        <w:rPr>
          <w:rFonts w:ascii="Courier New" w:cs="Courier New" w:eastAsia="Courier New" w:hAnsi="Courier New"/>
          <w:sz w:val="18"/>
          <w:szCs w:val="18"/>
          <w:color w:val="auto"/>
        </w:rPr>
        <w:t>credit for the period of employment</w:t>
      </w:r>
    </w:p>
    <w:p>
      <w:pPr>
        <w:spacing w:after="0" w:line="237" w:lineRule="auto"/>
        <w:rPr>
          <w:sz w:val="20"/>
          <w:szCs w:val="20"/>
          <w:color w:val="auto"/>
        </w:rPr>
      </w:pPr>
      <w:r>
        <w:rPr>
          <w:rFonts w:ascii="Courier New" w:cs="Courier New" w:eastAsia="Courier New" w:hAnsi="Courier New"/>
          <w:sz w:val="18"/>
          <w:szCs w:val="18"/>
          <w:color w:val="auto"/>
        </w:rPr>
        <w:t>during the Award Cycle when the participant</w:t>
      </w:r>
    </w:p>
    <w:p>
      <w:pPr>
        <w:spacing w:after="0"/>
        <w:tabs>
          <w:tab w:leader="none" w:pos="3260" w:val="left"/>
        </w:tabs>
        <w:rPr>
          <w:sz w:val="20"/>
          <w:szCs w:val="20"/>
          <w:color w:val="auto"/>
        </w:rPr>
      </w:pPr>
      <w:r>
        <w:rPr>
          <w:rFonts w:ascii="Courier New" w:cs="Courier New" w:eastAsia="Courier New" w:hAnsi="Courier New"/>
          <w:sz w:val="18"/>
          <w:szCs w:val="18"/>
          <w:color w:val="auto"/>
        </w:rPr>
        <w:t>was on such leave of absence.</w:t>
      </w:r>
      <w:r>
        <w:rPr>
          <w:sz w:val="20"/>
          <w:szCs w:val="20"/>
          <w:color w:val="auto"/>
        </w:rPr>
        <w:tab/>
      </w:r>
      <w:r>
        <w:rPr>
          <w:rFonts w:ascii="Courier New" w:cs="Courier New" w:eastAsia="Courier New" w:hAnsi="Courier New"/>
          <w:sz w:val="16"/>
          <w:szCs w:val="16"/>
          <w:color w:val="auto"/>
        </w:rPr>
        <w:t>Thus, for</w:t>
      </w:r>
    </w:p>
    <w:p>
      <w:pPr>
        <w:spacing w:after="0" w:line="237" w:lineRule="auto"/>
        <w:rPr>
          <w:sz w:val="20"/>
          <w:szCs w:val="20"/>
          <w:color w:val="auto"/>
        </w:rPr>
      </w:pPr>
      <w:r>
        <w:rPr>
          <w:rFonts w:ascii="Courier New" w:cs="Courier New" w:eastAsia="Courier New" w:hAnsi="Courier New"/>
          <w:sz w:val="18"/>
          <w:szCs w:val="18"/>
          <w:color w:val="auto"/>
        </w:rPr>
        <w:t>example, if a participant was away from</w:t>
      </w:r>
    </w:p>
    <w:p>
      <w:pPr>
        <w:spacing w:after="0" w:line="238" w:lineRule="auto"/>
        <w:rPr>
          <w:sz w:val="20"/>
          <w:szCs w:val="20"/>
          <w:color w:val="auto"/>
        </w:rPr>
      </w:pPr>
      <w:r>
        <w:rPr>
          <w:rFonts w:ascii="Courier New" w:cs="Courier New" w:eastAsia="Courier New" w:hAnsi="Courier New"/>
          <w:sz w:val="18"/>
          <w:szCs w:val="18"/>
          <w:color w:val="auto"/>
        </w:rPr>
        <w:t>work on a leave of absence for one year</w:t>
      </w:r>
    </w:p>
    <w:p>
      <w:pPr>
        <w:spacing w:after="0"/>
        <w:rPr>
          <w:sz w:val="20"/>
          <w:szCs w:val="20"/>
          <w:color w:val="auto"/>
        </w:rPr>
      </w:pPr>
      <w:r>
        <w:rPr>
          <w:rFonts w:ascii="Courier New" w:cs="Courier New" w:eastAsia="Courier New" w:hAnsi="Courier New"/>
          <w:sz w:val="18"/>
          <w:szCs w:val="18"/>
          <w:color w:val="auto"/>
        </w:rPr>
        <w:t>during a four-year Award Cycle, the</w:t>
      </w:r>
    </w:p>
    <w:p>
      <w:pPr>
        <w:spacing w:after="0" w:line="237" w:lineRule="auto"/>
        <w:rPr>
          <w:sz w:val="20"/>
          <w:szCs w:val="20"/>
          <w:color w:val="auto"/>
        </w:rPr>
      </w:pPr>
      <w:r>
        <w:rPr>
          <w:rFonts w:ascii="Courier New" w:cs="Courier New" w:eastAsia="Courier New" w:hAnsi="Courier New"/>
          <w:sz w:val="18"/>
          <w:szCs w:val="18"/>
          <w:color w:val="auto"/>
        </w:rPr>
        <w:t>percentage of the Payout Value of the</w:t>
      </w:r>
    </w:p>
    <w:p>
      <w:pPr>
        <w:spacing w:after="0"/>
        <w:rPr>
          <w:sz w:val="20"/>
          <w:szCs w:val="20"/>
          <w:color w:val="auto"/>
        </w:rPr>
      </w:pPr>
      <w:r>
        <w:rPr>
          <w:rFonts w:ascii="Courier New" w:cs="Courier New" w:eastAsia="Courier New" w:hAnsi="Courier New"/>
          <w:sz w:val="18"/>
          <w:szCs w:val="18"/>
          <w:color w:val="auto"/>
        </w:rPr>
        <w:t>Performance Units payable to that</w:t>
      </w:r>
    </w:p>
    <w:p>
      <w:pPr>
        <w:spacing w:after="0" w:line="237" w:lineRule="auto"/>
        <w:rPr>
          <w:sz w:val="20"/>
          <w:szCs w:val="20"/>
          <w:color w:val="auto"/>
        </w:rPr>
      </w:pPr>
      <w:r>
        <w:rPr>
          <w:rFonts w:ascii="Courier New" w:cs="Courier New" w:eastAsia="Courier New" w:hAnsi="Courier New"/>
          <w:sz w:val="18"/>
          <w:szCs w:val="18"/>
          <w:color w:val="auto"/>
        </w:rPr>
        <w:t>participant would be 100% only if the</w:t>
      </w:r>
    </w:p>
    <w:p>
      <w:pPr>
        <w:spacing w:after="0"/>
        <w:rPr>
          <w:sz w:val="20"/>
          <w:szCs w:val="20"/>
          <w:color w:val="auto"/>
        </w:rPr>
      </w:pPr>
      <w:r>
        <w:rPr>
          <w:rFonts w:ascii="Courier New" w:cs="Courier New" w:eastAsia="Courier New" w:hAnsi="Courier New"/>
          <w:sz w:val="18"/>
          <w:szCs w:val="18"/>
          <w:color w:val="auto"/>
        </w:rPr>
        <w:t>participant had at least one year of active</w:t>
      </w:r>
    </w:p>
    <w:p>
      <w:pPr>
        <w:spacing w:after="0" w:line="237" w:lineRule="auto"/>
        <w:rPr>
          <w:sz w:val="20"/>
          <w:szCs w:val="20"/>
          <w:color w:val="auto"/>
        </w:rPr>
      </w:pPr>
      <w:r>
        <w:rPr>
          <w:rFonts w:ascii="Courier New" w:cs="Courier New" w:eastAsia="Courier New" w:hAnsi="Courier New"/>
          <w:sz w:val="18"/>
          <w:szCs w:val="18"/>
          <w:color w:val="auto"/>
        </w:rPr>
        <w:t>employment after the end of the Award Cycle,</w:t>
      </w:r>
    </w:p>
    <w:p>
      <w:pPr>
        <w:spacing w:after="0"/>
        <w:rPr>
          <w:sz w:val="20"/>
          <w:szCs w:val="20"/>
          <w:color w:val="auto"/>
        </w:rPr>
      </w:pPr>
      <w:r>
        <w:rPr>
          <w:rFonts w:ascii="Courier New" w:cs="Courier New" w:eastAsia="Courier New" w:hAnsi="Courier New"/>
          <w:sz w:val="18"/>
          <w:szCs w:val="18"/>
          <w:color w:val="auto"/>
        </w:rPr>
        <w:t>and if such additional period of active</w:t>
      </w:r>
    </w:p>
    <w:p>
      <w:pPr>
        <w:spacing w:after="0" w:line="237" w:lineRule="auto"/>
        <w:rPr>
          <w:sz w:val="20"/>
          <w:szCs w:val="20"/>
          <w:color w:val="auto"/>
        </w:rPr>
      </w:pPr>
      <w:r>
        <w:rPr>
          <w:rFonts w:ascii="Courier New" w:cs="Courier New" w:eastAsia="Courier New" w:hAnsi="Courier New"/>
          <w:sz w:val="18"/>
          <w:szCs w:val="18"/>
          <w:color w:val="auto"/>
        </w:rPr>
        <w:t>employment was not completed, the Committee,</w:t>
      </w:r>
    </w:p>
    <w:p>
      <w:pPr>
        <w:spacing w:after="0" w:line="238" w:lineRule="auto"/>
        <w:rPr>
          <w:sz w:val="20"/>
          <w:szCs w:val="20"/>
          <w:color w:val="auto"/>
        </w:rPr>
      </w:pPr>
      <w:r>
        <w:rPr>
          <w:rFonts w:ascii="Courier New" w:cs="Courier New" w:eastAsia="Courier New" w:hAnsi="Courier New"/>
          <w:sz w:val="18"/>
          <w:szCs w:val="18"/>
          <w:color w:val="auto"/>
        </w:rPr>
        <w:t>in its exercise of discretion to determine</w:t>
      </w:r>
    </w:p>
    <w:p>
      <w:pPr>
        <w:spacing w:after="0"/>
        <w:rPr>
          <w:sz w:val="20"/>
          <w:szCs w:val="20"/>
          <w:color w:val="auto"/>
        </w:rPr>
      </w:pPr>
      <w:r>
        <w:rPr>
          <w:rFonts w:ascii="Courier New" w:cs="Courier New" w:eastAsia="Courier New" w:hAnsi="Courier New"/>
          <w:sz w:val="18"/>
          <w:szCs w:val="18"/>
          <w:color w:val="auto"/>
        </w:rPr>
        <w:t>a Pro-Rated Percentage under paragraph</w:t>
      </w:r>
    </w:p>
    <w:p>
      <w:pPr>
        <w:spacing w:after="0" w:line="237" w:lineRule="auto"/>
        <w:rPr>
          <w:sz w:val="20"/>
          <w:szCs w:val="20"/>
          <w:color w:val="auto"/>
        </w:rPr>
      </w:pPr>
      <w:r>
        <w:rPr>
          <w:rFonts w:ascii="Courier New" w:cs="Courier New" w:eastAsia="Courier New" w:hAnsi="Courier New"/>
          <w:sz w:val="18"/>
          <w:szCs w:val="18"/>
          <w:color w:val="auto"/>
        </w:rPr>
        <w:t>10(c)(i), would make that determination</w:t>
      </w:r>
    </w:p>
    <w:p>
      <w:pPr>
        <w:spacing w:after="0"/>
        <w:rPr>
          <w:sz w:val="20"/>
          <w:szCs w:val="20"/>
          <w:color w:val="auto"/>
        </w:rPr>
      </w:pPr>
      <w:r>
        <w:rPr>
          <w:rFonts w:ascii="Courier New" w:cs="Courier New" w:eastAsia="Courier New" w:hAnsi="Courier New"/>
          <w:sz w:val="18"/>
          <w:szCs w:val="18"/>
          <w:color w:val="auto"/>
        </w:rPr>
        <w:t>in a manner consistent with paragraph</w:t>
      </w:r>
    </w:p>
    <w:p>
      <w:pPr>
        <w:spacing w:after="0"/>
        <w:tabs>
          <w:tab w:leader="none" w:pos="1560" w:val="left"/>
        </w:tabs>
        <w:rPr>
          <w:sz w:val="20"/>
          <w:szCs w:val="20"/>
          <w:color w:val="auto"/>
        </w:rPr>
      </w:pPr>
      <w:r>
        <w:rPr>
          <w:rFonts w:ascii="Courier New" w:cs="Courier New" w:eastAsia="Courier New" w:hAnsi="Courier New"/>
          <w:sz w:val="18"/>
          <w:szCs w:val="18"/>
          <w:color w:val="auto"/>
        </w:rPr>
        <w:t>9(c)(iii)(A).</w:t>
      </w:r>
      <w:r>
        <w:rPr>
          <w:sz w:val="20"/>
          <w:szCs w:val="20"/>
          <w:color w:val="auto"/>
        </w:rPr>
        <w:tab/>
      </w:r>
      <w:r>
        <w:rPr>
          <w:rFonts w:ascii="Courier New" w:cs="Courier New" w:eastAsia="Courier New" w:hAnsi="Courier New"/>
          <w:sz w:val="16"/>
          <w:szCs w:val="16"/>
          <w:color w:val="auto"/>
        </w:rPr>
        <w:t>In any such case, the Payout</w:t>
      </w:r>
    </w:p>
    <w:p>
      <w:pPr>
        <w:spacing w:after="0"/>
        <w:rPr>
          <w:sz w:val="20"/>
          <w:szCs w:val="20"/>
          <w:color w:val="auto"/>
        </w:rPr>
      </w:pPr>
      <w:r>
        <w:rPr>
          <w:rFonts w:ascii="Courier New" w:cs="Courier New" w:eastAsia="Courier New" w:hAnsi="Courier New"/>
          <w:sz w:val="18"/>
          <w:szCs w:val="18"/>
          <w:color w:val="auto"/>
        </w:rPr>
        <w:t>Value of the Performance Units payable to</w:t>
      </w:r>
    </w:p>
    <w:p>
      <w:pPr>
        <w:spacing w:after="0" w:line="237" w:lineRule="auto"/>
        <w:rPr>
          <w:sz w:val="20"/>
          <w:szCs w:val="20"/>
          <w:color w:val="auto"/>
        </w:rPr>
      </w:pPr>
      <w:r>
        <w:rPr>
          <w:rFonts w:ascii="Courier New" w:cs="Courier New" w:eastAsia="Courier New" w:hAnsi="Courier New"/>
          <w:sz w:val="18"/>
          <w:szCs w:val="18"/>
          <w:color w:val="auto"/>
        </w:rPr>
        <w:t>the participant shall be paid as soon as</w:t>
      </w:r>
    </w:p>
    <w:p>
      <w:pPr>
        <w:spacing w:after="0" w:line="238" w:lineRule="auto"/>
        <w:rPr>
          <w:sz w:val="20"/>
          <w:szCs w:val="20"/>
          <w:color w:val="auto"/>
        </w:rPr>
      </w:pPr>
      <w:r>
        <w:rPr>
          <w:rFonts w:ascii="Courier New" w:cs="Courier New" w:eastAsia="Courier New" w:hAnsi="Courier New"/>
          <w:sz w:val="18"/>
          <w:szCs w:val="18"/>
          <w:color w:val="auto"/>
        </w:rPr>
        <w:t>practicable after the participant becomes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payment by completing the additional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of active employment or by reason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exercise of discretion under</w:t>
      </w:r>
    </w:p>
    <w:p>
      <w:pPr>
        <w:spacing w:after="0" w:line="238" w:lineRule="auto"/>
        <w:rPr>
          <w:sz w:val="20"/>
          <w:szCs w:val="20"/>
          <w:color w:val="auto"/>
        </w:rPr>
      </w:pPr>
      <w:r>
        <w:rPr>
          <w:rFonts w:ascii="Courier New" w:cs="Courier New" w:eastAsia="Courier New" w:hAnsi="Courier New"/>
          <w:sz w:val="18"/>
          <w:szCs w:val="18"/>
          <w:color w:val="auto"/>
        </w:rPr>
        <w:t>paragraph 10(c)(i), but no later than</w:t>
      </w:r>
    </w:p>
    <w:p>
      <w:pPr>
        <w:sectPr>
          <w:pgSz w:w="11900" w:h="16838" w:orient="portrait"/>
          <w:cols w:equalWidth="0" w:num="1">
            <w:col w:w="10219"/>
          </w:cols>
          <w:pgMar w:left="240" w:top="136"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seventy-five</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(75)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days after the end of</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calendar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 which the participant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attains such</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vested payment right.</w:t>
            </w:r>
          </w:p>
        </w:tc>
      </w:tr>
    </w:tbl>
    <w:p>
      <w:pPr>
        <w:spacing w:after="0" w:line="207" w:lineRule="exact"/>
        <w:rPr>
          <w:sz w:val="20"/>
          <w:szCs w:val="20"/>
          <w:color w:val="auto"/>
        </w:rPr>
      </w:pPr>
    </w:p>
    <w:p>
      <w:pPr>
        <w:ind w:right="5059" w:firstLine="851"/>
        <w:spacing w:after="0" w:line="268" w:lineRule="auto"/>
        <w:tabs>
          <w:tab w:leader="none" w:pos="137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payable with respect to such Award Cycle.</w:t>
      </w:r>
    </w:p>
    <w:p>
      <w:pPr>
        <w:spacing w:after="0" w:line="20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expenses of administering this Plan</w:t>
      </w:r>
    </w:p>
    <w:p>
      <w:pPr>
        <w:spacing w:after="0" w:line="238" w:lineRule="auto"/>
        <w:rPr>
          <w:sz w:val="20"/>
          <w:szCs w:val="20"/>
          <w:color w:val="auto"/>
        </w:rPr>
      </w:pPr>
      <w:r>
        <w:rPr>
          <w:rFonts w:ascii="Courier New" w:cs="Courier New" w:eastAsia="Courier New" w:hAnsi="Courier New"/>
          <w:sz w:val="18"/>
          <w:szCs w:val="18"/>
          <w:color w:val="auto"/>
        </w:rPr>
        <w:t>shall be borne by the Company.</w:t>
      </w:r>
    </w:p>
    <w:p>
      <w:pPr>
        <w:spacing w:after="0" w:line="202" w:lineRule="exact"/>
        <w:rPr>
          <w:sz w:val="20"/>
          <w:szCs w:val="20"/>
          <w:color w:val="auto"/>
        </w:rPr>
      </w:pP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Class B Common Stock</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the event of any change or changes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outstanding shares of Common Stock by</w:t>
      </w:r>
    </w:p>
    <w:p>
      <w:pPr>
        <w:spacing w:after="0" w:line="238" w:lineRule="auto"/>
        <w:rPr>
          <w:sz w:val="20"/>
          <w:szCs w:val="20"/>
          <w:color w:val="auto"/>
        </w:rPr>
      </w:pPr>
      <w:r>
        <w:rPr>
          <w:rFonts w:ascii="Courier New" w:cs="Courier New" w:eastAsia="Courier New" w:hAnsi="Courier New"/>
          <w:sz w:val="18"/>
          <w:szCs w:val="18"/>
          <w:color w:val="auto"/>
        </w:rPr>
        <w:t>reason of any stock dividend, split-up,</w:t>
      </w:r>
    </w:p>
    <w:p>
      <w:pPr>
        <w:spacing w:after="0"/>
        <w:rPr>
          <w:sz w:val="20"/>
          <w:szCs w:val="20"/>
          <w:color w:val="auto"/>
        </w:rPr>
      </w:pPr>
      <w:r>
        <w:rPr>
          <w:rFonts w:ascii="Courier New" w:cs="Courier New" w:eastAsia="Courier New" w:hAnsi="Courier New"/>
          <w:sz w:val="18"/>
          <w:szCs w:val="18"/>
          <w:color w:val="auto"/>
        </w:rPr>
        <w:t>recapitalization, combination or exchange of</w:t>
      </w:r>
    </w:p>
    <w:p>
      <w:pPr>
        <w:spacing w:after="0" w:line="237" w:lineRule="auto"/>
        <w:rPr>
          <w:sz w:val="20"/>
          <w:szCs w:val="20"/>
          <w:color w:val="auto"/>
        </w:rPr>
      </w:pPr>
      <w:r>
        <w:rPr>
          <w:rFonts w:ascii="Courier New" w:cs="Courier New" w:eastAsia="Courier New" w:hAnsi="Courier New"/>
          <w:sz w:val="18"/>
          <w:szCs w:val="18"/>
          <w:color w:val="auto"/>
        </w:rPr>
        <w:t>shares, merger, consolidation, separation,</w:t>
      </w:r>
    </w:p>
    <w:p>
      <w:pPr>
        <w:spacing w:after="0" w:line="238" w:lineRule="auto"/>
        <w:rPr>
          <w:sz w:val="20"/>
          <w:szCs w:val="20"/>
          <w:color w:val="auto"/>
        </w:rPr>
      </w:pPr>
      <w:r>
        <w:rPr>
          <w:rFonts w:ascii="Courier New" w:cs="Courier New" w:eastAsia="Courier New" w:hAnsi="Courier New"/>
          <w:sz w:val="18"/>
          <w:szCs w:val="18"/>
          <w:color w:val="auto"/>
        </w:rPr>
        <w:t>reorganization, liquidation or the like,</w:t>
      </w:r>
    </w:p>
    <w:p>
      <w:pPr>
        <w:spacing w:after="0"/>
        <w:rPr>
          <w:sz w:val="20"/>
          <w:szCs w:val="20"/>
          <w:color w:val="auto"/>
        </w:rPr>
      </w:pPr>
      <w:r>
        <w:rPr>
          <w:rFonts w:ascii="Courier New" w:cs="Courier New" w:eastAsia="Courier New" w:hAnsi="Courier New"/>
          <w:sz w:val="18"/>
          <w:szCs w:val="18"/>
          <w:color w:val="auto"/>
        </w:rPr>
        <w:t>the class and aggregate number of shares that</w:t>
      </w:r>
    </w:p>
    <w:p>
      <w:pPr>
        <w:spacing w:after="0" w:line="237" w:lineRule="auto"/>
        <w:rPr>
          <w:sz w:val="20"/>
          <w:szCs w:val="20"/>
          <w:color w:val="auto"/>
        </w:rPr>
      </w:pPr>
      <w:r>
        <w:rPr>
          <w:rFonts w:ascii="Courier New" w:cs="Courier New" w:eastAsia="Courier New" w:hAnsi="Courier New"/>
          <w:sz w:val="18"/>
          <w:szCs w:val="18"/>
          <w:color w:val="auto"/>
        </w:rPr>
        <w:t>may be awarded as Restricted Stock under</w:t>
      </w:r>
    </w:p>
    <w:p>
      <w:pPr>
        <w:spacing w:after="0"/>
        <w:rPr>
          <w:sz w:val="20"/>
          <w:szCs w:val="20"/>
          <w:color w:val="auto"/>
        </w:rPr>
      </w:pPr>
      <w:r>
        <w:rPr>
          <w:rFonts w:ascii="Courier New" w:cs="Courier New" w:eastAsia="Courier New" w:hAnsi="Courier New"/>
          <w:sz w:val="18"/>
          <w:szCs w:val="18"/>
          <w:color w:val="auto"/>
        </w:rPr>
        <w:t>the Plan after any such change shall be</w:t>
      </w:r>
    </w:p>
    <w:p>
      <w:pPr>
        <w:spacing w:after="0" w:line="237" w:lineRule="auto"/>
        <w:rPr>
          <w:sz w:val="20"/>
          <w:szCs w:val="20"/>
          <w:color w:val="auto"/>
        </w:rPr>
      </w:pPr>
      <w:r>
        <w:rPr>
          <w:rFonts w:ascii="Courier New" w:cs="Courier New" w:eastAsia="Courier New" w:hAnsi="Courier New"/>
          <w:sz w:val="18"/>
          <w:szCs w:val="18"/>
          <w:color w:val="auto"/>
        </w:rPr>
        <w:t>appropriately adjusted by the Committee,</w:t>
      </w:r>
    </w:p>
    <w:p>
      <w:pPr>
        <w:spacing w:after="0"/>
        <w:rPr>
          <w:sz w:val="20"/>
          <w:szCs w:val="20"/>
          <w:color w:val="auto"/>
        </w:rPr>
      </w:pPr>
      <w:r>
        <w:rPr>
          <w:rFonts w:ascii="Courier New" w:cs="Courier New" w:eastAsia="Courier New" w:hAnsi="Courier New"/>
          <w:sz w:val="18"/>
          <w:szCs w:val="18"/>
          <w:color w:val="auto"/>
        </w:rPr>
        <w:t>whose determination shall be conclusive.</w:t>
      </w:r>
    </w:p>
    <w:p>
      <w:pPr>
        <w:spacing w:after="0" w:line="200"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Board of Directors of the Company</w:t>
      </w:r>
    </w:p>
    <w:p>
      <w:pPr>
        <w:spacing w:after="0" w:line="238" w:lineRule="auto"/>
        <w:rPr>
          <w:sz w:val="20"/>
          <w:szCs w:val="20"/>
          <w:color w:val="auto"/>
        </w:rPr>
      </w:pPr>
      <w:r>
        <w:rPr>
          <w:rFonts w:ascii="Courier New" w:cs="Courier New" w:eastAsia="Courier New" w:hAnsi="Courier New"/>
          <w:sz w:val="18"/>
          <w:szCs w:val="18"/>
          <w:color w:val="auto"/>
        </w:rPr>
        <w:t>shall have complete power and authority to</w:t>
      </w:r>
    </w:p>
    <w:p>
      <w:pPr>
        <w:spacing w:after="0"/>
        <w:rPr>
          <w:sz w:val="20"/>
          <w:szCs w:val="20"/>
          <w:color w:val="auto"/>
        </w:rPr>
      </w:pPr>
      <w:r>
        <w:rPr>
          <w:rFonts w:ascii="Courier New" w:cs="Courier New" w:eastAsia="Courier New" w:hAnsi="Courier New"/>
          <w:sz w:val="18"/>
          <w:szCs w:val="18"/>
          <w:color w:val="auto"/>
        </w:rPr>
        <w:t>amend, suspend or discontinue this Plan;</w:t>
      </w:r>
    </w:p>
    <w:p>
      <w:pPr>
        <w:spacing w:after="0" w:line="237" w:lineRule="auto"/>
        <w:rPr>
          <w:sz w:val="20"/>
          <w:szCs w:val="20"/>
          <w:color w:val="auto"/>
        </w:rPr>
      </w:pPr>
      <w:r>
        <w:rPr>
          <w:rFonts w:ascii="Courier New" w:cs="Courier New" w:eastAsia="Courier New" w:hAnsi="Courier New"/>
          <w:sz w:val="18"/>
          <w:szCs w:val="18"/>
          <w:color w:val="auto"/>
        </w:rPr>
        <w:t>provided, however, that the Board of Directors</w:t>
      </w:r>
    </w:p>
    <w:p>
      <w:pPr>
        <w:spacing w:after="0" w:line="238" w:lineRule="auto"/>
        <w:rPr>
          <w:sz w:val="20"/>
          <w:szCs w:val="20"/>
          <w:color w:val="auto"/>
        </w:rPr>
      </w:pPr>
      <w:r>
        <w:rPr>
          <w:rFonts w:ascii="Courier New" w:cs="Courier New" w:eastAsia="Courier New" w:hAnsi="Courier New"/>
          <w:sz w:val="18"/>
          <w:szCs w:val="18"/>
          <w:color w:val="auto"/>
        </w:rPr>
        <w:t>shall not, without the approval of the holders</w:t>
      </w:r>
    </w:p>
    <w:p>
      <w:pPr>
        <w:spacing w:after="0"/>
        <w:rPr>
          <w:sz w:val="20"/>
          <w:szCs w:val="20"/>
          <w:color w:val="auto"/>
        </w:rPr>
      </w:pPr>
      <w:r>
        <w:rPr>
          <w:rFonts w:ascii="Courier New" w:cs="Courier New" w:eastAsia="Courier New" w:hAnsi="Courier New"/>
          <w:sz w:val="18"/>
          <w:szCs w:val="18"/>
          <w:color w:val="auto"/>
        </w:rPr>
        <w:t>of a majority of the voting stock of the</w:t>
      </w:r>
    </w:p>
    <w:p>
      <w:pPr>
        <w:spacing w:after="0" w:line="237" w:lineRule="auto"/>
        <w:rPr>
          <w:sz w:val="20"/>
          <w:szCs w:val="20"/>
          <w:color w:val="auto"/>
        </w:rPr>
      </w:pPr>
      <w:r>
        <w:rPr>
          <w:rFonts w:ascii="Courier New" w:cs="Courier New" w:eastAsia="Courier New" w:hAnsi="Courier New"/>
          <w:sz w:val="18"/>
          <w:szCs w:val="18"/>
          <w:color w:val="auto"/>
        </w:rPr>
        <w:t>Company entitled to vote thereon, (A) increase</w:t>
      </w:r>
    </w:p>
    <w:p>
      <w:pPr>
        <w:spacing w:after="0"/>
        <w:rPr>
          <w:sz w:val="20"/>
          <w:szCs w:val="20"/>
          <w:color w:val="auto"/>
        </w:rPr>
      </w:pPr>
      <w:r>
        <w:rPr>
          <w:rFonts w:ascii="Courier New" w:cs="Courier New" w:eastAsia="Courier New" w:hAnsi="Courier New"/>
          <w:sz w:val="18"/>
          <w:szCs w:val="18"/>
          <w:color w:val="auto"/>
        </w:rPr>
        <w:t>either (i) the maximum number of shares of</w:t>
      </w:r>
    </w:p>
    <w:p>
      <w:pPr>
        <w:spacing w:after="0" w:line="237" w:lineRule="auto"/>
        <w:rPr>
          <w:sz w:val="20"/>
          <w:szCs w:val="20"/>
          <w:color w:val="auto"/>
        </w:rPr>
      </w:pPr>
      <w:r>
        <w:rPr>
          <w:rFonts w:ascii="Courier New" w:cs="Courier New" w:eastAsia="Courier New" w:hAnsi="Courier New"/>
          <w:sz w:val="18"/>
          <w:szCs w:val="18"/>
          <w:color w:val="auto"/>
        </w:rPr>
        <w:t>Restricted Stock that may be awarded under the</w:t>
      </w:r>
    </w:p>
    <w:p>
      <w:pPr>
        <w:spacing w:after="0"/>
        <w:rPr>
          <w:sz w:val="20"/>
          <w:szCs w:val="20"/>
          <w:color w:val="auto"/>
        </w:rPr>
      </w:pPr>
      <w:r>
        <w:rPr>
          <w:rFonts w:ascii="Courier New" w:cs="Courier New" w:eastAsia="Courier New" w:hAnsi="Courier New"/>
          <w:sz w:val="18"/>
          <w:szCs w:val="18"/>
          <w:color w:val="auto"/>
        </w:rPr>
        <w:t>Plan, (ii) the maximum number of shares of</w:t>
      </w:r>
    </w:p>
    <w:p>
      <w:pPr>
        <w:spacing w:after="0" w:line="237" w:lineRule="auto"/>
        <w:rPr>
          <w:sz w:val="20"/>
          <w:szCs w:val="20"/>
          <w:color w:val="auto"/>
        </w:rPr>
      </w:pPr>
      <w:r>
        <w:rPr>
          <w:rFonts w:ascii="Courier New" w:cs="Courier New" w:eastAsia="Courier New" w:hAnsi="Courier New"/>
          <w:sz w:val="18"/>
          <w:szCs w:val="18"/>
          <w:color w:val="auto"/>
        </w:rPr>
        <w:t>Restricted Stock or Performance Units that</w:t>
      </w:r>
    </w:p>
    <w:p>
      <w:pPr>
        <w:spacing w:after="0" w:line="238" w:lineRule="auto"/>
        <w:rPr>
          <w:sz w:val="20"/>
          <w:szCs w:val="20"/>
          <w:color w:val="auto"/>
        </w:rPr>
      </w:pPr>
      <w:r>
        <w:rPr>
          <w:rFonts w:ascii="Courier New" w:cs="Courier New" w:eastAsia="Courier New" w:hAnsi="Courier New"/>
          <w:sz w:val="18"/>
          <w:szCs w:val="18"/>
          <w:color w:val="auto"/>
        </w:rPr>
        <w:t>may be awarded to a participant, (iii) the</w:t>
      </w:r>
    </w:p>
    <w:p>
      <w:pPr>
        <w:spacing w:after="0"/>
        <w:rPr>
          <w:sz w:val="20"/>
          <w:szCs w:val="20"/>
          <w:color w:val="auto"/>
        </w:rPr>
      </w:pPr>
      <w:r>
        <w:rPr>
          <w:rFonts w:ascii="Courier New" w:cs="Courier New" w:eastAsia="Courier New" w:hAnsi="Courier New"/>
          <w:sz w:val="18"/>
          <w:szCs w:val="18"/>
          <w:color w:val="auto"/>
        </w:rPr>
        <w:t>maximum Payout Value of a Performance Unit,</w:t>
      </w:r>
    </w:p>
    <w:p>
      <w:pPr>
        <w:spacing w:after="0" w:line="237" w:lineRule="auto"/>
        <w:rPr>
          <w:sz w:val="20"/>
          <w:szCs w:val="20"/>
          <w:color w:val="auto"/>
        </w:rPr>
      </w:pPr>
      <w:r>
        <w:rPr>
          <w:rFonts w:ascii="Courier New" w:cs="Courier New" w:eastAsia="Courier New" w:hAnsi="Courier New"/>
          <w:sz w:val="18"/>
          <w:szCs w:val="18"/>
          <w:color w:val="auto"/>
        </w:rPr>
        <w:t>or (iv) the percentage ceiling on the</w:t>
      </w:r>
    </w:p>
    <w:p>
      <w:pPr>
        <w:spacing w:after="0"/>
        <w:rPr>
          <w:sz w:val="20"/>
          <w:szCs w:val="20"/>
          <w:color w:val="auto"/>
        </w:rPr>
      </w:pPr>
      <w:r>
        <w:rPr>
          <w:rFonts w:ascii="Courier New" w:cs="Courier New" w:eastAsia="Courier New" w:hAnsi="Courier New"/>
          <w:sz w:val="18"/>
          <w:szCs w:val="18"/>
          <w:color w:val="auto"/>
        </w:rPr>
        <w:t>aggregate amount of bonuses which may be</w:t>
      </w:r>
    </w:p>
    <w:p>
      <w:pPr>
        <w:spacing w:after="0" w:line="237" w:lineRule="auto"/>
        <w:rPr>
          <w:sz w:val="20"/>
          <w:szCs w:val="20"/>
          <w:color w:val="auto"/>
        </w:rPr>
      </w:pPr>
      <w:r>
        <w:rPr>
          <w:rFonts w:ascii="Courier New" w:cs="Courier New" w:eastAsia="Courier New" w:hAnsi="Courier New"/>
          <w:sz w:val="18"/>
          <w:szCs w:val="18"/>
          <w:color w:val="auto"/>
        </w:rPr>
        <w:t>awarded pursuant to paragraph 10(e) or</w:t>
      </w:r>
    </w:p>
    <w:p>
      <w:pPr>
        <w:spacing w:after="0" w:line="5" w:lineRule="exact"/>
        <w:rPr>
          <w:sz w:val="20"/>
          <w:szCs w:val="20"/>
          <w:color w:val="auto"/>
        </w:rPr>
      </w:pPr>
    </w:p>
    <w:p>
      <w:pPr>
        <w:ind w:right="5579" w:firstLine="8"/>
        <w:spacing w:after="0" w:line="275" w:lineRule="auto"/>
        <w:tabs>
          <w:tab w:leader="none" w:pos="42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amendment which would permit the incentive provision of any year provided in paragraph 5 hereof to exceed the limitations set forth in said paragraph.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7"/>
    </w:lvl>
  </w:abstractNum>
  <w:abstractNum w:abstractNumId="5">
    <w:nsid w:val="2443A858"/>
    <w:multiLevelType w:val="hybridMultilevel"/>
    <w:lvl w:ilvl="0">
      <w:lvlJc w:val="left"/>
      <w:lvlText w:val="%1."/>
      <w:numFmt w:val="decimal"/>
      <w:start w:val="8"/>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1."/>
      <w:numFmt w:val="decimal"/>
      <w:start w:val="3"/>
    </w:lvl>
    <w:lvl w:ilvl="1">
      <w:lvlJc w:val="left"/>
      <w:lvlText w:val="(%2)"/>
      <w:numFmt w:val="lowerLetter"/>
      <w:start w:val="1"/>
    </w:lvl>
  </w:abstractNum>
  <w:abstractNum w:abstractNumId="9">
    <w:nsid w:val="8EDBDAB"/>
    <w:multiLevelType w:val="hybridMultilevel"/>
    <w:lvl w:ilvl="0">
      <w:lvlJc w:val="left"/>
      <w:lvlText w:val="%1"/>
      <w:numFmt w:val="decimal"/>
      <w:start w:val="1"/>
    </w:lvl>
    <w:lvl w:ilvl="1">
      <w:lvlJc w:val="left"/>
      <w:lvlText w:val="(%2)"/>
      <w:numFmt w:val="lowerLetter"/>
      <w:start w:val="3"/>
    </w:lvl>
  </w:abstractNum>
  <w:abstractNum w:abstractNumId="10">
    <w:nsid w:val="79838CB2"/>
    <w:multiLevelType w:val="hybridMultilevel"/>
    <w:lvl w:ilvl="0">
      <w:lvlJc w:val="left"/>
      <w:lvlText w:val="%1."/>
      <w:numFmt w:val="decimal"/>
      <w:start w:val="4"/>
    </w:lvl>
    <w:lvl w:ilvl="1">
      <w:lvlJc w:val="left"/>
      <w:lvlText w:val="%2"/>
      <w:numFmt w:val="lowerLetter"/>
      <w:start w:val="1"/>
    </w:lvl>
  </w:abstractNum>
  <w:abstractNum w:abstractNumId="11">
    <w:nsid w:val="4353D0CD"/>
    <w:multiLevelType w:val="hybridMultilevel"/>
    <w:lvl w:ilvl="0">
      <w:lvlJc w:val="left"/>
      <w:lvlText w:val="%1."/>
      <w:numFmt w:val="decimal"/>
      <w:start w:val="5"/>
    </w:lvl>
    <w:lvl w:ilvl="1">
      <w:lvlJc w:val="left"/>
      <w:lvlText w:val="(%2)"/>
      <w:numFmt w:val="lowerLetter"/>
      <w:start w:val="1"/>
    </w:lvl>
  </w:abstractNum>
  <w:abstractNum w:abstractNumId="12">
    <w:nsid w:val="B03E0C6"/>
    <w:multiLevelType w:val="hybridMultilevel"/>
    <w:lvl w:ilvl="0">
      <w:lvlJc w:val="left"/>
      <w:lvlText w:val="(%1)"/>
      <w:numFmt w:val="lowerLetter"/>
      <w:start w:val="35"/>
    </w:lvl>
    <w:lvl w:ilvl="1">
      <w:lvlJc w:val="left"/>
      <w:lvlText w:val="(%2)"/>
      <w:numFmt w:val="lowerLetter"/>
      <w:start w:val="3"/>
    </w:lvl>
  </w:abstractNum>
  <w:abstractNum w:abstractNumId="13">
    <w:nsid w:val="189A769B"/>
    <w:multiLevelType w:val="hybridMultilevel"/>
    <w:lvl w:ilvl="0">
      <w:lvlJc w:val="left"/>
      <w:lvlText w:val="(%1)"/>
      <w:numFmt w:val="lowerLetter"/>
      <w:start w:val="5"/>
    </w:lvl>
  </w:abstractNum>
  <w:abstractNum w:abstractNumId="14">
    <w:nsid w:val="54E49EB4"/>
    <w:multiLevelType w:val="hybridMultilevel"/>
    <w:lvl w:ilvl="0">
      <w:lvlJc w:val="left"/>
      <w:lvlText w:val="%1."/>
      <w:numFmt w:val="decimal"/>
      <w:start w:val="6"/>
    </w:lvl>
  </w:abstractNum>
  <w:abstractNum w:abstractNumId="15">
    <w:nsid w:val="71F32454"/>
    <w:multiLevelType w:val="hybridMultilevel"/>
    <w:lvl w:ilvl="0">
      <w:lvlJc w:val="left"/>
      <w:lvlText w:val="%1."/>
      <w:numFmt w:val="decimal"/>
      <w:start w:val="7"/>
    </w:lvl>
    <w:lvl w:ilvl="1">
      <w:lvlJc w:val="left"/>
      <w:lvlText w:val="(%2)"/>
      <w:numFmt w:val="lowerLetter"/>
      <w:start w:val="1"/>
    </w:lvl>
  </w:abstractNum>
  <w:abstractNum w:abstractNumId="16">
    <w:nsid w:val="2CA88611"/>
    <w:multiLevelType w:val="hybridMultilevel"/>
    <w:lvl w:ilvl="0">
      <w:lvlJc w:val="left"/>
      <w:lvlText w:val="%1"/>
      <w:numFmt w:val="decimal"/>
      <w:start w:val="1"/>
    </w:lvl>
    <w:lvl w:ilvl="1">
      <w:lvlJc w:val="left"/>
      <w:lvlText w:val="(%2)"/>
      <w:numFmt w:val="lowerLetter"/>
      <w:start w:val="3"/>
    </w:lvl>
  </w:abstractNum>
  <w:abstractNum w:abstractNumId="17">
    <w:nsid w:val="836C40E"/>
    <w:multiLevelType w:val="hybridMultilevel"/>
    <w:lvl w:ilvl="0">
      <w:lvlJc w:val="left"/>
      <w:lvlText w:val="%1."/>
      <w:numFmt w:val="decimal"/>
      <w:start w:val="8"/>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lowerRoman"/>
      <w:start w:val="1"/>
    </w:lvl>
  </w:abstractNum>
  <w:abstractNum w:abstractNumId="19">
    <w:nsid w:val="3A95F874"/>
    <w:multiLevelType w:val="hybridMultilevel"/>
    <w:lvl w:ilvl="0">
      <w:lvlJc w:val="left"/>
      <w:lvlText w:val="%1."/>
      <w:numFmt w:val="decimal"/>
      <w:start w:val="9"/>
    </w:lvl>
    <w:lvl w:ilvl="1">
      <w:lvlJc w:val="left"/>
      <w:lvlText w:val="%2"/>
      <w:numFmt w:val="lowerRoman"/>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Roman"/>
      <w:start w:val="1"/>
    </w:lvl>
    <w:lvl w:ilvl="1">
      <w:lvlJc w:val="left"/>
      <w:lvlText w:val="(%2)"/>
      <w:numFmt w:val="lowerLetter"/>
      <w:start w:val="3"/>
    </w:lvl>
  </w:abstractNum>
  <w:abstractNum w:abstractNumId="22">
    <w:nsid w:val="7C3DBD3D"/>
    <w:multiLevelType w:val="hybridMultilevel"/>
    <w:lvl w:ilvl="0">
      <w:lvlJc w:val="left"/>
      <w:lvlText w:val="(%1)"/>
      <w:numFmt w:val="lowerRoman"/>
      <w:start w:val="1"/>
    </w:lvl>
  </w:abstractNum>
  <w:abstractNum w:abstractNumId="23">
    <w:nsid w:val="737B8DDC"/>
    <w:multiLevelType w:val="hybridMultilevel"/>
    <w:lvl w:ilvl="0">
      <w:lvlJc w:val="left"/>
      <w:lvlText w:val="(%1)"/>
      <w:numFmt w:val="lowerRoman"/>
      <w:start w:val="3"/>
    </w:lvl>
  </w:abstractNum>
  <w:abstractNum w:abstractNumId="24">
    <w:nsid w:val="6CEAF087"/>
    <w:multiLevelType w:val="hybridMultilevel"/>
    <w:lvl w:ilvl="0">
      <w:lvlJc w:val="left"/>
      <w:lvlText w:val="%1"/>
      <w:numFmt w:val="lowerRoman"/>
      <w:start w:val="1"/>
    </w:lvl>
    <w:lvl w:ilvl="1">
      <w:lvlJc w:val="left"/>
      <w:lvlText w:val="(%2)"/>
      <w:numFmt w:val="upperLetter"/>
      <w:start w:val="1"/>
    </w:lvl>
  </w:abstractNum>
  <w:abstractNum w:abstractNumId="25">
    <w:nsid w:val="22221A70"/>
    <w:multiLevelType w:val="hybridMultilevel"/>
    <w:lvl w:ilvl="0">
      <w:lvlJc w:val="left"/>
      <w:lvlText w:val="(%1)"/>
      <w:numFmt w:val="lowerRoman"/>
      <w:start w:val="1"/>
    </w:lvl>
    <w:lvl w:ilvl="1">
      <w:lvlJc w:val="left"/>
      <w:lvlText w:val="(%2)"/>
      <w:numFmt w:val="upperLetter"/>
      <w:start w:val="2"/>
    </w:lvl>
  </w:abstractNum>
  <w:abstractNum w:abstractNumId="26">
    <w:nsid w:val="4516DDE9"/>
    <w:multiLevelType w:val="hybridMultilevel"/>
    <w:lvl w:ilvl="0">
      <w:lvlJc w:val="left"/>
      <w:lvlText w:val="(%1)"/>
      <w:numFmt w:val="lowerRoman"/>
      <w:start w:val="4"/>
    </w:lvl>
  </w:abstractNum>
  <w:abstractNum w:abstractNumId="27">
    <w:nsid w:val="3006C83E"/>
    <w:multiLevelType w:val="hybridMultilevel"/>
    <w:lvl w:ilvl="0">
      <w:lvlJc w:val="left"/>
      <w:lvlText w:val="(%1)"/>
      <w:numFmt w:val="lowerRoman"/>
      <w:start w:val="5"/>
    </w:lvl>
  </w:abstractNum>
  <w:abstractNum w:abstractNumId="28">
    <w:nsid w:val="614FD4A1"/>
    <w:multiLevelType w:val="hybridMultilevel"/>
    <w:lvl w:ilvl="0">
      <w:lvlJc w:val="left"/>
      <w:lvlText w:val="%1"/>
      <w:numFmt w:val="decimal"/>
      <w:start w:val="1"/>
    </w:lvl>
    <w:lvl w:ilvl="1">
      <w:lvlJc w:val="left"/>
      <w:lvlText w:val="(%2)"/>
      <w:numFmt w:val="lowerLetter"/>
      <w:start w:val="4"/>
    </w:lvl>
  </w:abstractNum>
  <w:abstractNum w:abstractNumId="29">
    <w:nsid w:val="419AC241"/>
    <w:multiLevelType w:val="hybridMultilevel"/>
    <w:lvl w:ilvl="0">
      <w:lvlJc w:val="left"/>
      <w:lvlText w:val="%1."/>
      <w:numFmt w:val="decimal"/>
      <w:start w:val="10"/>
    </w:lvl>
    <w:lvl w:ilvl="1">
      <w:lvlJc w:val="left"/>
      <w:lvlText w:val="(%2)"/>
      <w:numFmt w:val="lowerLetter"/>
      <w:start w:val="1"/>
    </w:lvl>
  </w:abstractNum>
  <w:abstractNum w:abstractNumId="30">
    <w:nsid w:val="5577F8E1"/>
    <w:multiLevelType w:val="hybridMultilevel"/>
    <w:lvl w:ilvl="0">
      <w:lvlJc w:val="left"/>
      <w:lvlText w:val="(%1)"/>
      <w:numFmt w:val="lowerRoman"/>
      <w:start w:val="2"/>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1)"/>
      <w:numFmt w:val="lowerRoman"/>
      <w:start w:val="1"/>
    </w:lvl>
  </w:abstractNum>
  <w:abstractNum w:abstractNumId="33">
    <w:nsid w:val="3804823E"/>
    <w:multiLevelType w:val="hybridMultilevel"/>
    <w:lvl w:ilvl="0">
      <w:lvlJc w:val="left"/>
      <w:lvlText w:val="(%1)"/>
      <w:numFmt w:val="lowerLetter"/>
      <w:start w:val="4"/>
    </w:lvl>
  </w:abstractNum>
  <w:abstractNum w:abstractNumId="34">
    <w:nsid w:val="77465F01"/>
    <w:multiLevelType w:val="hybridMultilevel"/>
    <w:lvl w:ilvl="0">
      <w:lvlJc w:val="left"/>
      <w:lvlText w:val="%1"/>
      <w:numFmt w:val="decimal"/>
      <w:start w:val="1"/>
    </w:lvl>
    <w:lvl w:ilvl="1">
      <w:lvlJc w:val="left"/>
      <w:lvlText w:val="(%2)"/>
      <w:numFmt w:val="lowerLetter"/>
      <w:start w:val="6"/>
    </w:lvl>
  </w:abstractNum>
  <w:abstractNum w:abstractNumId="35">
    <w:nsid w:val="7724C67E"/>
    <w:multiLevelType w:val="hybridMultilevel"/>
    <w:lvl w:ilvl="0">
      <w:lvlJc w:val="left"/>
      <w:lvlText w:val="%1."/>
      <w:numFmt w:val="decimal"/>
      <w:start w:val="11"/>
    </w:lvl>
    <w:lvl w:ilvl="1">
      <w:lvlJc w:val="left"/>
      <w:lvlText w:val="%2"/>
      <w:numFmt w:val="lowerLetter"/>
      <w:start w:val="1"/>
    </w:lvl>
  </w:abstractNum>
  <w:abstractNum w:abstractNumId="36">
    <w:nsid w:val="5C482A97"/>
    <w:multiLevelType w:val="hybridMultilevel"/>
    <w:lvl w:ilvl="0">
      <w:lvlJc w:val="left"/>
      <w:lvlText w:val="%1."/>
      <w:numFmt w:val="decimal"/>
      <w:start w:val="12"/>
    </w:lvl>
  </w:abstractNum>
  <w:abstractNum w:abstractNumId="37">
    <w:nsid w:val="2463B9EA"/>
    <w:multiLevelType w:val="hybridMultilevel"/>
    <w:lvl w:ilvl="0">
      <w:lvlJc w:val="left"/>
      <w:lvlText w:val="%1."/>
      <w:numFmt w:val="decimal"/>
      <w:start w:val="13"/>
    </w:lvl>
  </w:abstractNum>
  <w:abstractNum w:abstractNumId="38">
    <w:nsid w:val="5E884AD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2019-12-13T08:15:17Z</dcterms:created>
  <dcterms:modified xsi:type="dcterms:W3CDTF">2019-12-13T08:15:17Z</dcterms:modified>
</cp:coreProperties>
</file>