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7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715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Weymouth Katharine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1300 NORTH 17TH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12/09/2014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SUITE 1700</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ARLINGTON   VA</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22209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1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gridSpan w:val="5"/>
          </w:tcPr>
          <w:p>
            <w:pPr>
              <w:jc w:val="center"/>
              <w:ind w:left="504"/>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left="27"/>
              <w:spacing w:after="0" w:line="135" w:lineRule="exact"/>
              <w:rPr>
                <w:sz w:val="20"/>
                <w:szCs w:val="20"/>
                <w:color w:val="auto"/>
              </w:rPr>
            </w:pPr>
            <w:r>
              <w:rPr>
                <w:rFonts w:ascii="Arial" w:cs="Arial" w:eastAsia="Arial" w:hAnsi="Arial"/>
                <w:sz w:val="12"/>
                <w:szCs w:val="12"/>
                <w:b w:val="1"/>
                <w:bCs w:val="1"/>
                <w:color w:val="auto"/>
                <w:w w:val="99"/>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668</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930.37</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19,053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931.81</w:t>
            </w:r>
            <w:r>
              <w:rPr>
                <w:rFonts w:ascii="Arial" w:cs="Arial" w:eastAsia="Arial" w:hAnsi="Arial"/>
                <w:sz w:val="22"/>
                <w:szCs w:val="22"/>
                <w:color w:val="008000"/>
                <w:w w:val="91"/>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18,753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431</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932.87</w:t>
            </w:r>
            <w:r>
              <w:rPr>
                <w:rFonts w:ascii="Arial" w:cs="Arial" w:eastAsia="Arial" w:hAnsi="Arial"/>
                <w:sz w:val="22"/>
                <w:szCs w:val="22"/>
                <w:color w:val="008000"/>
                <w:w w:val="91"/>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18,322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3"/>
              <w:spacing w:after="0"/>
              <w:rPr>
                <w:sz w:val="20"/>
                <w:szCs w:val="20"/>
                <w:color w:val="auto"/>
              </w:rPr>
            </w:pPr>
            <w:r>
              <w:rPr>
                <w:rFonts w:ascii="Arial" w:cs="Arial" w:eastAsia="Arial" w:hAnsi="Arial"/>
                <w:sz w:val="18"/>
                <w:szCs w:val="18"/>
                <w:color w:val="0000FF"/>
                <w:w w:val="88"/>
              </w:rPr>
              <w:t>1,465</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934.66</w:t>
            </w:r>
            <w:r>
              <w:rPr>
                <w:rFonts w:ascii="Arial" w:cs="Arial" w:eastAsia="Arial" w:hAnsi="Arial"/>
                <w:sz w:val="22"/>
                <w:szCs w:val="22"/>
                <w:color w:val="008000"/>
                <w:w w:val="91"/>
                <w:vertAlign w:val="superscript"/>
              </w:rPr>
              <w:t>(4)</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16,857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502</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935.82</w:t>
            </w:r>
            <w:r>
              <w:rPr>
                <w:rFonts w:ascii="Arial" w:cs="Arial" w:eastAsia="Arial" w:hAnsi="Arial"/>
                <w:sz w:val="22"/>
                <w:szCs w:val="22"/>
                <w:color w:val="008000"/>
                <w:w w:val="91"/>
                <w:vertAlign w:val="superscript"/>
              </w:rPr>
              <w:t>(5)</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16,355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707</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936.32</w:t>
            </w:r>
            <w:r>
              <w:rPr>
                <w:rFonts w:ascii="Arial" w:cs="Arial" w:eastAsia="Arial" w:hAnsi="Arial"/>
                <w:sz w:val="22"/>
                <w:szCs w:val="22"/>
                <w:color w:val="008000"/>
                <w:w w:val="91"/>
                <w:vertAlign w:val="superscript"/>
              </w:rPr>
              <w:t>(6)</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15,648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845</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937.91</w:t>
            </w:r>
            <w:r>
              <w:rPr>
                <w:rFonts w:ascii="Arial" w:cs="Arial" w:eastAsia="Arial" w:hAnsi="Arial"/>
                <w:sz w:val="22"/>
                <w:szCs w:val="22"/>
                <w:color w:val="008000"/>
                <w:w w:val="91"/>
                <w:vertAlign w:val="superscript"/>
              </w:rPr>
              <w:t>(7)</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14,803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8"/>
              </w:rPr>
              <w:t>12/09/2014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82</w:t>
            </w:r>
          </w:p>
        </w:tc>
        <w:tc>
          <w:tcPr>
            <w:tcW w:w="500" w:type="dxa"/>
            <w:vAlign w:val="bottom"/>
            <w:tcBorders>
              <w:bottom w:val="single" w:sz="8" w:color="2C2C2C"/>
            </w:tcBorders>
          </w:tcPr>
          <w:p>
            <w:pPr>
              <w:jc w:val="center"/>
              <w:ind w:left="67"/>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938.61</w:t>
            </w:r>
            <w:r>
              <w:rPr>
                <w:rFonts w:ascii="Arial" w:cs="Arial" w:eastAsia="Arial" w:hAnsi="Arial"/>
                <w:sz w:val="22"/>
                <w:szCs w:val="22"/>
                <w:color w:val="008000"/>
                <w:w w:val="91"/>
                <w:vertAlign w:val="superscript"/>
              </w:rPr>
              <w:t>(8)</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14,721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8"/>
          </w:tcPr>
          <w:p>
            <w:pPr>
              <w:jc w:val="center"/>
              <w:ind w:right="16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20" w:type="dxa"/>
            <w:vAlign w:val="bottom"/>
            <w:gridSpan w:val="15"/>
          </w:tcPr>
          <w:p>
            <w:pPr>
              <w:jc w:val="center"/>
              <w:ind w:left="22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$930.00 to $930.90, inclusive. The reporting person undertakes to provide to Graham Holdings Company, any security holder of Graham Holdings Company, or the staff of the Securities and Exchange Commission, upon request, full information regarding the shares sold.</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$931.43 to $932.00, inclusive. The reporting person undertakes to provide to Graham Holdings Company, any security holder of Graham Holdings Company, or the staff of the Securities and Exchange Commission, upon request, full information regarding the shares sold.</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$932.45 to $933.01, inclusive. The reporting person undertakes to provide to Graham Holdings Company, any security holder of Graham Holdings Company, or the staff of the Securities and Exchange Commission, upon request, full information regarding the shares sold.</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$934.00 to $935.00, inclusive. The reporting person undertakes to provide to Graham Holdings Company, any security holder of Graham Holdings Company, or the staff of the Securities and Exchange Commission, upon request, full information regarding the shares sold.</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$935.02 to $936.01, inclusive. The reporting person undertakes to provide to Graham Holdings Company, any security holder of Graham Holdings Company, or the staff of the Securities and Exchange Commission, upon request, full information regarding the shares sold.</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$936.12 to $936.75, inclusive. The reporting person undertakes to provide to Graham Holdings Company, any security holder of Graham Holdings Company, or the staff of the Securities and Exchange Commission, upon request, full information regarding the shares sold.</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$937.20 to $938.12, inclusive. The reporting person undertakes to provide to Graham Holdings Company, any security holder of Graham Holdings Company, or the staff of the Securities and Exchange Commission, upon request, full information regarding the shares sold.</w:t>
      </w:r>
    </w:p>
    <w:p>
      <w:pPr>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$938.60 to $938.63, inclusive. The reporting person undertakes to provide to Graham Holdings Company, any security holder of Graham Holdings Company, or the staff of the Securities and Exchange Commission, upon request, full information regarding the shares sold.</w:t>
      </w:r>
    </w:p>
    <w:tbl>
      <w:tblPr>
        <w:tblLayout w:type="fixed"/>
        <w:tblInd w:w="6860" w:type="dxa"/>
        <w:tblCellMar>
          <w:top w:w="0" w:type="dxa"/>
          <w:left w:w="0" w:type="dxa"/>
          <w:bottom w:w="0" w:type="dxa"/>
          <w:right w:w="0" w:type="dxa"/>
        </w:tblCellMar>
      </w:tblPr>
      <w:tr>
        <w:trPr>
          <w:trHeight w:val="199"/>
        </w:trPr>
        <w:tc>
          <w:tcPr>
            <w:tcW w:w="1520" w:type="dxa"/>
            <w:vAlign w:val="bottom"/>
          </w:tcPr>
          <w:p>
            <w:pPr>
              <w:spacing w:after="0" w:line="199" w:lineRule="exact"/>
              <w:rPr>
                <w:sz w:val="20"/>
                <w:szCs w:val="20"/>
                <w:color w:val="auto"/>
              </w:rPr>
            </w:pPr>
            <w:r>
              <w:rPr>
                <w:rFonts w:ascii="Arial" w:cs="Arial" w:eastAsia="Arial" w:hAnsi="Arial"/>
                <w:sz w:val="18"/>
                <w:szCs w:val="18"/>
                <w:color w:val="0000FF"/>
                <w:w w:val="89"/>
              </w:rPr>
              <w:t>Katharine Weymouth</w:t>
            </w:r>
          </w:p>
        </w:tc>
        <w:tc>
          <w:tcPr>
            <w:tcW w:w="600" w:type="dxa"/>
            <w:vAlign w:val="bottom"/>
          </w:tcPr>
          <w:p>
            <w:pPr>
              <w:spacing w:after="0"/>
              <w:rPr>
                <w:sz w:val="17"/>
                <w:szCs w:val="17"/>
                <w:color w:val="auto"/>
              </w:rPr>
            </w:pP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12/11/2014</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2019-12-16T03:01:16Z</dcterms:created>
  <dcterms:modified xsi:type="dcterms:W3CDTF">2019-12-16T03:01:16Z</dcterms:modified>
</cp:coreProperties>
</file>