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January 30, 2009</w:t>
      </w:r>
    </w:p>
    <w:p>
      <w:pPr>
        <w:spacing w:after="0" w:line="34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218"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30, 2009, the Company completed the closing of its public offering of $400 million principal amount of 7.250% notes due 2019. The notes will accrue interest at a rate of 7.250% per annum, payable semi-annually on February 1 and August 1, beginning August 1, 2009. A copy of the material agreements are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Exhibit 10.1: The Underwriting Agreement dated January 27, 2009, among J.P. Morgan Securities Inc. and Citigroup Global Markets Inc., as Representatives of the Underwriters, and the Company.</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Exhibit 10.2: The Second Supplemental Indenture dated January 30, 2009, between the Company and The Bank of New York Mellon Trust Company, N.A., as successor to The First National Bank of Chicago, as Trustee.</w:t>
      </w:r>
    </w:p>
    <w:p>
      <w:pPr>
        <w:sectPr>
          <w:pgSz w:w="11900" w:h="16838" w:orient="portrait"/>
          <w:cols w:equalWidth="0" w:num="1">
            <w:col w:w="11300"/>
          </w:cols>
          <w:pgMar w:left="240" w:top="652"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The Washington Post Company</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47"/>
        </w:trPr>
        <w:tc>
          <w:tcPr>
            <w:tcW w:w="6080" w:type="dxa"/>
            <w:vAlign w:val="bottom"/>
          </w:tcPr>
          <w:p>
            <w:pPr>
              <w:spacing w:after="0"/>
              <w:rPr>
                <w:sz w:val="20"/>
                <w:szCs w:val="20"/>
                <w:color w:val="auto"/>
              </w:rPr>
            </w:pPr>
            <w:r>
              <w:rPr>
                <w:rFonts w:ascii="Arial" w:cs="Arial" w:eastAsia="Arial" w:hAnsi="Arial"/>
                <w:sz w:val="18"/>
                <w:szCs w:val="18"/>
                <w:color w:val="auto"/>
              </w:rPr>
              <w:t>Date January 30, 2009</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Hal S. Jones</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Hal S. Jones</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 Finance</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65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Index</w:t>
      </w:r>
    </w:p>
    <w:p>
      <w:pPr>
        <w:spacing w:after="0" w:line="326" w:lineRule="exact"/>
        <w:rPr>
          <w:sz w:val="20"/>
          <w:szCs w:val="20"/>
          <w:color w:val="auto"/>
        </w:rPr>
      </w:pPr>
    </w:p>
    <w:p>
      <w:pPr>
        <w:ind w:left="1380" w:right="1060" w:hanging="1377"/>
        <w:spacing w:after="0" w:line="268" w:lineRule="auto"/>
        <w:tabs>
          <w:tab w:leader="none" w:pos="136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The Underwriting Agreement dated January 27, 2009, among J.P. Morgan Securities Inc. and Citigroup Global Markets Inc., as Representatives of the Underwriters, and the Company.</w:t>
      </w:r>
    </w:p>
    <w:p>
      <w:pPr>
        <w:spacing w:after="0" w:line="78" w:lineRule="exact"/>
        <w:rPr>
          <w:sz w:val="20"/>
          <w:szCs w:val="20"/>
          <w:color w:val="auto"/>
        </w:rPr>
      </w:pPr>
    </w:p>
    <w:p>
      <w:pPr>
        <w:ind w:left="1380" w:hanging="1377"/>
        <w:spacing w:after="0" w:line="268" w:lineRule="auto"/>
        <w:tabs>
          <w:tab w:leader="none" w:pos="1360" w:val="left"/>
        </w:tabs>
        <w:rPr>
          <w:sz w:val="20"/>
          <w:szCs w:val="20"/>
          <w:color w:val="auto"/>
        </w:rPr>
      </w:pPr>
      <w:r>
        <w:rPr>
          <w:rFonts w:ascii="Arial" w:cs="Arial" w:eastAsia="Arial" w:hAnsi="Arial"/>
          <w:sz w:val="18"/>
          <w:szCs w:val="18"/>
          <w:color w:val="auto"/>
        </w:rPr>
        <w:t>Exhibit 10.2</w:t>
      </w:r>
      <w:r>
        <w:rPr>
          <w:sz w:val="20"/>
          <w:szCs w:val="20"/>
          <w:color w:val="auto"/>
        </w:rPr>
        <w:tab/>
      </w:r>
      <w:r>
        <w:rPr>
          <w:rFonts w:ascii="Arial" w:cs="Arial" w:eastAsia="Arial" w:hAnsi="Arial"/>
          <w:sz w:val="18"/>
          <w:szCs w:val="18"/>
          <w:color w:val="auto"/>
        </w:rPr>
        <w:t>The Second Supplemental Indenture dated January 30, 2009, between the Company and The Bank of New York Mellon Trust Company, N.A., as successor to The First National Bank of Chicago, as Trustee.</w:t>
      </w:r>
    </w:p>
    <w:p>
      <w:pPr>
        <w:sectPr>
          <w:pgSz w:w="11900" w:h="16838" w:orient="portrait"/>
          <w:cols w:equalWidth="0" w:num="1">
            <w:col w:w="11400"/>
          </w:cols>
          <w:pgMar w:left="240" w:top="571"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7.250% Notes due February 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ind w:left="10220"/>
        <w:spacing w:after="0"/>
        <w:rPr>
          <w:sz w:val="20"/>
          <w:szCs w:val="20"/>
          <w:color w:val="auto"/>
        </w:rPr>
      </w:pPr>
      <w:r>
        <w:rPr>
          <w:rFonts w:ascii="Arial" w:cs="Arial" w:eastAsia="Arial" w:hAnsi="Arial"/>
          <w:sz w:val="15"/>
          <w:szCs w:val="15"/>
          <w:color w:val="auto"/>
        </w:rPr>
        <w:t>January 27, 2009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Schedule 1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Washington Post Company,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listed in Schedule 1 hereto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you are acting as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$400,000,000 principal amount of its 7.250% Notes due February 1, 2019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will be issued pursuant to an indenture (the “</w:t>
      </w:r>
      <w:r>
        <w:rPr>
          <w:rFonts w:ascii="Arial" w:cs="Arial" w:eastAsia="Arial" w:hAnsi="Arial"/>
          <w:sz w:val="16"/>
          <w:szCs w:val="16"/>
          <w:b w:val="1"/>
          <w:bCs w:val="1"/>
          <w:color w:val="auto"/>
        </w:rPr>
        <w:t>Base Indenture</w:t>
      </w:r>
      <w:r>
        <w:rPr>
          <w:rFonts w:ascii="Arial" w:cs="Arial" w:eastAsia="Arial" w:hAnsi="Arial"/>
          <w:sz w:val="16"/>
          <w:szCs w:val="16"/>
          <w:color w:val="auto"/>
        </w:rPr>
        <w:t>”) dated as of February 17, 1999 between the Company and The Bank of New York Mellon Trust Company, N.A., as successor to The First National Bank of Chicago,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and supplemented by the first supplemental indenture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dated as of September 22, 2003 among WP Company LLC, the Company and the Trustee and as amended and supplemented by the second supplemental indenture (the “</w:t>
      </w:r>
      <w:r>
        <w:rPr>
          <w:rFonts w:ascii="Arial" w:cs="Arial" w:eastAsia="Arial" w:hAnsi="Arial"/>
          <w:sz w:val="16"/>
          <w:szCs w:val="16"/>
          <w:b w:val="1"/>
          <w:bCs w:val="1"/>
          <w:color w:val="auto"/>
        </w:rPr>
        <w:t>Second Supplemental Indenture</w:t>
      </w:r>
      <w:r>
        <w:rPr>
          <w:rFonts w:ascii="Arial" w:cs="Arial" w:eastAsia="Arial" w:hAnsi="Arial"/>
          <w:sz w:val="16"/>
          <w:szCs w:val="16"/>
          <w:color w:val="auto"/>
        </w:rPr>
        <w:t>”) to be dated as of January 30, 2009 between the Company and the Trustee (the Base Indenture, as so amended and supplemented by the First Supplemental Indenture and the Second Supplemental Indenture, the “</w:t>
      </w:r>
      <w:r>
        <w:rPr>
          <w:rFonts w:ascii="Arial" w:cs="Arial" w:eastAsia="Arial" w:hAnsi="Arial"/>
          <w:sz w:val="16"/>
          <w:szCs w:val="16"/>
          <w:b w:val="1"/>
          <w:bCs w:val="1"/>
          <w:color w:val="auto"/>
        </w:rPr>
        <w:t>Indenture</w:t>
      </w:r>
      <w:r>
        <w:rPr>
          <w:rFonts w:ascii="Arial" w:cs="Arial" w:eastAsia="Arial" w:hAnsi="Arial"/>
          <w:sz w:val="16"/>
          <w:szCs w:val="16"/>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hereby confirms its agreement with the several Underwriters concerning the purchase and sale of the Securities, as follows:</w:t>
      </w:r>
    </w:p>
    <w:p>
      <w:pPr>
        <w:spacing w:after="0" w:line="107" w:lineRule="exact"/>
        <w:rPr>
          <w:sz w:val="20"/>
          <w:szCs w:val="20"/>
          <w:color w:val="auto"/>
        </w:rPr>
      </w:pPr>
    </w:p>
    <w:p>
      <w:pPr>
        <w:jc w:val="both"/>
        <w:ind w:right="200" w:firstLine="464"/>
        <w:spacing w:after="0" w:line="258" w:lineRule="auto"/>
        <w:tabs>
          <w:tab w:leader="none" w:pos="63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has prepared and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and the rules and regulations of the Commission thereunder (collectively, the “</w:t>
      </w:r>
      <w:r>
        <w:rPr>
          <w:rFonts w:ascii="Arial" w:cs="Arial" w:eastAsia="Arial" w:hAnsi="Arial"/>
          <w:sz w:val="18"/>
          <w:szCs w:val="18"/>
          <w:b w:val="1"/>
          <w:bCs w:val="1"/>
          <w:color w:val="auto"/>
        </w:rPr>
        <w:t>Securities Act</w:t>
      </w:r>
      <w:r>
        <w:rPr>
          <w:rFonts w:ascii="Arial" w:cs="Arial" w:eastAsia="Arial" w:hAnsi="Arial"/>
          <w:sz w:val="18"/>
          <w:szCs w:val="18"/>
          <w:color w:val="auto"/>
        </w:rPr>
        <w:t>”), a registration statement on Form S-3 (File No. 333-155374), including a prospectus, relating to the Securities. Such registration statement, as amended at the time it becomes effective, including the information, if any, deemed</w:t>
      </w:r>
    </w:p>
    <w:p>
      <w:pPr>
        <w:sectPr>
          <w:pgSz w:w="11900" w:h="16838" w:orient="portrait"/>
          <w:cols w:equalWidth="0" w:num="1">
            <w:col w:w="11420"/>
          </w:cols>
          <w:pgMar w:left="240" w:top="125" w:right="23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Rule 430A, 430B or 430C under the Securities Act to be part of the registration statement at the time of its effectiveness (“</w:t>
      </w:r>
      <w:r>
        <w:rPr>
          <w:rFonts w:ascii="Arial" w:cs="Arial" w:eastAsia="Arial" w:hAnsi="Arial"/>
          <w:sz w:val="16"/>
          <w:szCs w:val="16"/>
          <w:b w:val="1"/>
          <w:bCs w:val="1"/>
          <w:color w:val="auto"/>
        </w:rPr>
        <w:t>Rule 430 Information</w:t>
      </w:r>
      <w:r>
        <w:rPr>
          <w:rFonts w:ascii="Arial" w:cs="Arial" w:eastAsia="Arial" w:hAnsi="Arial"/>
          <w:sz w:val="16"/>
          <w:szCs w:val="16"/>
          <w:color w:val="auto"/>
        </w:rPr>
        <w:t>”), is referred to herein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as used herein,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each prospectus included in such registration statement (and any amendments thereto) before it becomes effective, any prospectus filed with the Commission pursuant to Rule 424(a) under the Securities Act and the prospectus included in the Registration Statement at the time of its effectiveness that omits Rule 430 Information, and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prospectus in the form first used (or made available upon request of purchasers pursuant to Rule 173 under the Securities Act) in connection with confirmation of sales of the Securities. If the Company has filed an abbreviated registration statement pursuant to Rule 462(b) under the Securities Act (the “</w:t>
      </w:r>
      <w:r>
        <w:rPr>
          <w:rFonts w:ascii="Arial" w:cs="Arial" w:eastAsia="Arial" w:hAnsi="Arial"/>
          <w:sz w:val="16"/>
          <w:szCs w:val="16"/>
          <w:b w:val="1"/>
          <w:bCs w:val="1"/>
          <w:color w:val="auto"/>
        </w:rPr>
        <w:t>Rule 462</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then any reference herein to the term “Registration Statement” shall be deemed to include such Rule 462 Registration Statement. Any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that are deemed to be incorporated by reference therein. Capitalized terms used but not defined herein shall have the meanings given to such terms in the Registration Statement and the Prospectus.</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At or prior to the time when sales of the Securities were first made (the “</w:t>
      </w:r>
      <w:r>
        <w:rPr>
          <w:rFonts w:ascii="Arial" w:cs="Arial" w:eastAsia="Arial" w:hAnsi="Arial"/>
          <w:sz w:val="16"/>
          <w:szCs w:val="16"/>
          <w:b w:val="1"/>
          <w:bCs w:val="1"/>
          <w:color w:val="auto"/>
        </w:rPr>
        <w:t>Time of Sale</w:t>
      </w:r>
      <w:r>
        <w:rPr>
          <w:rFonts w:ascii="Arial" w:cs="Arial" w:eastAsia="Arial" w:hAnsi="Arial"/>
          <w:sz w:val="16"/>
          <w:szCs w:val="16"/>
          <w:color w:val="auto"/>
        </w:rPr>
        <w:t>”), the Company had prepared the following information (collectively, the “</w:t>
      </w:r>
      <w:r>
        <w:rPr>
          <w:rFonts w:ascii="Arial" w:cs="Arial" w:eastAsia="Arial" w:hAnsi="Arial"/>
          <w:sz w:val="16"/>
          <w:szCs w:val="16"/>
          <w:b w:val="1"/>
          <w:bCs w:val="1"/>
          <w:color w:val="auto"/>
        </w:rPr>
        <w:t>Time of Sale Information</w:t>
      </w:r>
      <w:r>
        <w:rPr>
          <w:rFonts w:ascii="Arial" w:cs="Arial" w:eastAsia="Arial" w:hAnsi="Arial"/>
          <w:sz w:val="16"/>
          <w:szCs w:val="16"/>
          <w:color w:val="auto"/>
        </w:rPr>
        <w:t>”): a Preliminary Prospectus dated January 27, 2009, and each “free-writing prospectus” (as defined pursuant to Rule 405 under the Securities Act) listed on Schedule 2 hereto as constituting part of the Time of Sale Information.</w:t>
      </w:r>
    </w:p>
    <w:p>
      <w:pPr>
        <w:spacing w:after="0" w:line="103" w:lineRule="exact"/>
        <w:rPr>
          <w:sz w:val="20"/>
          <w:szCs w:val="20"/>
          <w:color w:val="auto"/>
        </w:rPr>
      </w:pPr>
    </w:p>
    <w:p>
      <w:pPr>
        <w:ind w:right="40" w:firstLine="464"/>
        <w:spacing w:after="0" w:line="318" w:lineRule="auto"/>
        <w:tabs>
          <w:tab w:leader="none" w:pos="632"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Purchase of the Securities by the Underwriters</w:t>
      </w:r>
      <w:r>
        <w:rPr>
          <w:rFonts w:ascii="Arial" w:cs="Arial" w:eastAsia="Arial" w:hAnsi="Arial"/>
          <w:sz w:val="15"/>
          <w:szCs w:val="15"/>
          <w:color w:val="auto"/>
        </w:rPr>
        <w:t>. (a)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98.964% of the principal amount thereof plus accrued interest, if any, from January 30, 2009, to the Closing Date (as defined below). The Company will not be obligated to deliver any of the Securities except upon payment for all the Securities to be purchased as provided herein.</w:t>
      </w:r>
    </w:p>
    <w:p>
      <w:pPr>
        <w:spacing w:after="0" w:line="100" w:lineRule="exact"/>
        <w:rPr>
          <w:sz w:val="20"/>
          <w:szCs w:val="20"/>
          <w:color w:val="auto"/>
        </w:rPr>
      </w:pPr>
    </w:p>
    <w:p>
      <w:pPr>
        <w:ind w:right="160" w:firstLine="464"/>
        <w:spacing w:after="0" w:line="268"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Securities as soon after the effectiveness of this Agreement as in the judgment of the Representatives is advisable, and initially to offer the Securities on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set forth in the Prospectus. The Company acknowledges and agrees that the Underwriters may offer and sell Securities to or through any affiliate of an Underwriter and that any such affiliate may offer and sell Securities purchased by it to or through any Underwriter.</w:t>
      </w:r>
    </w:p>
    <w:p>
      <w:pPr>
        <w:spacing w:after="0" w:line="85" w:lineRule="exact"/>
        <w:rPr>
          <w:sz w:val="20"/>
          <w:szCs w:val="20"/>
          <w:color w:val="auto"/>
        </w:rPr>
      </w:pPr>
    </w:p>
    <w:p>
      <w:pPr>
        <w:ind w:firstLine="464"/>
        <w:spacing w:after="0" w:line="306"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color w:val="auto"/>
        </w:rPr>
        <w:t>Payment for and delivery of the Securities will be made at the offices of Davis Polk &amp; Wardwell, 450 Lexington Avenue, New York, NY 10017 at 10:00 A.M., New York City time, on January 30, 2009,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right="100" w:firstLine="464"/>
        <w:spacing w:after="0" w:line="255"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for the Securities shall be made by wire transfer in immediately available funds to the account(s) specified by the Company to the Representatives against delivery to the nominee of The Depository Trust Company, for the account of the Underwriters, of one or more global notes representing the Securities (collectively, the “</w:t>
      </w:r>
      <w:r>
        <w:rPr>
          <w:rFonts w:ascii="Arial" w:cs="Arial" w:eastAsia="Arial" w:hAnsi="Arial"/>
          <w:sz w:val="18"/>
          <w:szCs w:val="18"/>
          <w:b w:val="1"/>
          <w:bCs w:val="1"/>
          <w:color w:val="auto"/>
        </w:rPr>
        <w:t>Global Note</w:t>
      </w:r>
      <w:r>
        <w:rPr>
          <w:rFonts w:ascii="Arial" w:cs="Arial" w:eastAsia="Arial" w:hAnsi="Arial"/>
          <w:sz w:val="18"/>
          <w:szCs w:val="18"/>
          <w:color w:val="auto"/>
        </w:rPr>
        <w:t>”), with any transfer taxes payable in connection with the sale of the Securities duly paid by the Company. The Global Note will be made available for inspection by the Representatives not later than 1:00 P.M., New York City time, on the business day prior to the Closing Date.</w:t>
      </w:r>
    </w:p>
    <w:p>
      <w:pPr>
        <w:spacing w:after="0" w:line="142" w:lineRule="exact"/>
        <w:rPr>
          <w:rFonts w:ascii="Arial" w:cs="Arial" w:eastAsia="Arial" w:hAnsi="Arial"/>
          <w:sz w:val="18"/>
          <w:szCs w:val="18"/>
          <w:color w:val="auto"/>
        </w:rPr>
      </w:pPr>
    </w:p>
    <w:p>
      <w:pPr>
        <w:ind w:firstLine="464"/>
        <w:spacing w:after="0" w:line="287"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acknowledges and agrees that (i) the Underwriters are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and (ii) the Company’s engagement of the Underwriters in connection with the offering and the process leading up to the offering is as independent contractors and not in any other capacity.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90" w:lineRule="exact"/>
        <w:rPr>
          <w:sz w:val="20"/>
          <w:szCs w:val="20"/>
          <w:color w:val="auto"/>
        </w:rPr>
      </w:pPr>
    </w:p>
    <w:p>
      <w:pPr>
        <w:ind w:left="700" w:hanging="236"/>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is an “automatic shelf registration statement” as defined under Rule 405 of the</w:t>
      </w:r>
    </w:p>
    <w:p>
      <w:pPr>
        <w:spacing w:after="0" w:line="180"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 and any amendment thereto, the Registration Statement complied and at the Closing Date will comply in all material respects with the Securities Act and the Trust Indenture Act of 1939, as amended, and the rules and regulations of the Commission thereunder (collectively, the “</w:t>
      </w:r>
      <w:r>
        <w:rPr>
          <w:rFonts w:ascii="Arial" w:cs="Arial" w:eastAsia="Arial" w:hAnsi="Arial"/>
          <w:sz w:val="16"/>
          <w:szCs w:val="16"/>
          <w:b w:val="1"/>
          <w:bCs w:val="1"/>
          <w:color w:val="auto"/>
        </w:rPr>
        <w:t>Trust Indenture Act</w:t>
      </w:r>
      <w:r>
        <w:rPr>
          <w:rFonts w:ascii="Arial" w:cs="Arial" w:eastAsia="Arial" w:hAnsi="Arial"/>
          <w:sz w:val="16"/>
          <w:szCs w:val="16"/>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did not and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The statistical and industry data included in the Prospectus are based on or derived from sources that the Company believes to be reliable and accurate.</w:t>
      </w:r>
    </w:p>
    <w:p>
      <w:pPr>
        <w:spacing w:after="0" w:line="126" w:lineRule="exact"/>
        <w:rPr>
          <w:sz w:val="20"/>
          <w:szCs w:val="20"/>
          <w:color w:val="auto"/>
        </w:rPr>
      </w:pPr>
    </w:p>
    <w:p>
      <w:pPr>
        <w:ind w:firstLine="464"/>
        <w:spacing w:after="0" w:line="291" w:lineRule="auto"/>
        <w:tabs>
          <w:tab w:leader="none" w:pos="70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Preliminary Prospectus. </w:t>
      </w:r>
      <w:r>
        <w:rPr>
          <w:rFonts w:ascii="Arial" w:cs="Arial" w:eastAsia="Arial" w:hAnsi="Arial"/>
          <w:sz w:val="16"/>
          <w:szCs w:val="16"/>
          <w:color w:val="auto"/>
        </w:rPr>
        <w:t>No order preventing or suspending the use of any Preliminary Prospectus has been issued by the Commission,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w:t>
      </w:r>
    </w:p>
    <w:p>
      <w:pPr>
        <w:spacing w:after="0" w:line="120" w:lineRule="exact"/>
        <w:rPr>
          <w:rFonts w:ascii="Arial" w:cs="Arial" w:eastAsia="Arial" w:hAnsi="Arial"/>
          <w:sz w:val="16"/>
          <w:szCs w:val="16"/>
          <w:color w:val="auto"/>
        </w:rPr>
      </w:pPr>
    </w:p>
    <w:p>
      <w:pPr>
        <w:ind w:right="60" w:firstLine="464"/>
        <w:spacing w:after="0" w:line="259"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Time of Sale Information. </w:t>
      </w:r>
      <w:r>
        <w:rPr>
          <w:rFonts w:ascii="Arial" w:cs="Arial" w:eastAsia="Arial" w:hAnsi="Arial"/>
          <w:sz w:val="18"/>
          <w:szCs w:val="18"/>
          <w:color w:val="auto"/>
        </w:rPr>
        <w:t>The Time of Sale Information, at the Time of Sale did not, and at the Closing Date will not, contain any untrue statement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and warranty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43" w:lineRule="exact"/>
        <w:rPr>
          <w:sz w:val="20"/>
          <w:szCs w:val="20"/>
          <w:color w:val="auto"/>
        </w:rPr>
      </w:pPr>
    </w:p>
    <w:p>
      <w:pPr>
        <w:ind w:right="40" w:firstLine="464"/>
        <w:spacing w:after="0" w:line="302" w:lineRule="auto"/>
        <w:tabs>
          <w:tab w:leader="none" w:pos="705" w:val="left"/>
        </w:tabs>
        <w:numPr>
          <w:ilvl w:val="1"/>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Issuer Free Writing Prospectus. </w:t>
      </w:r>
      <w:r>
        <w:rPr>
          <w:rFonts w:ascii="Arial" w:cs="Arial" w:eastAsia="Arial" w:hAnsi="Arial"/>
          <w:sz w:val="15"/>
          <w:szCs w:val="15"/>
          <w:color w:val="auto"/>
        </w:rPr>
        <w:t>The Company (including its agents and representatives, other than the Underwriters in their capacity as such) has not</w:t>
      </w:r>
      <w:r>
        <w:rPr>
          <w:rFonts w:ascii="Arial" w:cs="Arial" w:eastAsia="Arial" w:hAnsi="Arial"/>
          <w:sz w:val="15"/>
          <w:szCs w:val="15"/>
          <w:i w:val="1"/>
          <w:iCs w:val="1"/>
          <w:color w:val="auto"/>
        </w:rPr>
        <w:t xml:space="preserve"> </w:t>
      </w:r>
      <w:r>
        <w:rPr>
          <w:rFonts w:ascii="Arial" w:cs="Arial" w:eastAsia="Arial" w:hAnsi="Arial"/>
          <w:sz w:val="15"/>
          <w:szCs w:val="15"/>
          <w:color w:val="auto"/>
        </w:rPr>
        <w:t>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Arial" w:cs="Arial" w:eastAsia="Arial" w:hAnsi="Arial"/>
          <w:sz w:val="15"/>
          <w:szCs w:val="15"/>
          <w:b w:val="1"/>
          <w:bCs w:val="1"/>
          <w:color w:val="auto"/>
        </w:rPr>
        <w:t>Issuer Free Writing Prospectus</w:t>
      </w:r>
      <w:r>
        <w:rPr>
          <w:rFonts w:ascii="Arial" w:cs="Arial" w:eastAsia="Arial" w:hAnsi="Arial"/>
          <w:sz w:val="15"/>
          <w:szCs w:val="15"/>
          <w:color w:val="auto"/>
        </w:rPr>
        <w:t>”) other than (i) any document not constituting a prospectus pursuant to Section 2(a)(10)(a) of the Securities Act or Rule 134 under the Securities Act, (ii) the Preliminary Prospectus,</w:t>
      </w:r>
    </w:p>
    <w:p>
      <w:pPr>
        <w:spacing w:after="0" w:line="1" w:lineRule="exact"/>
        <w:rPr>
          <w:rFonts w:ascii="Arial" w:cs="Arial" w:eastAsia="Arial" w:hAnsi="Arial"/>
          <w:sz w:val="15"/>
          <w:szCs w:val="15"/>
          <w:color w:val="auto"/>
        </w:rPr>
      </w:pPr>
    </w:p>
    <w:p>
      <w:pPr>
        <w:ind w:right="100" w:firstLine="8"/>
        <w:spacing w:after="0" w:line="287" w:lineRule="auto"/>
        <w:tabs>
          <w:tab w:leader="none" w:pos="307"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Prospectus, (iv) the documents listed on Schedule 2 hereto as constituting the Time of Sale Information and (v) any electronic road show or other written communications, in each case approved in writing in advance by the Representatives. Each such Issuer Free Writing Prospectus complied in all material respects with the Securities Act, has been or will be (within the time period specified in Rule 433) filed in accordance with the Securities Act (to the extent required thereby) and, when taken together with the Time of Sale Information,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124" w:lineRule="exact"/>
        <w:rPr>
          <w:rFonts w:ascii="Arial" w:cs="Arial" w:eastAsia="Arial" w:hAnsi="Arial"/>
          <w:sz w:val="16"/>
          <w:szCs w:val="16"/>
          <w:color w:val="auto"/>
        </w:rPr>
      </w:pPr>
    </w:p>
    <w:p>
      <w:pPr>
        <w:ind w:firstLine="464"/>
        <w:spacing w:after="0" w:line="290" w:lineRule="auto"/>
        <w:tabs>
          <w:tab w:leader="none" w:pos="695"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Incorporated Documents</w:t>
      </w:r>
      <w:r>
        <w:rPr>
          <w:rFonts w:ascii="Arial" w:cs="Arial" w:eastAsia="Arial" w:hAnsi="Arial"/>
          <w:sz w:val="16"/>
          <w:szCs w:val="16"/>
          <w:color w:val="auto"/>
        </w:rPr>
        <w:t>. The documents incorporated by reference in the Registration Statement, the Prospectus and the Time of Sale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they became effective or were filed with the Commission, as the case may be,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required to be stated therein or necessary to make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statements therein, in the light of the circumstances under which they were made, not misleading.</w:t>
      </w:r>
    </w:p>
    <w:p>
      <w:pPr>
        <w:spacing w:after="0" w:line="171" w:lineRule="exact"/>
        <w:rPr>
          <w:sz w:val="20"/>
          <w:szCs w:val="20"/>
          <w:color w:val="auto"/>
        </w:rPr>
      </w:pPr>
    </w:p>
    <w:p>
      <w:pPr>
        <w:ind w:firstLine="464"/>
        <w:spacing w:after="0" w:line="289" w:lineRule="auto"/>
        <w:tabs>
          <w:tab w:leader="none" w:pos="67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and the related notes thereto included or incorporated by reference in the Registration Statement,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of Sale Information and the Prospectus comply in all material respects with the applicable requirements of the Securities Act and the Exchange Act, as applicable, and present fairly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applied on a consistent basis throughout the periods covered thereby, and the supporting schedules included or incorporated by reference in the Registration Statement present fairly the information required to be stated therein; and the other financial information included or incorporated by reference in the Registration Statement, the Time of Sale Information and the Prospectus has been derived from the accounting records of the Company and its subsidiaries and presents fairly the information shown thereby.</w:t>
      </w:r>
    </w:p>
    <w:p>
      <w:pPr>
        <w:spacing w:after="0" w:line="118" w:lineRule="exact"/>
        <w:rPr>
          <w:rFonts w:ascii="Arial" w:cs="Arial" w:eastAsia="Arial" w:hAnsi="Arial"/>
          <w:sz w:val="16"/>
          <w:szCs w:val="16"/>
          <w:color w:val="auto"/>
        </w:rPr>
      </w:pPr>
    </w:p>
    <w:p>
      <w:pPr>
        <w:ind w:right="60" w:firstLine="464"/>
        <w:spacing w:after="0" w:line="287"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Since the date of the most recent financial statements of the Company included or incorporated by reference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Time of Sale Information and the Prospectus, (i) there has not been any change in the capital stock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results of operations or prospects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Time of Sale Information and the Prospectus.</w:t>
      </w:r>
    </w:p>
    <w:p>
      <w:pPr>
        <w:spacing w:after="0" w:line="122" w:lineRule="exact"/>
        <w:rPr>
          <w:rFonts w:ascii="Arial" w:cs="Arial" w:eastAsia="Arial" w:hAnsi="Arial"/>
          <w:sz w:val="16"/>
          <w:szCs w:val="16"/>
          <w:color w:val="auto"/>
        </w:rPr>
      </w:pPr>
    </w:p>
    <w:p>
      <w:pPr>
        <w:ind w:right="60" w:firstLine="464"/>
        <w:spacing w:after="0" w:line="294"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The Company and each of its significant subsidiaries, as defined in Rule 1-02 of Regulation S-X under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Act,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 would not, individually or in the aggregate, have a material adverse effect on the business, properties, management, financial position, results of operations or prospects of the Company and its subsidiaries taken as a whole or on the performance by the Company of its obligations under the Securities (a “Material Adverse Effect”).</w:t>
      </w:r>
    </w:p>
    <w:p>
      <w:pPr>
        <w:spacing w:after="0" w:line="140" w:lineRule="exact"/>
        <w:rPr>
          <w:sz w:val="20"/>
          <w:szCs w:val="20"/>
          <w:color w:val="auto"/>
        </w:rPr>
      </w:pPr>
    </w:p>
    <w:p>
      <w:pPr>
        <w:ind w:left="680" w:hanging="216"/>
        <w:spacing w:after="0"/>
        <w:tabs>
          <w:tab w:leader="none" w:pos="68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Due Authorization. </w:t>
      </w:r>
      <w:r>
        <w:rPr>
          <w:rFonts w:ascii="Arial" w:cs="Arial" w:eastAsia="Arial" w:hAnsi="Arial"/>
          <w:sz w:val="16"/>
          <w:szCs w:val="16"/>
          <w:color w:val="auto"/>
        </w:rPr>
        <w:t>The Company has full right, power and authority to execute and deliver this Agreement, the Securities and the Indenture</w:t>
      </w:r>
    </w:p>
    <w:p>
      <w:pPr>
        <w:spacing w:after="0" w:line="38"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Transaction Documents</w:t>
      </w:r>
      <w:r>
        <w:rPr>
          <w:rFonts w:ascii="Arial" w:cs="Arial" w:eastAsia="Arial" w:hAnsi="Arial"/>
          <w:sz w:val="18"/>
          <w:szCs w:val="18"/>
          <w:color w:val="auto"/>
        </w:rPr>
        <w:t>”) and to perform its obligations hereunder and thereunder; and all corporate action required to be taken for the due and proper authorization, execution and delivery of each of the Transaction Documents and the consummation of the transactions contemplated thereby has been duly and validly taken.</w:t>
      </w:r>
    </w:p>
    <w:p>
      <w:pPr>
        <w:spacing w:after="0" w:line="144" w:lineRule="exact"/>
        <w:rPr>
          <w:rFonts w:ascii="Arial" w:cs="Arial" w:eastAsia="Arial" w:hAnsi="Arial"/>
          <w:sz w:val="16"/>
          <w:szCs w:val="16"/>
          <w:color w:val="auto"/>
        </w:rPr>
      </w:pPr>
    </w:p>
    <w:p>
      <w:pPr>
        <w:ind w:right="40" w:firstLine="464"/>
        <w:spacing w:after="0" w:line="256" w:lineRule="auto"/>
        <w:tabs>
          <w:tab w:leader="none" w:pos="666"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The Indenture. </w:t>
      </w:r>
      <w:r>
        <w:rPr>
          <w:rFonts w:ascii="Arial" w:cs="Arial" w:eastAsia="Arial" w:hAnsi="Arial"/>
          <w:sz w:val="18"/>
          <w:szCs w:val="18"/>
          <w:color w:val="auto"/>
        </w:rPr>
        <w:t>The Indenture has been duly authorized, executed and delivered by the Company and has been duly qualified under the Trust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Act and constitutes a valid and legally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 (collectively, the “</w:t>
      </w:r>
      <w:r>
        <w:rPr>
          <w:rFonts w:ascii="Arial" w:cs="Arial" w:eastAsia="Arial" w:hAnsi="Arial"/>
          <w:sz w:val="18"/>
          <w:szCs w:val="18"/>
          <w:b w:val="1"/>
          <w:bCs w:val="1"/>
          <w:color w:val="auto"/>
        </w:rPr>
        <w:t>Enforceability Exceptions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right="140" w:firstLine="464"/>
        <w:spacing w:after="0" w:line="256" w:lineRule="auto"/>
        <w:tabs>
          <w:tab w:leader="none" w:pos="705"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The Securities</w:t>
      </w:r>
      <w:r>
        <w:rPr>
          <w:rFonts w:ascii="Arial" w:cs="Arial" w:eastAsia="Arial" w:hAnsi="Arial"/>
          <w:sz w:val="18"/>
          <w:szCs w:val="18"/>
          <w:color w:val="auto"/>
        </w:rPr>
        <w:t>. The Securities have been duly authorized by the Company and, when duly executed, authenticated, issued and delivered as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w:t>
      </w:r>
    </w:p>
    <w:p>
      <w:pPr>
        <w:spacing w:after="0" w:line="143" w:lineRule="exact"/>
        <w:rPr>
          <w:rFonts w:ascii="Arial" w:cs="Arial" w:eastAsia="Arial" w:hAnsi="Arial"/>
          <w:sz w:val="18"/>
          <w:szCs w:val="18"/>
          <w:color w:val="auto"/>
        </w:rPr>
      </w:pPr>
    </w:p>
    <w:p>
      <w:pPr>
        <w:ind w:left="680" w:hanging="216"/>
        <w:spacing w:after="0"/>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171" w:lineRule="exact"/>
        <w:rPr>
          <w:rFonts w:ascii="Arial" w:cs="Arial" w:eastAsia="Arial" w:hAnsi="Arial"/>
          <w:sz w:val="18"/>
          <w:szCs w:val="18"/>
          <w:color w:val="auto"/>
        </w:rPr>
      </w:pPr>
    </w:p>
    <w:p>
      <w:pPr>
        <w:ind w:right="220" w:firstLine="464"/>
        <w:spacing w:after="0" w:line="268" w:lineRule="auto"/>
        <w:tabs>
          <w:tab w:leader="none" w:pos="754"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Descriptions of the Transaction Documents</w:t>
      </w:r>
      <w:r>
        <w:rPr>
          <w:rFonts w:ascii="Arial" w:cs="Arial" w:eastAsia="Arial" w:hAnsi="Arial"/>
          <w:sz w:val="18"/>
          <w:szCs w:val="18"/>
          <w:color w:val="auto"/>
        </w:rPr>
        <w:t>. Each Transaction Document conforms in all material respects to the description thereof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Time of Sale Information and the Prospectus.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No Violation or Default. </w:t>
      </w:r>
      <w:r>
        <w:rPr>
          <w:rFonts w:ascii="Arial" w:cs="Arial" w:eastAsia="Arial" w:hAnsi="Arial"/>
          <w:sz w:val="16"/>
          <w:szCs w:val="16"/>
          <w:color w:val="auto"/>
        </w:rPr>
        <w:t>Neither the Company nor any of its subsidiaries is (i) in violation of its charter or by-laws or similar organizational documents;</w:t>
      </w:r>
    </w:p>
    <w:p>
      <w:pPr>
        <w:spacing w:after="0" w:line="38" w:lineRule="exact"/>
        <w:rPr>
          <w:rFonts w:ascii="Arial" w:cs="Arial" w:eastAsia="Arial" w:hAnsi="Arial"/>
          <w:sz w:val="16"/>
          <w:szCs w:val="16"/>
          <w:color w:val="auto"/>
        </w:rPr>
      </w:pPr>
    </w:p>
    <w:p>
      <w:pPr>
        <w:ind w:firstLine="8"/>
        <w:spacing w:after="0" w:line="252"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ind w:left="-8" w:right="120" w:firstLine="464"/>
        <w:spacing w:after="0" w:line="305" w:lineRule="auto"/>
        <w:tabs>
          <w:tab w:leader="none" w:pos="697" w:val="left"/>
        </w:tabs>
        <w:numPr>
          <w:ilvl w:val="1"/>
          <w:numId w:val="13"/>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 Conflicts. </w:t>
      </w:r>
      <w:r>
        <w:rPr>
          <w:rFonts w:ascii="Arial" w:cs="Arial" w:eastAsia="Arial" w:hAnsi="Arial"/>
          <w:sz w:val="15"/>
          <w:szCs w:val="15"/>
          <w:color w:val="auto"/>
        </w:rPr>
        <w:t>The execution, delivery and performance by the Company of each of the Transaction Documents, the issuance and sale of the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and compliance by the Company with the terms thereof and the consummation of the transactions contemplated by the Transaction Documents will not</w:t>
      </w:r>
    </w:p>
    <w:p>
      <w:pPr>
        <w:ind w:left="-8" w:firstLine="8"/>
        <w:spacing w:after="0" w:line="288" w:lineRule="auto"/>
        <w:tabs>
          <w:tab w:leader="none" w:pos="202"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or default that would not, individually or in the aggregate, have a Material Adverse Effect.</w:t>
      </w:r>
    </w:p>
    <w:p>
      <w:pPr>
        <w:spacing w:after="0" w:line="122" w:lineRule="exact"/>
        <w:rPr>
          <w:rFonts w:ascii="Arial" w:cs="Arial" w:eastAsia="Arial" w:hAnsi="Arial"/>
          <w:sz w:val="16"/>
          <w:szCs w:val="16"/>
          <w:color w:val="auto"/>
        </w:rPr>
      </w:pPr>
    </w:p>
    <w:p>
      <w:pPr>
        <w:ind w:left="-8" w:right="20" w:firstLine="464"/>
        <w:spacing w:after="0" w:line="318" w:lineRule="auto"/>
        <w:tabs>
          <w:tab w:leader="none" w:pos="697" w:val="left"/>
        </w:tabs>
        <w:numPr>
          <w:ilvl w:val="1"/>
          <w:numId w:val="14"/>
        </w:numPr>
        <w:rPr>
          <w:rFonts w:ascii="Arial" w:cs="Arial" w:eastAsia="Arial" w:hAnsi="Arial"/>
          <w:sz w:val="15"/>
          <w:szCs w:val="15"/>
          <w:color w:val="auto"/>
        </w:rPr>
      </w:pPr>
      <w:r>
        <w:rPr>
          <w:rFonts w:ascii="Arial" w:cs="Arial" w:eastAsia="Arial" w:hAnsi="Arial"/>
          <w:sz w:val="15"/>
          <w:szCs w:val="15"/>
          <w:i w:val="1"/>
          <w:iCs w:val="1"/>
          <w:color w:val="auto"/>
        </w:rPr>
        <w:t>No Consents Required</w:t>
      </w:r>
      <w:r>
        <w:rPr>
          <w:rFonts w:ascii="Arial" w:cs="Arial" w:eastAsia="Arial" w:hAnsi="Arial"/>
          <w:sz w:val="15"/>
          <w:szCs w:val="15"/>
          <w:color w:val="auto"/>
        </w:rPr>
        <w:t>. No consent, approval, authorization, order, registration or qualification of or with any court or arbitrator or governmental or</w:t>
      </w:r>
      <w:r>
        <w:rPr>
          <w:rFonts w:ascii="Arial" w:cs="Arial" w:eastAsia="Arial" w:hAnsi="Arial"/>
          <w:sz w:val="15"/>
          <w:szCs w:val="15"/>
          <w:i w:val="1"/>
          <w:iCs w:val="1"/>
          <w:color w:val="auto"/>
        </w:rPr>
        <w:t xml:space="preserve"> </w:t>
      </w:r>
      <w:r>
        <w:rPr>
          <w:rFonts w:ascii="Arial" w:cs="Arial" w:eastAsia="Arial" w:hAnsi="Arial"/>
          <w:sz w:val="15"/>
          <w:szCs w:val="15"/>
          <w:color w:val="auto"/>
        </w:rPr>
        <w:t>regulatory authority is required for the execution, delivery and performance by the Company of each of the Transaction Documents, the issuance and sale of the Securities and compliance by the Company with the terms thereof and the consummation of the transactions contemplated by the Transaction Documents, except for such consents, approvals, authorizations, orders and registrations or qualifications (i) as have been obtained under the Securities Act and the Trust Indenture Act and (ii) as may be required under applicable state securities laws in connection with the purchase and distribution of the Securities by the Underwriters.</w:t>
      </w:r>
    </w:p>
    <w:p>
      <w:pPr>
        <w:spacing w:after="0" w:line="99" w:lineRule="exact"/>
        <w:rPr>
          <w:rFonts w:ascii="Arial" w:cs="Arial" w:eastAsia="Arial" w:hAnsi="Arial"/>
          <w:sz w:val="15"/>
          <w:szCs w:val="15"/>
          <w:color w:val="auto"/>
        </w:rPr>
      </w:pPr>
    </w:p>
    <w:p>
      <w:pPr>
        <w:ind w:left="-8" w:firstLine="464"/>
        <w:spacing w:after="0" w:line="309" w:lineRule="auto"/>
        <w:tabs>
          <w:tab w:leader="none" w:pos="697" w:val="left"/>
        </w:tabs>
        <w:numPr>
          <w:ilvl w:val="1"/>
          <w:numId w:val="14"/>
        </w:numPr>
        <w:rPr>
          <w:rFonts w:ascii="Arial" w:cs="Arial" w:eastAsia="Arial" w:hAnsi="Arial"/>
          <w:sz w:val="15"/>
          <w:szCs w:val="15"/>
          <w:color w:val="auto"/>
        </w:rPr>
      </w:pPr>
      <w:r>
        <w:rPr>
          <w:rFonts w:ascii="Arial" w:cs="Arial" w:eastAsia="Arial" w:hAnsi="Arial"/>
          <w:sz w:val="15"/>
          <w:szCs w:val="15"/>
          <w:i w:val="1"/>
          <w:iCs w:val="1"/>
          <w:color w:val="auto"/>
        </w:rPr>
        <w:t xml:space="preserve">Legal Proceedings. </w:t>
      </w:r>
      <w:r>
        <w:rPr>
          <w:rFonts w:ascii="Arial" w:cs="Arial" w:eastAsia="Arial" w:hAnsi="Arial"/>
          <w:sz w:val="15"/>
          <w:szCs w:val="15"/>
          <w:color w:val="auto"/>
        </w:rPr>
        <w:t>Except as described in the Registration Statement, the Time of Sale Information and the Prospectus, there are no legal,</w:t>
      </w:r>
      <w:r>
        <w:rPr>
          <w:rFonts w:ascii="Arial" w:cs="Arial" w:eastAsia="Arial" w:hAnsi="Arial"/>
          <w:sz w:val="15"/>
          <w:szCs w:val="15"/>
          <w:i w:val="1"/>
          <w:iCs w:val="1"/>
          <w:color w:val="auto"/>
        </w:rPr>
        <w:t xml:space="preserve"> </w:t>
      </w:r>
      <w:r>
        <w:rPr>
          <w:rFonts w:ascii="Arial" w:cs="Arial" w:eastAsia="Arial" w:hAnsi="Arial"/>
          <w:sz w:val="15"/>
          <w:szCs w:val="15"/>
          <w:color w:val="auto"/>
        </w:rPr>
        <w:t>governmental or regulatory investigations, actions, suits or proceedings pending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no such investigations, actions, suits or proceedings are threatened or, to the knowledge of the Company, contemplated by any governmental or regulatory authority or threatened by others; and (i) there are no current or pending legal, governmental or regulatory actions, suits or proceedings that are required under the Securities Act to be described in the Registration Statement or the Prospectus that are not so described in the Registration Statement, the Time of Sale Information and the Prospectus and (ii) there are no contracts or other documents that are required under the Securities Act to be filed as exhibits to the Registration Statement and described in the Registration Statement or the Prospectus that are not so filed as exhibits to the Registration Statement or described in the Registration Statement, the Time of Sale Information and the Prospectus.</w:t>
      </w:r>
    </w:p>
    <w:p>
      <w:pPr>
        <w:spacing w:after="0" w:line="9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52"/>
          </w:cols>
          <w:pgMar w:left="248" w:top="280" w:right="299" w:bottom="1440" w:gutter="0" w:footer="0" w:header="0"/>
        </w:sectPr>
      </w:pPr>
    </w:p>
    <w:bookmarkStart w:id="12" w:name="page13"/>
    <w:bookmarkEnd w:id="12"/>
    <w:p>
      <w:pPr>
        <w:ind w:left="-60" w:firstLine="464"/>
        <w:spacing w:after="0" w:line="256" w:lineRule="auto"/>
        <w:tabs>
          <w:tab w:leader="none" w:pos="61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Independent Accountants. </w:t>
      </w:r>
      <w:r>
        <w:rPr>
          <w:rFonts w:ascii="Arial" w:cs="Arial" w:eastAsia="Arial" w:hAnsi="Arial"/>
          <w:sz w:val="18"/>
          <w:szCs w:val="18"/>
          <w:color w:val="auto"/>
        </w:rPr>
        <w:t>PricewaterhouseCoopers, LLP, whose report on the consolidated financial statements of the Company and its subsidiaries 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or incorporated by reference in the Registration Statement, the Time of Sale Information and the Prospectus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43" w:lineRule="exact"/>
        <w:rPr>
          <w:rFonts w:ascii="Arial" w:cs="Arial" w:eastAsia="Arial" w:hAnsi="Arial"/>
          <w:sz w:val="18"/>
          <w:szCs w:val="18"/>
          <w:color w:val="auto"/>
        </w:rPr>
      </w:pPr>
    </w:p>
    <w:p>
      <w:pPr>
        <w:ind w:left="-60" w:right="440" w:firstLine="464"/>
        <w:spacing w:after="0" w:line="256" w:lineRule="auto"/>
        <w:tabs>
          <w:tab w:leader="none" w:pos="62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The Company is not and, after giving effect to the offering and sale of the Securities and the application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described in the Registration Statement, the Time of Sale Information and the Prospectus, will not be an “investment company” or an entity “controlled” by an “investment company” within the meaning of the Investment Company Act of 1940, as amended, and the rules and regulations of the Commission thereunder (collectively,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60" w:right="100" w:firstLine="464"/>
        <w:spacing w:after="0" w:line="290" w:lineRule="auto"/>
        <w:tabs>
          <w:tab w:leader="none" w:pos="606"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The Company and its subsidiaries own or possess adequate rights to use all patents, patent applications, trademarks,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marks, trade names, trademark registrations, service mark registrations, copyrights, licenses and know-how (including trade secrets and other unpatented and/or unpatentable proprietary or confidential information, systems or procedures) necessary for the conduct of their respective businesses, except where the failure to own or possess such rights could not be reasonably expected, individually or in the aggregate, to have a Material Adverse Effect; and the conduct of their respective businesses will not conflict in any material respect with any such rights of others, and the Company and its subsidiaries have not received any notice of any claim of infringement or conflict with any such rights of others that could reasonably be expected, individually or in the aggregate, to have a Material Adverse Effect.</w:t>
      </w:r>
    </w:p>
    <w:p>
      <w:pPr>
        <w:spacing w:after="0" w:line="118" w:lineRule="exact"/>
        <w:rPr>
          <w:rFonts w:ascii="Arial" w:cs="Arial" w:eastAsia="Arial" w:hAnsi="Arial"/>
          <w:sz w:val="16"/>
          <w:szCs w:val="16"/>
          <w:color w:val="auto"/>
        </w:rPr>
      </w:pPr>
    </w:p>
    <w:p>
      <w:pPr>
        <w:ind w:left="-60" w:right="20" w:firstLine="464"/>
        <w:spacing w:after="0" w:line="290" w:lineRule="auto"/>
        <w:tabs>
          <w:tab w:leader="none" w:pos="64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Licenses and Permits</w:t>
      </w:r>
      <w:r>
        <w:rPr>
          <w:rFonts w:ascii="Arial" w:cs="Arial" w:eastAsia="Arial" w:hAnsi="Arial"/>
          <w:sz w:val="16"/>
          <w:szCs w:val="16"/>
          <w:color w:val="auto"/>
        </w:rPr>
        <w:t>. The Company and its subsidiaries possess all licenses, certificates, permits and other authorizations issued by, and have made all</w:t>
      </w:r>
      <w:r>
        <w:rPr>
          <w:rFonts w:ascii="Arial" w:cs="Arial" w:eastAsia="Arial" w:hAnsi="Arial"/>
          <w:sz w:val="16"/>
          <w:szCs w:val="16"/>
          <w:i w:val="1"/>
          <w:iCs w:val="1"/>
          <w:color w:val="auto"/>
        </w:rPr>
        <w:t xml:space="preserve"> </w:t>
      </w:r>
      <w:r>
        <w:rPr>
          <w:rFonts w:ascii="Arial" w:cs="Arial" w:eastAsia="Arial" w:hAnsi="Arial"/>
          <w:sz w:val="16"/>
          <w:szCs w:val="16"/>
          <w:color w:val="auto"/>
        </w:rPr>
        <w:t>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the Time of Sale Information and the Prospectus, except where the failure to possess or make the same would not, individually or in the aggregate, have a Material Adverse Effect; and except as described in the Registration Statement, the Time of Sale Information and the Prospectus, neither the Company nor any of its subsidiaries has received notice of any revocation or modification of any such license, certificate, permit or authorization or has any reason to believe that any such license, certificate, permit or authorization will not be renewed in the ordinary course.</w:t>
      </w:r>
    </w:p>
    <w:p>
      <w:pPr>
        <w:spacing w:after="0" w:line="118" w:lineRule="exact"/>
        <w:rPr>
          <w:rFonts w:ascii="Arial" w:cs="Arial" w:eastAsia="Arial" w:hAnsi="Arial"/>
          <w:sz w:val="16"/>
          <w:szCs w:val="16"/>
          <w:color w:val="auto"/>
        </w:rPr>
      </w:pPr>
    </w:p>
    <w:p>
      <w:pPr>
        <w:ind w:left="-60" w:right="380" w:firstLine="464"/>
        <w:spacing w:after="0" w:line="370" w:lineRule="auto"/>
        <w:tabs>
          <w:tab w:leader="none" w:pos="645"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Compliance With Environmental Laws</w:t>
      </w:r>
      <w:r>
        <w:rPr>
          <w:rFonts w:ascii="Arial" w:cs="Arial" w:eastAsia="Arial" w:hAnsi="Arial"/>
          <w:sz w:val="15"/>
          <w:szCs w:val="15"/>
          <w:color w:val="auto"/>
        </w:rPr>
        <w:t>. (i) The Company and its subsidiaries (x) are, and at all prior times were, in compliance with any and all</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federal, state, local and foreign laws rules, regulations, requirements, decisions and orders relating to the protection of human health or safety, the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300" w:top="280" w:right="279" w:bottom="1440" w:gutter="0" w:footer="0" w:header="0"/>
        </w:sectPr>
      </w:pPr>
    </w:p>
    <w:bookmarkStart w:id="13" w:name="page14"/>
    <w:bookmarkEnd w:id="13"/>
    <w:p>
      <w:pPr>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environment, natural resources, hazardous or toxic substances or wastes, pollutants or contaminants (collectively, “</w:t>
      </w:r>
      <w:r>
        <w:rPr>
          <w:rFonts w:ascii="Arial" w:cs="Arial" w:eastAsia="Arial" w:hAnsi="Arial"/>
          <w:sz w:val="15"/>
          <w:szCs w:val="15"/>
          <w:b w:val="1"/>
          <w:bCs w:val="1"/>
          <w:color w:val="auto"/>
        </w:rPr>
        <w:t>Environmental Laws</w:t>
      </w:r>
      <w:r>
        <w:rPr>
          <w:rFonts w:ascii="Arial" w:cs="Arial" w:eastAsia="Arial" w:hAnsi="Arial"/>
          <w:sz w:val="15"/>
          <w:szCs w:val="15"/>
          <w:color w:val="auto"/>
        </w:rPr>
        <w:t>”); (y) have received and are in compliance with all permits, licenses, certificates or other authorizations or approvals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failure to comply with, or failure to receive required permits, licenses or approvals, or cost or liability as would not, individually or in the aggregate, have a Material Adverse Effect and (iii) except as described in each of the Time of Sale Information and the Prospectus, (x) there are no proceedings that are pending, or that are known to be contemplated, against the Company or any of its subsidiaries under any Environmental Laws in which a governmental entity is also a party, that individually or in the aggregate, if determined adversely to the Company or any of its subsidiaries, could reasonably be expected to have a Material Adverse Effect, (y) the Company and its subsidiaries are not aware of any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and its subsidiaries anticipates material capital expenditures relating to any Environmental Laws.</w:t>
      </w:r>
    </w:p>
    <w:p>
      <w:pPr>
        <w:spacing w:after="0" w:line="109" w:lineRule="exact"/>
        <w:rPr>
          <w:sz w:val="20"/>
          <w:szCs w:val="20"/>
          <w:color w:val="auto"/>
        </w:rPr>
      </w:pPr>
    </w:p>
    <w:p>
      <w:pPr>
        <w:ind w:right="180" w:firstLine="464"/>
        <w:spacing w:after="0" w:line="291" w:lineRule="auto"/>
        <w:tabs>
          <w:tab w:leader="none" w:pos="744"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and its subsidiaries maintain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20" w:lineRule="exact"/>
        <w:rPr>
          <w:rFonts w:ascii="Arial" w:cs="Arial" w:eastAsia="Arial" w:hAnsi="Arial"/>
          <w:sz w:val="16"/>
          <w:szCs w:val="16"/>
          <w:color w:val="auto"/>
        </w:rPr>
      </w:pPr>
    </w:p>
    <w:p>
      <w:pPr>
        <w:ind w:right="80" w:firstLine="464"/>
        <w:spacing w:after="0" w:line="294"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Accounting Controls</w:t>
      </w:r>
      <w:r>
        <w:rPr>
          <w:rFonts w:ascii="Arial" w:cs="Arial" w:eastAsia="Arial" w:hAnsi="Arial"/>
          <w:sz w:val="16"/>
          <w:szCs w:val="16"/>
          <w:color w:val="auto"/>
        </w:rPr>
        <w:t>. The Company and its subsidiaries maintain systems of “internal control over financial reporting” (as defined in Rule 13a-15(f)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ind w:right="2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Time of Sale Information and the Prospectus, there are no material weaknesses in the Company’s internal controls.</w:t>
      </w:r>
    </w:p>
    <w:p>
      <w:pPr>
        <w:spacing w:after="0" w:line="116" w:lineRule="exact"/>
        <w:rPr>
          <w:sz w:val="20"/>
          <w:szCs w:val="20"/>
          <w:color w:val="auto"/>
        </w:rPr>
      </w:pPr>
    </w:p>
    <w:p>
      <w:pPr>
        <w:ind w:right="40" w:firstLine="464"/>
        <w:spacing w:after="0" w:line="253"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Compliance with Money Laundering Laws</w:t>
      </w:r>
      <w:r>
        <w:rPr>
          <w:rFonts w:ascii="Arial" w:cs="Arial" w:eastAsia="Arial" w:hAnsi="Arial"/>
          <w:sz w:val="18"/>
          <w:szCs w:val="18"/>
          <w:color w:val="auto"/>
        </w:rPr>
        <w:t>. The operations of the Company and its subsidiaries are and have been conducted at all times in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except where the failure to so comply would not, individually or in the aggregate, have a Material Adverse Effect, and no action, suit or proceeding by or before any court or governmental agency, authority or body or any arbitrator involving the Company or any of its subsidiaries with respect to the Money Laundering Laws is pending or, to the best knowledge of the Company, threatened that, individually or in the aggregate, if determined adversely to the Company or any of its subsidiaries, could reasonably be expected to have a Material Adverse Effect.</w:t>
      </w:r>
    </w:p>
    <w:p>
      <w:pPr>
        <w:spacing w:after="0" w:line="145" w:lineRule="exact"/>
        <w:rPr>
          <w:rFonts w:ascii="Arial" w:cs="Arial" w:eastAsia="Arial" w:hAnsi="Arial"/>
          <w:sz w:val="18"/>
          <w:szCs w:val="18"/>
          <w:color w:val="auto"/>
        </w:rPr>
      </w:pPr>
    </w:p>
    <w:p>
      <w:pPr>
        <w:ind w:right="80" w:firstLine="464"/>
        <w:spacing w:after="0" w:line="291"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Compliance with OFAC</w:t>
      </w:r>
      <w:r>
        <w:rPr>
          <w:rFonts w:ascii="Arial" w:cs="Arial" w:eastAsia="Arial" w:hAnsi="Arial"/>
          <w:sz w:val="16"/>
          <w:szCs w:val="16"/>
          <w:color w:val="auto"/>
        </w:rPr>
        <w:t>. None of the Company, any of its subsidiaries or, to the knowledge of the Company, any director, officer, agent, employee or</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 of the Company or any of its subsidiaries is currently subject to any U.S. sanctions administered by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that, individually or in the aggregate, if determined adversely to the Company or any of its subsidiaries, could reasonably be expected to have a Material Adverse Effect; and the Company will not directly or indirectly use the proceeds of the offering of the Shares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20" w:lineRule="exact"/>
        <w:rPr>
          <w:sz w:val="20"/>
          <w:szCs w:val="20"/>
          <w:color w:val="auto"/>
        </w:rPr>
      </w:pPr>
    </w:p>
    <w:p>
      <w:pPr>
        <w:ind w:firstLine="464"/>
        <w:spacing w:after="0" w:line="291" w:lineRule="auto"/>
        <w:tabs>
          <w:tab w:leader="none" w:pos="773"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FCPA. </w:t>
      </w:r>
      <w:r>
        <w:rPr>
          <w:rFonts w:ascii="Arial" w:cs="Arial" w:eastAsia="Arial" w:hAnsi="Arial"/>
          <w:sz w:val="16"/>
          <w:szCs w:val="16"/>
          <w:color w:val="auto"/>
        </w:rPr>
        <w:t>Neither the Company nor any of its subsidiaries nor, to the knowledge of the Company, any director, officer, agent,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b w:val="1"/>
          <w:bCs w:val="1"/>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5" w:name="page16"/>
    <w:bookmarkEnd w:id="1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or any candidate for foreign political office, in contravention of the FCPA that, individually or in the aggregate, if determined adversely to the Company or any of its subsidiaries, could reasonably be expected to have a Material Adverse Effect;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 except where the failure to so comply would not, individually or in the aggregate, have a Material Adverse Effect.</w:t>
      </w:r>
    </w:p>
    <w:p>
      <w:pPr>
        <w:spacing w:after="0" w:line="143" w:lineRule="exact"/>
        <w:rPr>
          <w:sz w:val="20"/>
          <w:szCs w:val="20"/>
          <w:color w:val="auto"/>
        </w:rPr>
      </w:pPr>
    </w:p>
    <w:p>
      <w:pPr>
        <w:ind w:right="200" w:firstLine="464"/>
        <w:spacing w:after="0" w:line="268" w:lineRule="auto"/>
        <w:tabs>
          <w:tab w:leader="none" w:pos="79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has not taken, directly or indirectly, any action designed to or that could reasonably be expected to cause or result in</w:t>
      </w:r>
      <w:r>
        <w:rPr>
          <w:rFonts w:ascii="Arial" w:cs="Arial" w:eastAsia="Arial" w:hAnsi="Arial"/>
          <w:sz w:val="18"/>
          <w:szCs w:val="18"/>
          <w:i w:val="1"/>
          <w:iCs w:val="1"/>
          <w:color w:val="auto"/>
        </w:rPr>
        <w:t xml:space="preserve"> </w:t>
      </w:r>
      <w:r>
        <w:rPr>
          <w:rFonts w:ascii="Arial" w:cs="Arial" w:eastAsia="Arial" w:hAnsi="Arial"/>
          <w:sz w:val="18"/>
          <w:szCs w:val="18"/>
          <w:color w:val="auto"/>
        </w:rPr>
        <w:t>any stabilization or manipulation of the price of the Securities.</w:t>
      </w:r>
    </w:p>
    <w:p>
      <w:pPr>
        <w:spacing w:after="0" w:line="131" w:lineRule="exact"/>
        <w:rPr>
          <w:rFonts w:ascii="Arial" w:cs="Arial" w:eastAsia="Arial" w:hAnsi="Arial"/>
          <w:sz w:val="18"/>
          <w:szCs w:val="18"/>
          <w:color w:val="auto"/>
        </w:rPr>
      </w:pPr>
    </w:p>
    <w:p>
      <w:pPr>
        <w:ind w:right="100" w:firstLine="464"/>
        <w:spacing w:after="0" w:line="256" w:lineRule="auto"/>
        <w:tabs>
          <w:tab w:leader="none" w:pos="77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There is and has been no failure on the part of the Company or any of the Company’s directors or officers, in their capacities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to comply with any provision of the Sarbanes-Oxley Act of 2002 and the rules and regulations promulgated in connection therewith (the “</w:t>
      </w:r>
      <w:r>
        <w:rPr>
          <w:rFonts w:ascii="Arial" w:cs="Arial" w:eastAsia="Arial" w:hAnsi="Arial"/>
          <w:sz w:val="18"/>
          <w:szCs w:val="18"/>
          <w:b w:val="1"/>
          <w:bCs w:val="1"/>
          <w:color w:val="auto"/>
        </w:rPr>
        <w:t>Sarbanes-Oxley</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including Section 402 related to loans and Sections 302 and 906 related to certifications, except where the failure to so comply would not, individually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aggregate, have a Material Adverse Effect.</w:t>
      </w:r>
    </w:p>
    <w:p>
      <w:pPr>
        <w:spacing w:after="0" w:line="143" w:lineRule="exact"/>
        <w:rPr>
          <w:rFonts w:ascii="Arial" w:cs="Arial" w:eastAsia="Arial" w:hAnsi="Arial"/>
          <w:sz w:val="18"/>
          <w:szCs w:val="18"/>
          <w:color w:val="auto"/>
        </w:rPr>
      </w:pPr>
    </w:p>
    <w:p>
      <w:pPr>
        <w:ind w:right="580" w:firstLine="464"/>
        <w:spacing w:after="0" w:line="332" w:lineRule="auto"/>
        <w:tabs>
          <w:tab w:leader="none" w:pos="79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Status under the Securities Act</w:t>
      </w:r>
      <w:r>
        <w:rPr>
          <w:rFonts w:ascii="Arial" w:cs="Arial" w:eastAsia="Arial" w:hAnsi="Arial"/>
          <w:sz w:val="16"/>
          <w:szCs w:val="16"/>
          <w:color w:val="auto"/>
        </w:rPr>
        <w:t>. The Company is not an ineligible issuer and is a well-known seasoned issuer, in each case as defined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in each case at the times specified in the Securities Act in connection with the offering of the Securities.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90" w:lineRule="exact"/>
        <w:rPr>
          <w:sz w:val="20"/>
          <w:szCs w:val="20"/>
          <w:color w:val="auto"/>
        </w:rPr>
      </w:pPr>
    </w:p>
    <w:p>
      <w:pPr>
        <w:ind w:right="40" w:firstLine="464"/>
        <w:spacing w:after="0" w:line="288"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Required Filings. </w:t>
      </w:r>
      <w:r>
        <w:rPr>
          <w:rFonts w:ascii="Arial" w:cs="Arial" w:eastAsia="Arial" w:hAnsi="Arial"/>
          <w:sz w:val="16"/>
          <w:szCs w:val="16"/>
          <w:color w:val="auto"/>
        </w:rPr>
        <w:t>The Company will file the final Prospectus in a form approved by the Underwriters with the Commission within the time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by Rule 424(b) and Rule 430A, 430B or 430C under the Securities Act, will file any Issuer Free Writing Prospectus (including the Term Sheet in the form of Schedule 3 hereto)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6" w:name="page17"/>
    <w:bookmarkEnd w:id="16"/>
    <w:p>
      <w:pPr>
        <w:ind w:right="120" w:firstLine="464"/>
        <w:spacing w:after="0" w:line="283" w:lineRule="auto"/>
        <w:tabs>
          <w:tab w:leader="none" w:pos="705"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Delivery of Copies. </w:t>
      </w:r>
      <w:r>
        <w:rPr>
          <w:rFonts w:ascii="Arial" w:cs="Arial" w:eastAsia="Arial" w:hAnsi="Arial"/>
          <w:sz w:val="16"/>
          <w:szCs w:val="16"/>
          <w:color w:val="auto"/>
        </w:rPr>
        <w:t>The Company will deliver, without charge, (i) to the Representatives, two signed copies of the Registration Statement as originally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filed and each amendment thereto, in each case including all exhibits and consents filed therewith; and (ii) to each Underwriter (A) a conformed copy of the Registration Statement as originally filed and each amendment thereto (without exhibits);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availability of the Registration Statement and each amendment thereto on EDGAR shall constitute delivery so long as the EDGAR copy is substantially identical except as permitted by Regulation S-T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Prospectus Delivery Period (as defined below), as many copies of the Prospectus (including all amendments and supplements thereto) and each</w:t>
      </w:r>
    </w:p>
    <w:p>
      <w:pPr>
        <w:spacing w:after="0" w:line="32"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Issuer Free Writing Prospectus (if applicable) as the Representatives may reasonably request. As used herein, the term “</w:t>
      </w:r>
      <w:r>
        <w:rPr>
          <w:rFonts w:ascii="Arial" w:cs="Arial" w:eastAsia="Arial" w:hAnsi="Arial"/>
          <w:sz w:val="18"/>
          <w:szCs w:val="18"/>
          <w:b w:val="1"/>
          <w:bCs w:val="1"/>
          <w:color w:val="auto"/>
        </w:rPr>
        <w:t>Prospectus Delivery Period</w:t>
      </w:r>
      <w:r>
        <w:rPr>
          <w:rFonts w:ascii="Arial" w:cs="Arial" w:eastAsia="Arial" w:hAnsi="Arial"/>
          <w:sz w:val="18"/>
          <w:szCs w:val="18"/>
          <w:color w:val="auto"/>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43" w:lineRule="exact"/>
        <w:rPr>
          <w:rFonts w:ascii="Arial" w:cs="Arial" w:eastAsia="Arial" w:hAnsi="Arial"/>
          <w:sz w:val="16"/>
          <w:szCs w:val="16"/>
          <w:color w:val="auto"/>
        </w:rPr>
      </w:pPr>
    </w:p>
    <w:p>
      <w:pPr>
        <w:ind w:right="20" w:firstLine="464"/>
        <w:spacing w:after="0" w:line="255" w:lineRule="auto"/>
        <w:tabs>
          <w:tab w:leader="none" w:pos="695"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Issuer Free Writing Prospectuses </w:t>
      </w:r>
      <w:r>
        <w:rPr>
          <w:rFonts w:ascii="Arial" w:cs="Arial" w:eastAsia="Arial" w:hAnsi="Arial"/>
          <w:sz w:val="18"/>
          <w:szCs w:val="18"/>
          <w:color w:val="auto"/>
        </w:rPr>
        <w:t>Before making, preparing, using, authorizing, approving, referring to or filing any</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Free Writing Prospectus, and before filing any amendment or supplement to the Registration Statement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42" w:lineRule="exact"/>
        <w:rPr>
          <w:rFonts w:ascii="Arial" w:cs="Arial" w:eastAsia="Arial" w:hAnsi="Arial"/>
          <w:sz w:val="18"/>
          <w:szCs w:val="18"/>
          <w:color w:val="auto"/>
        </w:rPr>
      </w:pPr>
    </w:p>
    <w:p>
      <w:pPr>
        <w:ind w:firstLine="464"/>
        <w:spacing w:after="0" w:line="286" w:lineRule="auto"/>
        <w:tabs>
          <w:tab w:leader="none" w:pos="705"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any amendment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and (vi) of the receipt by the Company of any notice of objection of the Commission to the use of the Registration Statement or any post-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obtain as soon as possible the withdrawal thereof.</w:t>
      </w:r>
    </w:p>
    <w:p>
      <w:pPr>
        <w:spacing w:after="0" w:line="143" w:lineRule="exact"/>
        <w:rPr>
          <w:sz w:val="20"/>
          <w:szCs w:val="20"/>
          <w:color w:val="auto"/>
        </w:rPr>
      </w:pPr>
    </w:p>
    <w:p>
      <w:pPr>
        <w:ind w:right="20" w:firstLine="464"/>
        <w:spacing w:after="0" w:line="290" w:lineRule="auto"/>
        <w:tabs>
          <w:tab w:leader="none" w:pos="69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Time of Sale Information</w:t>
      </w:r>
      <w:r>
        <w:rPr>
          <w:rFonts w:ascii="Arial" w:cs="Arial" w:eastAsia="Arial" w:hAnsi="Arial"/>
          <w:sz w:val="16"/>
          <w:szCs w:val="16"/>
          <w:color w:val="auto"/>
        </w:rPr>
        <w:t>. If at any time prior to the Closing Date (i) any event shall occur or condition shall exist as a result of which the Time of Sale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as then amended or supplemented would include any untrue statement of a material fact or omit to state any material fact necessary in order to make the statements therein, in the light of the circumstances, not misleading or (ii) it is necessary to amend or supplement the Time of Sale Information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be misleading or so that the Time of Sale Information will comply with law.</w:t>
      </w:r>
    </w:p>
    <w:p>
      <w:pPr>
        <w:spacing w:after="0" w:line="118" w:lineRule="exact"/>
        <w:rPr>
          <w:rFonts w:ascii="Arial" w:cs="Arial" w:eastAsia="Arial" w:hAnsi="Arial"/>
          <w:sz w:val="16"/>
          <w:szCs w:val="16"/>
          <w:color w:val="auto"/>
        </w:rPr>
      </w:pPr>
    </w:p>
    <w:p>
      <w:pPr>
        <w:ind w:firstLine="464"/>
        <w:spacing w:after="0" w:line="290" w:lineRule="auto"/>
        <w:tabs>
          <w:tab w:leader="none" w:pos="676"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If during the Prospectus Delivery Period (i) any event shall occur or condition shall exist as a result of which the Prospectus as</w:t>
      </w:r>
      <w:r>
        <w:rPr>
          <w:rFonts w:ascii="Arial" w:cs="Arial" w:eastAsia="Arial" w:hAnsi="Arial"/>
          <w:sz w:val="16"/>
          <w:szCs w:val="16"/>
          <w:i w:val="1"/>
          <w:iCs w:val="1"/>
          <w:color w:val="auto"/>
        </w:rPr>
        <w:t xml:space="preserve"> </w:t>
      </w:r>
      <w:r>
        <w:rPr>
          <w:rFonts w:ascii="Arial" w:cs="Arial" w:eastAsia="Arial" w:hAnsi="Arial"/>
          <w:sz w:val="16"/>
          <w:szCs w:val="16"/>
          <w:color w:val="auto"/>
        </w:rPr>
        <w:t>then amended or supplemented would include any untrue statement of a material fact or omit to state any material fact required to be stated therein or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w:t>
      </w:r>
    </w:p>
    <w:p>
      <w:pPr>
        <w:spacing w:after="0" w:line="118" w:lineRule="exact"/>
        <w:rPr>
          <w:rFonts w:ascii="Arial" w:cs="Arial" w:eastAsia="Arial" w:hAnsi="Arial"/>
          <w:sz w:val="16"/>
          <w:szCs w:val="16"/>
          <w:color w:val="auto"/>
        </w:rPr>
      </w:pPr>
    </w:p>
    <w:p>
      <w:pPr>
        <w:ind w:right="380" w:firstLine="464"/>
        <w:spacing w:after="0" w:line="255"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Blue Sky Compliance. </w:t>
      </w:r>
      <w:r>
        <w:rPr>
          <w:rFonts w:ascii="Arial" w:cs="Arial" w:eastAsia="Arial" w:hAnsi="Arial"/>
          <w:sz w:val="18"/>
          <w:szCs w:val="18"/>
          <w:color w:val="auto"/>
        </w:rPr>
        <w:t>The Company will qualify the Securities for offer and sale under the securities or Blue Sky laws of such jurisdictions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shall reasonably request and will continue such qualifications in effect so long as required for distribution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 w:name="page19"/>
    <w:bookmarkEnd w:id="18"/>
    <w:p>
      <w:pPr>
        <w:ind w:right="60" w:firstLine="464"/>
        <w:spacing w:after="0" w:line="335" w:lineRule="auto"/>
        <w:tabs>
          <w:tab w:leader="none" w:pos="705" w:val="left"/>
        </w:tabs>
        <w:numPr>
          <w:ilvl w:val="0"/>
          <w:numId w:val="24"/>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Earning Statement. </w:t>
      </w:r>
      <w:r>
        <w:rPr>
          <w:rFonts w:ascii="Arial" w:cs="Arial" w:eastAsia="Arial" w:hAnsi="Arial"/>
          <w:sz w:val="15"/>
          <w:szCs w:val="15"/>
          <w:color w:val="auto"/>
        </w:rPr>
        <w:t>The Company will make generally available to its security holders and the Representatives as soon as practicable an earning</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88" w:lineRule="exact"/>
        <w:rPr>
          <w:rFonts w:ascii="Arial" w:cs="Arial" w:eastAsia="Arial" w:hAnsi="Arial"/>
          <w:sz w:val="15"/>
          <w:szCs w:val="15"/>
          <w:color w:val="auto"/>
        </w:rPr>
      </w:pPr>
    </w:p>
    <w:p>
      <w:pPr>
        <w:ind w:right="20" w:firstLine="464"/>
        <w:spacing w:after="0" w:line="259" w:lineRule="auto"/>
        <w:tabs>
          <w:tab w:leader="none" w:pos="66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During the period from the date hereof through and including the Closing Date or such later date as is specified in herein,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without the prior written consent of the Representatives, offer, sell, contract to sell or otherwise dispose of any debt securities issued or guaranteed by the Company and having a tenor of more than one year.</w:t>
      </w:r>
    </w:p>
    <w:p>
      <w:pPr>
        <w:spacing w:after="0" w:line="140" w:lineRule="exact"/>
        <w:rPr>
          <w:rFonts w:ascii="Arial" w:cs="Arial" w:eastAsia="Arial" w:hAnsi="Arial"/>
          <w:sz w:val="18"/>
          <w:szCs w:val="18"/>
          <w:color w:val="auto"/>
        </w:rPr>
      </w:pPr>
    </w:p>
    <w:p>
      <w:pPr>
        <w:ind w:right="200" w:firstLine="464"/>
        <w:spacing w:after="0" w:line="268" w:lineRule="auto"/>
        <w:tabs>
          <w:tab w:leader="none" w:pos="66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Securities as described in the Registration Statement, the Time of Sale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and the Prospectus under the heading “Use of proceeds”.</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will not take, directly or indirectly, any action designed to or that could reasonably be expected to cause or result in any</w:t>
      </w:r>
      <w:r>
        <w:rPr>
          <w:rFonts w:ascii="Arial" w:cs="Arial" w:eastAsia="Arial" w:hAnsi="Arial"/>
          <w:sz w:val="18"/>
          <w:szCs w:val="18"/>
          <w:i w:val="1"/>
          <w:iCs w:val="1"/>
          <w:color w:val="auto"/>
        </w:rPr>
        <w:t xml:space="preserve"> </w:t>
      </w:r>
      <w:r>
        <w:rPr>
          <w:rFonts w:ascii="Arial" w:cs="Arial" w:eastAsia="Arial" w:hAnsi="Arial"/>
          <w:sz w:val="18"/>
          <w:szCs w:val="18"/>
          <w:color w:val="auto"/>
        </w:rPr>
        <w:t>stabilization or manipulation of the price of the Securities.</w:t>
      </w:r>
    </w:p>
    <w:p>
      <w:pPr>
        <w:spacing w:after="0" w:line="131" w:lineRule="exact"/>
        <w:rPr>
          <w:rFonts w:ascii="Arial" w:cs="Arial" w:eastAsia="Arial" w:hAnsi="Arial"/>
          <w:sz w:val="18"/>
          <w:szCs w:val="18"/>
          <w:color w:val="auto"/>
        </w:rPr>
      </w:pPr>
    </w:p>
    <w:p>
      <w:pPr>
        <w:ind w:right="200" w:firstLine="464"/>
        <w:spacing w:after="0" w:line="268" w:lineRule="auto"/>
        <w:tabs>
          <w:tab w:leader="none" w:pos="66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 Issuer Free Writing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not filed with the Commission in accordance with Rule 433 under the Securities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71" w:lineRule="exact"/>
        <w:rPr>
          <w:sz w:val="20"/>
          <w:szCs w:val="20"/>
          <w:color w:val="auto"/>
        </w:rPr>
      </w:pPr>
    </w:p>
    <w:p>
      <w:pPr>
        <w:ind w:firstLine="464"/>
        <w:spacing w:after="0" w:line="289"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Schedule 2 hereto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 Notwithstanding the foregoing the Underwriters may use a term sheet substantially in the form of Schedule 3 hereto without the consent of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9" w:name="page20"/>
    <w:bookmarkEnd w:id="19"/>
    <w:p>
      <w:pPr>
        <w:ind w:left="-40" w:right="40" w:firstLine="464"/>
        <w:spacing w:after="0" w:line="268" w:lineRule="auto"/>
        <w:tabs>
          <w:tab w:leader="none" w:pos="665"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is not subject to any pending proceeding under Section 8A of the Securities Act with respect to the offering (and will promptly notify the Company if any such proceeding against it is initiated during the Prospectus Delivery Period).</w:t>
      </w:r>
    </w:p>
    <w:p>
      <w:pPr>
        <w:spacing w:after="0" w:line="132" w:lineRule="exact"/>
        <w:rPr>
          <w:sz w:val="20"/>
          <w:szCs w:val="20"/>
          <w:color w:val="auto"/>
        </w:rPr>
      </w:pPr>
    </w:p>
    <w:p>
      <w:pPr>
        <w:ind w:left="-40" w:right="80" w:firstLine="464"/>
        <w:spacing w:after="0" w:line="332" w:lineRule="auto"/>
        <w:tabs>
          <w:tab w:leader="none" w:pos="59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xml:space="preserve"> The obligation of each Underwriter to purchase Securities on the Closing Date as provided herein is subject to the performance by the Company of its covenants and other obligations hereunder and to the following additional conditions:</w:t>
      </w:r>
    </w:p>
    <w:p>
      <w:pPr>
        <w:spacing w:after="0" w:line="4" w:lineRule="exact"/>
        <w:rPr>
          <w:sz w:val="20"/>
          <w:szCs w:val="20"/>
          <w:color w:val="auto"/>
        </w:rPr>
      </w:pPr>
    </w:p>
    <w:p>
      <w:pPr>
        <w:ind w:left="-40" w:right="120" w:firstLine="464"/>
        <w:spacing w:after="0" w:line="294"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 no proceeding for</w:t>
      </w:r>
      <w:r>
        <w:rPr>
          <w:rFonts w:ascii="Arial" w:cs="Arial" w:eastAsia="Arial" w:hAnsi="Arial"/>
          <w:sz w:val="16"/>
          <w:szCs w:val="16"/>
          <w:i w:val="1"/>
          <w:iCs w:val="1"/>
          <w:color w:val="auto"/>
        </w:rPr>
        <w:t xml:space="preserve"> </w:t>
      </w:r>
      <w:r>
        <w:rPr>
          <w:rFonts w:ascii="Arial" w:cs="Arial" w:eastAsia="Arial" w:hAnsi="Arial"/>
          <w:sz w:val="16"/>
          <w:szCs w:val="16"/>
          <w:color w:val="auto"/>
        </w:rPr>
        <w:t>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15" w:lineRule="exact"/>
        <w:rPr>
          <w:rFonts w:ascii="Arial" w:cs="Arial" w:eastAsia="Arial" w:hAnsi="Arial"/>
          <w:sz w:val="16"/>
          <w:szCs w:val="16"/>
          <w:color w:val="auto"/>
        </w:rPr>
      </w:pPr>
    </w:p>
    <w:p>
      <w:pPr>
        <w:ind w:left="-40" w:right="100" w:firstLine="464"/>
        <w:spacing w:after="0" w:line="259" w:lineRule="auto"/>
        <w:tabs>
          <w:tab w:leader="none" w:pos="66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 date hereof and</w:t>
      </w:r>
      <w:r>
        <w:rPr>
          <w:rFonts w:ascii="Arial" w:cs="Arial" w:eastAsia="Arial" w:hAnsi="Arial"/>
          <w:sz w:val="18"/>
          <w:szCs w:val="18"/>
          <w:i w:val="1"/>
          <w:iCs w:val="1"/>
          <w:color w:val="auto"/>
        </w:rPr>
        <w:t xml:space="preserve"> </w:t>
      </w:r>
      <w:r>
        <w:rPr>
          <w:rFonts w:ascii="Arial" w:cs="Arial" w:eastAsia="Arial" w:hAnsi="Arial"/>
          <w:sz w:val="18"/>
          <w:szCs w:val="18"/>
          <w:color w:val="auto"/>
        </w:rPr>
        <w:t>on and as of the Closing Date; and the statements of the Company and its officers made in any certificates delivered pursuant to this Agreement shall be true and correct on and as of the Closing Date.</w:t>
      </w:r>
    </w:p>
    <w:p>
      <w:pPr>
        <w:spacing w:after="0" w:line="140" w:lineRule="exact"/>
        <w:rPr>
          <w:rFonts w:ascii="Arial" w:cs="Arial" w:eastAsia="Arial" w:hAnsi="Arial"/>
          <w:sz w:val="18"/>
          <w:szCs w:val="18"/>
          <w:color w:val="auto"/>
        </w:rPr>
      </w:pPr>
    </w:p>
    <w:p>
      <w:pPr>
        <w:ind w:left="-40" w:firstLine="464"/>
        <w:spacing w:after="0" w:line="25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No Downgrade. </w:t>
      </w:r>
      <w:r>
        <w:rPr>
          <w:rFonts w:ascii="Arial" w:cs="Arial" w:eastAsia="Arial" w:hAnsi="Arial"/>
          <w:sz w:val="18"/>
          <w:szCs w:val="18"/>
          <w:color w:val="auto"/>
        </w:rPr>
        <w:t>Subsequent to the earlier of (A) the Time of Sale and (B) the execution and delivery of this Agreement, (i) no downgrading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in the rating accorded the Securities or any other debt securities of or guaranteed by the Company or any of its subsidiaries by any “nationally recognized statistical rating organization”, as such term is defined by the Commission for purposes of Rule 436(g)(2) under the Securities Act and (ii) no such organization shall have publicly announced that it has under surveillance or review, or has changed its outlook with respect to, its rating of the Securities or of any other debt securities or preferred stock of or guaranteed by the Company or any of its subsidiaries (other than an announcement with positive implications of a possible upgrading).</w:t>
      </w:r>
    </w:p>
    <w:p>
      <w:pPr>
        <w:spacing w:after="0" w:line="144" w:lineRule="exact"/>
        <w:rPr>
          <w:rFonts w:ascii="Arial" w:cs="Arial" w:eastAsia="Arial" w:hAnsi="Arial"/>
          <w:sz w:val="18"/>
          <w:szCs w:val="18"/>
          <w:color w:val="auto"/>
        </w:rPr>
      </w:pPr>
    </w:p>
    <w:p>
      <w:pPr>
        <w:ind w:left="-40" w:right="220" w:firstLine="464"/>
        <w:spacing w:after="0" w:line="298" w:lineRule="auto"/>
        <w:tabs>
          <w:tab w:leader="none" w:pos="66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No event or condition of a type described in Section 3(g) hereof shall have occurred or shall exist, which event or</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is not described in the Time of Sale Information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terms and in the manner contemplated by this Agreement, the Time of Sale Information and the Prospectus.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80" w:top="280" w:right="259" w:bottom="1440" w:gutter="0" w:footer="0" w:header="0"/>
        </w:sectPr>
      </w:pPr>
    </w:p>
    <w:bookmarkStart w:id="20" w:name="page21"/>
    <w:bookmarkEnd w:id="20"/>
    <w:p>
      <w:pPr>
        <w:ind w:firstLine="464"/>
        <w:spacing w:after="0" w:line="291"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Officer’s Certificate. </w:t>
      </w:r>
      <w:r>
        <w:rPr>
          <w:rFonts w:ascii="Arial" w:cs="Arial" w:eastAsia="Arial" w:hAnsi="Arial"/>
          <w:sz w:val="16"/>
          <w:szCs w:val="16"/>
          <w:color w:val="auto"/>
        </w:rPr>
        <w:t>The Representatives shall have received on and as of the Closing Date a certificate of an executive officer of the Company who</w:t>
      </w:r>
      <w:r>
        <w:rPr>
          <w:rFonts w:ascii="Arial" w:cs="Arial" w:eastAsia="Arial" w:hAnsi="Arial"/>
          <w:sz w:val="16"/>
          <w:szCs w:val="16"/>
          <w:i w:val="1"/>
          <w:iCs w:val="1"/>
          <w:color w:val="auto"/>
        </w:rPr>
        <w:t xml:space="preserve"> </w:t>
      </w:r>
      <w:r>
        <w:rPr>
          <w:rFonts w:ascii="Arial" w:cs="Arial" w:eastAsia="Arial" w:hAnsi="Arial"/>
          <w:sz w:val="16"/>
          <w:szCs w:val="16"/>
          <w:color w:val="auto"/>
        </w:rPr>
        <w:t>has specific knowledge of the Company’s financial matters and is satisfactory to the Representatives (i) confirming that such officer has carefully reviewed the Registration Statement, the Time of Sale Information and the Prospectus and, to the knowledge of such officer, the representations set forth in Sections 3(a) and 3(c)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(c) and (d) above.</w:t>
      </w:r>
    </w:p>
    <w:p>
      <w:pPr>
        <w:spacing w:after="0" w:line="120" w:lineRule="exact"/>
        <w:rPr>
          <w:rFonts w:ascii="Arial" w:cs="Arial" w:eastAsia="Arial" w:hAnsi="Arial"/>
          <w:sz w:val="16"/>
          <w:szCs w:val="16"/>
          <w:color w:val="auto"/>
        </w:rPr>
      </w:pPr>
    </w:p>
    <w:p>
      <w:pPr>
        <w:ind w:right="100" w:firstLine="464"/>
        <w:spacing w:after="0" w:line="254" w:lineRule="auto"/>
        <w:tabs>
          <w:tab w:leader="none" w:pos="67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Comfort Letters. </w:t>
      </w:r>
      <w:r>
        <w:rPr>
          <w:rFonts w:ascii="Arial" w:cs="Arial" w:eastAsia="Arial" w:hAnsi="Arial"/>
          <w:sz w:val="18"/>
          <w:szCs w:val="18"/>
          <w:color w:val="auto"/>
        </w:rPr>
        <w:t>On the date of this Agreement and on the Closing Date, PricewaterhouseCoopers, LLP shall have furnished to the Representatives,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the Registration Statement, the Time of Sale Information and the Prospectus;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letter delivered on the Closing Date shall use a “cut-off” date no more than three business days prior to the Closing Date.</w:t>
      </w:r>
    </w:p>
    <w:p>
      <w:pPr>
        <w:spacing w:after="0" w:line="144" w:lineRule="exact"/>
        <w:rPr>
          <w:rFonts w:ascii="Arial" w:cs="Arial" w:eastAsia="Arial" w:hAnsi="Arial"/>
          <w:sz w:val="18"/>
          <w:szCs w:val="18"/>
          <w:color w:val="auto"/>
        </w:rPr>
      </w:pPr>
    </w:p>
    <w:p>
      <w:pPr>
        <w:ind w:right="20" w:firstLine="464"/>
        <w:spacing w:after="0" w:line="256"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w:t>
      </w:r>
      <w:r>
        <w:rPr>
          <w:rFonts w:ascii="Arial" w:cs="Arial" w:eastAsia="Arial" w:hAnsi="Arial"/>
          <w:sz w:val="18"/>
          <w:szCs w:val="18"/>
          <w:color w:val="auto"/>
        </w:rPr>
        <w:t>Each of Cravath, Swaine &amp; Moore LLP, counsel for the Company, and Veronica Dillon,</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General Counsel and Corporate Secretary of the Company, shall have furnished to the Representatives, at the request of the Company, their written opinion and, in the case of Cravath, Swaine &amp; Moore LLP, their 10b-5 Statement, in each case dated the Closing Date and addressed to the Underwriters, in form and substance reasonably satisfactory to the Representatives.</w:t>
      </w:r>
    </w:p>
    <w:p>
      <w:pPr>
        <w:spacing w:after="0" w:line="143" w:lineRule="exact"/>
        <w:rPr>
          <w:rFonts w:ascii="Arial" w:cs="Arial" w:eastAsia="Arial" w:hAnsi="Arial"/>
          <w:sz w:val="18"/>
          <w:szCs w:val="18"/>
          <w:color w:val="auto"/>
        </w:rPr>
      </w:pPr>
    </w:p>
    <w:p>
      <w:pPr>
        <w:jc w:val="both"/>
        <w:ind w:right="180" w:firstLine="464"/>
        <w:spacing w:after="0" w:line="306"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an opinion and</w:t>
      </w:r>
      <w:r>
        <w:rPr>
          <w:rFonts w:ascii="Arial" w:cs="Arial" w:eastAsia="Arial" w:hAnsi="Arial"/>
          <w:sz w:val="16"/>
          <w:szCs w:val="16"/>
          <w:i w:val="1"/>
          <w:iCs w:val="1"/>
          <w:color w:val="auto"/>
        </w:rPr>
        <w:t xml:space="preserve"> </w:t>
      </w:r>
      <w:r>
        <w:rPr>
          <w:rFonts w:ascii="Arial" w:cs="Arial" w:eastAsia="Arial" w:hAnsi="Arial"/>
          <w:sz w:val="16"/>
          <w:szCs w:val="16"/>
          <w:color w:val="auto"/>
        </w:rPr>
        <w:t>10b-5 Statement of Davis Polk &amp; Wardwell,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06" w:lineRule="exact"/>
        <w:rPr>
          <w:rFonts w:ascii="Arial" w:cs="Arial" w:eastAsia="Arial" w:hAnsi="Arial"/>
          <w:sz w:val="16"/>
          <w:szCs w:val="16"/>
          <w:color w:val="auto"/>
        </w:rPr>
      </w:pPr>
    </w:p>
    <w:p>
      <w:pPr>
        <w:ind w:right="40" w:firstLine="464"/>
        <w:spacing w:after="0" w:line="306" w:lineRule="auto"/>
        <w:tabs>
          <w:tab w:leader="none" w:pos="666"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No Legal Impediment to Issuance. </w:t>
      </w:r>
      <w:r>
        <w:rPr>
          <w:rFonts w:ascii="Arial" w:cs="Arial" w:eastAsia="Arial" w:hAnsi="Arial"/>
          <w:sz w:val="16"/>
          <w:szCs w:val="16"/>
          <w:color w:val="auto"/>
        </w:rPr>
        <w:t>No action shall have been taken and no statute, rule, regulation or order shall have been enacted, adopted or issued by</w:t>
      </w:r>
      <w:r>
        <w:rPr>
          <w:rFonts w:ascii="Arial" w:cs="Arial" w:eastAsia="Arial" w:hAnsi="Arial"/>
          <w:sz w:val="16"/>
          <w:szCs w:val="16"/>
          <w:i w:val="1"/>
          <w:iCs w:val="1"/>
          <w:color w:val="auto"/>
        </w:rPr>
        <w:t xml:space="preserve"> </w:t>
      </w:r>
      <w:r>
        <w:rPr>
          <w:rFonts w:ascii="Arial" w:cs="Arial" w:eastAsia="Arial" w:hAnsi="Arial"/>
          <w:sz w:val="16"/>
          <w:szCs w:val="16"/>
          <w:color w:val="auto"/>
        </w:rPr>
        <w:t>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jc w:val="both"/>
        <w:ind w:right="80" w:firstLine="464"/>
        <w:spacing w:after="0" w:line="306" w:lineRule="auto"/>
        <w:tabs>
          <w:tab w:leader="none" w:pos="66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 Standing</w:t>
      </w:r>
      <w:r>
        <w:rPr>
          <w:rFonts w:ascii="Arial" w:cs="Arial" w:eastAsia="Arial" w:hAnsi="Arial"/>
          <w:sz w:val="16"/>
          <w:szCs w:val="16"/>
          <w:color w:val="auto"/>
        </w:rPr>
        <w:t>. The Representatives shall have received on and as of the Closing Date satisfactory evidence of the good standing of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its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106" w:lineRule="exact"/>
        <w:rPr>
          <w:rFonts w:ascii="Arial" w:cs="Arial" w:eastAsia="Arial" w:hAnsi="Arial"/>
          <w:sz w:val="16"/>
          <w:szCs w:val="16"/>
          <w:color w:val="auto"/>
        </w:rPr>
      </w:pPr>
    </w:p>
    <w:p>
      <w:pPr>
        <w:ind w:right="700" w:firstLine="464"/>
        <w:spacing w:after="0" w:line="268"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the Company shall have furnished to the Representatives such further certificates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as the Representatives may reasonably request.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32"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86"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agrees to indemnify and hold harmless each Underwriter, its affiliates, directors and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any Preliminary Prospectus (or any amendment or supplement thereto) or in the Prospectus (or any amendment or supplement thereto), any Issuer Free Writing Prospectus or any Time of Sale Information,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w:t>
      </w:r>
    </w:p>
    <w:p>
      <w:pPr>
        <w:spacing w:after="0" w:line="124" w:lineRule="exact"/>
        <w:rPr>
          <w:rFonts w:ascii="Arial" w:cs="Arial" w:eastAsia="Arial" w:hAnsi="Arial"/>
          <w:sz w:val="16"/>
          <w:szCs w:val="16"/>
          <w:color w:val="auto"/>
        </w:rPr>
      </w:pPr>
    </w:p>
    <w:p>
      <w:pPr>
        <w:jc w:val="both"/>
        <w:ind w:right="320" w:firstLine="464"/>
        <w:spacing w:after="0" w:line="256"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the Company. </w:t>
      </w:r>
      <w:r>
        <w:rPr>
          <w:rFonts w:ascii="Arial" w:cs="Arial" w:eastAsia="Arial" w:hAnsi="Arial"/>
          <w:sz w:val="18"/>
          <w:szCs w:val="18"/>
          <w:color w:val="auto"/>
        </w:rPr>
        <w:t>Each Underwriter agrees, severally and not jointly, to indemnify and hold harmless the Company, its directors, its</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22" w:name="page23"/>
    <w:bookmarkEnd w:id="22"/>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third and eighth paragraphs under the caption “Underwriting” in the Prospectus Supplement.</w:t>
      </w:r>
    </w:p>
    <w:p>
      <w:pPr>
        <w:spacing w:after="0" w:line="113" w:lineRule="exact"/>
        <w:rPr>
          <w:sz w:val="20"/>
          <w:szCs w:val="20"/>
          <w:color w:val="auto"/>
        </w:rPr>
      </w:pPr>
    </w:p>
    <w:p>
      <w:pPr>
        <w:ind w:firstLine="464"/>
        <w:spacing w:after="0" w:line="284"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 brought or</w:t>
      </w:r>
      <w:r>
        <w:rPr>
          <w:rFonts w:ascii="Arial" w:cs="Arial" w:eastAsia="Arial" w:hAnsi="Arial"/>
          <w:sz w:val="16"/>
          <w:szCs w:val="16"/>
          <w:i w:val="1"/>
          <w:iCs w:val="1"/>
          <w:color w:val="auto"/>
        </w:rPr>
        <w:t xml:space="preserve"> </w:t>
      </w:r>
      <w:r>
        <w:rPr>
          <w:rFonts w:ascii="Arial" w:cs="Arial" w:eastAsia="Arial" w:hAnsi="Arial"/>
          <w:sz w:val="16"/>
          <w:szCs w:val="16"/>
          <w:color w:val="auto"/>
        </w:rPr>
        <w:t>asserted against any person in respect of which indemnification may be sought pursuant to either paragraph (a) or (b) above, such person (the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Person</w:t>
      </w:r>
      <w:r>
        <w:rPr>
          <w:rFonts w:ascii="Arial" w:cs="Arial" w:eastAsia="Arial" w:hAnsi="Arial"/>
          <w:sz w:val="16"/>
          <w:szCs w:val="16"/>
          <w:color w:val="auto"/>
        </w:rPr>
        <w:t>”) shall promptly notify the person against whom such indemnification may be sought (the “</w:t>
      </w:r>
      <w:r>
        <w:rPr>
          <w:rFonts w:ascii="Arial" w:cs="Arial" w:eastAsia="Arial" w:hAnsi="Arial"/>
          <w:sz w:val="16"/>
          <w:szCs w:val="16"/>
          <w:b w:val="1"/>
          <w:bCs w:val="1"/>
          <w:color w:val="auto"/>
        </w:rPr>
        <w:t>Indemnifying Person</w:t>
      </w:r>
      <w:r>
        <w:rPr>
          <w:rFonts w:ascii="Arial" w:cs="Arial" w:eastAsia="Arial" w:hAnsi="Arial"/>
          <w:sz w:val="16"/>
          <w:szCs w:val="16"/>
          <w:color w:val="auto"/>
        </w:rPr>
        <w:t>”) in writing;</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failure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notify the Indemnifying Person shall not relieve it from any liability that it may have under this Section 7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fees and expenses of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3" w:name="page24"/>
    <w:bookmarkEnd w:id="23"/>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18" w:lineRule="exact"/>
        <w:rPr>
          <w:sz w:val="20"/>
          <w:szCs w:val="20"/>
          <w:color w:val="auto"/>
        </w:rPr>
      </w:pPr>
    </w:p>
    <w:p>
      <w:pPr>
        <w:ind w:firstLine="464"/>
        <w:spacing w:after="0" w:line="286"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and (b) above is unavailable to an Indemnified Person or insufficient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20"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Liability. </w:t>
      </w:r>
      <w:r>
        <w:rPr>
          <w:rFonts w:ascii="Arial" w:cs="Arial" w:eastAsia="Arial" w:hAnsi="Arial"/>
          <w:sz w:val="18"/>
          <w:szCs w:val="18"/>
          <w:color w:val="auto"/>
        </w:rPr>
        <w:t>The Company and the Underwriters agree that it would not be just and equitable if contribution pursuant to this Section 7 were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determined by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4" w:name="page25"/>
    <w:bookmarkEnd w:id="2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18" w:lineRule="exact"/>
        <w:rPr>
          <w:sz w:val="20"/>
          <w:szCs w:val="20"/>
          <w:color w:val="auto"/>
        </w:rPr>
      </w:pPr>
    </w:p>
    <w:p>
      <w:pPr>
        <w:ind w:right="160" w:firstLine="464"/>
        <w:spacing w:after="0" w:line="268" w:lineRule="auto"/>
        <w:tabs>
          <w:tab w:leader="none" w:pos="676"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are not exclusive and shall not limit any rights or remedies which may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be available to any Indemnified Person at law or in equity.</w:t>
      </w:r>
    </w:p>
    <w:p>
      <w:pPr>
        <w:spacing w:after="0" w:line="132" w:lineRule="exact"/>
        <w:rPr>
          <w:sz w:val="20"/>
          <w:szCs w:val="20"/>
          <w:color w:val="auto"/>
        </w:rPr>
      </w:pPr>
    </w:p>
    <w:p>
      <w:pPr>
        <w:ind w:right="40" w:firstLine="464"/>
        <w:spacing w:after="0" w:line="290"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prior to the Closing Date (i) trading generally shall have been suspended or materially limited on the New York Stock Exchange or the over-the-counter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xml:space="preserve">. This Agreement shall become effective upon the execution </w:t>
      </w:r>
      <w:r>
        <w:rPr>
          <w:rFonts w:ascii="Arial" w:cs="Arial" w:eastAsia="Arial" w:hAnsi="Arial"/>
          <w:sz w:val="18"/>
          <w:szCs w:val="18"/>
          <w:i w:val="1"/>
          <w:iCs w:val="1"/>
          <w:color w:val="auto"/>
        </w:rPr>
        <w:t>and</w:t>
      </w:r>
      <w:r>
        <w:rPr>
          <w:rFonts w:ascii="Arial" w:cs="Arial" w:eastAsia="Arial" w:hAnsi="Arial"/>
          <w:sz w:val="18"/>
          <w:szCs w:val="18"/>
          <w:color w:val="auto"/>
        </w:rPr>
        <w:t xml:space="preserve"> delivery hereof by the parties hereto.</w:t>
      </w:r>
    </w:p>
    <w:p>
      <w:pPr>
        <w:spacing w:after="0" w:line="171" w:lineRule="exact"/>
        <w:rPr>
          <w:rFonts w:ascii="Arial" w:cs="Arial" w:eastAsia="Arial" w:hAnsi="Arial"/>
          <w:sz w:val="18"/>
          <w:szCs w:val="18"/>
          <w:color w:val="auto"/>
        </w:rPr>
      </w:pPr>
    </w:p>
    <w:p>
      <w:pPr>
        <w:ind w:firstLine="464"/>
        <w:spacing w:after="0" w:line="254"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 (a) 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 w:name="page26"/>
    <w:bookmarkEnd w:id="2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this Agreement that, pursuant to this Section 10, purchases Securities that a defaulting Underwriter agreed but failed to purchase.</w:t>
      </w:r>
    </w:p>
    <w:p>
      <w:pPr>
        <w:spacing w:after="0" w:line="116" w:lineRule="exact"/>
        <w:rPr>
          <w:sz w:val="20"/>
          <w:szCs w:val="20"/>
          <w:color w:val="auto"/>
        </w:rPr>
      </w:pPr>
    </w:p>
    <w:p>
      <w:pPr>
        <w:ind w:right="20" w:firstLine="464"/>
        <w:spacing w:after="0" w:line="254"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(based on the principal amount of Securities that such Underwriter agreed to purchase hereunder) of the Securities of such defaulting Underwriter or Underwriters for which such arrangements have not been made.</w:t>
      </w:r>
    </w:p>
    <w:p>
      <w:pPr>
        <w:spacing w:after="0" w:line="144" w:lineRule="exact"/>
        <w:rPr>
          <w:rFonts w:ascii="Arial" w:cs="Arial" w:eastAsia="Arial" w:hAnsi="Arial"/>
          <w:sz w:val="18"/>
          <w:szCs w:val="18"/>
          <w:color w:val="auto"/>
        </w:rPr>
      </w:pPr>
    </w:p>
    <w:p>
      <w:pPr>
        <w:ind w:right="40" w:firstLine="464"/>
        <w:spacing w:after="0" w:line="291"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20" w:lineRule="exact"/>
        <w:rPr>
          <w:rFonts w:ascii="Arial" w:cs="Arial" w:eastAsia="Arial" w:hAnsi="Arial"/>
          <w:sz w:val="16"/>
          <w:szCs w:val="16"/>
          <w:color w:val="auto"/>
        </w:rPr>
      </w:pPr>
    </w:p>
    <w:p>
      <w:pPr>
        <w:ind w:right="420" w:firstLine="464"/>
        <w:spacing w:after="0" w:line="268"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32" w:lineRule="exact"/>
        <w:rPr>
          <w:sz w:val="20"/>
          <w:szCs w:val="20"/>
          <w:color w:val="auto"/>
        </w:rPr>
      </w:pPr>
    </w:p>
    <w:p>
      <w:pPr>
        <w:jc w:val="both"/>
        <w:ind w:right="40" w:firstLine="464"/>
        <w:spacing w:after="0" w:line="303" w:lineRule="auto"/>
        <w:tabs>
          <w:tab w:leader="none" w:pos="713" w:val="left"/>
        </w:tabs>
        <w:numPr>
          <w:ilvl w:val="1"/>
          <w:numId w:val="38"/>
        </w:numPr>
        <w:rPr>
          <w:rFonts w:ascii="Arial" w:cs="Arial" w:eastAsia="Arial" w:hAnsi="Arial"/>
          <w:sz w:val="15"/>
          <w:szCs w:val="15"/>
          <w:color w:val="auto"/>
        </w:rPr>
      </w:pPr>
      <w:r>
        <w:rPr>
          <w:rFonts w:ascii="Arial" w:cs="Arial" w:eastAsia="Arial" w:hAnsi="Arial"/>
          <w:sz w:val="15"/>
          <w:szCs w:val="15"/>
          <w:u w:val="single" w:color="auto"/>
          <w:color w:val="auto"/>
        </w:rPr>
        <w:t>Payment of Expenses</w:t>
      </w:r>
      <w:r>
        <w:rPr>
          <w:rFonts w:ascii="Arial" w:cs="Arial" w:eastAsia="Arial" w:hAnsi="Arial"/>
          <w:sz w:val="15"/>
          <w:szCs w:val="15"/>
          <w:color w:val="auto"/>
        </w:rPr>
        <w:t>. (a) Unless the parties shall otherwise agree,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w:t>
      </w:r>
    </w:p>
    <w:p>
      <w:pPr>
        <w:spacing w:after="0" w:line="1" w:lineRule="exact"/>
        <w:rPr>
          <w:rFonts w:ascii="Arial" w:cs="Arial" w:eastAsia="Arial" w:hAnsi="Arial"/>
          <w:sz w:val="15"/>
          <w:szCs w:val="15"/>
          <w:color w:val="auto"/>
        </w:rPr>
      </w:pPr>
    </w:p>
    <w:p>
      <w:pPr>
        <w:ind w:right="320" w:firstLine="8"/>
        <w:spacing w:after="0" w:line="261" w:lineRule="auto"/>
        <w:tabs>
          <w:tab w:leader="none" w:pos="2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incident to the preparation, printing and filing under the Securities Act of the Registration Statement, the Preliminary Prospectus, any Issuer Free Writing Prospectus, any Time of Sale Information and the Prospectus (including all exhibits, amendments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6" w:name="page27"/>
    <w:bookmarkEnd w:id="26"/>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and (ix) all expenses incurred by the Company in connection with any “road show” presentation to potential investors.</w:t>
      </w:r>
    </w:p>
    <w:p>
      <w:pPr>
        <w:spacing w:after="0" w:line="118" w:lineRule="exact"/>
        <w:rPr>
          <w:sz w:val="20"/>
          <w:szCs w:val="20"/>
          <w:color w:val="auto"/>
        </w:rPr>
      </w:pPr>
    </w:p>
    <w:p>
      <w:pPr>
        <w:ind w:right="80" w:firstLine="464"/>
        <w:spacing w:after="0" w:line="256"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(i) this Agreement is terminated pursuant to Section 8, (ii) the Company for any reason fails to tender the Securities for delivery to the Underwriters or (iii) the Underwriters decline to purchase the Securities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w:t>
      </w:r>
    </w:p>
    <w:p>
      <w:pPr>
        <w:spacing w:after="0" w:line="143" w:lineRule="exact"/>
        <w:rPr>
          <w:sz w:val="20"/>
          <w:szCs w:val="20"/>
          <w:color w:val="auto"/>
        </w:rPr>
      </w:pPr>
    </w:p>
    <w:p>
      <w:pPr>
        <w:jc w:val="both"/>
        <w:ind w:right="420" w:firstLine="464"/>
        <w:spacing w:after="0" w:line="255"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42" w:lineRule="exact"/>
        <w:rPr>
          <w:rFonts w:ascii="Arial" w:cs="Arial" w:eastAsia="Arial" w:hAnsi="Arial"/>
          <w:sz w:val="18"/>
          <w:szCs w:val="18"/>
          <w:color w:val="auto"/>
        </w:rPr>
      </w:pPr>
    </w:p>
    <w:p>
      <w:pPr>
        <w:ind w:firstLine="464"/>
        <w:spacing w:after="0" w:line="25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37" w:lineRule="exact"/>
        <w:rPr>
          <w:rFonts w:ascii="Arial" w:cs="Arial" w:eastAsia="Arial" w:hAnsi="Arial"/>
          <w:sz w:val="18"/>
          <w:szCs w:val="18"/>
          <w:color w:val="auto"/>
        </w:rPr>
      </w:pPr>
    </w:p>
    <w:p>
      <w:pPr>
        <w:jc w:val="both"/>
        <w:ind w:right="160" w:firstLine="464"/>
        <w:spacing w:after="0" w:line="258"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Agreement, (a) except where otherwise expressly provided, the term “</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405 under the Securities Act; (b) the term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day on which banks are permitted or required to be closed in New York City; (c) the term “</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set forth in Rule 405 under the Securities Act; and (d) the term “</w:t>
      </w:r>
      <w:r>
        <w:rPr>
          <w:rFonts w:ascii="Arial" w:cs="Arial" w:eastAsia="Arial" w:hAnsi="Arial"/>
          <w:sz w:val="18"/>
          <w:szCs w:val="18"/>
          <w:b w:val="1"/>
          <w:bCs w:val="1"/>
          <w:color w:val="auto"/>
        </w:rPr>
        <w:t>significant subsidiary”</w:t>
      </w:r>
      <w:r>
        <w:rPr>
          <w:rFonts w:ascii="Arial" w:cs="Arial" w:eastAsia="Arial" w:hAnsi="Arial"/>
          <w:sz w:val="18"/>
          <w:szCs w:val="18"/>
          <w:color w:val="auto"/>
        </w:rPr>
        <w:t xml:space="preserve"> has the meaning set forth in Rule 1-02 of Regulation S-X under the Exchange Act.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 w:name="page28"/>
    <w:bookmarkEnd w:id="27"/>
    <w:p>
      <w:pPr>
        <w:ind w:left="-40" w:right="260" w:firstLine="464"/>
        <w:spacing w:after="0" w:line="268"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color w:val="auto"/>
        </w:rPr>
        <w:t xml:space="preserve">. (a) </w:t>
      </w:r>
      <w:r>
        <w:rPr>
          <w:rFonts w:ascii="Arial" w:cs="Arial" w:eastAsia="Arial" w:hAnsi="Arial"/>
          <w:sz w:val="18"/>
          <w:szCs w:val="18"/>
          <w:i w:val="1"/>
          <w:iCs w:val="1"/>
          <w:color w:val="auto"/>
        </w:rPr>
        <w:t>Authority of the Representatives.</w:t>
      </w:r>
      <w:r>
        <w:rPr>
          <w:rFonts w:ascii="Arial" w:cs="Arial" w:eastAsia="Arial" w:hAnsi="Arial"/>
          <w:sz w:val="18"/>
          <w:szCs w:val="18"/>
          <w:color w:val="auto"/>
        </w:rPr>
        <w:t xml:space="preserve"> Any action by the Underwriters hereunder may be taken by the Representatives on behalf of the Underwriters, and any such action taken by the Representatives shall be binding upon the Underwriters.</w:t>
      </w:r>
    </w:p>
    <w:p>
      <w:pPr>
        <w:spacing w:after="0" w:line="132" w:lineRule="exact"/>
        <w:rPr>
          <w:sz w:val="20"/>
          <w:szCs w:val="20"/>
          <w:color w:val="auto"/>
        </w:rPr>
      </w:pPr>
    </w:p>
    <w:p>
      <w:pPr>
        <w:ind w:left="-40" w:firstLine="464"/>
        <w:spacing w:after="0" w:line="298" w:lineRule="auto"/>
        <w:tabs>
          <w:tab w:leader="none" w:pos="665"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and other communications hereunder shall be in writing and shall be deemed to have been duly given if mailed or transmitted and</w:t>
      </w:r>
      <w:r>
        <w:rPr>
          <w:rFonts w:ascii="Arial" w:cs="Arial" w:eastAsia="Arial" w:hAnsi="Arial"/>
          <w:sz w:val="16"/>
          <w:szCs w:val="16"/>
          <w:i w:val="1"/>
          <w:iCs w:val="1"/>
          <w:color w:val="auto"/>
        </w:rPr>
        <w:t xml:space="preserve"> </w:t>
      </w:r>
      <w:r>
        <w:rPr>
          <w:rFonts w:ascii="Arial" w:cs="Arial" w:eastAsia="Arial" w:hAnsi="Arial"/>
          <w:sz w:val="16"/>
          <w:szCs w:val="16"/>
          <w:color w:val="auto"/>
        </w:rPr>
        <w:t>confirmed by any standard form of telecommunication. Notices to the Underwriters shall be given to the Representatives c/o J.P. Morgan Securities Inc., 270 Park Avenue, New York, New York 10017 (fax: 212-834-6081); Attention: Investment Grade Syndicate Desk. Notices to the Company shall be given to it at The Washington Post Company, 1150 15th St., N.W., Washington, D.C. 20071, (fax: 202-334-6664); Attention: Veronica Dillon, General Counsel.</w:t>
      </w:r>
    </w:p>
    <w:p>
      <w:pPr>
        <w:spacing w:after="0" w:line="112" w:lineRule="exact"/>
        <w:rPr>
          <w:rFonts w:ascii="Arial" w:cs="Arial" w:eastAsia="Arial" w:hAnsi="Arial"/>
          <w:sz w:val="16"/>
          <w:szCs w:val="16"/>
          <w:color w:val="auto"/>
        </w:rPr>
      </w:pPr>
    </w:p>
    <w:p>
      <w:pPr>
        <w:ind w:left="-40" w:right="40" w:firstLine="464"/>
        <w:spacing w:after="0" w:line="268"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in accordance with the laws of the State of New York, without regard to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of conflicts of laws.</w:t>
      </w:r>
    </w:p>
    <w:p>
      <w:pPr>
        <w:spacing w:after="0" w:line="131" w:lineRule="exact"/>
        <w:rPr>
          <w:rFonts w:ascii="Arial" w:cs="Arial" w:eastAsia="Arial" w:hAnsi="Arial"/>
          <w:sz w:val="18"/>
          <w:szCs w:val="18"/>
          <w:color w:val="auto"/>
        </w:rPr>
      </w:pPr>
    </w:p>
    <w:p>
      <w:pPr>
        <w:ind w:left="-40" w:right="40" w:firstLine="464"/>
        <w:spacing w:after="0" w:line="268" w:lineRule="auto"/>
        <w:tabs>
          <w:tab w:leader="none" w:pos="66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 shall in</w:t>
      </w:r>
      <w:r>
        <w:rPr>
          <w:rFonts w:ascii="Arial" w:cs="Arial" w:eastAsia="Arial" w:hAnsi="Arial"/>
          <w:sz w:val="18"/>
          <w:szCs w:val="18"/>
          <w:i w:val="1"/>
          <w:iCs w:val="1"/>
          <w:color w:val="auto"/>
        </w:rPr>
        <w:t xml:space="preserve"> </w:t>
      </w:r>
      <w:r>
        <w:rPr>
          <w:rFonts w:ascii="Arial" w:cs="Arial" w:eastAsia="Arial" w:hAnsi="Arial"/>
          <w:sz w:val="18"/>
          <w:szCs w:val="18"/>
          <w:color w:val="auto"/>
        </w:rPr>
        <w:t>any event be effective unless the same shall be in writing and signed by the parties hereto.</w:t>
      </w:r>
    </w:p>
    <w:p>
      <w:pPr>
        <w:spacing w:after="0" w:line="131" w:lineRule="exact"/>
        <w:rPr>
          <w:rFonts w:ascii="Arial" w:cs="Arial" w:eastAsia="Arial" w:hAnsi="Arial"/>
          <w:sz w:val="18"/>
          <w:szCs w:val="18"/>
          <w:color w:val="auto"/>
        </w:rPr>
      </w:pPr>
    </w:p>
    <w:p>
      <w:pPr>
        <w:ind w:left="-40" w:right="880" w:firstLine="464"/>
        <w:spacing w:after="0" w:line="268"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8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Hal J. Jones</w:t>
            </w: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Senior Vice President Finance &amp; CFO</w:t>
            </w: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Accepted: January 30,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themselves and on behalf of the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Schedule 1 hereto.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Robert Bottamedi</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280"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Schedule 1</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1"/>
        </w:trPr>
        <w:tc>
          <w:tcPr>
            <w:tcW w:w="1040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Wachovia Capital Markets, LLC</w:t>
            </w:r>
          </w:p>
        </w:tc>
        <w:tc>
          <w:tcPr>
            <w:tcW w:w="1020" w:type="dxa"/>
            <w:vAlign w:val="bottom"/>
          </w:tcPr>
          <w:p>
            <w:pPr>
              <w:jc w:val="right"/>
              <w:spacing w:after="0"/>
              <w:rPr>
                <w:sz w:val="20"/>
                <w:szCs w:val="20"/>
                <w:color w:val="auto"/>
              </w:rPr>
            </w:pPr>
            <w:r>
              <w:rPr>
                <w:rFonts w:ascii="Arial" w:cs="Arial" w:eastAsia="Arial" w:hAnsi="Arial"/>
                <w:sz w:val="18"/>
                <w:szCs w:val="18"/>
                <w:color w:val="auto"/>
              </w:rPr>
              <w:t>31,400,000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1020" w:type="dxa"/>
            <w:vAlign w:val="bottom"/>
          </w:tcPr>
          <w:p>
            <w:pPr>
              <w:jc w:val="right"/>
              <w:spacing w:after="0"/>
              <w:rPr>
                <w:sz w:val="20"/>
                <w:szCs w:val="20"/>
                <w:color w:val="auto"/>
              </w:rPr>
            </w:pPr>
            <w:r>
              <w:rPr>
                <w:rFonts w:ascii="Arial" w:cs="Arial" w:eastAsia="Arial" w:hAnsi="Arial"/>
                <w:sz w:val="18"/>
                <w:szCs w:val="18"/>
                <w:color w:val="auto"/>
              </w:rPr>
              <w:t>9,760,000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20" w:type="dxa"/>
            <w:vAlign w:val="bottom"/>
          </w:tcPr>
          <w:p>
            <w:pPr>
              <w:jc w:val="right"/>
              <w:ind w:right="132"/>
              <w:spacing w:after="0"/>
              <w:rPr>
                <w:sz w:val="20"/>
                <w:szCs w:val="20"/>
                <w:color w:val="auto"/>
              </w:rPr>
            </w:pPr>
            <w:r>
              <w:rPr>
                <w:rFonts w:ascii="Arial" w:cs="Arial" w:eastAsia="Arial" w:hAnsi="Arial"/>
                <w:sz w:val="18"/>
                <w:szCs w:val="18"/>
                <w:color w:val="auto"/>
              </w:rPr>
              <w:t>Total</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$ 400,000,000</w:t>
            </w:r>
          </w:p>
        </w:tc>
        <w:tc>
          <w:tcPr>
            <w:tcW w:w="0" w:type="dxa"/>
            <w:vAlign w:val="bottom"/>
          </w:tcPr>
          <w:p>
            <w:pPr>
              <w:spacing w:after="0"/>
              <w:rPr>
                <w:sz w:val="1"/>
                <w:szCs w:val="1"/>
                <w:color w:val="auto"/>
              </w:rPr>
            </w:pPr>
          </w:p>
        </w:tc>
      </w:tr>
      <w:tr>
        <w:trPr>
          <w:trHeight w:val="365"/>
        </w:trPr>
        <w:tc>
          <w:tcPr>
            <w:tcW w:w="10400" w:type="dxa"/>
            <w:vAlign w:val="bottom"/>
            <w:gridSpan w:val="3"/>
          </w:tcPr>
          <w:p>
            <w:pPr>
              <w:jc w:val="right"/>
              <w:ind w:right="4512"/>
              <w:spacing w:after="0"/>
              <w:rPr>
                <w:sz w:val="20"/>
                <w:szCs w:val="20"/>
                <w:color w:val="auto"/>
              </w:rPr>
            </w:pPr>
            <w:r>
              <w:rPr>
                <w:rFonts w:ascii="Arial" w:cs="Arial" w:eastAsia="Arial" w:hAnsi="Arial"/>
                <w:sz w:val="18"/>
                <w:szCs w:val="18"/>
                <w:color w:val="auto"/>
              </w:rPr>
              <w:t>27</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Time of Sale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Pricing Term Sheet substantially in the form of Schedule 3 hereto</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700" w:top="27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60" w:type="dxa"/>
            <w:vAlign w:val="bottom"/>
          </w:tcPr>
          <w:p>
            <w:pPr>
              <w:spacing w:after="0"/>
              <w:rPr>
                <w:sz w:val="19"/>
                <w:szCs w:val="19"/>
                <w:color w:val="auto"/>
              </w:rPr>
            </w:pPr>
          </w:p>
        </w:tc>
        <w:tc>
          <w:tcPr>
            <w:tcW w:w="6700" w:type="dxa"/>
            <w:vAlign w:val="bottom"/>
            <w:gridSpan w:val="3"/>
          </w:tcPr>
          <w:p>
            <w:pPr>
              <w:jc w:val="center"/>
              <w:ind w:right="1200"/>
              <w:spacing w:after="0"/>
              <w:rPr>
                <w:sz w:val="20"/>
                <w:szCs w:val="20"/>
                <w:color w:val="auto"/>
              </w:rPr>
            </w:pPr>
            <w:r>
              <w:rPr>
                <w:rFonts w:ascii="Arial" w:cs="Arial" w:eastAsia="Arial" w:hAnsi="Arial"/>
                <w:sz w:val="18"/>
                <w:szCs w:val="18"/>
                <w:color w:val="auto"/>
                <w:w w:val="93"/>
              </w:rPr>
              <w:t>THE WASHINGTON POST COMPANY</w:t>
            </w:r>
          </w:p>
        </w:tc>
      </w:tr>
      <w:tr>
        <w:trPr>
          <w:trHeight w:val="340"/>
        </w:trPr>
        <w:tc>
          <w:tcPr>
            <w:tcW w:w="2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Pricing Term Sheet</w:t>
            </w:r>
          </w:p>
        </w:tc>
        <w:tc>
          <w:tcPr>
            <w:tcW w:w="3260" w:type="dxa"/>
            <w:vAlign w:val="bottom"/>
          </w:tcPr>
          <w:p>
            <w:pPr>
              <w:spacing w:after="0"/>
              <w:rPr>
                <w:sz w:val="24"/>
                <w:szCs w:val="24"/>
                <w:color w:val="auto"/>
              </w:rPr>
            </w:pPr>
          </w:p>
        </w:tc>
      </w:tr>
      <w:tr>
        <w:trPr>
          <w:trHeight w:val="397"/>
        </w:trPr>
        <w:tc>
          <w:tcPr>
            <w:tcW w:w="2960" w:type="dxa"/>
            <w:vAlign w:val="bottom"/>
          </w:tcPr>
          <w:p>
            <w:pPr>
              <w:spacing w:after="0"/>
              <w:rPr>
                <w:sz w:val="24"/>
                <w:szCs w:val="24"/>
                <w:color w:val="auto"/>
              </w:rPr>
            </w:pPr>
          </w:p>
        </w:tc>
        <w:tc>
          <w:tcPr>
            <w:tcW w:w="6700" w:type="dxa"/>
            <w:vAlign w:val="bottom"/>
            <w:gridSpan w:val="3"/>
          </w:tcPr>
          <w:p>
            <w:pPr>
              <w:jc w:val="center"/>
              <w:ind w:right="1200"/>
              <w:spacing w:after="0"/>
              <w:rPr>
                <w:sz w:val="20"/>
                <w:szCs w:val="20"/>
                <w:color w:val="auto"/>
              </w:rPr>
            </w:pPr>
            <w:r>
              <w:rPr>
                <w:rFonts w:ascii="Arial" w:cs="Arial" w:eastAsia="Arial" w:hAnsi="Arial"/>
                <w:sz w:val="18"/>
                <w:szCs w:val="18"/>
                <w:color w:val="auto"/>
                <w:w w:val="87"/>
              </w:rPr>
              <w:t>7.250% Notes due February 1, 2019</w:t>
            </w:r>
          </w:p>
        </w:tc>
      </w:tr>
      <w:tr>
        <w:trPr>
          <w:trHeight w:val="412"/>
        </w:trPr>
        <w:tc>
          <w:tcPr>
            <w:tcW w:w="2960" w:type="dxa"/>
            <w:vAlign w:val="bottom"/>
          </w:tcPr>
          <w:p>
            <w:pPr>
              <w:spacing w:after="0"/>
              <w:rPr>
                <w:sz w:val="20"/>
                <w:szCs w:val="20"/>
                <w:color w:val="auto"/>
              </w:rPr>
            </w:pPr>
            <w:r>
              <w:rPr>
                <w:rFonts w:ascii="Arial" w:cs="Arial" w:eastAsia="Arial" w:hAnsi="Arial"/>
                <w:sz w:val="18"/>
                <w:szCs w:val="18"/>
                <w:color w:val="auto"/>
              </w:rPr>
              <w:t>Issuer:</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The Washington Post Company</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Size:</w:t>
            </w:r>
          </w:p>
        </w:tc>
        <w:tc>
          <w:tcPr>
            <w:tcW w:w="2080" w:type="dxa"/>
            <w:vAlign w:val="bottom"/>
          </w:tcPr>
          <w:p>
            <w:pPr>
              <w:ind w:left="380"/>
              <w:spacing w:after="0"/>
              <w:rPr>
                <w:sz w:val="20"/>
                <w:szCs w:val="20"/>
                <w:color w:val="auto"/>
              </w:rPr>
            </w:pPr>
            <w:r>
              <w:rPr>
                <w:rFonts w:ascii="Arial" w:cs="Arial" w:eastAsia="Arial" w:hAnsi="Arial"/>
                <w:sz w:val="18"/>
                <w:szCs w:val="18"/>
                <w:color w:val="auto"/>
              </w:rPr>
              <w:t>$400,000,000</w:t>
            </w:r>
          </w:p>
        </w:tc>
        <w:tc>
          <w:tcPr>
            <w:tcW w:w="13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Maturity:</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February 1, 2019</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Coupon:</w:t>
            </w:r>
          </w:p>
        </w:tc>
        <w:tc>
          <w:tcPr>
            <w:tcW w:w="2080" w:type="dxa"/>
            <w:vAlign w:val="bottom"/>
          </w:tcPr>
          <w:p>
            <w:pPr>
              <w:ind w:left="380"/>
              <w:spacing w:after="0"/>
              <w:rPr>
                <w:sz w:val="20"/>
                <w:szCs w:val="20"/>
                <w:color w:val="auto"/>
              </w:rPr>
            </w:pPr>
            <w:r>
              <w:rPr>
                <w:rFonts w:ascii="Arial" w:cs="Arial" w:eastAsia="Arial" w:hAnsi="Arial"/>
                <w:sz w:val="18"/>
                <w:szCs w:val="18"/>
                <w:color w:val="auto"/>
              </w:rPr>
              <w:t>7.250%</w:t>
            </w:r>
          </w:p>
        </w:tc>
        <w:tc>
          <w:tcPr>
            <w:tcW w:w="13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Price:</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99.614% of face amount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Yield to Maturity:</w:t>
            </w:r>
          </w:p>
        </w:tc>
        <w:tc>
          <w:tcPr>
            <w:tcW w:w="2080" w:type="dxa"/>
            <w:vAlign w:val="bottom"/>
          </w:tcPr>
          <w:p>
            <w:pPr>
              <w:ind w:left="380"/>
              <w:spacing w:after="0"/>
              <w:rPr>
                <w:sz w:val="20"/>
                <w:szCs w:val="20"/>
                <w:color w:val="auto"/>
              </w:rPr>
            </w:pPr>
            <w:r>
              <w:rPr>
                <w:rFonts w:ascii="Arial" w:cs="Arial" w:eastAsia="Arial" w:hAnsi="Arial"/>
                <w:sz w:val="18"/>
                <w:szCs w:val="18"/>
                <w:color w:val="auto"/>
              </w:rPr>
              <w:t>7.305%</w:t>
            </w:r>
          </w:p>
        </w:tc>
        <w:tc>
          <w:tcPr>
            <w:tcW w:w="13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+475 bp</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Benchmark Treasury:</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3.750% due November 15, 2018</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9"/>
              </w:rPr>
              <w:t>Benchmark Treasury Spot and Yield:</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110-9+ and 2.555%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February 1 and August 1, commencing August 1, 2009</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Make-Whole Call:</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w w:val="87"/>
              </w:rPr>
              <w:t>At any time at the greater of 100% or a discount rate of Treasury Rate plus 50 basis points</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Trade Date:</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January 27, 2009</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Settlement Date:</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T+3; January 30, 2009</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CUSIP:</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939640 AD0</w:t>
            </w:r>
          </w:p>
        </w:tc>
      </w:tr>
      <w:tr>
        <w:trPr>
          <w:trHeight w:val="216"/>
        </w:trPr>
        <w:tc>
          <w:tcPr>
            <w:tcW w:w="2960" w:type="dxa"/>
            <w:vAlign w:val="bottom"/>
          </w:tcPr>
          <w:p>
            <w:pPr>
              <w:spacing w:after="0" w:line="217" w:lineRule="exact"/>
              <w:rPr>
                <w:sz w:val="20"/>
                <w:szCs w:val="20"/>
                <w:color w:val="auto"/>
              </w:rPr>
            </w:pPr>
            <w:r>
              <w:rPr>
                <w:rFonts w:ascii="Arial" w:cs="Arial" w:eastAsia="Arial" w:hAnsi="Arial"/>
                <w:sz w:val="18"/>
                <w:szCs w:val="18"/>
                <w:color w:val="auto"/>
              </w:rPr>
              <w:t>Anticipated Ratings</w:t>
            </w:r>
            <w:r>
              <w:rPr>
                <w:rFonts w:ascii="Arial" w:cs="Arial" w:eastAsia="Arial" w:hAnsi="Arial"/>
                <w:sz w:val="22"/>
                <w:szCs w:val="22"/>
                <w:color w:val="auto"/>
                <w:vertAlign w:val="superscript"/>
              </w:rPr>
              <w:t>*</w:t>
            </w:r>
            <w:r>
              <w:rPr>
                <w:rFonts w:ascii="Arial" w:cs="Arial" w:eastAsia="Arial" w:hAnsi="Arial"/>
                <w:sz w:val="18"/>
                <w:szCs w:val="18"/>
                <w:color w:val="auto"/>
              </w:rPr>
              <w:t>:</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A1 (negative outlook) / A+ (negative outlook)</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Joint Bookrunners:</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Citigroup Global Markets Inc.</w:t>
            </w:r>
          </w:p>
        </w:tc>
      </w:tr>
      <w:tr>
        <w:trPr>
          <w:trHeight w:val="222"/>
        </w:trPr>
        <w:tc>
          <w:tcPr>
            <w:tcW w:w="2960" w:type="dxa"/>
            <w:vAlign w:val="bottom"/>
          </w:tcPr>
          <w:p>
            <w:pPr>
              <w:spacing w:after="0"/>
              <w:rPr>
                <w:sz w:val="19"/>
                <w:szCs w:val="19"/>
                <w:color w:val="auto"/>
              </w:rPr>
            </w:pP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J.P. Morgan Securities Inc.</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Co-Managers:</w:t>
            </w: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SunTrust Robinson Humphrey, Inc.</w:t>
            </w:r>
          </w:p>
        </w:tc>
      </w:tr>
      <w:tr>
        <w:trPr>
          <w:trHeight w:val="216"/>
        </w:trPr>
        <w:tc>
          <w:tcPr>
            <w:tcW w:w="2960" w:type="dxa"/>
            <w:vAlign w:val="bottom"/>
          </w:tcPr>
          <w:p>
            <w:pPr>
              <w:spacing w:after="0"/>
              <w:rPr>
                <w:sz w:val="18"/>
                <w:szCs w:val="18"/>
                <w:color w:val="auto"/>
              </w:rPr>
            </w:pP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Wachovia Capital Markets, LLC</w:t>
            </w:r>
          </w:p>
        </w:tc>
      </w:tr>
      <w:tr>
        <w:trPr>
          <w:trHeight w:val="216"/>
        </w:trPr>
        <w:tc>
          <w:tcPr>
            <w:tcW w:w="2960" w:type="dxa"/>
            <w:vAlign w:val="bottom"/>
          </w:tcPr>
          <w:p>
            <w:pPr>
              <w:spacing w:after="0"/>
              <w:rPr>
                <w:sz w:val="18"/>
                <w:szCs w:val="18"/>
                <w:color w:val="auto"/>
              </w:rPr>
            </w:pP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2960" w:type="dxa"/>
            <w:vAlign w:val="bottom"/>
          </w:tcPr>
          <w:p>
            <w:pPr>
              <w:spacing w:after="0"/>
              <w:rPr>
                <w:sz w:val="18"/>
                <w:szCs w:val="18"/>
                <w:color w:val="auto"/>
              </w:rPr>
            </w:pP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PNC Capital Markets LLC</w:t>
            </w:r>
          </w:p>
        </w:tc>
      </w:tr>
      <w:tr>
        <w:trPr>
          <w:trHeight w:val="222"/>
        </w:trPr>
        <w:tc>
          <w:tcPr>
            <w:tcW w:w="2960" w:type="dxa"/>
            <w:vAlign w:val="bottom"/>
          </w:tcPr>
          <w:p>
            <w:pPr>
              <w:spacing w:after="0"/>
              <w:rPr>
                <w:sz w:val="19"/>
                <w:szCs w:val="19"/>
                <w:color w:val="auto"/>
              </w:rPr>
            </w:pPr>
          </w:p>
        </w:tc>
        <w:tc>
          <w:tcPr>
            <w:tcW w:w="6700" w:type="dxa"/>
            <w:vAlign w:val="bottom"/>
            <w:gridSpan w:val="3"/>
          </w:tcPr>
          <w:p>
            <w:pPr>
              <w:ind w:left="380"/>
              <w:spacing w:after="0"/>
              <w:rPr>
                <w:sz w:val="20"/>
                <w:szCs w:val="20"/>
                <w:color w:val="auto"/>
              </w:rPr>
            </w:pPr>
            <w:r>
              <w:rPr>
                <w:rFonts w:ascii="Arial" w:cs="Arial" w:eastAsia="Arial" w:hAnsi="Arial"/>
                <w:sz w:val="18"/>
                <w:szCs w:val="18"/>
                <w:color w:val="auto"/>
              </w:rPr>
              <w:t>Wells Fargo Securities,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6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Citigroup Global Markets Inc. toll free at 1-877-858-5407 or J.P. Morgan Securities Inc. collect at 212-834-4533.</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 xml:space="preserve">The Washington Post Company, </w:t>
      </w:r>
      <w:r>
        <w:rPr>
          <w:rFonts w:ascii="Arial" w:cs="Arial" w:eastAsia="Arial" w:hAnsi="Arial"/>
          <w:sz w:val="18"/>
          <w:szCs w:val="18"/>
          <w:color w:val="auto"/>
        </w:rPr>
        <w:t>as Company</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Second Supplemental Indenture</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January 30, 2009</w:t>
      </w:r>
    </w:p>
    <w:p>
      <w:pPr>
        <w:sectPr>
          <w:pgSz w:w="11900" w:h="16838" w:orient="portrait"/>
          <w:cols w:equalWidth="0" w:num="1">
            <w:col w:w="10220"/>
          </w:cols>
          <w:pgMar w:left="1440" w:top="12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656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P</w:t>
            </w:r>
            <w:r>
              <w:rPr>
                <w:rFonts w:ascii="Arial" w:cs="Arial" w:eastAsia="Arial" w:hAnsi="Arial"/>
                <w:sz w:val="11"/>
                <w:szCs w:val="11"/>
                <w:b w:val="1"/>
                <w:bCs w:val="1"/>
                <w:color w:val="auto"/>
                <w:w w:val="96"/>
              </w:rPr>
              <w:t>AGE</w:t>
            </w:r>
          </w:p>
        </w:tc>
        <w:tc>
          <w:tcPr>
            <w:tcW w:w="0" w:type="dxa"/>
            <w:vAlign w:val="bottom"/>
          </w:tcPr>
          <w:p>
            <w:pPr>
              <w:spacing w:after="0"/>
              <w:rPr>
                <w:sz w:val="1"/>
                <w:szCs w:val="1"/>
                <w:color w:val="auto"/>
              </w:rPr>
            </w:pPr>
          </w:p>
        </w:tc>
      </w:tr>
      <w:tr>
        <w:trPr>
          <w:trHeight w:val="377"/>
        </w:trPr>
        <w:tc>
          <w:tcPr>
            <w:tcW w:w="4520" w:type="dxa"/>
            <w:vAlign w:val="bottom"/>
          </w:tcPr>
          <w:p>
            <w:pPr>
              <w:spacing w:after="0"/>
              <w:rPr>
                <w:sz w:val="24"/>
                <w:szCs w:val="24"/>
                <w:color w:val="auto"/>
              </w:rPr>
            </w:pPr>
          </w:p>
        </w:tc>
        <w:tc>
          <w:tcPr>
            <w:tcW w:w="6560" w:type="dxa"/>
            <w:vAlign w:val="bottom"/>
            <w:gridSpan w:val="2"/>
            <w:vMerge w:val="restart"/>
          </w:tcPr>
          <w:p>
            <w:pPr>
              <w:jc w:val="center"/>
              <w:ind w:right="4840"/>
              <w:spacing w:after="0"/>
              <w:rPr>
                <w:sz w:val="20"/>
                <w:szCs w:val="20"/>
                <w:color w:val="auto"/>
              </w:rPr>
            </w:pPr>
            <w:r>
              <w:rPr>
                <w:rFonts w:ascii="Arial" w:cs="Arial" w:eastAsia="Arial" w:hAnsi="Arial"/>
                <w:sz w:val="18"/>
                <w:szCs w:val="18"/>
                <w:b w:val="1"/>
                <w:bCs w:val="1"/>
                <w:color w:val="auto"/>
                <w:w w:val="98"/>
              </w:rPr>
              <w:t>ARTICLE 1</w:t>
            </w:r>
          </w:p>
        </w:tc>
        <w:tc>
          <w:tcPr>
            <w:tcW w:w="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65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80" w:type="dxa"/>
            <w:vAlign w:val="bottom"/>
            <w:gridSpan w:val="3"/>
          </w:tcPr>
          <w:p>
            <w:pPr>
              <w:jc w:val="center"/>
              <w:ind w:right="340"/>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COPE OF</w:t>
            </w:r>
            <w:r>
              <w:rPr>
                <w:rFonts w:ascii="Arial" w:cs="Arial" w:eastAsia="Arial" w:hAnsi="Arial"/>
                <w:sz w:val="18"/>
                <w:szCs w:val="18"/>
                <w:color w:val="auto"/>
                <w:w w:val="97"/>
              </w:rPr>
              <w:t xml:space="preserve"> S</w:t>
            </w:r>
            <w:r>
              <w:rPr>
                <w:rFonts w:ascii="Arial" w:cs="Arial" w:eastAsia="Arial" w:hAnsi="Arial"/>
                <w:sz w:val="14"/>
                <w:szCs w:val="14"/>
                <w:color w:val="auto"/>
                <w:w w:val="97"/>
              </w:rPr>
              <w:t>ECOND</w:t>
            </w:r>
            <w:r>
              <w:rPr>
                <w:rFonts w:ascii="Arial" w:cs="Arial" w:eastAsia="Arial" w:hAnsi="Arial"/>
                <w:sz w:val="18"/>
                <w:szCs w:val="18"/>
                <w:color w:val="auto"/>
                <w:w w:val="97"/>
              </w:rPr>
              <w:t xml:space="preserve"> S</w:t>
            </w:r>
            <w:r>
              <w:rPr>
                <w:rFonts w:ascii="Arial" w:cs="Arial" w:eastAsia="Arial" w:hAnsi="Arial"/>
                <w:sz w:val="14"/>
                <w:szCs w:val="14"/>
                <w:color w:val="auto"/>
                <w:w w:val="97"/>
              </w:rPr>
              <w:t>UPPLEMENTAL</w:t>
            </w:r>
            <w:r>
              <w:rPr>
                <w:rFonts w:ascii="Arial" w:cs="Arial" w:eastAsia="Arial" w:hAnsi="Arial"/>
                <w:sz w:val="18"/>
                <w:szCs w:val="18"/>
                <w:color w:val="auto"/>
                <w:w w:val="97"/>
              </w:rPr>
              <w:t xml:space="preserve"> I</w:t>
            </w:r>
            <w:r>
              <w:rPr>
                <w:rFonts w:ascii="Arial" w:cs="Arial" w:eastAsia="Arial" w:hAnsi="Arial"/>
                <w:sz w:val="14"/>
                <w:szCs w:val="14"/>
                <w:color w:val="auto"/>
                <w:w w:val="97"/>
              </w:rPr>
              <w:t>NDENTURE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Scope</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4520" w:type="dxa"/>
            <w:vAlign w:val="bottom"/>
          </w:tcPr>
          <w:p>
            <w:pPr>
              <w:spacing w:after="0"/>
              <w:rPr>
                <w:sz w:val="24"/>
                <w:szCs w:val="24"/>
                <w:color w:val="auto"/>
              </w:rPr>
            </w:pPr>
          </w:p>
        </w:tc>
        <w:tc>
          <w:tcPr>
            <w:tcW w:w="6560" w:type="dxa"/>
            <w:vAlign w:val="bottom"/>
            <w:gridSpan w:val="2"/>
          </w:tcPr>
          <w:p>
            <w:pPr>
              <w:jc w:val="center"/>
              <w:ind w:right="4840"/>
              <w:spacing w:after="0"/>
              <w:rPr>
                <w:sz w:val="20"/>
                <w:szCs w:val="20"/>
                <w:color w:val="auto"/>
              </w:rPr>
            </w:pPr>
            <w:r>
              <w:rPr>
                <w:rFonts w:ascii="Arial" w:cs="Arial" w:eastAsia="Arial" w:hAnsi="Arial"/>
                <w:sz w:val="18"/>
                <w:szCs w:val="18"/>
                <w:b w:val="1"/>
                <w:bCs w:val="1"/>
                <w:color w:val="auto"/>
                <w:w w:val="98"/>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20" w:type="dxa"/>
            <w:vAlign w:val="bottom"/>
          </w:tcPr>
          <w:p>
            <w:pPr>
              <w:spacing w:after="0"/>
              <w:rPr>
                <w:sz w:val="19"/>
                <w:szCs w:val="19"/>
                <w:color w:val="auto"/>
              </w:rPr>
            </w:pPr>
          </w:p>
        </w:tc>
        <w:tc>
          <w:tcPr>
            <w:tcW w:w="6560" w:type="dxa"/>
            <w:vAlign w:val="bottom"/>
            <w:gridSpan w:val="2"/>
          </w:tcPr>
          <w:p>
            <w:pPr>
              <w:jc w:val="center"/>
              <w:ind w:right="48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Certain Terms Defined in the Indenture</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4520" w:type="dxa"/>
            <w:vAlign w:val="bottom"/>
          </w:tcPr>
          <w:p>
            <w:pPr>
              <w:spacing w:after="0"/>
              <w:rPr>
                <w:sz w:val="24"/>
                <w:szCs w:val="24"/>
                <w:color w:val="auto"/>
              </w:rPr>
            </w:pPr>
          </w:p>
        </w:tc>
        <w:tc>
          <w:tcPr>
            <w:tcW w:w="6560" w:type="dxa"/>
            <w:vAlign w:val="bottom"/>
            <w:gridSpan w:val="2"/>
          </w:tcPr>
          <w:p>
            <w:pPr>
              <w:jc w:val="center"/>
              <w:ind w:right="4840"/>
              <w:spacing w:after="0"/>
              <w:rPr>
                <w:sz w:val="20"/>
                <w:szCs w:val="20"/>
                <w:color w:val="auto"/>
              </w:rPr>
            </w:pPr>
            <w:r>
              <w:rPr>
                <w:rFonts w:ascii="Arial" w:cs="Arial" w:eastAsia="Arial" w:hAnsi="Arial"/>
                <w:sz w:val="18"/>
                <w:szCs w:val="18"/>
                <w:b w:val="1"/>
                <w:bCs w:val="1"/>
                <w:color w:val="auto"/>
                <w:w w:val="98"/>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8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ORM AND</w:t>
            </w:r>
            <w:r>
              <w:rPr>
                <w:rFonts w:ascii="Arial" w:cs="Arial" w:eastAsia="Arial" w:hAnsi="Arial"/>
                <w:sz w:val="18"/>
                <w:szCs w:val="18"/>
                <w:color w:val="auto"/>
                <w:w w:val="99"/>
              </w:rPr>
              <w:t xml:space="preserve"> T</w:t>
            </w:r>
            <w:r>
              <w:rPr>
                <w:rFonts w:ascii="Arial" w:cs="Arial" w:eastAsia="Arial" w:hAnsi="Arial"/>
                <w:sz w:val="14"/>
                <w:szCs w:val="14"/>
                <w:color w:val="auto"/>
                <w:w w:val="99"/>
              </w:rPr>
              <w:t>ERMS OF THE</w:t>
            </w:r>
            <w:r>
              <w:rPr>
                <w:rFonts w:ascii="Arial" w:cs="Arial" w:eastAsia="Arial" w:hAnsi="Arial"/>
                <w:sz w:val="18"/>
                <w:szCs w:val="18"/>
                <w:color w:val="auto"/>
                <w:w w:val="99"/>
              </w:rPr>
              <w:t xml:space="preserve"> N</w:t>
            </w:r>
            <w:r>
              <w:rPr>
                <w:rFonts w:ascii="Arial" w:cs="Arial" w:eastAsia="Arial" w:hAnsi="Arial"/>
                <w:sz w:val="14"/>
                <w:szCs w:val="14"/>
                <w:color w:val="auto"/>
                <w:w w:val="99"/>
              </w:rPr>
              <w:t>OTES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Form and Dating</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Terms of the Notes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Optional Redemption</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Repurchase of Notes upon a Change of Control Repurchase Event</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Defeasance and Discharge</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26"/>
        </w:trPr>
        <w:tc>
          <w:tcPr>
            <w:tcW w:w="4520" w:type="dxa"/>
            <w:vAlign w:val="bottom"/>
          </w:tcPr>
          <w:p>
            <w:pPr>
              <w:spacing w:after="0"/>
              <w:rPr>
                <w:sz w:val="24"/>
                <w:szCs w:val="24"/>
                <w:color w:val="auto"/>
              </w:rPr>
            </w:pPr>
          </w:p>
        </w:tc>
        <w:tc>
          <w:tcPr>
            <w:tcW w:w="6560" w:type="dxa"/>
            <w:vAlign w:val="bottom"/>
            <w:gridSpan w:val="2"/>
          </w:tcPr>
          <w:p>
            <w:pPr>
              <w:jc w:val="center"/>
              <w:ind w:right="4840"/>
              <w:spacing w:after="0"/>
              <w:rPr>
                <w:sz w:val="20"/>
                <w:szCs w:val="20"/>
                <w:color w:val="auto"/>
              </w:rPr>
            </w:pPr>
            <w:r>
              <w:rPr>
                <w:rFonts w:ascii="Arial" w:cs="Arial" w:eastAsia="Arial" w:hAnsi="Arial"/>
                <w:sz w:val="18"/>
                <w:szCs w:val="18"/>
                <w:b w:val="1"/>
                <w:bCs w:val="1"/>
                <w:color w:val="auto"/>
                <w:w w:val="98"/>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20" w:type="dxa"/>
            <w:vAlign w:val="bottom"/>
          </w:tcPr>
          <w:p>
            <w:pPr>
              <w:spacing w:after="0"/>
              <w:rPr>
                <w:sz w:val="19"/>
                <w:szCs w:val="19"/>
                <w:color w:val="auto"/>
              </w:rPr>
            </w:pPr>
          </w:p>
        </w:tc>
        <w:tc>
          <w:tcPr>
            <w:tcW w:w="6560" w:type="dxa"/>
            <w:vAlign w:val="bottom"/>
            <w:gridSpan w:val="2"/>
          </w:tcPr>
          <w:p>
            <w:pPr>
              <w:jc w:val="center"/>
              <w:ind w:right="48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Trust Indenture Act Controls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New York Law to Govern</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Counterparts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Severability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Ratification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Effectiveness</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Trustee Makes No Representation</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080" w:type="dxa"/>
            <w:vAlign w:val="bottom"/>
            <w:gridSpan w:val="3"/>
          </w:tcPr>
          <w:p>
            <w:pPr>
              <w:spacing w:after="0"/>
              <w:rPr>
                <w:sz w:val="20"/>
                <w:szCs w:val="20"/>
                <w:color w:val="auto"/>
              </w:rPr>
            </w:pPr>
            <w:r>
              <w:rPr>
                <w:rFonts w:ascii="Arial" w:cs="Arial" w:eastAsia="Arial" w:hAnsi="Arial"/>
                <w:sz w:val="18"/>
                <w:szCs w:val="18"/>
                <w:color w:val="auto"/>
              </w:rPr>
              <w:t>EXHIBIT A – Form of 7.250% Note due February 1, 2019</w:t>
            </w:r>
          </w:p>
        </w:tc>
        <w:tc>
          <w:tcPr>
            <w:tcW w:w="34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SUPPLEMENTAL INDENTURE</w:t>
      </w:r>
    </w:p>
    <w:p>
      <w:pPr>
        <w:spacing w:after="0" w:line="17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SECOND SUPPLEMENTAL INDENTURE (the “</w:t>
      </w:r>
      <w:r>
        <w:rPr>
          <w:rFonts w:ascii="Arial" w:cs="Arial" w:eastAsia="Arial" w:hAnsi="Arial"/>
          <w:sz w:val="18"/>
          <w:szCs w:val="18"/>
          <w:b w:val="1"/>
          <w:bCs w:val="1"/>
          <w:color w:val="auto"/>
        </w:rPr>
        <w:t>Second Supplemental Indenture</w:t>
      </w:r>
      <w:r>
        <w:rPr>
          <w:rFonts w:ascii="Arial" w:cs="Arial" w:eastAsia="Arial" w:hAnsi="Arial"/>
          <w:sz w:val="18"/>
          <w:szCs w:val="18"/>
          <w:color w:val="auto"/>
        </w:rPr>
        <w:t>”), dated as of January 30, 2009, between The Washington Post Company,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Bank of New York Mellon Trust Company, N.A. (successor trustee to The First National Bank of Chicago),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 OF THE COMPANY</w:t>
      </w:r>
    </w:p>
    <w:p>
      <w:pPr>
        <w:spacing w:after="0" w:line="17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Trustee executed and delivered an Indenture, dated as of February 17, 1999 (the “</w:t>
      </w:r>
      <w:r>
        <w:rPr>
          <w:rFonts w:ascii="Arial" w:cs="Arial" w:eastAsia="Arial" w:hAnsi="Arial"/>
          <w:sz w:val="16"/>
          <w:szCs w:val="16"/>
          <w:b w:val="1"/>
          <w:bCs w:val="1"/>
          <w:color w:val="auto"/>
        </w:rPr>
        <w:t>Base Indenture</w:t>
      </w:r>
      <w:r>
        <w:rPr>
          <w:rFonts w:ascii="Arial" w:cs="Arial" w:eastAsia="Arial" w:hAnsi="Arial"/>
          <w:sz w:val="16"/>
          <w:szCs w:val="16"/>
          <w:color w:val="auto"/>
        </w:rPr>
        <w:t>”), as amended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Supplemental Indenture, dated as of September 22, 2003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to provide for the issuance by the Company from time to time of Securities to be issued in one or mores series as provided in the Indenture;</w:t>
      </w:r>
    </w:p>
    <w:p>
      <w:pPr>
        <w:spacing w:after="0" w:line="97" w:lineRule="exact"/>
        <w:rPr>
          <w:sz w:val="20"/>
          <w:szCs w:val="20"/>
          <w:color w:val="auto"/>
        </w:rPr>
      </w:pPr>
    </w:p>
    <w:p>
      <w:pPr>
        <w:ind w:right="80" w:firstLine="456"/>
        <w:spacing w:after="0" w:line="378"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issuance and sale of $400,000,000 aggregate principal amount of a new series of the Securities of the Company designated as its 7.250%</w:t>
      </w:r>
      <w:r>
        <w:rPr>
          <w:rFonts w:ascii="Arial" w:cs="Arial" w:eastAsia="Arial" w:hAnsi="Arial"/>
          <w:sz w:val="15"/>
          <w:szCs w:val="15"/>
          <w:b w:val="1"/>
          <w:bCs w:val="1"/>
          <w:color w:val="auto"/>
        </w:rPr>
        <w:t xml:space="preserve"> </w:t>
      </w:r>
      <w:r>
        <w:rPr>
          <w:rFonts w:ascii="Arial" w:cs="Arial" w:eastAsia="Arial" w:hAnsi="Arial"/>
          <w:sz w:val="15"/>
          <w:szCs w:val="15"/>
          <w:color w:val="auto"/>
        </w:rPr>
        <w:t>Notes due February 1, 2019 (the “</w:t>
      </w:r>
      <w:r>
        <w:rPr>
          <w:rFonts w:ascii="Arial" w:cs="Arial" w:eastAsia="Arial" w:hAnsi="Arial"/>
          <w:sz w:val="15"/>
          <w:szCs w:val="15"/>
          <w:b w:val="1"/>
          <w:bCs w:val="1"/>
          <w:color w:val="auto"/>
        </w:rPr>
        <w:t>Notes</w:t>
      </w:r>
      <w:r>
        <w:rPr>
          <w:rFonts w:ascii="Arial" w:cs="Arial" w:eastAsia="Arial" w:hAnsi="Arial"/>
          <w:sz w:val="15"/>
          <w:szCs w:val="15"/>
          <w:color w:val="auto"/>
        </w:rPr>
        <w:t>”) have been authorized by resolutions adopted by the Pricing Committee of the Board of Directors of the Company;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issue and sell $400,000,000 aggregate principal amount of the Notes as of the date hereof;</w:t>
      </w:r>
    </w:p>
    <w:p>
      <w:pPr>
        <w:spacing w:after="0" w:line="171"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Sections 201, 202 and 1001 of the Indenture provide that the Company, when authorized by a Board Resolution or Board Resolutions,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Trustee may at any time and from time to time enter into one or more supplemental indentures, without the consent of the holders, to, among other things, provide for the issuance of and to establish the form or terms and conditions of Securities of any series as permitted by the Indenture;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establish the form, terms and conditions of the Notes;</w:t>
      </w:r>
    </w:p>
    <w:p>
      <w:pPr>
        <w:spacing w:after="0" w:line="17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things necessary to make this Second Supplemental Indenture a valid and legally binding supplement to the Indenture according to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the terms of the Indenture have been done;</w:t>
      </w:r>
    </w:p>
    <w:p>
      <w:pPr>
        <w:spacing w:after="0" w:line="120" w:lineRule="exact"/>
        <w:rPr>
          <w:sz w:val="20"/>
          <w:szCs w:val="20"/>
          <w:color w:val="auto"/>
        </w:rPr>
      </w:pPr>
    </w:p>
    <w:p>
      <w:pPr>
        <w:ind w:left="460" w:right="760"/>
        <w:spacing w:after="0" w:line="43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complied with all conditions precedent provided for in the Indenture relating to this Supplemental Indenture; and</w:t>
      </w:r>
      <w:r>
        <w:rPr>
          <w:rFonts w:ascii="Arial" w:cs="Arial" w:eastAsia="Arial" w:hAnsi="Arial"/>
          <w:sz w:val="18"/>
          <w:szCs w:val="18"/>
          <w:b w:val="1"/>
          <w:bCs w:val="1"/>
          <w:color w:val="auto"/>
        </w:rPr>
        <w:t xml:space="preserve"> WHEREAS</w:t>
      </w:r>
      <w:r>
        <w:rPr>
          <w:rFonts w:ascii="Arial" w:cs="Arial" w:eastAsia="Arial" w:hAnsi="Arial"/>
          <w:sz w:val="18"/>
          <w:szCs w:val="18"/>
          <w:color w:val="auto"/>
        </w:rPr>
        <w:t>, the Company has requested that the Trustee execute and deliver this Second Supplemental Indenture.</w:t>
      </w:r>
      <w:r>
        <w:rPr>
          <w:rFonts w:ascii="Arial" w:cs="Arial" w:eastAsia="Arial" w:hAnsi="Arial"/>
          <w:sz w:val="18"/>
          <w:szCs w:val="18"/>
          <w:b w:val="1"/>
          <w:bCs w:val="1"/>
          <w:color w:val="auto"/>
        </w:rPr>
        <w:t xml:space="preserve"> NOW, THEREFORE: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6" w:name="page37"/>
    <w:bookmarkEnd w:id="36"/>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consideration of the premises stated herein and the purchase of the Notes by the Holders thereof, the Company and the Trustee mutually covenant and agree for the equal and proportionate benefit of the respective Holders from time to time of the Notes as follows: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COPE OF</w:t>
      </w:r>
      <w:r>
        <w:rPr>
          <w:rFonts w:ascii="Arial" w:cs="Arial" w:eastAsia="Arial" w:hAnsi="Arial"/>
          <w:sz w:val="18"/>
          <w:szCs w:val="18"/>
          <w:color w:val="auto"/>
        </w:rPr>
        <w:t xml:space="preserve"> S</w:t>
      </w:r>
      <w:r>
        <w:rPr>
          <w:rFonts w:ascii="Arial" w:cs="Arial" w:eastAsia="Arial" w:hAnsi="Arial"/>
          <w:sz w:val="14"/>
          <w:szCs w:val="14"/>
          <w:color w:val="auto"/>
        </w:rPr>
        <w:t>ECOND</w:t>
      </w:r>
      <w:r>
        <w:rPr>
          <w:rFonts w:ascii="Arial" w:cs="Arial" w:eastAsia="Arial" w:hAnsi="Arial"/>
          <w:sz w:val="18"/>
          <w:szCs w:val="18"/>
          <w:color w:val="auto"/>
        </w:rPr>
        <w:t xml:space="preserve"> 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Scope.</w:t>
      </w:r>
      <w:r>
        <w:rPr>
          <w:rFonts w:ascii="Arial" w:cs="Arial" w:eastAsia="Arial" w:hAnsi="Arial"/>
          <w:sz w:val="18"/>
          <w:szCs w:val="18"/>
          <w:color w:val="auto"/>
        </w:rPr>
        <w:t xml:space="preserve"> This Second Supplemental Indenture constitutes an integral part of the Indenture and this Second Supplemental Indenture shall be read together with the Indenture as though all the provisions thereof are contained in one instrument. Except as expressly amended by this Second Supplemental Indenture, the terms and provisions of the Indenture shall remain in full force and effect.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Certain Terms Defined in the Indenture</w:t>
      </w:r>
      <w:r>
        <w:rPr>
          <w:rFonts w:ascii="Arial" w:cs="Arial" w:eastAsia="Arial" w:hAnsi="Arial"/>
          <w:sz w:val="18"/>
          <w:szCs w:val="18"/>
          <w:color w:val="auto"/>
        </w:rPr>
        <w:t>. For purposes of this Second Supplemental Indenture, all capitalized terms used but not defined herein shall have the meanings ascribed to such terms in the Indenture, as amended hereby.</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Definitions</w:t>
      </w:r>
      <w:r>
        <w:rPr>
          <w:rFonts w:ascii="Arial" w:cs="Arial" w:eastAsia="Arial" w:hAnsi="Arial"/>
          <w:sz w:val="18"/>
          <w:szCs w:val="18"/>
          <w:color w:val="auto"/>
        </w:rPr>
        <w:t>. For the benefit of the Holders of the Notes, Section 101 of the Indenture shall be amended by adding the following new definitions:</w:t>
      </w:r>
    </w:p>
    <w:p>
      <w:pPr>
        <w:spacing w:after="0" w:line="45" w:lineRule="exact"/>
        <w:rPr>
          <w:sz w:val="20"/>
          <w:szCs w:val="20"/>
          <w:color w:val="auto"/>
        </w:rPr>
      </w:pPr>
    </w:p>
    <w:p>
      <w:pPr>
        <w:jc w:val="both"/>
        <w:ind w:right="26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Adjusted Treasury Rate</w:t>
      </w:r>
      <w:r>
        <w:rPr>
          <w:rFonts w:ascii="Arial" w:cs="Arial" w:eastAsia="Arial" w:hAnsi="Arial"/>
          <w:sz w:val="15"/>
          <w:szCs w:val="15"/>
          <w:color w:val="auto"/>
        </w:rPr>
        <w:t>” means, with respect to any Redemption Date the rate per annum equal to the semi-annual equivalent yield to maturity of the Comparable Treasury Issue, assuming a price for the Comparable Treasury Issue (expressed as a percentage of the principal amount) equal to the Comparable Treasury Price for that Redemption Date. The Adjusted Treasury Rate will be calculated on the third Business Day preceding the Redemption Date.</w:t>
      </w:r>
    </w:p>
    <w:p>
      <w:pPr>
        <w:spacing w:after="0" w:line="79"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Below Investment Grade Ratings Event</w:t>
      </w:r>
      <w:r>
        <w:rPr>
          <w:rFonts w:ascii="Arial" w:cs="Arial" w:eastAsia="Arial" w:hAnsi="Arial"/>
          <w:sz w:val="15"/>
          <w:szCs w:val="15"/>
          <w:color w:val="auto"/>
        </w:rPr>
        <w:t>” means that on any day within the 60-day period (which period shall be extended so long as the rating of the Notes is under publicly announced consideration for a possible downgrade by any of the Rating Agencies) after the earlier of (1) the occurrence of a Change of Control; or (2) public notice of the occurrence of a Change of Control or the intention by the Company to effect a Change of Control, the Notes are rated below Investment Grade by each of the Rating Agencies. Notwithstanding the foregoing, a Below Investment Grade Ratings Event otherwise arising by virtue of a particular reduction in rating shall not be deemed to have occurred in respect of a particular Change of Control (and thus shall not be deemed a Below Investment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7" w:name="page38"/>
    <w:bookmarkEnd w:id="37"/>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Grade Ratings Event for purposes of the definition of Change of Control Repurchase Event hereunder) if the Rating Agencies making the reduction in rating to which this definition would otherwise apply do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ratings event).</w:t>
      </w:r>
    </w:p>
    <w:p>
      <w:pPr>
        <w:spacing w:after="0" w:line="13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occurrence of any one of the following: (i) the consummation of any transaction (including, without limitation, any merger or consolidation) the result of which is that any “person” (as that term is used in Section 13(d)(3) of the Exchange Act), other than one or more Permitted Holders, becomes the beneficial owner (as defined in Rules 13d-3 and 13d-5 under the Exchange Act), directly or indirectly, of more than 50% of the combined voting power of the Company’s Voting Stock or other Voting Stock into which the Company’s Voting Stock is reclassified, consolidated, exchanged or changed measured by voting power rather than number of shares; (ii) the direct or indirect sale, lease, transfer conveyance or other disposition (other than by way of merger or consolidation), in one or a series of related transactions, of all or substantially all of the Company’s properties or assets and those of its subsidiaries taken as a whole to any “person” (as that term is used in Section 13(d)(3) of the Exchange Act), other than one or more Permitted Holders; (iii) the Company consolidates with, or merges with or into, any “person” (as that term is used in Section 13(d)(3) of the Exchange Act), or any person consolidates with, or merges with or into, the Company, in any such event pursuant to a transaction in which any of the Company’s outstanding Voting Stock or the Voting Stock of such other person is converted into or exchanged for cash, securities or other property, other than any such transaction where the shares of the Company’s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(iv) the first day on which a majority of the members of the Company’s board of directors cease to be Continuing Directors; (v) the adoption of a plan relating to the Company’s liquidation or dissolution; or (vi) the consummation of a so-called “going private/Rule 13e-3 Transaction” that results in any of the effects described in paragraph (a)(3)(ii) of Rule 13e-3 under the Exchange Act (or any successor provision), following which the Family Members beneficially own, directly or indirectly, more than 50% of our Voting Stock, measured by voting power rather than number of shares.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Repurchase Event</w:t>
      </w:r>
      <w:r>
        <w:rPr>
          <w:rFonts w:ascii="Arial" w:cs="Arial" w:eastAsia="Arial" w:hAnsi="Arial"/>
          <w:sz w:val="16"/>
          <w:szCs w:val="16"/>
          <w:color w:val="auto"/>
        </w:rPr>
        <w:t>” means the occurrence of both a Change of Control and a Below Investment Grade Ratings Event.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Comparable Treasury Issue</w:t>
      </w:r>
      <w:r>
        <w:rPr>
          <w:rFonts w:ascii="Arial" w:cs="Arial" w:eastAsia="Arial" w:hAnsi="Arial"/>
          <w:sz w:val="16"/>
          <w:szCs w:val="16"/>
          <w:color w:val="auto"/>
        </w:rPr>
        <w:t>” means the U.S. Treasury security selected by the applicable Quotation Agent as having a maturity comparable to the</w:t>
      </w:r>
    </w:p>
    <w:p>
      <w:pPr>
        <w:spacing w:after="0" w:line="1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8" w:name="page39"/>
    <w:bookmarkEnd w:id="38"/>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remaining term of the Notes to be redeemed that would be utilized, at the time of selection and in accordance with customary financial practice, in pricing new issues of corporate debt securities of comparable maturity to the remaining term of those Notes.</w:t>
      </w:r>
    </w:p>
    <w:p>
      <w:pPr>
        <w:spacing w:after="0" w:line="126"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(A) the average of four Reference Treasury Dealer Quotations for that Redemption Date, after excluding the highest and lowest of those Reference Treasury Dealer Quotations, or (B) if the Company obtains fewer than four such Reference Treasury Dealer Quotations, the average of all of those quotations.</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Continuing Directors</w:t>
      </w:r>
      <w:r>
        <w:rPr>
          <w:rFonts w:ascii="Arial" w:cs="Arial" w:eastAsia="Arial" w:hAnsi="Arial"/>
          <w:sz w:val="16"/>
          <w:szCs w:val="16"/>
          <w:color w:val="auto"/>
        </w:rPr>
        <w:t>” means, as of any date of determination, any member of the Company’s Board of Directors who (1) was a member of such Board of Directors on the date of the issuance of the Notes; or (2) was nominated for election, elected or appointed to such Board of Directors with the approval of a majority of the Continuing Directors who were members of such Board of Directors at the time of such nomination, election or appointment; or (3) was nominated for election, elected or appointed to such Board of Directors by the majority of the outstanding shares of class A common stock as a replacement for a member of the Board of Directors who was elected by the Board of Directors by the class A common stock.</w:t>
      </w:r>
    </w:p>
    <w:p>
      <w:pPr>
        <w:spacing w:after="0" w:line="108"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means Donald E. Graham, William W. Graham, Stephen M. Graham, Elizabeth Weymouth, and their respective estates, spouses, ancestors and lineal descendants, the legal representatives of any of the foregoing and the trustees of any bona fide trusts of which the foregoing are the primary beneficiaries or the sole grantors.</w:t>
      </w:r>
    </w:p>
    <w:p>
      <w:pPr>
        <w:spacing w:after="0" w:line="132"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w:t>
      </w:r>
      <w:r>
        <w:rPr>
          <w:rFonts w:ascii="Arial" w:cs="Arial" w:eastAsia="Arial" w:hAnsi="Arial"/>
          <w:sz w:val="18"/>
          <w:szCs w:val="18"/>
          <w:color w:val="auto"/>
        </w:rPr>
        <w:t>” means a rating of Baa3 or better by Moody’s (or its equivalent under any successor rating categories of Moody’s); a rating of BBB-or better by S&amp;P (or its equivalent under any successor rating categories of S&amp;P); or the equivalent Investment Grade credit rating from any replacement Rating Agency or Rating Agencies selected by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17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Holders</w:t>
      </w:r>
      <w:r>
        <w:rPr>
          <w:rFonts w:ascii="Arial" w:cs="Arial" w:eastAsia="Arial" w:hAnsi="Arial"/>
          <w:sz w:val="18"/>
          <w:szCs w:val="18"/>
          <w:color w:val="auto"/>
        </w:rPr>
        <w:t>” means (1) the Company and its subsidiaries and (2) Donald E. Graham, William W. Graham, Stephen M. Graham, Elizabeth Weymouth, and their respective estates, spouses, ancestors and lineal descendants, the legal representatives of any of the foregoing and the trustees of any bona fide trusts of which the foregoing are the primary beneficiaries or the sole grantors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Company for the Notes.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39" w:name="page40"/>
    <w:bookmarkEnd w:id="39"/>
    <w:p>
      <w:pPr>
        <w:ind w:right="6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Rating Agency</w:t>
      </w:r>
      <w:r>
        <w:rPr>
          <w:rFonts w:ascii="Arial" w:cs="Arial" w:eastAsia="Arial" w:hAnsi="Arial"/>
          <w:sz w:val="18"/>
          <w:szCs w:val="18"/>
          <w:color w:val="auto"/>
        </w:rPr>
        <w:t>” means (1) each of Moody’s and S&amp;P; and (2) if any of Moody’s or S&amp;P ceases to rate the Notes or fails to make a rating of the Notes publicly available for reasons outside of the Company’s control, a “nationally recognized statistical rating organization” within the meaning of Rule 15c3-1(c)(2) (vi)(F) under the Exchange Act, selected by the Company (as certified by a resolution of the Chief Executive Officer or Chief Financial Officer) as a replacement agency for Moody’s or S&amp;P or both of them, as the case may be.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means:</w:t>
      </w:r>
    </w:p>
    <w:p>
      <w:pPr>
        <w:spacing w:after="0" w:line="96" w:lineRule="exact"/>
        <w:rPr>
          <w:sz w:val="20"/>
          <w:szCs w:val="20"/>
          <w:color w:val="auto"/>
        </w:rPr>
      </w:pPr>
    </w:p>
    <w:p>
      <w:pPr>
        <w:ind w:left="1480" w:right="260" w:hanging="446"/>
        <w:spacing w:after="0" w:line="332" w:lineRule="auto"/>
        <w:tabs>
          <w:tab w:leader="none" w:pos="1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Citigroup Global Markets Inc. and J.P. Morgan Securities Inc. and their successors; provided that, if any ceases to be a primary U.S. Government securities dealer in the U.S. (“Primary Treasury Dealer”), the Company will substitute another Primary Treasury Dealer; and</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Primary Treasury Dealers selected by the Company.</w:t>
      </w:r>
    </w:p>
    <w:p>
      <w:pPr>
        <w:spacing w:after="0" w:line="165"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 Quotation</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Company by such Reference Treasury Dealer at 5:00 p.m. (New York City time) on the third business day preceding that Redemption Date.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 Hill Companies, Inc. and its successors.</w:t>
      </w:r>
    </w:p>
    <w:p>
      <w:pPr>
        <w:spacing w:after="0" w:line="171"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specified “person” (as that term is used in Section 13(d)(3) of the Exchange Act) as of any date means the capital stock of such person that is at the time entitled to vote generally in the election of the board of directors of such person.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AND</w:t>
      </w:r>
      <w:r>
        <w:rPr>
          <w:rFonts w:ascii="Arial" w:cs="Arial" w:eastAsia="Arial" w:hAnsi="Arial"/>
          <w:sz w:val="18"/>
          <w:szCs w:val="18"/>
          <w:color w:val="auto"/>
        </w:rPr>
        <w:t xml:space="preserve"> T</w:t>
      </w:r>
      <w:r>
        <w:rPr>
          <w:rFonts w:ascii="Arial" w:cs="Arial" w:eastAsia="Arial" w:hAnsi="Arial"/>
          <w:sz w:val="14"/>
          <w:szCs w:val="14"/>
          <w:color w:val="auto"/>
        </w:rPr>
        <w:t>ERMS OF THE</w:t>
      </w:r>
      <w:r>
        <w:rPr>
          <w:rFonts w:ascii="Arial" w:cs="Arial" w:eastAsia="Arial" w:hAnsi="Arial"/>
          <w:sz w:val="18"/>
          <w:szCs w:val="18"/>
          <w:color w:val="auto"/>
        </w:rPr>
        <w:t xml:space="preserve"> N</w:t>
      </w:r>
      <w:r>
        <w:rPr>
          <w:rFonts w:ascii="Arial" w:cs="Arial" w:eastAsia="Arial" w:hAnsi="Arial"/>
          <w:sz w:val="14"/>
          <w:szCs w:val="14"/>
          <w:color w:val="auto"/>
        </w:rPr>
        <w:t>OTES</w:t>
      </w:r>
    </w:p>
    <w:p>
      <w:pPr>
        <w:spacing w:after="0" w:line="16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Section 3.01</w:t>
      </w:r>
      <w:r>
        <w:rPr>
          <w:rFonts w:ascii="Arial" w:cs="Arial" w:eastAsia="Arial" w:hAnsi="Arial"/>
          <w:sz w:val="16"/>
          <w:szCs w:val="16"/>
          <w:i w:val="1"/>
          <w:iCs w:val="1"/>
          <w:color w:val="auto"/>
        </w:rPr>
        <w:t>. Form and Dating</w:t>
      </w:r>
      <w:r>
        <w:rPr>
          <w:rFonts w:ascii="Arial" w:cs="Arial" w:eastAsia="Arial" w:hAnsi="Arial"/>
          <w:sz w:val="16"/>
          <w:szCs w:val="16"/>
          <w:color w:val="auto"/>
        </w:rPr>
        <w:t xml:space="preserve">. The Notes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with such appropriate insertions, omissions, substitutions and other variations as are required or permitted by the Indenture and this Second Supplemental Indenture, and may have such letters, numbers or other marks of identification and such legends or endorsements placed thereon as may be required to comply with the rules of any securities exchange and regulations thereunder, or as may, consistent herewith, be determined by the officers executing such Notes, as evidenced by their execution thereof.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0" w:name="page41"/>
    <w:bookmarkEnd w:id="40"/>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shall furnish any such legends and endorsements to the Trustee in writing. All Notes shall be in fully registered form. The Notes and any beneficial interest in the Notes shall be in minimum denominations of $2,000 and integral multiples of $1,000 in excess thereof.</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terms and notations contained in the Notes shall constitute, and are hereby expressly made, a part of the Indenture as supplemented by this Second Supplemental Indenture and the Company and the Trustee, by their execution and delivery of this Second Supplemental Indenture, expressly agree to such terms and provisions and to be bound thereby.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Terms of the Notes.</w:t>
      </w:r>
      <w:r>
        <w:rPr>
          <w:rFonts w:ascii="Arial" w:cs="Arial" w:eastAsia="Arial" w:hAnsi="Arial"/>
          <w:sz w:val="18"/>
          <w:szCs w:val="18"/>
          <w:color w:val="auto"/>
        </w:rPr>
        <w:t xml:space="preserve"> The following terms relating to the Notes are hereby established:</w:t>
      </w:r>
    </w:p>
    <w:p>
      <w:pPr>
        <w:spacing w:after="0" w:line="90" w:lineRule="exact"/>
        <w:rPr>
          <w:sz w:val="20"/>
          <w:szCs w:val="20"/>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Title</w:t>
      </w:r>
      <w:r>
        <w:rPr>
          <w:rFonts w:ascii="Arial" w:cs="Arial" w:eastAsia="Arial" w:hAnsi="Arial"/>
          <w:sz w:val="18"/>
          <w:szCs w:val="18"/>
          <w:color w:val="auto"/>
        </w:rPr>
        <w:t>. The Notes shall constitute a series of Securities having the title “7.250% Notes due February 1, 2019”.</w:t>
      </w:r>
    </w:p>
    <w:p>
      <w:pPr>
        <w:spacing w:after="0" w:line="171" w:lineRule="exact"/>
        <w:rPr>
          <w:rFonts w:ascii="Arial" w:cs="Arial" w:eastAsia="Arial" w:hAnsi="Arial"/>
          <w:sz w:val="18"/>
          <w:szCs w:val="18"/>
          <w:color w:val="auto"/>
        </w:rPr>
      </w:pPr>
    </w:p>
    <w:p>
      <w:pPr>
        <w:ind w:right="40" w:firstLine="464"/>
        <w:spacing w:after="0" w:line="294" w:lineRule="auto"/>
        <w:tabs>
          <w:tab w:leader="none" w:pos="70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Principal Amount</w:t>
      </w:r>
      <w:r>
        <w:rPr>
          <w:rFonts w:ascii="Arial" w:cs="Arial" w:eastAsia="Arial" w:hAnsi="Arial"/>
          <w:sz w:val="16"/>
          <w:szCs w:val="16"/>
          <w:color w:val="auto"/>
        </w:rPr>
        <w:t>. The aggregate principal amount of the Notes that may be initially authenticated and delivered under the Indenture, as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hereby, shall be $400,000,000. The Company may from time to time, without the consent of the Holders of Notes, issue additional Notes (in any such case “</w:t>
      </w:r>
      <w:r>
        <w:rPr>
          <w:rFonts w:ascii="Arial" w:cs="Arial" w:eastAsia="Arial" w:hAnsi="Arial"/>
          <w:sz w:val="16"/>
          <w:szCs w:val="16"/>
          <w:b w:val="1"/>
          <w:bCs w:val="1"/>
          <w:color w:val="auto"/>
        </w:rPr>
        <w:t>Additional Notes</w:t>
      </w:r>
      <w:r>
        <w:rPr>
          <w:rFonts w:ascii="Arial" w:cs="Arial" w:eastAsia="Arial" w:hAnsi="Arial"/>
          <w:sz w:val="16"/>
          <w:szCs w:val="16"/>
          <w:color w:val="auto"/>
        </w:rPr>
        <w:t>”) of such series having the same ranking and the same interest rate, maturity and other terms as the Notes of that series. Any Additional Notes of a series and the existing Notes of that series will constitute a single series under the Indenture if such Additional Securities are fungible with the Notes for U.S. federal income tax purposes and all references to the relevant Notes shall include the Additional Notes unless the context otherwise requires.</w:t>
      </w:r>
    </w:p>
    <w:p>
      <w:pPr>
        <w:spacing w:after="0" w:line="115" w:lineRule="exact"/>
        <w:rPr>
          <w:rFonts w:ascii="Arial" w:cs="Arial" w:eastAsia="Arial" w:hAnsi="Arial"/>
          <w:sz w:val="16"/>
          <w:szCs w:val="16"/>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Maturity Date</w:t>
      </w:r>
      <w:r>
        <w:rPr>
          <w:rFonts w:ascii="Arial" w:cs="Arial" w:eastAsia="Arial" w:hAnsi="Arial"/>
          <w:sz w:val="18"/>
          <w:szCs w:val="18"/>
          <w:color w:val="auto"/>
        </w:rPr>
        <w:t>. The entire outstanding principal of the Notes shall be payable on February 1, 2019.</w:t>
      </w:r>
    </w:p>
    <w:p>
      <w:pPr>
        <w:spacing w:after="0" w:line="171" w:lineRule="exact"/>
        <w:rPr>
          <w:rFonts w:ascii="Arial" w:cs="Arial" w:eastAsia="Arial" w:hAnsi="Arial"/>
          <w:sz w:val="18"/>
          <w:szCs w:val="18"/>
          <w:color w:val="auto"/>
        </w:rPr>
      </w:pPr>
    </w:p>
    <w:p>
      <w:pPr>
        <w:ind w:firstLine="464"/>
        <w:spacing w:after="0" w:line="294" w:lineRule="auto"/>
        <w:tabs>
          <w:tab w:leader="none" w:pos="70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Interest Rate</w:t>
      </w:r>
      <w:r>
        <w:rPr>
          <w:rFonts w:ascii="Arial" w:cs="Arial" w:eastAsia="Arial" w:hAnsi="Arial"/>
          <w:sz w:val="16"/>
          <w:szCs w:val="16"/>
          <w:color w:val="auto"/>
        </w:rPr>
        <w:t>. The rate at which the Notes shall bear interest shall be 7.250% per annum; the date from which interest shall accrue on the Notes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30, 2009, or the most recent Interest Payment Date to which interest has been paid or provided for; the Interest Payment Dates for the Notes shall be February 1 and August 1 of each year, beginning August 1, 2009; the interest so payable, and punctually paid or duly provided for, on any Interest Payment Date, will be paid, in immediately available funds, to the Persons in whose names the Notes (or one or more predecessor Securities) is registered at the close of business on the Regular Record Date for such interest, which shall be January 15 or July 15, as the case may be, next preceding such Interest Payment Date.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3.03</w:t>
      </w:r>
      <w:r>
        <w:rPr>
          <w:rFonts w:ascii="Arial" w:cs="Arial" w:eastAsia="Arial" w:hAnsi="Arial"/>
          <w:sz w:val="18"/>
          <w:szCs w:val="18"/>
          <w:i w:val="1"/>
          <w:iCs w:val="1"/>
          <w:color w:val="auto"/>
        </w:rPr>
        <w:t>. Optional Redemption.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1" w:name="page42"/>
    <w:bookmarkEnd w:id="41"/>
    <w:p>
      <w:pPr>
        <w:ind w:left="-60" w:right="40" w:firstLine="464"/>
        <w:spacing w:after="0" w:line="291" w:lineRule="auto"/>
        <w:tabs>
          <w:tab w:leader="none" w:pos="635"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Notes of each series will be redeemable, in whole or in part, at the Company’s option at any time. The redemption price for the Notes to be redeemed on any date fixed for redemption by or pursuant to the Indenture, as amended hereby, and the Notes (the “</w:t>
      </w:r>
      <w:r>
        <w:rPr>
          <w:rFonts w:ascii="Arial" w:cs="Arial" w:eastAsia="Arial" w:hAnsi="Arial"/>
          <w:sz w:val="16"/>
          <w:szCs w:val="16"/>
          <w:b w:val="1"/>
          <w:bCs w:val="1"/>
          <w:color w:val="auto"/>
        </w:rPr>
        <w:t>Redemption Date</w:t>
      </w:r>
      <w:r>
        <w:rPr>
          <w:rFonts w:ascii="Arial" w:cs="Arial" w:eastAsia="Arial" w:hAnsi="Arial"/>
          <w:sz w:val="16"/>
          <w:szCs w:val="16"/>
          <w:color w:val="auto"/>
        </w:rPr>
        <w:t>”), will be equal to the greater of (i) 100% of the principal amount of the Notes to be redeemed, or (ii) as determined by the Quotation Agent, the sum of the present values of the remaining scheduled payments of principal and interest on such Notes (not including any portion of any payments of interest accrued as of the Redemption Date) discounted to the Redemption Date on a semi-annual basis at the Adjusted Treasury Rate plus 50 basis points; plus, in each case, accrued and unpaid interest to the Redemption Date, assuming a 360-day year consisting of twelve 30-day months.</w:t>
      </w:r>
    </w:p>
    <w:p>
      <w:pPr>
        <w:spacing w:after="0" w:line="120" w:lineRule="exact"/>
        <w:rPr>
          <w:rFonts w:ascii="Arial" w:cs="Arial" w:eastAsia="Arial" w:hAnsi="Arial"/>
          <w:sz w:val="16"/>
          <w:szCs w:val="16"/>
          <w:color w:val="auto"/>
        </w:rPr>
      </w:pPr>
    </w:p>
    <w:p>
      <w:pPr>
        <w:ind w:left="-60" w:right="80" w:firstLine="464"/>
        <w:spacing w:after="0" w:line="294" w:lineRule="auto"/>
        <w:tabs>
          <w:tab w:leader="none" w:pos="6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and after the Redemption Date for the Notes of a series, interest will cease to accrue on the Notes of such series or any portion thereof called for redemption, unless the Company defaults in the payment of the redemption price. On or before the Redemption Date for the Notes of that series, the Company will deposit with a Paying Agent, or the Trustee, funds sufficient to pay the redemption price of the Notes of a series to be redeemed on such date. If less than all of the Notes are to be redeemed, the Notes to be redeemed will be selected by the Trustee by such method as the Trustee deems fair and appropriate; provided however that no Notes of a Principal Amount of $2,000 or less shall be redeemed in part.</w:t>
      </w:r>
    </w:p>
    <w:p>
      <w:pPr>
        <w:spacing w:after="0" w:line="115" w:lineRule="exact"/>
        <w:rPr>
          <w:rFonts w:ascii="Arial" w:cs="Arial" w:eastAsia="Arial" w:hAnsi="Arial"/>
          <w:sz w:val="16"/>
          <w:szCs w:val="16"/>
          <w:color w:val="auto"/>
        </w:rPr>
      </w:pPr>
    </w:p>
    <w:p>
      <w:pPr>
        <w:ind w:left="-60" w:right="200" w:firstLine="464"/>
        <w:spacing w:after="0" w:line="298" w:lineRule="auto"/>
        <w:tabs>
          <w:tab w:leader="none" w:pos="6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Notice of any redemption will be mailed at least 30 days but not more than 60 days before the Redemption Date to each Holder of the Notes of the applicable series to be redeemed; provided however that if the Trustee is asked to give such notice it shall be notified in writing of such request at least 15 days prior to the date of the giving of such notice. Once notice of redemption is mailed, the Notes called for redemption will become due and payable on the Redemption Date and at the applicable redemption price, plus accrued and unpaid interest to the Redemption Date.</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Repurchase of Notes upon a Change of Control Repurchase Event.</w:t>
      </w:r>
    </w:p>
    <w:p>
      <w:pPr>
        <w:spacing w:after="0" w:line="90" w:lineRule="exact"/>
        <w:rPr>
          <w:sz w:val="20"/>
          <w:szCs w:val="20"/>
          <w:color w:val="auto"/>
        </w:rPr>
      </w:pPr>
    </w:p>
    <w:p>
      <w:pPr>
        <w:ind w:left="-60" w:firstLine="464"/>
        <w:spacing w:after="0" w:line="294" w:lineRule="auto"/>
        <w:tabs>
          <w:tab w:leader="none" w:pos="6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 Change of Control Repurchase Event occurs with respect to the Notes of a series, unless the Company shall have exercised its right to redeem the Notes of such series as described in Section 3.03 of this Second Supplemental Indenture, the Company shall be required to make an offer (the “</w:t>
      </w:r>
      <w:r>
        <w:rPr>
          <w:rFonts w:ascii="Arial" w:cs="Arial" w:eastAsia="Arial" w:hAnsi="Arial"/>
          <w:sz w:val="16"/>
          <w:szCs w:val="16"/>
          <w:b w:val="1"/>
          <w:bCs w:val="1"/>
          <w:color w:val="auto"/>
        </w:rPr>
        <w:t>Change of</w:t>
      </w:r>
      <w:r>
        <w:rPr>
          <w:rFonts w:ascii="Arial" w:cs="Arial" w:eastAsia="Arial" w:hAnsi="Arial"/>
          <w:sz w:val="16"/>
          <w:szCs w:val="16"/>
          <w:color w:val="auto"/>
        </w:rPr>
        <w:t xml:space="preserve"> </w:t>
      </w:r>
      <w:r>
        <w:rPr>
          <w:rFonts w:ascii="Arial" w:cs="Arial" w:eastAsia="Arial" w:hAnsi="Arial"/>
          <w:sz w:val="16"/>
          <w:szCs w:val="16"/>
          <w:b w:val="1"/>
          <w:bCs w:val="1"/>
          <w:color w:val="auto"/>
        </w:rPr>
        <w:t>Control Offer</w:t>
      </w:r>
      <w:r>
        <w:rPr>
          <w:rFonts w:ascii="Arial" w:cs="Arial" w:eastAsia="Arial" w:hAnsi="Arial"/>
          <w:sz w:val="16"/>
          <w:szCs w:val="16"/>
          <w:color w:val="auto"/>
        </w:rPr>
        <w:t>”) to each Holder of the Notes of such series to repurchase all or any part (equal to $2,000 or any integral multiple of $1,000 in excess thereof) of</w:t>
      </w:r>
      <w:r>
        <w:rPr>
          <w:rFonts w:ascii="Arial" w:cs="Arial" w:eastAsia="Arial" w:hAnsi="Arial"/>
          <w:sz w:val="16"/>
          <w:szCs w:val="16"/>
          <w:b w:val="1"/>
          <w:bCs w:val="1"/>
          <w:color w:val="auto"/>
        </w:rPr>
        <w:t xml:space="preserve"> </w:t>
      </w:r>
      <w:r>
        <w:rPr>
          <w:rFonts w:ascii="Arial" w:cs="Arial" w:eastAsia="Arial" w:hAnsi="Arial"/>
          <w:sz w:val="16"/>
          <w:szCs w:val="16"/>
          <w:color w:val="auto"/>
        </w:rPr>
        <w:t>that Holder’s Notes of such series on the terms set forth in this Section 3.04 and in the Notes of such series. In the Change of Control Offer, the Company shall be required to offer payment in cash equal to 101% of the aggregate principal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300" w:top="280" w:right="279" w:bottom="1440" w:gutter="0" w:footer="0" w:header="0"/>
        </w:sectPr>
      </w:pPr>
    </w:p>
    <w:bookmarkStart w:id="42" w:name="page43"/>
    <w:bookmarkEnd w:id="4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of the Notes repurchased, plus any accrued and unpaid interest on the Notes repurchased up to, but not including, the date of repurchase (the “</w:t>
      </w:r>
      <w:r>
        <w:rPr>
          <w:rFonts w:ascii="Arial" w:cs="Arial" w:eastAsia="Arial" w:hAnsi="Arial"/>
          <w:sz w:val="16"/>
          <w:szCs w:val="16"/>
          <w:b w:val="1"/>
          <w:bCs w:val="1"/>
          <w:color w:val="auto"/>
        </w:rPr>
        <w:t>Change of</w:t>
      </w:r>
      <w:r>
        <w:rPr>
          <w:rFonts w:ascii="Arial" w:cs="Arial" w:eastAsia="Arial" w:hAnsi="Arial"/>
          <w:sz w:val="16"/>
          <w:szCs w:val="16"/>
          <w:color w:val="auto"/>
        </w:rPr>
        <w:t xml:space="preserve"> </w:t>
      </w:r>
      <w:r>
        <w:rPr>
          <w:rFonts w:ascii="Arial" w:cs="Arial" w:eastAsia="Arial" w:hAnsi="Arial"/>
          <w:sz w:val="16"/>
          <w:szCs w:val="16"/>
          <w:b w:val="1"/>
          <w:bCs w:val="1"/>
          <w:color w:val="auto"/>
        </w:rPr>
        <w:t>Control Payment</w:t>
      </w:r>
      <w:r>
        <w:rPr>
          <w:rFonts w:ascii="Arial" w:cs="Arial" w:eastAsia="Arial" w:hAnsi="Arial"/>
          <w:sz w:val="16"/>
          <w:szCs w:val="16"/>
          <w:color w:val="auto"/>
        </w:rPr>
        <w:t>”). With respect to the Notes of each series, within 30 days following any Change of Control Repurchase Event or, at the option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prior to any Change of Control, but after the public announcement of the transaction that constitutes or may constitute the Change of Control, the Company shall mail a notice to Holders of Notes, with a copy to the Trustee, of the applicable series describing the transaction that constitutes or may constitute the Change of Control Repurchase Event and offering to repurchase the Notes of such series on the date specified in the notice, which date shall be no earlier than 30 days and no later than 60 days from the date such notice is mailed. The notice shall, if mailed prior to the date of consummation of the Change of Control, state that the offer to purchase is conditioned on a Change of Control Repurchase Event occurring on or prior to the payment date specified in the notice (the “</w:t>
      </w:r>
      <w:r>
        <w:rPr>
          <w:rFonts w:ascii="Arial" w:cs="Arial" w:eastAsia="Arial" w:hAnsi="Arial"/>
          <w:sz w:val="16"/>
          <w:szCs w:val="16"/>
          <w:b w:val="1"/>
          <w:bCs w:val="1"/>
          <w:color w:val="auto"/>
        </w:rPr>
        <w:t>Change</w:t>
      </w:r>
      <w:r>
        <w:rPr>
          <w:rFonts w:ascii="Arial" w:cs="Arial" w:eastAsia="Arial" w:hAnsi="Arial"/>
          <w:sz w:val="16"/>
          <w:szCs w:val="16"/>
          <w:color w:val="auto"/>
        </w:rPr>
        <w:t xml:space="preserve"> </w:t>
      </w:r>
      <w:r>
        <w:rPr>
          <w:rFonts w:ascii="Arial" w:cs="Arial" w:eastAsia="Arial" w:hAnsi="Arial"/>
          <w:sz w:val="16"/>
          <w:szCs w:val="16"/>
          <w:b w:val="1"/>
          <w:bCs w:val="1"/>
          <w:color w:val="auto"/>
        </w:rPr>
        <w:t>of Control Payment Date</w:t>
      </w:r>
      <w:r>
        <w:rPr>
          <w:rFonts w:ascii="Arial" w:cs="Arial" w:eastAsia="Arial" w:hAnsi="Arial"/>
          <w:sz w:val="16"/>
          <w:szCs w:val="16"/>
          <w:color w:val="auto"/>
        </w:rPr>
        <w:t>”).</w:t>
      </w:r>
    </w:p>
    <w:p>
      <w:pPr>
        <w:spacing w:after="0" w:line="118" w:lineRule="exact"/>
        <w:rPr>
          <w:sz w:val="20"/>
          <w:szCs w:val="20"/>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200" w:firstLine="443"/>
        <w:spacing w:after="0" w:line="268" w:lineRule="auto"/>
        <w:tabs>
          <w:tab w:leader="none" w:pos="120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31" w:lineRule="exact"/>
        <w:rPr>
          <w:rFonts w:ascii="Arial" w:cs="Arial" w:eastAsia="Arial" w:hAnsi="Arial"/>
          <w:sz w:val="18"/>
          <w:szCs w:val="18"/>
          <w:color w:val="auto"/>
        </w:rPr>
      </w:pPr>
    </w:p>
    <w:p>
      <w:pPr>
        <w:ind w:right="320" w:firstLine="464"/>
        <w:spacing w:after="0" w:line="306"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Paying Agent will promptly mail to each Holder of Notes properly tendered the purchase price for the Notes, and the Trustee will promptly authenticate and mail (or cause to be transferred by book-entry) to each Holder a new note equal in principal amount to any unpurchased portion of any Notes surrendered; provided that each new note will be in a principal amount of $2,000 or an integral multiple of $1,000 in excess thereof.</w:t>
      </w:r>
    </w:p>
    <w:p>
      <w:pPr>
        <w:spacing w:after="0" w:line="106" w:lineRule="exact"/>
        <w:rPr>
          <w:rFonts w:ascii="Arial" w:cs="Arial" w:eastAsia="Arial" w:hAnsi="Arial"/>
          <w:sz w:val="16"/>
          <w:szCs w:val="16"/>
          <w:color w:val="auto"/>
        </w:rPr>
      </w:pPr>
    </w:p>
    <w:p>
      <w:pPr>
        <w:ind w:right="220" w:firstLine="464"/>
        <w:spacing w:after="0" w:line="259"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not be required to make a Change of Control Offer upon the occurrence of a Change of Control Repurchase Event if a third party makes such an offer in the manner, at the times and otherwise in compliance with the requirements for an offer made by the Company and such third party purchases all Notes properly tendered and not withdrawn under its offer.</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shall comply with the requirements of Rule 14e-1 under the Exchange Act and any other securities laws and regulations thereunder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43" w:name="page44"/>
    <w:bookmarkEnd w:id="43"/>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such laws and regulations are applicable in connection with the repurchase of the Notes of the applicable series as a result of a Change of Control Repurchase Event. To the extent that the provisions of any such securities laws or regulations conflict with the Change of Control Offer provisions of the Notes, the Company shall comply with the applicable securities laws and regulations and shall not be deemed to have breached its obligations under the Change of Control Offer provisions of the Notes by virtue of any such conflict.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Defeasance and Discharge.</w:t>
      </w:r>
      <w:r>
        <w:rPr>
          <w:rFonts w:ascii="Arial" w:cs="Arial" w:eastAsia="Arial" w:hAnsi="Arial"/>
          <w:sz w:val="18"/>
          <w:szCs w:val="18"/>
          <w:color w:val="auto"/>
        </w:rPr>
        <w:t xml:space="preserve"> The provisions of Section 503 of the Indenture shall apply to the Notes.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6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Trust Indenture Act Controls</w:t>
      </w:r>
      <w:r>
        <w:rPr>
          <w:rFonts w:ascii="Arial" w:cs="Arial" w:eastAsia="Arial" w:hAnsi="Arial"/>
          <w:sz w:val="18"/>
          <w:szCs w:val="18"/>
          <w:color w:val="auto"/>
        </w:rPr>
        <w:t>. If any provision of this Second Supplemental Indenture limits, qualifies or conflicts with another provision which is required to be included in this Second Supplemental Indenture by the TIA, the required provision shall control. If any provision of this Second Supplemental Indenture modifies or excludes any provision of the TIA which may be so modified or excluded, the latter provision shall be deemed to apply to this Second Supplemental Indenture as so modified or to be excluded, as the case may be.</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New York Law to Govern</w:t>
      </w:r>
      <w:r>
        <w:rPr>
          <w:rFonts w:ascii="Arial" w:cs="Arial" w:eastAsia="Arial" w:hAnsi="Arial"/>
          <w:sz w:val="18"/>
          <w:szCs w:val="18"/>
          <w:color w:val="auto"/>
        </w:rPr>
        <w:t>. This Second Supplemental Indenture and the Notes shall each be deemed to be a contract under the laws of the State of New York, and for all purposes shall be construed in accordance with the laws of said State.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Counterparts</w:t>
      </w:r>
      <w:r>
        <w:rPr>
          <w:rFonts w:ascii="Arial" w:cs="Arial" w:eastAsia="Arial" w:hAnsi="Arial"/>
          <w:sz w:val="18"/>
          <w:szCs w:val="18"/>
          <w:color w:val="auto"/>
        </w:rPr>
        <w:t>. This Second Supplemental Indenture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of this Second Supplemental Indenture or the Notes shall be held to be illegal or unenforceable under applicable law, then the remaining provisions hereof shall be construed as though such invalid, illegal or unenforceable provision were not contained therein.</w:t>
      </w:r>
    </w:p>
    <w:p>
      <w:pPr>
        <w:spacing w:after="0" w:line="85"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Ratification</w:t>
      </w:r>
      <w:r>
        <w:rPr>
          <w:rFonts w:ascii="Arial" w:cs="Arial" w:eastAsia="Arial" w:hAnsi="Arial"/>
          <w:sz w:val="16"/>
          <w:szCs w:val="16"/>
          <w:color w:val="auto"/>
        </w:rPr>
        <w:t>. The Indenture, as supplemented and amended by this Second Supplemental Indenture, is in all respects ratified and confirmed. The Indenture and this Second Supplemental Indenture shall be read, taken and construed as one and the same instrument. All provisions included in this Second Supplemental Indenture supersede any conflicting provisions included in the Indenture unless not permitted by law. The Trustee accepts the trusts created by the Indenture, as supplemented by this Second Supplemental Indenture, and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4" w:name="page45"/>
    <w:bookmarkEnd w:id="44"/>
    <w:p>
      <w:pPr>
        <w:jc w:val="right"/>
        <w:ind w:right="20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agrees to perform the same upon the terms and conditions of the Indenture, as supplemented by this Second Supplemental Indenture.</w:t>
      </w:r>
    </w:p>
    <w:p>
      <w:pPr>
        <w:spacing w:after="0" w:line="206" w:lineRule="exact"/>
        <w:rPr>
          <w:sz w:val="20"/>
          <w:szCs w:val="20"/>
          <w:color w:val="auto"/>
        </w:rPr>
      </w:pPr>
    </w:p>
    <w:p>
      <w:pPr>
        <w:jc w:val="right"/>
        <w:ind w:right="1960"/>
        <w:spacing w:after="0"/>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Effectiveness</w:t>
      </w:r>
      <w:r>
        <w:rPr>
          <w:rFonts w:ascii="Arial" w:cs="Arial" w:eastAsia="Arial" w:hAnsi="Arial"/>
          <w:sz w:val="16"/>
          <w:szCs w:val="16"/>
          <w:color w:val="auto"/>
        </w:rPr>
        <w:t>. The provisions of this Second Supplemental Indenture shall become effective as of the date hereof.</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Trustee Makes No Representation.</w:t>
      </w:r>
      <w:r>
        <w:rPr>
          <w:rFonts w:ascii="Arial" w:cs="Arial" w:eastAsia="Arial" w:hAnsi="Arial"/>
          <w:sz w:val="16"/>
          <w:szCs w:val="16"/>
          <w:color w:val="auto"/>
        </w:rPr>
        <w:t xml:space="preserve"> The recitals contained herein are made by the Company and not by the Trustee, and the Trustee assumes no responsibility for the correctness thereof. The Trustee makes no representation as to the validity or sufficiency of this Second Supplemental Indenture. All rights, protections, privileges, indemnities and benefits granted or afforded to the Trustee under the Indenture shall be deemed incorporated herein by this reference and shall be deemed applicable to all actions taken, suffered or omitted by the Trustee in each of its capacities hereunder, and each agent, custodian and other Person employed to act under this Second Supplemental Indenture.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Second Supplemental Indenture to be duly executed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Hal S. Jones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Hal S. Jones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Finance &amp; CFO</w:t>
            </w:r>
          </w:p>
        </w:tc>
      </w:tr>
    </w:tbl>
    <w:p>
      <w:pPr>
        <w:spacing w:after="0" w:line="156" w:lineRule="exact"/>
        <w:rPr>
          <w:sz w:val="20"/>
          <w:szCs w:val="20"/>
          <w:color w:val="auto"/>
        </w:rPr>
      </w:pPr>
    </w:p>
    <w:p>
      <w:pPr>
        <w:ind w:left="3480"/>
        <w:spacing w:after="0"/>
        <w:rPr>
          <w:sz w:val="20"/>
          <w:szCs w:val="20"/>
          <w:color w:val="auto"/>
        </w:rPr>
      </w:pPr>
      <w:r>
        <w:rPr>
          <w:rFonts w:ascii="Arial" w:cs="Arial" w:eastAsia="Arial" w:hAnsi="Arial"/>
          <w:sz w:val="18"/>
          <w:szCs w:val="18"/>
          <w:i w:val="1"/>
          <w:iCs w:val="1"/>
          <w:color w:val="auto"/>
        </w:rPr>
        <w:t>Signature Page to Second Supplemental Indenture</w:t>
      </w:r>
    </w:p>
    <w:p>
      <w:pPr>
        <w:sectPr>
          <w:pgSz w:w="11900" w:h="16838" w:orient="portrait"/>
          <w:cols w:equalWidth="0" w:num="1">
            <w:col w:w="10960"/>
          </w:cols>
          <w:pgMar w:left="700" w:top="280" w:right="239" w:bottom="1440" w:gutter="0" w:footer="0" w:header="0"/>
        </w:sectPr>
      </w:pPr>
    </w:p>
    <w:bookmarkStart w:id="46" w:name="page47"/>
    <w:bookmarkEnd w:id="4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OF NEW YORK MELLON TRUST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 as Trustee</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Sharon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Sharon McGrath</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Signature Page to Second Supplemental Indenture</w:t>
      </w:r>
    </w:p>
    <w:p>
      <w:pPr>
        <w:sectPr>
          <w:pgSz w:w="11900" w:h="16838" w:orient="portrait"/>
          <w:cols w:equalWidth="0" w:num="1">
            <w:col w:w="10100"/>
          </w:cols>
          <w:pgMar w:left="1440" w:top="280"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7.250% Note due February 1, 2019</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THIS SECURITY IS A GLOBAL SECURITY WITHIN THE MEANING OF THE INDENTURE HEREINAFTER REFERRED TO AND IS REGISTERED IN THE NAME OF DTC OR A NOMINEE THEREOF. THIS SECURITY MAY NOT BE EXCHANGED IN WHOLE OR IN PART FOR A SECURITY REGISTERED, AND NO TRANSFER OF THIS SECURITY IN WHOLE OR IN PART MAY BE REGISTERED, IN THE NAME OF ANY PERSON OTHER THAN DTC OR SUCH NOMINEE, EXCEPT IN THE LIMITED CIRCUMSTANCES DESCRIBED IN THE INDENTURE.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7.250% Note due 2019</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$400,000,000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939640 AD0</w:t>
      </w:r>
    </w:p>
    <w:p>
      <w:pPr>
        <w:spacing w:after="0" w:line="188" w:lineRule="exact"/>
        <w:rPr>
          <w:sz w:val="20"/>
          <w:szCs w:val="20"/>
          <w:color w:val="auto"/>
        </w:rPr>
      </w:pPr>
    </w:p>
    <w:p>
      <w:pPr>
        <w:sectPr>
          <w:pgSz w:w="11900" w:h="16838" w:orient="portrait"/>
          <w:cols w:equalWidth="0" w:num="2">
            <w:col w:w="8080" w:space="720"/>
            <w:col w:w="2620"/>
          </w:cols>
          <w:pgMar w:left="240" w:top="274" w:right="239" w:bottom="1440" w:gutter="0" w:footer="0" w:header="0"/>
          <w:type w:val="continuous"/>
        </w:sectPr>
      </w:pPr>
    </w:p>
    <w:p>
      <w:pPr>
        <w:ind w:firstLine="456"/>
        <w:spacing w:after="0" w:line="291" w:lineRule="auto"/>
        <w:rPr>
          <w:sz w:val="20"/>
          <w:szCs w:val="20"/>
          <w:color w:val="auto"/>
        </w:rPr>
      </w:pPr>
      <w:r>
        <w:rPr>
          <w:rFonts w:ascii="Arial" w:cs="Arial" w:eastAsia="Arial" w:hAnsi="Arial"/>
          <w:sz w:val="16"/>
          <w:szCs w:val="16"/>
          <w:color w:val="auto"/>
        </w:rPr>
        <w:t>THE WASHINGTON POST COMPANY, a corporation duly organized and existing under the laws of the State of Delaware (herein called the “Company”, which term includes any successor corporation under the Indenture referred to on the reverse hereof), for value received, hereby promises to pay to Cede &amp; Co., or registered assigns, the principal sum of FOUR HUNDRED MILLION UNITED STATES DOLLARS, at the office or agency of the Company in the Borough of Manhattan, The City and State of New York, on February 1, 2019 in such coin or currency of the United States of America as at the time of payment shall be legal tender for the payments of public and private debts, and to pay interest, semi-annually on February 1 and August 1 of each year, on said principal sum at said office or agency, in like coin or currency, at the rate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type w:val="continuous"/>
        </w:sectPr>
      </w:pPr>
    </w:p>
    <w:bookmarkStart w:id="48" w:name="page49"/>
    <w:bookmarkEnd w:id="4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7.250% per annum, from the date of this Security until payment of said principal sum has been made or duly provided for. The interest so payable on any February 1 or August 1 will subject to certain exceptions provided in the Indenture referred to on the reverse hereof, be paid to the person in whose name this Security is registered at the close of business on such January 15 or July 15, as the case may be, next preceding such February 1 or August 1, unless the Company shall default in the payment of interest due on such interest payment date, in which case such defaulted interest, at the option of the Company, may be paid to the person in whose name this Security is registered at the close of business on a Special Record Date for the payment of such defaulted interest established by notice to the registered holders of the Security not less than 10 days preceding such Special Record Date or may be paid in any other lawful manner not inconsistent with the requirements of any securities exchange on which the Securities of this series may be listed. Payment of interest may, at the option of the Company, be made by check mailed to the registered address of the person entitled thereto.</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signed by the Trustee under the Indenture referred to on the reverse 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49" w:name="page50"/>
    <w:bookmarkEnd w:id="49"/>
    <w:p>
      <w:pPr>
        <w:ind w:right="1839" w:firstLine="456"/>
        <w:spacing w:after="0" w:line="4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 under its corporate seal. Dated: January 30, 2009</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WASHINGTON POST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19"/>
          </w:cols>
          <w:pgMar w:left="240" w:top="280" w:right="1440" w:bottom="1440" w:gutter="0" w:footer="0" w:header="0"/>
        </w:sectPr>
      </w:pPr>
    </w:p>
    <w:bookmarkStart w:id="50" w:name="page51"/>
    <w:bookmarkEnd w:id="50"/>
    <w:p>
      <w:pPr>
        <w:ind w:left="37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TRUSTEE’S CERTIFICATE OF AUTHENTICATION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is one of the Securities of the Series designated herein issued under the within-mentioned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TRUST COMPANY,</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 as 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219"/>
          </w:cols>
          <w:pgMar w:left="240" w:top="280" w:right="1440"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Reverse]</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This Security is one of a duly authorized issue of unsecured debentures, notes or other evidences of indebtedness of the Company (hereinafter called the “Securities”), of the series hereinafter specified, all issued or to be issued under the Indenture (the “Base Indenture”), dated as of February 17, 1999, as amended by a First Supplemental Indenture (the “First Supplemental Indenture”), dated as of September 22, 2003, and a Second Supplemental Indenture (the “Second Supplemental Indenture”, together with the Base Indenture and the First Supplemental Indenture, the “Indenture”), dated as of January 30, 2009, duly executed and delivered by the Company to The Bank of New York Mellon Trust Company, N.A. (successor trustee to The First National Bank of Chicago, a national banking association), as trustee (hereinafter called the “Trustee”), to which Indenture and all indentures supplemental thereto reference is hereby made for a description of the respective rights and duties thereunder of the Trustee, the Company and the holders of the Securities. The Securities may be issued in one or more series, which different series may be issued in various aggregate principal amounts, may mature at different times, may bear interest at different rates, may be subject to different redemption provisions, may be subject to different sinking, purchase or analogous funds, may be subject to different covenants and Events of Default and may otherwise vary as in the Indenture provided. This Security is one of a series designated as the 7.250% Notes due February 1, 2019 of the Company (hereinafter called the “</w:t>
      </w:r>
      <w:r>
        <w:rPr>
          <w:rFonts w:ascii="Arial" w:cs="Arial" w:eastAsia="Arial" w:hAnsi="Arial"/>
          <w:sz w:val="16"/>
          <w:szCs w:val="16"/>
          <w:b w:val="1"/>
          <w:bCs w:val="1"/>
          <w:color w:val="auto"/>
        </w:rPr>
        <w:t>Notes</w:t>
      </w:r>
      <w:r>
        <w:rPr>
          <w:rFonts w:ascii="Arial" w:cs="Arial" w:eastAsia="Arial" w:hAnsi="Arial"/>
          <w:sz w:val="16"/>
          <w:szCs w:val="16"/>
          <w:color w:val="auto"/>
        </w:rPr>
        <w:t>”) issued under the Indenture, limited in aggregate principal amount to $400,000,000.</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Securities of each series will be redeemable, in whole or in part, at the Company’s option at any time. The redemption price for the Securities to be redeemed on any date fixed for redemption by or pursuant to the Indenture and the Securities (the “</w:t>
      </w:r>
      <w:r>
        <w:rPr>
          <w:rFonts w:ascii="Arial" w:cs="Arial" w:eastAsia="Arial" w:hAnsi="Arial"/>
          <w:sz w:val="16"/>
          <w:szCs w:val="16"/>
          <w:b w:val="1"/>
          <w:bCs w:val="1"/>
          <w:color w:val="auto"/>
        </w:rPr>
        <w:t>Redemption Date</w:t>
      </w:r>
      <w:r>
        <w:rPr>
          <w:rFonts w:ascii="Arial" w:cs="Arial" w:eastAsia="Arial" w:hAnsi="Arial"/>
          <w:sz w:val="16"/>
          <w:szCs w:val="16"/>
          <w:color w:val="auto"/>
        </w:rPr>
        <w:t>”), will be equal to the greater of (i) 100% of the principal amount of the Securities to be redeemed, or (ii) as determined by the Quotation Agent, the sum of the present values of the remaining scheduled payments of principal and interest on such Securities (not including any portion of any payments of interest accrued as of the Redemption Date) discounted to the Redemption Date on a semi-annual basis at the Adjusted Treasury Rate (as defined below) plus 50 basis points; plus, in each case, accrued and unpaid interest to the Redemption Date, assuming a 360-day year consisting of twelve 30-day months.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and after the Redemption Date for the Securities of a series, interest will cease to accrue on the Securities of such series or any portion thereof called for redemption, unless the Company defaults in the payment of the redemption price. On or before the Redemption Date for the Securities of that series, the Company will deposit with a Paying Agent, or the Trustee, funds sufficient to pay the redemption price of the Securities of a series to be redeemed on such date. If less than all of the Securities are to be redeemed, the Securities to be redeemed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80" w:right="239" w:bottom="1440" w:gutter="0" w:footer="0" w:header="0"/>
        </w:sectPr>
      </w:pPr>
    </w:p>
    <w:bookmarkStart w:id="52" w:name="page53"/>
    <w:bookmarkEnd w:id="5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be selected by the Trustee by such method as the Trustee deems fair and appropriate; provided however that no Securities of a Principal Amount of $2,000 or less shall be redeemed in part.</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Securities of the applicable series to be redeemed; provided however that if the Trustee is asked to give such notice it shall be notified in writing of such request at least 15 days prior to the date of the giving of such notice. Once notice of redemption is mailed, the Securities called for redemption will become due and payable on the Redemption Date and at the applicable redemption price, plus accrued and unpaid interest to the Redemption Date.</w:t>
      </w:r>
    </w:p>
    <w:p>
      <w:pPr>
        <w:spacing w:after="0" w:line="107" w:lineRule="exact"/>
        <w:rPr>
          <w:sz w:val="20"/>
          <w:szCs w:val="20"/>
          <w:color w:val="auto"/>
        </w:rPr>
      </w:pPr>
    </w:p>
    <w:p>
      <w:pPr>
        <w:jc w:val="both"/>
        <w:ind w:right="22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Adjusted Treasury Rate</w:t>
      </w:r>
      <w:r>
        <w:rPr>
          <w:rFonts w:ascii="Arial" w:cs="Arial" w:eastAsia="Arial" w:hAnsi="Arial"/>
          <w:sz w:val="15"/>
          <w:szCs w:val="15"/>
          <w:color w:val="auto"/>
        </w:rPr>
        <w:t>” means, with respect to any Redemption Date the rate per annum equal to the semi-annual equivalent yield to maturity of the Comparable Treasury Issue, assuming a price for the Comparable Treasury Issue (expressed as a percentage of the principal amount) equal to the Comparable Treasury Price for that Redemption Date. The Adjusted Treasury Rate will be calculated on the third Business Day preceding the Redemption Date.</w:t>
      </w:r>
    </w:p>
    <w:p>
      <w:pPr>
        <w:spacing w:after="0" w:line="79"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Comparable Treasury Issue</w:t>
      </w:r>
      <w:r>
        <w:rPr>
          <w:rFonts w:ascii="Arial" w:cs="Arial" w:eastAsia="Arial" w:hAnsi="Arial"/>
          <w:sz w:val="16"/>
          <w:szCs w:val="16"/>
          <w:color w:val="auto"/>
        </w:rPr>
        <w:t>” means the U.S. Treasury security selected by the applicable Quotation Agent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those Securities.</w:t>
      </w:r>
    </w:p>
    <w:p>
      <w:pPr>
        <w:spacing w:after="0" w:line="97"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(A) the average of four Reference Treasury Dealer Quotations for that Redemption Date, after excluding the highest and lowest of those Reference Treasury Dealer Quotations, or (B) if the Company obtains fewer than four such Reference Treasury Dealer Quotations, the average of all of those quotations.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Company for the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means:</w:t>
      </w:r>
    </w:p>
    <w:p>
      <w:pPr>
        <w:spacing w:after="0" w:line="96" w:lineRule="exact"/>
        <w:rPr>
          <w:sz w:val="20"/>
          <w:szCs w:val="20"/>
          <w:color w:val="auto"/>
        </w:rPr>
      </w:pPr>
    </w:p>
    <w:p>
      <w:pPr>
        <w:ind w:left="900" w:right="280" w:hanging="325"/>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Citigroup Global Markets Inc. and J.P. Morgan Securities Inc. and their successors; provided that, if any ceases to be a primary U.S. Government securities dealer in the U.S. (“Primary Treasury Dealer”), the Company will substitute another Primary Treasury Dealer;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Primary Treasury Dealers selected by the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80" w:right="279" w:bottom="1440" w:gutter="0" w:footer="0" w:header="0"/>
        </w:sectPr>
      </w:pPr>
    </w:p>
    <w:bookmarkStart w:id="53" w:name="page54"/>
    <w:bookmarkEnd w:id="53"/>
    <w:p>
      <w:pPr>
        <w:jc w:val="both"/>
        <w:ind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Reference Treasury Dealer Quotation</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Company by such Reference Treasury Dealer at 5:00 p.m. (New York City time) on the third business day preceding that Redemption Date.</w:t>
      </w:r>
    </w:p>
    <w:p>
      <w:pPr>
        <w:spacing w:after="0" w:line="10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a Change of Control Repurchase Event occurs with respect to the Securities of a series, unless the Company shall have exercised its right to redeem the Securities of such series as described above, the Company shall be required to make an offer (the “</w:t>
      </w:r>
      <w:r>
        <w:rPr>
          <w:rFonts w:ascii="Arial" w:cs="Arial" w:eastAsia="Arial" w:hAnsi="Arial"/>
          <w:sz w:val="16"/>
          <w:szCs w:val="16"/>
          <w:b w:val="1"/>
          <w:bCs w:val="1"/>
          <w:color w:val="auto"/>
        </w:rPr>
        <w:t>Change of Control Offer</w:t>
      </w:r>
      <w:r>
        <w:rPr>
          <w:rFonts w:ascii="Arial" w:cs="Arial" w:eastAsia="Arial" w:hAnsi="Arial"/>
          <w:sz w:val="16"/>
          <w:szCs w:val="16"/>
          <w:color w:val="auto"/>
        </w:rPr>
        <w:t>”) to each Holder of the Securities of such series to repurchase all or any part (equal to $2,000 or any integral multiple of $1,000 in excess thereof) of that Holder’s Securities of such series on the terms set forth in the Indenture and in the Securities of such series. In the Change of Control Offer, the Company shall be required to offer payment in cash equal to 101% of the aggregate principal amount of the Securities repurchased, plus any accrued and unpaid interest on the Securities repurchased up to, but not including, the date of repurchase (the “</w:t>
      </w:r>
      <w:r>
        <w:rPr>
          <w:rFonts w:ascii="Arial" w:cs="Arial" w:eastAsia="Arial" w:hAnsi="Arial"/>
          <w:sz w:val="16"/>
          <w:szCs w:val="16"/>
          <w:b w:val="1"/>
          <w:bCs w:val="1"/>
          <w:color w:val="auto"/>
        </w:rPr>
        <w:t>Change of Control Payment</w:t>
      </w:r>
      <w:r>
        <w:rPr>
          <w:rFonts w:ascii="Arial" w:cs="Arial" w:eastAsia="Arial" w:hAnsi="Arial"/>
          <w:sz w:val="16"/>
          <w:szCs w:val="16"/>
          <w:color w:val="auto"/>
        </w:rPr>
        <w:t>”). With respect to the Securities of each series, within 30 days following any Change of Control Repurchase Event or, at the option of the Company, prior to any Change of Control, but after the public announcement of the transaction that constitutes or may constitute the Change of Control, the Company shall mail a notice to Holders of Securities, with a copy to the Trustee, of the applicable series describing the transaction that constitutes or may constitute the Change of Control Repurchase Event and offering to repurchase the Securities of such series on the date specified in the notice, which date shall be no earlier than 30 days and no later than 60 days from the date such notice is mailed. The notice shall, if mailed prior to the date of consummation of the Change of Control, state that the offer to purchase is conditioned on a Change of Control Repurchase Event occurring on or prior to the payment date specified in the notice (the “</w:t>
      </w:r>
      <w:r>
        <w:rPr>
          <w:rFonts w:ascii="Arial" w:cs="Arial" w:eastAsia="Arial" w:hAnsi="Arial"/>
          <w:sz w:val="16"/>
          <w:szCs w:val="16"/>
          <w:b w:val="1"/>
          <w:bCs w:val="1"/>
          <w:color w:val="auto"/>
        </w:rPr>
        <w:t>Change of Control Payment Date</w:t>
      </w:r>
      <w:r>
        <w:rPr>
          <w:rFonts w:ascii="Arial" w:cs="Arial" w:eastAsia="Arial" w:hAnsi="Arial"/>
          <w:sz w:val="16"/>
          <w:szCs w:val="16"/>
          <w:color w:val="auto"/>
        </w:rPr>
        <w: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Company shall, to the extent lawful:</w:t>
      </w:r>
    </w:p>
    <w:p>
      <w:pPr>
        <w:spacing w:after="0" w:line="90" w:lineRule="exact"/>
        <w:rPr>
          <w:sz w:val="20"/>
          <w:szCs w:val="20"/>
          <w:color w:val="auto"/>
        </w:rPr>
      </w:pPr>
    </w:p>
    <w:p>
      <w:pPr>
        <w:ind w:left="1120" w:hanging="217"/>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accept for payment all Securities or portions of Securities properly tendered pursuant to the Change of Control Offer;</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50" w:lineRule="exact"/>
        <w:rPr>
          <w:rFonts w:ascii="Arial" w:cs="Arial" w:eastAsia="Arial" w:hAnsi="Arial"/>
          <w:sz w:val="18"/>
          <w:szCs w:val="18"/>
          <w:color w:val="auto"/>
        </w:rPr>
      </w:pPr>
    </w:p>
    <w:p>
      <w:pPr>
        <w:ind w:left="460" w:right="580" w:firstLine="443"/>
        <w:spacing w:after="0" w:line="268" w:lineRule="auto"/>
        <w:tabs>
          <w:tab w:leader="none" w:pos="12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being purchased by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74" w:right="239" w:bottom="1440" w:gutter="0" w:footer="0" w:header="0"/>
        </w:sectPr>
      </w:pPr>
    </w:p>
    <w:bookmarkStart w:id="54" w:name="page55"/>
    <w:bookmarkEnd w:id="54"/>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paying agent will promptly mail to each Holder of Securities properly tendered the purchase price for the Securities, and the Trustee will promptly authenticate and mail (or cause to be transferred by book-entry) to each Holder a new note equal in principal amount to any unpurchased portion of any Securities surrendered; provided that each new note will be in a principal amount of $2,000 or an integral multiple of $1,000 in excess thereof.</w:t>
      </w:r>
    </w:p>
    <w:p>
      <w:pPr>
        <w:spacing w:after="0" w:line="10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Company shall not be required to make a Change of Control Offer upon the occurrence of a Change of Control Repurchase Event if a third party makes such an offer in the manner, at the times and otherwise in compliance with the requirements for an offer made by the Company and such third party purchases all Securities properly tendered and not withdrawn under its offer.</w:t>
      </w:r>
    </w:p>
    <w:p>
      <w:pPr>
        <w:spacing w:after="0" w:line="14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such laws and regulations are applicable in connection with the repurchase of the Securities of the applicable series as a result of a Change of Control Repurchase Event. To the extent that the provisions of any such securities laws or regulations conflict with the Change of Control Offer provisions of the Securities, the Company shall comply with the applicable securities laws and regulations and shall not be deemed to have breached its obligations under the Change of Control Offer provisions of the Securities by virtue of any such conflict.</w:t>
      </w:r>
    </w:p>
    <w:p>
      <w:pPr>
        <w:spacing w:after="0" w:line="1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Below Investment Grade Ratings Event</w:t>
      </w:r>
      <w:r>
        <w:rPr>
          <w:rFonts w:ascii="Arial" w:cs="Arial" w:eastAsia="Arial" w:hAnsi="Arial"/>
          <w:sz w:val="16"/>
          <w:szCs w:val="16"/>
          <w:color w:val="auto"/>
        </w:rPr>
        <w:t>” means that on any day within the 60-day period (which period shall be extended so long as the rating of the Securities is under publicly announced consideration for a possible downgrade by any of the Rating Agencies) after the earlier of (1) the occurrence of a Change of Control; or (2) public notice of the occurrence of a Change of Control or the intention by the Company to effect a Change of Control, the Securities are rated below Investment Grade by each of the Rating Agencies. Notwithstanding the foregoing, a Below Investment Grade Ratings Event otherwise arising by virtue of a particular reduction in rating shall not be deemed to have occurred in respect of a particular Change of Control (and thus shall not be deemed a Below Investment Grade Ratings Event for purposes of the definition of Change of Control Repurchase Event hereunder) if the Rating Agencies making the reduction in rating to which this definition would otherwise apply do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ratings event).</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occurrence of any one of the following: (i) the consummation of any transaction (including, without limitation, any</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merger or consolidation) the result of which is that any “person” (as that term is used in Section 13(d)(3) of the Exchange Act), other than one or more Permitted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80" w:right="259" w:bottom="1440" w:gutter="0" w:footer="0" w:header="0"/>
        </w:sectPr>
      </w:pPr>
    </w:p>
    <w:bookmarkStart w:id="55" w:name="page56"/>
    <w:bookmarkEnd w:id="5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becomes the beneficial owner (as defined in Rules 13d-3 and 13d-5 under the Exchange Act), directly or indirectly, of more than 50% of the combined voting power of the Company’s Voting Stock or other Voting Stock into which the Company’s Voting Stock is reclassified, consolidated, exchanged or changed measured by voting power rather than number of shares; (ii) the direct or indirect sale, lease, transfer conveyance or other disposition (other than by way of merger or consolidation), in one or a series of related transactions, of all or substantially all of the Company’s properties or assets and those of its subsidiaries taken as a whole to any “person” (as that term is used in Section 13(d)(3) of the Exchange Act), other than one or more Permitted Holders; (iii) the Company consolidates with, or merges with or into, any “person” (as that term is used in Section 13(d)(3) of the Exchange Act), or any person consolidates with, or merges with or into, the Company, in any such event pursuant to a transaction in which any of the Company’s outstanding Voting Stock or the Voting Stock of such other person is converted into or exchanged for cash, securities or other property, other than any such transaction where the shares of the Company’s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(iv) the first day on which a majority of the members of the Company’s board of directors cease to be Continuing Directors; (v) the adoption of a plan relating to the Company’s liquidation or dissolution; or (vi) the consummation of a so-called “going private/Rule 13e-3 Transaction” that results in any of the effects described in paragraph (a)(3)(ii) of Rule 13e-3 under the Exchange Act (or any successor provision), following which the Family Members beneficially own, directly or indirectly, more than 50% of our Voting Stock, measured by voting power rather than number of shares.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Repurchase Event</w:t>
      </w:r>
      <w:r>
        <w:rPr>
          <w:rFonts w:ascii="Arial" w:cs="Arial" w:eastAsia="Arial" w:hAnsi="Arial"/>
          <w:sz w:val="16"/>
          <w:szCs w:val="16"/>
          <w:color w:val="auto"/>
        </w:rPr>
        <w:t>” means the occurrence of both a Change of Control and a Below Investment Grade Ratings Event.</w:t>
      </w:r>
    </w:p>
    <w:p>
      <w:pPr>
        <w:spacing w:after="0" w:line="194"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Continuing Directors</w:t>
      </w:r>
      <w:r>
        <w:rPr>
          <w:rFonts w:ascii="Arial" w:cs="Arial" w:eastAsia="Arial" w:hAnsi="Arial"/>
          <w:sz w:val="16"/>
          <w:szCs w:val="16"/>
          <w:color w:val="auto"/>
        </w:rPr>
        <w:t>” means, as of any date of determination, any member of the Company’s Board of Directors who (1) was a member of such Board of Directors on the date of the issuance of the Notes; or (2) was nominated for election, elected or appointed to such Board of Directors with the approval of a majority of the Continuing Directors who were members of such Board of Directors at the time of such nomination, election or appointment; or (3) was nominated for election, elected or appointed to such Board of Directors by the majority of the outstanding shares of class A common stock as a replacement for a member of the Board of Directors who was elected by the Board of Directors by the class A common stock.</w:t>
      </w:r>
    </w:p>
    <w:p>
      <w:pPr>
        <w:spacing w:after="0" w:line="108"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means Donald E. Graham, William W. Graham, Stephen M. Graham, Elizabeth Weymouth, and their respective estates, spouses, ancestors and lineal descendants, the legal representatives of any of the foregoing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trustees of any bona fide trusts of which the foregoing are the primary beneficiaries or the sole grantors.</w:t>
      </w:r>
    </w:p>
    <w:p>
      <w:pPr>
        <w:spacing w:after="0" w:line="165"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w:t>
      </w:r>
      <w:r>
        <w:rPr>
          <w:rFonts w:ascii="Arial" w:cs="Arial" w:eastAsia="Arial" w:hAnsi="Arial"/>
          <w:sz w:val="18"/>
          <w:szCs w:val="18"/>
          <w:color w:val="auto"/>
        </w:rPr>
        <w:t>” means a rating of Baa3 or better by Moody’s (or its equivalent under any successor rating categories of Moody’s); a rating of BBB-or better by S&amp;P (or its equivalent under any successor rating categories of S&amp;P); or the equivalent Investment Grade credit rating from any replacement Rating Agency or Rating Agencies selected by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17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Holders</w:t>
      </w:r>
      <w:r>
        <w:rPr>
          <w:rFonts w:ascii="Arial" w:cs="Arial" w:eastAsia="Arial" w:hAnsi="Arial"/>
          <w:sz w:val="18"/>
          <w:szCs w:val="18"/>
          <w:color w:val="auto"/>
        </w:rPr>
        <w:t>” means (1) the Company and its subsidiaries and (2) Donald E. Graham, William W. Graham, Stephen M. Graham, Elizabeth Weymouth, and their respective estates, spouses, ancestors and lineal descendants, the legal representatives of any of the foregoing and the trustees of any bona fide trusts of which the foregoing are the primary beneficiaries or the sole grantors</w:t>
      </w:r>
    </w:p>
    <w:p>
      <w:pPr>
        <w:spacing w:after="0" w:line="13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means (1) each of Moody’s and S&amp;P; and (2) if any of Moody’s or S&amp;P ceases to rate the Notes or fails to make a rating of the Notes publicly available for reasons outside of the Company’s control, a “nationally recognized statistical rating organization” within the meaning of Rule 15c3-1(c)(2) (vi)(F) under the Exchange Act, selected by the Company (as certified by a resolution of the Chief Executive Officer or Chief Financial Officer) as a replacement agency for Moody’s or S&amp;P or both of them, as the case may be.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 Hill Companies, Inc. and its successors.</w:t>
      </w:r>
    </w:p>
    <w:p>
      <w:pPr>
        <w:spacing w:after="0" w:line="171"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of any specified “person” (as that term is used in Section 13(d)(3) of the Exchange Act) as of any date means the capital stock of such person that is at the time entitled to vote generally in the election of the board of directors of such person.</w:t>
      </w:r>
    </w:p>
    <w:p>
      <w:pPr>
        <w:spacing w:after="0" w:line="12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case an Event of Default with respect to the Notes, as defined in the Indenture, shall have occurred and be continuing, the principal hereof together with interest accrued thereon, if any, may be declared, and upon such declaration shall become, due and payable, in the manner, with the effect and subject to the conditions provided in the Indenture.</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Indenture contains provisions permitting the Company and the Trustee, with the consent of the holders of not less than a majority in aggregate principal amount of the Securities at the time outstanding of all series to be affected (acting as one class) to execute supplemental indentures adding any provisions to or changing in any manner or eliminating any of the provisions of the Indenture or of any supplemental indenture or modifying in any manner the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60"/>
          </w:cols>
          <w:pgMar w:left="240" w:top="280" w:right="299" w:bottom="1440" w:gutter="0" w:footer="0" w:header="0"/>
        </w:sectPr>
      </w:pPr>
    </w:p>
    <w:bookmarkStart w:id="57" w:name="page58"/>
    <w:bookmarkEnd w:id="5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of the holders of the Securities of such series to be affected; provided, however, that no such supplemental indenture shall, among other things, (i) change the fixed maturity of the principal of, or any installment of principal of or interest on, any Security; (ii) reduce the principal amount thereof or the rate of interest thereon or any premium payable upon the redemption thereof; (iii) impair the right to institute suit for the enforcement of any such payment on or after the fixed maturity thereof (or, in the case of redemption, on or after the redemption date); (iv) reduce the percentage in principal amount of the outstanding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 (v) change any obligation of the Company, with respect to outstanding Securities of a series, to maintain an office or agency in the places and for the purposes specified in the Indenture for such series; or (vi) modify any of the foregoing provisions or the provisions for the waiver of certain covenants and defaults, except to increase any applicable percentage of the aggregate principal amount of outstanding Securities the consent of the holders of which is required or to provide with respect to any particular series the right to condition the effectiveness of any supplemental indenture as to that series on the consent of the holders of a specified percentage of the aggregate principal amount of outstanding Securities of such series or to provide that certain other provisions of the Indenture cannot be modified or waived without the consent of the holder of each outstanding Security affected thereby. It is also provided in the Indenture that the holders of a majority in aggregate principal amount of the Securities of a series at the time outstanding may on behalf of the holders of all the Securities of such series waive any past default under the Indenture with respect to such series and its consequences, except a default in the payment of the principal of, premium, if any, or interest, if any, on any Security of such series or in respect of a covenant or provision which cannot be modified without the consent of the Holder of each outstanding Security of the series affected. Any such consent or waiver by the holder of this Security shall be conclusive and binding upon such holder and upon all future holders and owners of the Security and any Securities due which may be issued in exchange or substitution herefor, irrespective of whether or not any notation thereof is made upon this Security or such other Notes.</w:t>
      </w:r>
    </w:p>
    <w:p>
      <w:pPr>
        <w:spacing w:after="0" w:line="13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premium, if any, and interest on this Security at the place, at the respective times, at the rate and in the coin or currency herein prescribed.</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Indenture permits the Company to Discharge its obligations with respect to the Notes on the 91st day following the satisfaction of the conditions set forth in the Indenture, which include the deposit with the Trustee of money or U.S.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60"/>
          </w:cols>
          <w:pgMar w:left="240" w:top="280" w:right="299" w:bottom="1440" w:gutter="0" w:footer="0" w:header="0"/>
        </w:sectPr>
      </w:pPr>
    </w:p>
    <w:bookmarkStart w:id="58" w:name="page59"/>
    <w:bookmarkEnd w:id="58"/>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Government Obligations or a combination thereof sufficient to pay and discharge each installment of principal of (including premium, if any, on) and interest, if any, on the outstanding Notes.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the Company shall, in accordance with Section 901 of the Indenture, consolidate with or merge into any other corporation or convey or transfer all or substantially all its properties and assets as an entirety to any Person, the successor shall succeed to, and be substituted for, the Person named as the “Company” on the face of this Security, all on the terms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Notes are issuable in registered form without coupons in denominations of $2,000 and integral multiples of $1,000 in excess thereof. In the manner and subject to the limitations provided in the Indenture, but without the payment of any service charge, Notes due may be exchanged for an equal aggregate principal amount of Notes of other authorized denominations at the office or agency of the Company maintained for such purpose in the Borough of Manhattan, the City and State of New York.</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Upon due presentment for registration of transfer of this Security at the office or agency of the Company for such registration in the Borough of Manhattan, the City and State of New York, a new Security or Securities of authorized denominations for an equal aggregate principal amount will be issued to the transferee in exchange herefor, subject to the limitations provided in the Indenture, without charge except for any tax or other governmental charge imposed in connection therewith.</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due presentment for registration of transfer of this Security, the Company, the Trustee and any agent of the Company or the Trustee may deem and treat the registered holder hereof as the absolute owner of this Security (whether or not this Security shall be overdue) for the purpose of receiving payment of the principal of, premium, if any, and interest on this Security, as herein provided, and for all other purposes, and neither the Company nor the Trustee nor any agent of the Company or the Trustee shall be affected by any notice to the contrary. All payments made to or upon the order of such registered holder shall, to the extent of the sum or sums paid, effectively satisfy and discharge liability for moneys payable on this Security.</w:t>
      </w:r>
    </w:p>
    <w:p>
      <w:pPr>
        <w:spacing w:after="0" w:line="116"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No recourse for the payment of the principal of, premium, if any, or interest on this Security, or for any claim based hereon or otherwise in respect hereof, and no recourse under or upon any obligation, covenant or agreement of the Company in the Indenture or any indenture supplemental thereto or in any Security,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59" w:name="page60"/>
    <w:bookmarkEnd w:id="5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constitution, statute or rule of law or by the enforcement of any assessment or penalty or otherwise, all such liability being, by the acceptance hereof and as part of the consideration for the issue hereof, expressly waived and released.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defined in this Security, all terms used in this Security which are defined in the Indenture shall have the meanings assigned to them in the Indenture.</w:t>
      </w:r>
    </w:p>
    <w:p>
      <w:pPr>
        <w:spacing w:after="0" w:line="132" w:lineRule="exact"/>
        <w:rPr>
          <w:sz w:val="20"/>
          <w:szCs w:val="20"/>
          <w:color w:val="auto"/>
        </w:rPr>
      </w:pPr>
    </w:p>
    <w:p>
      <w:pPr>
        <w:jc w:val="center"/>
        <w:ind w:right="40"/>
        <w:spacing w:after="0" w:line="440" w:lineRule="auto"/>
        <w:rPr>
          <w:sz w:val="20"/>
          <w:szCs w:val="20"/>
          <w:color w:val="auto"/>
        </w:rPr>
      </w:pPr>
      <w:r>
        <w:rPr>
          <w:rFonts w:ascii="Arial" w:cs="Arial" w:eastAsia="Arial" w:hAnsi="Arial"/>
          <w:sz w:val="18"/>
          <w:szCs w:val="18"/>
          <w:color w:val="auto"/>
        </w:rPr>
        <w:t>THIS SECURITY SHALL BE GOVERNED BY AND CONSTRUED IN ACCORDANCE WITH THE LAWS OF THE STATE OF NEW YORK. A-13</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2"/>
    </w:lvl>
  </w:abstractNum>
  <w:abstractNum w:abstractNumId="3">
    <w:nsid w:val="71F32454"/>
    <w:multiLevelType w:val="hybridMultilevel"/>
    <w:lvl w:ilvl="0">
      <w:lvlJc w:val="left"/>
      <w:lvlText w:val="(%1)"/>
      <w:numFmt w:val="lowerLetter"/>
      <w:start w:val="2"/>
    </w:lvl>
  </w:abstractNum>
  <w:abstractNum w:abstractNumId="4">
    <w:nsid w:val="2CA88611"/>
    <w:multiLevelType w:val="hybridMultilevel"/>
    <w:lvl w:ilvl="0">
      <w:lvlJc w:val="left"/>
      <w:lvlText w:val="(%1)"/>
      <w:numFmt w:val="lowerLetter"/>
      <w:start w:val="3"/>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1)"/>
      <w:numFmt w:val="lowerLetter"/>
      <w:start w:val="2"/>
    </w:lvl>
  </w:abstractNum>
  <w:abstractNum w:abstractNumId="7">
    <w:nsid w:val="3A95F874"/>
    <w:multiLevelType w:val="hybridMultilevel"/>
    <w:lvl w:ilvl="0">
      <w:lvlJc w:val="left"/>
      <w:lvlText w:val="%1"/>
      <w:numFmt w:val="lowerLetter"/>
      <w:start w:val="1"/>
    </w:lvl>
    <w:lvl w:ilvl="1">
      <w:lvlJc w:val="left"/>
      <w:lvlText w:val="(%2)"/>
      <w:numFmt w:val="lowerLetter"/>
      <w:start w:val="4"/>
    </w:lvl>
  </w:abstractNum>
  <w:abstractNum w:abstractNumId="8">
    <w:nsid w:val="8138641"/>
    <w:multiLevelType w:val="hybridMultilevel"/>
    <w:lvl w:ilvl="0">
      <w:lvlJc w:val="left"/>
      <w:lvlText w:val="(%1)"/>
      <w:numFmt w:val="lowerLetter"/>
      <w:start w:val="61"/>
    </w:lvl>
    <w:lvl w:ilvl="1">
      <w:lvlJc w:val="left"/>
      <w:lvlText w:val="(%2)"/>
      <w:numFmt w:val="lowerLetter"/>
      <w:start w:val="5"/>
    </w:lvl>
  </w:abstractNum>
  <w:abstractNum w:abstractNumId="9">
    <w:nsid w:val="1E7FF521"/>
    <w:multiLevelType w:val="hybridMultilevel"/>
    <w:lvl w:ilvl="0">
      <w:lvlJc w:val="left"/>
      <w:lvlText w:val="(%1)"/>
      <w:numFmt w:val="lowerLetter"/>
      <w:start w:val="6"/>
    </w:lvl>
  </w:abstractNum>
  <w:abstractNum w:abstractNumId="10">
    <w:nsid w:val="7C3DBD3D"/>
    <w:multiLevelType w:val="hybridMultilevel"/>
    <w:lvl w:ilvl="0">
      <w:lvlJc w:val="left"/>
      <w:lvlText w:val="%1"/>
      <w:numFmt w:val="lowerLetter"/>
      <w:start w:val="1"/>
    </w:lvl>
    <w:lvl w:ilvl="1">
      <w:lvlJc w:val="left"/>
      <w:lvlText w:val="(%2)"/>
      <w:numFmt w:val="lowerLetter"/>
      <w:start w:val="9"/>
    </w:lvl>
  </w:abstractNum>
  <w:abstractNum w:abstractNumId="11">
    <w:nsid w:val="737B8DDC"/>
    <w:multiLevelType w:val="hybridMultilevel"/>
    <w:lvl w:ilvl="0">
      <w:lvlJc w:val="left"/>
      <w:lvlText w:val="(%1)"/>
      <w:numFmt w:val="lowerLetter"/>
      <w:start w:val="35"/>
    </w:lvl>
    <w:lvl w:ilvl="1">
      <w:lvlJc w:val="left"/>
      <w:lvlText w:val="%2"/>
      <w:numFmt w:val="lowerLetter"/>
      <w:start w:val="1"/>
    </w:lvl>
  </w:abstractNum>
  <w:abstractNum w:abstractNumId="12">
    <w:nsid w:val="6CEAF087"/>
    <w:multiLevelType w:val="hybridMultilevel"/>
    <w:lvl w:ilvl="0">
      <w:lvlJc w:val="left"/>
      <w:lvlText w:val="%1"/>
      <w:numFmt w:val="lowerLetter"/>
      <w:start w:val="1"/>
    </w:lvl>
    <w:lvl w:ilvl="1">
      <w:lvlJc w:val="left"/>
      <w:lvlText w:val="(%2)"/>
      <w:numFmt w:val="lowerLetter"/>
      <w:start w:val="15"/>
    </w:lvl>
  </w:abstractNum>
  <w:abstractNum w:abstractNumId="13">
    <w:nsid w:val="22221A70"/>
    <w:multiLevelType w:val="hybridMultilevel"/>
    <w:lvl w:ilvl="0">
      <w:lvlJc w:val="left"/>
      <w:lvlText w:val="(%1)"/>
      <w:numFmt w:val="lowerLetter"/>
      <w:start w:val="9"/>
    </w:lvl>
    <w:lvl w:ilvl="1">
      <w:lvlJc w:val="left"/>
      <w:lvlText w:val="(%2)"/>
      <w:numFmt w:val="lowerLetter"/>
      <w:start w:val="16"/>
    </w:lvl>
  </w:abstractNum>
  <w:abstractNum w:abstractNumId="14">
    <w:nsid w:val="4516DDE9"/>
    <w:multiLevelType w:val="hybridMultilevel"/>
    <w:lvl w:ilvl="0">
      <w:lvlJc w:val="left"/>
      <w:lvlText w:val="(%1)"/>
      <w:numFmt w:val="lowerLetter"/>
      <w:start w:val="18"/>
    </w:lvl>
  </w:abstractNum>
  <w:abstractNum w:abstractNumId="15">
    <w:nsid w:val="3006C83E"/>
    <w:multiLevelType w:val="hybridMultilevel"/>
    <w:lvl w:ilvl="0">
      <w:lvlJc w:val="left"/>
      <w:lvlText w:val="(%1)"/>
      <w:numFmt w:val="lowerLetter"/>
      <w:start w:val="23"/>
    </w:lvl>
  </w:abstractNum>
  <w:abstractNum w:abstractNumId="16">
    <w:nsid w:val="614FD4A1"/>
    <w:multiLevelType w:val="hybridMultilevel"/>
    <w:lvl w:ilvl="0">
      <w:lvlJc w:val="left"/>
      <w:lvlText w:val="(%1)"/>
      <w:numFmt w:val="lowerLetter"/>
      <w:start w:val="25"/>
    </w:lvl>
  </w:abstractNum>
  <w:abstractNum w:abstractNumId="17">
    <w:nsid w:val="419AC241"/>
    <w:multiLevelType w:val="hybridMultilevel"/>
    <w:lvl w:ilvl="0">
      <w:lvlJc w:val="left"/>
      <w:lvlText w:val="(%1)"/>
      <w:numFmt w:val="lowerLetter"/>
      <w:start w:val="27"/>
    </w:lvl>
  </w:abstractNum>
  <w:abstractNum w:abstractNumId="18">
    <w:nsid w:val="5577F8E1"/>
    <w:multiLevelType w:val="hybridMultilevel"/>
    <w:lvl w:ilvl="0">
      <w:lvlJc w:val="left"/>
      <w:lvlText w:val="(%1)"/>
      <w:numFmt w:val="lowerLetter"/>
      <w:start w:val="28"/>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upperLetter"/>
      <w:start w:val="1"/>
    </w:lvl>
    <w:lvl w:ilvl="1">
      <w:lvlJc w:val="left"/>
      <w:lvlText w:val="(%2)"/>
      <w:numFmt w:val="lowerLetter"/>
      <w:start w:val="2"/>
    </w:lvl>
  </w:abstractNum>
  <w:abstractNum w:abstractNumId="21">
    <w:nsid w:val="3804823E"/>
    <w:multiLevelType w:val="hybridMultilevel"/>
    <w:lvl w:ilvl="0">
      <w:lvlJc w:val="left"/>
      <w:lvlText w:val="(%1)"/>
      <w:numFmt w:val="upperLetter"/>
      <w:start w:val="2"/>
    </w:lvl>
    <w:lvl w:ilvl="1">
      <w:lvlJc w:val="left"/>
      <w:lvlText w:val="(%2)"/>
      <w:numFmt w:val="lowerLetter"/>
      <w:start w:val="3"/>
    </w:lvl>
  </w:abstractNum>
  <w:abstractNum w:abstractNumId="22">
    <w:nsid w:val="77465F01"/>
    <w:multiLevelType w:val="hybridMultilevel"/>
    <w:lvl w:ilvl="0">
      <w:lvlJc w:val="left"/>
      <w:lvlText w:val="(%1)"/>
      <w:numFmt w:val="lowerLetter"/>
      <w:start w:val="5"/>
    </w:lvl>
  </w:abstractNum>
  <w:abstractNum w:abstractNumId="23">
    <w:nsid w:val="7724C67E"/>
    <w:multiLevelType w:val="hybridMultilevel"/>
    <w:lvl w:ilvl="0">
      <w:lvlJc w:val="left"/>
      <w:lvlText w:val="(%1)"/>
      <w:numFmt w:val="lowerLetter"/>
      <w:start w:val="8"/>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2"/>
    </w:lvl>
  </w:abstractNum>
  <w:abstractNum w:abstractNumId="26">
    <w:nsid w:val="5E884ADC"/>
    <w:multiLevelType w:val="hybridMultilevel"/>
    <w:lvl w:ilvl="0">
      <w:lvlJc w:val="left"/>
      <w:lvlText w:val="%1."/>
      <w:numFmt w:val="decimal"/>
      <w:start w:val="6"/>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5"/>
    </w:lvl>
  </w:abstractNum>
  <w:abstractNum w:abstractNumId="29">
    <w:nsid w:val="580BD78F"/>
    <w:multiLevelType w:val="hybridMultilevel"/>
    <w:lvl w:ilvl="0">
      <w:lvlJc w:val="left"/>
      <w:lvlText w:val="(%1)"/>
      <w:numFmt w:val="lowerLetter"/>
      <w:start w:val="10"/>
    </w:lvl>
  </w:abstractNum>
  <w:abstractNum w:abstractNumId="30">
    <w:nsid w:val="153EA438"/>
    <w:multiLevelType w:val="hybridMultilevel"/>
    <w:lvl w:ilvl="0">
      <w:lvlJc w:val="left"/>
      <w:lvlText w:val="%1."/>
      <w:numFmt w:val="decimal"/>
      <w:start w:val="7"/>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3"/>
    </w:lvl>
  </w:abstractNum>
  <w:abstractNum w:abstractNumId="33">
    <w:nsid w:val="6A2342EC"/>
    <w:multiLevelType w:val="hybridMultilevel"/>
    <w:lvl w:ilvl="0">
      <w:lvlJc w:val="left"/>
      <w:lvlText w:val="(%1)"/>
      <w:numFmt w:val="lowerLetter"/>
      <w:start w:val="4"/>
    </w:lvl>
  </w:abstractNum>
  <w:abstractNum w:abstractNumId="34">
    <w:nsid w:val="2A487CB0"/>
    <w:multiLevelType w:val="hybridMultilevel"/>
    <w:lvl w:ilvl="0">
      <w:lvlJc w:val="left"/>
      <w:lvlText w:val="(%1)"/>
      <w:numFmt w:val="lowerLetter"/>
      <w:start w:val="6"/>
    </w:lvl>
  </w:abstractNum>
  <w:abstractNum w:abstractNumId="35">
    <w:nsid w:val="1D4ED43B"/>
    <w:multiLevelType w:val="hybridMultilevel"/>
    <w:lvl w:ilvl="0">
      <w:lvlJc w:val="left"/>
      <w:lvlText w:val="%1."/>
      <w:numFmt w:val="decimal"/>
      <w:start w:val="8"/>
    </w:lvl>
  </w:abstractNum>
  <w:abstractNum w:abstractNumId="36">
    <w:nsid w:val="725A06FB"/>
    <w:multiLevelType w:val="hybridMultilevel"/>
    <w:lvl w:ilvl="0">
      <w:lvlJc w:val="left"/>
      <w:lvlText w:val="(%1)"/>
      <w:numFmt w:val="lowerLetter"/>
      <w:start w:val="2"/>
    </w:lvl>
  </w:abstractNum>
  <w:abstractNum w:abstractNumId="37">
    <w:nsid w:val="2CD89A32"/>
    <w:multiLevelType w:val="hybridMultilevel"/>
    <w:lvl w:ilvl="0">
      <w:lvlJc w:val="left"/>
      <w:lvlText w:val="%1"/>
      <w:numFmt w:val="lowerRoman"/>
      <w:start w:val="1"/>
    </w:lvl>
    <w:lvl w:ilvl="1">
      <w:lvlJc w:val="left"/>
      <w:lvlText w:val="%2."/>
      <w:numFmt w:val="decimal"/>
      <w:start w:val="11"/>
    </w:lvl>
  </w:abstractNum>
  <w:abstractNum w:abstractNumId="38">
    <w:nsid w:val="57E4CCAF"/>
    <w:multiLevelType w:val="hybridMultilevel"/>
    <w:lvl w:ilvl="0">
      <w:lvlJc w:val="left"/>
      <w:lvlText w:val="(%1)"/>
      <w:numFmt w:val="lowerRoman"/>
      <w:start w:val="2"/>
    </w:lvl>
    <w:lvl w:ilvl="1">
      <w:lvlJc w:val="left"/>
      <w:lvlText w:val="%2"/>
      <w:numFmt w:val="decimal"/>
      <w:start w:val="1"/>
    </w:lvl>
  </w:abstractNum>
  <w:abstractNum w:abstractNumId="39">
    <w:nsid w:val="7A6D8D3C"/>
    <w:multiLevelType w:val="hybridMultilevel"/>
    <w:lvl w:ilvl="0">
      <w:lvlJc w:val="left"/>
      <w:lvlText w:val="(%1)"/>
      <w:numFmt w:val="lowerLetter"/>
      <w:start w:val="2"/>
    </w:lvl>
  </w:abstractNum>
  <w:abstractNum w:abstractNumId="40">
    <w:nsid w:val="4B588F54"/>
    <w:multiLevelType w:val="hybridMultilevel"/>
    <w:lvl w:ilvl="0">
      <w:lvlJc w:val="left"/>
      <w:lvlText w:val="%1."/>
      <w:numFmt w:val="decimal"/>
      <w:start w:val="12"/>
    </w:lvl>
  </w:abstractNum>
  <w:abstractNum w:abstractNumId="41">
    <w:nsid w:val="542289EC"/>
    <w:multiLevelType w:val="hybridMultilevel"/>
    <w:lvl w:ilvl="0">
      <w:lvlJc w:val="left"/>
      <w:lvlText w:val="%1."/>
      <w:numFmt w:val="decimal"/>
      <w:start w:val="15"/>
    </w:lvl>
  </w:abstractNum>
  <w:abstractNum w:abstractNumId="42">
    <w:nsid w:val="6DE91B18"/>
    <w:multiLevelType w:val="hybridMultilevel"/>
    <w:lvl w:ilvl="0">
      <w:lvlJc w:val="left"/>
      <w:lvlText w:val="(%1)"/>
      <w:numFmt w:val="lowerLetter"/>
      <w:start w:val="2"/>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2"/>
    </w:lvl>
    <w:lvl w:ilvl="1">
      <w:lvlJc w:val="left"/>
      <w:lvlText w:val="(%2)"/>
      <w:numFmt w:val="lowerRoman"/>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2019-12-10T03:32:13Z</dcterms:created>
  <dcterms:modified xsi:type="dcterms:W3CDTF">2019-12-10T03:32:13Z</dcterms:modified>
</cp:coreProperties>
</file>