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 INFORMATION</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67" w:lineRule="exact"/>
        <w:rPr>
          <w:sz w:val="24"/>
          <w:szCs w:val="24"/>
          <w:color w:val="auto"/>
        </w:rPr>
      </w:pPr>
    </w:p>
    <w:p>
      <w:pPr>
        <w:spacing w:after="0" w:line="173" w:lineRule="exact"/>
        <w:tabs>
          <w:tab w:leader="none" w:pos="2560"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3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21" w:lineRule="exact"/>
        <w:rPr>
          <w:rFonts w:ascii="MS PGothic" w:cs="MS PGothic" w:eastAsia="MS PGothic" w:hAnsi="MS PGothic"/>
          <w:sz w:val="15"/>
          <w:szCs w:val="15"/>
          <w:color w:val="auto"/>
        </w:rPr>
      </w:pPr>
    </w:p>
    <w:p>
      <w:pPr>
        <w:ind w:left="520" w:hanging="514"/>
        <w:spacing w:after="0"/>
        <w:tabs>
          <w:tab w:leader="none" w:pos="5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Confidential, for Use of the Commission Only (as permitted by Rule 14a-6(e)(2))</w:t>
      </w:r>
    </w:p>
    <w:p>
      <w:pPr>
        <w:spacing w:after="0" w:line="121"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21" w:lineRule="exact"/>
        <w:rPr>
          <w:sz w:val="24"/>
          <w:szCs w:val="24"/>
          <w:color w:val="auto"/>
        </w:rPr>
      </w:pPr>
    </w:p>
    <w:p>
      <w:pPr>
        <w:ind w:left="520" w:hanging="514"/>
        <w:spacing w:after="0"/>
        <w:tabs>
          <w:tab w:leader="none" w:pos="5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21" w:lineRule="exact"/>
        <w:rPr>
          <w:rFonts w:ascii="MS PGothic" w:cs="MS PGothic" w:eastAsia="MS PGothic" w:hAnsi="MS PGothic"/>
          <w:sz w:val="15"/>
          <w:szCs w:val="15"/>
          <w:color w:val="auto"/>
        </w:rPr>
      </w:pPr>
    </w:p>
    <w:p>
      <w:pPr>
        <w:ind w:left="520" w:hanging="514"/>
        <w:spacing w:after="0"/>
        <w:tabs>
          <w:tab w:leader="none" w:pos="5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GRAHAM HOLDINGS COMPANY</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85" w:lineRule="exact"/>
        <w:rPr>
          <w:sz w:val="24"/>
          <w:szCs w:val="24"/>
          <w:color w:val="auto"/>
        </w:rPr>
      </w:pPr>
    </w:p>
    <w:p>
      <w:pPr>
        <w:ind w:left="540" w:hanging="534"/>
        <w:spacing w:after="0"/>
        <w:tabs>
          <w:tab w:leader="none" w:pos="54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85" w:lineRule="exact"/>
        <w:rPr>
          <w:sz w:val="24"/>
          <w:szCs w:val="24"/>
          <w:color w:val="auto"/>
        </w:rPr>
      </w:pPr>
    </w:p>
    <w:p>
      <w:pPr>
        <w:ind w:left="540" w:hanging="534"/>
        <w:spacing w:after="0"/>
        <w:tabs>
          <w:tab w:leader="none" w:pos="54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84" w:lineRule="exact"/>
        <w:rPr>
          <w:rFonts w:ascii="MS PGothic" w:cs="MS PGothic" w:eastAsia="MS PGothic" w:hAnsi="MS PGothic"/>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the transaction applies: N/A</w:t>
      </w:r>
    </w:p>
    <w:p>
      <w:pPr>
        <w:spacing w:after="0" w:line="312"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spacing w:after="0" w:line="312" w:lineRule="exact"/>
        <w:rPr>
          <w:rFonts w:ascii="Arial" w:cs="Arial" w:eastAsia="Arial" w:hAnsi="Arial"/>
          <w:sz w:val="15"/>
          <w:szCs w:val="15"/>
          <w:color w:val="auto"/>
        </w:rPr>
      </w:pPr>
    </w:p>
    <w:p>
      <w:pPr>
        <w:ind w:left="1060" w:hanging="518"/>
        <w:spacing w:after="0" w:line="297" w:lineRule="auto"/>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the transaction computed pursuant to Exchange Act Rule 0-11 (set forth the amount on which the filing fee is calculated and state how it was determined): N/A</w:t>
      </w:r>
    </w:p>
    <w:p>
      <w:pPr>
        <w:spacing w:after="0" w:line="249"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the transaction: N/A</w:t>
      </w:r>
    </w:p>
    <w:p>
      <w:pPr>
        <w:spacing w:after="0" w:line="312"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 N/A</w:t>
      </w:r>
    </w:p>
    <w:p>
      <w:pPr>
        <w:spacing w:after="0" w:line="312" w:lineRule="exact"/>
        <w:rPr>
          <w:rFonts w:ascii="Arial" w:cs="Arial" w:eastAsia="Arial" w:hAnsi="Arial"/>
          <w:sz w:val="15"/>
          <w:szCs w:val="15"/>
          <w:color w:val="auto"/>
        </w:rPr>
      </w:pPr>
    </w:p>
    <w:p>
      <w:pPr>
        <w:ind w:left="540" w:hanging="534"/>
        <w:spacing w:after="0"/>
        <w:tabs>
          <w:tab w:leader="none" w:pos="54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84" w:lineRule="exact"/>
        <w:rPr>
          <w:rFonts w:ascii="MS PGothic" w:cs="MS PGothic" w:eastAsia="MS PGothic" w:hAnsi="MS PGothic"/>
          <w:sz w:val="15"/>
          <w:szCs w:val="15"/>
          <w:color w:val="auto"/>
        </w:rPr>
      </w:pPr>
    </w:p>
    <w:p>
      <w:pPr>
        <w:ind w:left="540" w:right="160" w:hanging="534"/>
        <w:spacing w:after="0" w:line="297" w:lineRule="auto"/>
        <w:tabs>
          <w:tab w:leader="none" w:pos="54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rFonts w:ascii="MS PGothic" w:cs="MS PGothic" w:eastAsia="MS PGothic" w:hAnsi="MS PGothic"/>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312"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312"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312" w:lineRule="exact"/>
        <w:rPr>
          <w:rFonts w:ascii="Arial" w:cs="Arial" w:eastAsia="Arial" w:hAnsi="Arial"/>
          <w:sz w:val="15"/>
          <w:szCs w:val="15"/>
          <w:color w:val="auto"/>
        </w:rPr>
      </w:pPr>
    </w:p>
    <w:p>
      <w:pPr>
        <w:ind w:left="1060" w:hanging="518"/>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ectPr>
          <w:pgSz w:w="11900" w:h="16838" w:orient="portrait"/>
          <w:cols w:equalWidth="0" w:num="1">
            <w:col w:w="10360"/>
          </w:cols>
          <w:pgMar w:left="740" w:top="203" w:right="7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177800</wp:posOffset>
            </wp:positionV>
            <wp:extent cx="199390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93900" cy="445770"/>
                    </a:xfrm>
                    <a:prstGeom prst="rect">
                      <a:avLst/>
                    </a:prstGeom>
                    <a:noFill/>
                  </pic:spPr>
                </pic:pic>
              </a:graphicData>
            </a:graphic>
          </wp:anchor>
        </w:drawing>
        <w:t xml:space="preserve">1300 NORTH 17TH STREET </w:t>
      </w:r>
      <w:r>
        <w:rPr>
          <w:rFonts w:ascii="Arial" w:cs="Arial" w:eastAsia="Arial" w:hAnsi="Arial"/>
          <w:sz w:val="17"/>
          <w:szCs w:val="17"/>
          <w:color w:val="auto"/>
        </w:rPr>
        <w:t>|</w:t>
      </w:r>
      <w:r>
        <w:rPr>
          <w:rFonts w:ascii="Arial" w:cs="Arial" w:eastAsia="Arial" w:hAnsi="Arial"/>
          <w:sz w:val="17"/>
          <w:szCs w:val="17"/>
          <w:b w:val="1"/>
          <w:bCs w:val="1"/>
          <w:color w:val="auto"/>
        </w:rPr>
        <w:t xml:space="preserve"> ARLINGTON, VA 22209 </w:t>
      </w:r>
      <w:r>
        <w:rPr>
          <w:rFonts w:ascii="Arial" w:cs="Arial" w:eastAsia="Arial" w:hAnsi="Arial"/>
          <w:sz w:val="17"/>
          <w:szCs w:val="17"/>
          <w:color w:val="auto"/>
        </w:rPr>
        <w:t>|</w:t>
      </w:r>
      <w:r>
        <w:rPr>
          <w:rFonts w:ascii="Arial" w:cs="Arial" w:eastAsia="Arial" w:hAnsi="Arial"/>
          <w:sz w:val="17"/>
          <w:szCs w:val="17"/>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21,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O</w:t>
      </w:r>
      <w:r>
        <w:rPr>
          <w:rFonts w:ascii="Arial" w:cs="Arial" w:eastAsia="Arial" w:hAnsi="Arial"/>
          <w:sz w:val="17"/>
          <w:szCs w:val="17"/>
          <w:color w:val="auto"/>
        </w:rPr>
        <w:t xml:space="preserve"> O</w:t>
      </w:r>
      <w:r>
        <w:rPr>
          <w:rFonts w:ascii="Arial" w:cs="Arial" w:eastAsia="Arial" w:hAnsi="Arial"/>
          <w:sz w:val="14"/>
          <w:szCs w:val="14"/>
          <w:color w:val="auto"/>
        </w:rPr>
        <w:t>UR</w:t>
      </w:r>
      <w:r>
        <w:rPr>
          <w:rFonts w:ascii="Arial" w:cs="Arial" w:eastAsia="Arial" w:hAnsi="Arial"/>
          <w:sz w:val="17"/>
          <w:szCs w:val="17"/>
          <w:color w:val="auto"/>
        </w:rPr>
        <w:t xml:space="preserve"> S</w:t>
      </w:r>
      <w:r>
        <w:rPr>
          <w:rFonts w:ascii="Arial" w:cs="Arial" w:eastAsia="Arial" w:hAnsi="Arial"/>
          <w:sz w:val="14"/>
          <w:szCs w:val="14"/>
          <w:color w:val="auto"/>
        </w:rPr>
        <w:t>HAREHOLDERS</w:t>
      </w:r>
      <w:r>
        <w:rPr>
          <w:rFonts w:ascii="Arial" w:cs="Arial" w:eastAsia="Arial" w:hAnsi="Arial"/>
          <w:sz w:val="17"/>
          <w:szCs w:val="17"/>
          <w:color w:val="auto"/>
        </w:rPr>
        <w:t>:</w:t>
      </w:r>
    </w:p>
    <w:p>
      <w:pPr>
        <w:spacing w:after="0" w:line="213" w:lineRule="exact"/>
        <w:rPr>
          <w:sz w:val="20"/>
          <w:szCs w:val="20"/>
          <w:color w:val="auto"/>
        </w:rPr>
      </w:pPr>
    </w:p>
    <w:p>
      <w:pPr>
        <w:ind w:firstLine="937"/>
        <w:spacing w:after="0" w:line="263" w:lineRule="auto"/>
        <w:rPr>
          <w:sz w:val="20"/>
          <w:szCs w:val="20"/>
          <w:color w:val="auto"/>
        </w:rPr>
      </w:pPr>
      <w:r>
        <w:rPr>
          <w:rFonts w:ascii="Arial" w:cs="Arial" w:eastAsia="Arial" w:hAnsi="Arial"/>
          <w:sz w:val="17"/>
          <w:szCs w:val="17"/>
          <w:color w:val="auto"/>
        </w:rPr>
        <w:t>You are cordially invited to the 2019 Annual Meeting of Shareholders of Graham Holdings Company (the “Company”), which will be held at the Convene Conference Center, 1201 Wilson Boulevard, 29th Floor, Rosslyn, VA 22209, on Thursday, May 2, 2019, at 8:30 a.m., Eastern Daylight Saving Time.</w:t>
      </w:r>
    </w:p>
    <w:p>
      <w:pPr>
        <w:spacing w:after="0" w:line="174" w:lineRule="exact"/>
        <w:rPr>
          <w:sz w:val="20"/>
          <w:szCs w:val="20"/>
          <w:color w:val="auto"/>
        </w:rPr>
      </w:pPr>
    </w:p>
    <w:p>
      <w:pPr>
        <w:jc w:val="both"/>
        <w:ind w:right="20" w:firstLine="937"/>
        <w:spacing w:after="0" w:line="263" w:lineRule="auto"/>
        <w:rPr>
          <w:sz w:val="20"/>
          <w:szCs w:val="20"/>
          <w:color w:val="auto"/>
        </w:rPr>
      </w:pPr>
      <w:r>
        <w:rPr>
          <w:rFonts w:ascii="Arial" w:cs="Arial" w:eastAsia="Arial" w:hAnsi="Arial"/>
          <w:sz w:val="17"/>
          <w:szCs w:val="17"/>
          <w:color w:val="auto"/>
        </w:rPr>
        <w:t>At the Company’s 2019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2018.</w:t>
      </w:r>
    </w:p>
    <w:p>
      <w:pPr>
        <w:spacing w:after="0" w:line="174" w:lineRule="exact"/>
        <w:rPr>
          <w:sz w:val="20"/>
          <w:szCs w:val="20"/>
          <w:color w:val="auto"/>
        </w:rPr>
      </w:pPr>
    </w:p>
    <w:p>
      <w:pPr>
        <w:jc w:val="both"/>
        <w:ind w:right="140" w:firstLine="937"/>
        <w:spacing w:after="0" w:line="287" w:lineRule="auto"/>
        <w:rPr>
          <w:sz w:val="20"/>
          <w:szCs w:val="20"/>
          <w:color w:val="auto"/>
        </w:rPr>
      </w:pPr>
      <w:r>
        <w:rPr>
          <w:rFonts w:ascii="Arial" w:cs="Arial" w:eastAsia="Arial" w:hAnsi="Arial"/>
          <w:sz w:val="16"/>
          <w:szCs w:val="16"/>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159385</wp:posOffset>
            </wp:positionV>
            <wp:extent cx="1734185" cy="299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418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D</w:t>
      </w:r>
      <w:r>
        <w:rPr>
          <w:rFonts w:ascii="Arial" w:cs="Arial" w:eastAsia="Arial" w:hAnsi="Arial"/>
          <w:sz w:val="14"/>
          <w:szCs w:val="14"/>
          <w:color w:val="auto"/>
        </w:rPr>
        <w:t>ONALD</w:t>
      </w:r>
      <w:r>
        <w:rPr>
          <w:rFonts w:ascii="Arial" w:cs="Arial" w:eastAsia="Arial" w:hAnsi="Arial"/>
          <w:sz w:val="17"/>
          <w:szCs w:val="17"/>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p>
    <w:p>
      <w:pPr>
        <w:ind w:left="6600"/>
        <w:spacing w:after="0"/>
        <w:rPr>
          <w:sz w:val="20"/>
          <w:szCs w:val="20"/>
          <w:color w:val="auto"/>
        </w:rPr>
      </w:pPr>
      <w:r>
        <w:rPr>
          <w:rFonts w:ascii="Arial" w:cs="Arial" w:eastAsia="Arial" w:hAnsi="Arial"/>
          <w:sz w:val="17"/>
          <w:szCs w:val="17"/>
          <w:i w:val="1"/>
          <w:iCs w:val="1"/>
          <w:color w:val="auto"/>
        </w:rPr>
        <w:t>Chairman</w:t>
      </w:r>
    </w:p>
    <w:p>
      <w:pPr>
        <w:sectPr>
          <w:pgSz w:w="11900" w:h="16838" w:orient="portrait"/>
          <w:cols w:equalWidth="0" w:num="1">
            <w:col w:w="10420"/>
          </w:cols>
          <w:pgMar w:left="740" w:top="1170" w:right="73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Annual Meeting of Shareholders — May 2, 2019</w:t>
      </w:r>
    </w:p>
    <w:p>
      <w:pPr>
        <w:spacing w:after="0" w:line="200" w:lineRule="exact"/>
        <w:rPr>
          <w:sz w:val="20"/>
          <w:szCs w:val="20"/>
          <w:color w:val="auto"/>
        </w:rPr>
      </w:pPr>
    </w:p>
    <w:p>
      <w:pPr>
        <w:spacing w:after="0" w:line="221" w:lineRule="exact"/>
        <w:rPr>
          <w:sz w:val="20"/>
          <w:szCs w:val="20"/>
          <w:color w:val="auto"/>
        </w:rPr>
      </w:pPr>
    </w:p>
    <w:p>
      <w:pPr>
        <w:ind w:right="160" w:firstLine="937"/>
        <w:spacing w:after="0" w:line="344" w:lineRule="auto"/>
        <w:rPr>
          <w:sz w:val="20"/>
          <w:szCs w:val="20"/>
          <w:color w:val="auto"/>
        </w:rPr>
      </w:pPr>
      <w:r>
        <w:rPr>
          <w:rFonts w:ascii="Arial" w:cs="Arial" w:eastAsia="Arial" w:hAnsi="Arial"/>
          <w:sz w:val="15"/>
          <w:szCs w:val="15"/>
          <w:color w:val="auto"/>
        </w:rPr>
        <w:t>The 2019 Annual Meeting of Shareholders of Graham Holdings Company will be held at the Convene Conference Center, 1201 Wilson Boulevard, 29th Floor, Rosslyn, VA 22209, on Thursday, May 2, 2019, at 8:30 a.m., Eastern Daylight Saving Time, for the following purposes:</w:t>
      </w:r>
    </w:p>
    <w:p>
      <w:pPr>
        <w:spacing w:after="0" w:line="144" w:lineRule="exact"/>
        <w:rPr>
          <w:sz w:val="20"/>
          <w:szCs w:val="20"/>
          <w:color w:val="auto"/>
        </w:rPr>
      </w:pPr>
    </w:p>
    <w:p>
      <w:pPr>
        <w:ind w:left="2280" w:hanging="614"/>
        <w:spacing w:after="0"/>
        <w:tabs>
          <w:tab w:leader="none" w:pos="2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Directors for the ensuing year, as more fully described in the accompanying Proxy Statement.</w:t>
      </w:r>
    </w:p>
    <w:p>
      <w:pPr>
        <w:spacing w:after="0" w:line="238" w:lineRule="exact"/>
        <w:rPr>
          <w:rFonts w:ascii="Arial" w:cs="Arial" w:eastAsia="Arial" w:hAnsi="Arial"/>
          <w:sz w:val="17"/>
          <w:szCs w:val="17"/>
          <w:color w:val="auto"/>
        </w:rPr>
      </w:pPr>
    </w:p>
    <w:p>
      <w:pPr>
        <w:ind w:left="2280" w:hanging="614"/>
        <w:spacing w:after="0" w:line="275" w:lineRule="auto"/>
        <w:tabs>
          <w:tab w:leader="none" w:pos="2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Class A Shareholders, on an advisory basis, to vote on whether to approve the compensation paid to the named executive officers of the Company for 2018.</w:t>
      </w:r>
    </w:p>
    <w:p>
      <w:pPr>
        <w:spacing w:after="0" w:line="190" w:lineRule="exact"/>
        <w:rPr>
          <w:rFonts w:ascii="Arial" w:cs="Arial" w:eastAsia="Arial" w:hAnsi="Arial"/>
          <w:sz w:val="17"/>
          <w:szCs w:val="17"/>
          <w:color w:val="auto"/>
        </w:rPr>
      </w:pPr>
    </w:p>
    <w:p>
      <w:pPr>
        <w:ind w:left="2280" w:hanging="614"/>
        <w:spacing w:after="0"/>
        <w:tabs>
          <w:tab w:leader="none" w:pos="2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adjournments thereof.</w:t>
      </w:r>
    </w:p>
    <w:p>
      <w:pPr>
        <w:spacing w:after="0" w:line="213" w:lineRule="exact"/>
        <w:rPr>
          <w:sz w:val="20"/>
          <w:szCs w:val="20"/>
          <w:color w:val="auto"/>
        </w:rPr>
      </w:pPr>
    </w:p>
    <w:p>
      <w:pPr>
        <w:ind w:right="480" w:firstLine="937"/>
        <w:spacing w:after="0" w:line="275" w:lineRule="auto"/>
        <w:rPr>
          <w:sz w:val="20"/>
          <w:szCs w:val="20"/>
          <w:color w:val="auto"/>
        </w:rPr>
      </w:pPr>
      <w:r>
        <w:rPr>
          <w:rFonts w:ascii="Arial" w:cs="Arial" w:eastAsia="Arial" w:hAnsi="Arial"/>
          <w:sz w:val="17"/>
          <w:szCs w:val="17"/>
          <w:color w:val="auto"/>
        </w:rPr>
        <w:t>The Board of Directors of the Company (the “Board”) has fixed the close of business on March 13, 2019, as the record date for the determination of shareholders entitled to notice of and to vote at the Meeting.</w:t>
      </w:r>
    </w:p>
    <w:p>
      <w:pPr>
        <w:spacing w:after="0" w:line="165" w:lineRule="exact"/>
        <w:rPr>
          <w:sz w:val="20"/>
          <w:szCs w:val="20"/>
          <w:color w:val="auto"/>
        </w:rPr>
      </w:pPr>
    </w:p>
    <w:p>
      <w:pPr>
        <w:ind w:right="180" w:firstLine="937"/>
        <w:spacing w:after="0" w:line="280" w:lineRule="auto"/>
        <w:rPr>
          <w:sz w:val="20"/>
          <w:szCs w:val="20"/>
          <w:color w:val="auto"/>
        </w:rPr>
      </w:pPr>
      <w:r>
        <w:rPr>
          <w:rFonts w:ascii="Arial" w:cs="Arial" w:eastAsia="Arial" w:hAnsi="Arial"/>
          <w:sz w:val="16"/>
          <w:szCs w:val="16"/>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Order of the Board of Directors,</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NICOLE M. MADDREY, Secretary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March 21, 2019</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Arlington, VA</w:t>
      </w:r>
    </w:p>
    <w:p>
      <w:pPr>
        <w:sectPr>
          <w:pgSz w:w="11900" w:h="16838" w:orient="portrait"/>
          <w:cols w:equalWidth="0" w:num="1">
            <w:col w:w="10340"/>
          </w:cols>
          <w:pgMar w:left="740" w:top="259" w:right="8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GRAHAM HOLDINGS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1300 North 17th Street, Suite 1700, Arlington, VA 22209</w:t>
      </w:r>
    </w:p>
    <w:p>
      <w:pPr>
        <w:spacing w:after="0" w:line="20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March 21, 2019</w:t>
      </w:r>
    </w:p>
    <w:p>
      <w:pPr>
        <w:spacing w:after="0" w:line="23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This Proxy Statement contains information relating to the 2019 Annual Meeting of Shareholders of Graham Holdings Company to be held at the Convene Conference Center, 1201 Wilson Boulevard, 29th Floor, Rosslyn, VA 22209, on Thursday, May 2, 2019, at 8:30 a.m., Eastern Daylight Saving Time, or any adjournments thereof, for the purposes set forth in the accompanying Notice of the 2019 Annual Meeting of Shareholders. This Proxy Statement and the accompanying forms of Proxy and voting instructions are being delivered to shareholders on or about March 21, 2019. The Board of Directors of the Company is making this Proxy solicitation.</w:t>
      </w:r>
    </w:p>
    <w:p>
      <w:pPr>
        <w:spacing w:after="0" w:line="179"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Shareholders to be held on May 2, 2019. This Proxy Statement and the Annual Report to Shareholders are available at www.ghco.com.</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QUESTIONS AND ANSWERS</w:t>
      </w: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am I voting on?</w:t>
      </w:r>
    </w:p>
    <w:p>
      <w:pPr>
        <w:spacing w:after="0" w:line="217" w:lineRule="exact"/>
        <w:rPr>
          <w:sz w:val="20"/>
          <w:szCs w:val="20"/>
          <w:color w:val="auto"/>
        </w:rPr>
      </w:pPr>
    </w:p>
    <w:p>
      <w:pPr>
        <w:ind w:left="340" w:hanging="33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10 Directors is to be elected, seven by the holders of Class A</w:t>
      </w:r>
    </w:p>
    <w:p>
      <w:pPr>
        <w:spacing w:after="0" w:line="31" w:lineRule="exact"/>
        <w:rPr>
          <w:rFonts w:ascii="Arial" w:cs="Arial" w:eastAsia="Arial" w:hAnsi="Arial"/>
          <w:sz w:val="16"/>
          <w:szCs w:val="16"/>
          <w:color w:val="auto"/>
        </w:rPr>
      </w:pPr>
    </w:p>
    <w:p>
      <w:pPr>
        <w:ind w:right="120"/>
        <w:spacing w:after="0" w:line="256" w:lineRule="auto"/>
        <w:rPr>
          <w:rFonts w:ascii="Arial" w:cs="Arial" w:eastAsia="Arial" w:hAnsi="Arial"/>
          <w:sz w:val="16"/>
          <w:szCs w:val="16"/>
          <w:color w:val="auto"/>
        </w:rPr>
      </w:pPr>
      <w:r>
        <w:rPr>
          <w:rFonts w:ascii="Arial" w:cs="Arial" w:eastAsia="Arial" w:hAnsi="Arial"/>
          <w:sz w:val="17"/>
          <w:szCs w:val="17"/>
          <w:color w:val="auto"/>
        </w:rPr>
        <w:t>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74"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addition, if you are a holder of Class A Common Stock, you are voting on whether to approve the compensation paid to the Company’s named executive officers for 2018. In accordance with rules of the U.S. Securities and Exchange Commission (the “SEC”), this vote is advisory in nature and non-binding.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Each of your shares entitles you to one vote with respect to each matter on which you may vote.</w:t>
      </w: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are the voting recommendations of the Board?</w:t>
      </w:r>
    </w:p>
    <w:p>
      <w:pPr>
        <w:spacing w:after="0" w:line="217" w:lineRule="exact"/>
        <w:rPr>
          <w:sz w:val="20"/>
          <w:szCs w:val="20"/>
          <w:color w:val="auto"/>
        </w:rPr>
      </w:pPr>
    </w:p>
    <w:p>
      <w:pPr>
        <w:ind w:right="180" w:firstLine="6"/>
        <w:spacing w:after="0" w:line="275" w:lineRule="auto"/>
        <w:tabs>
          <w:tab w:leader="none" w:pos="33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recommends voting for each of the nominated Directors listed on the Proxy card. The Board knows of no reason that would cause any nominee to be unable to act or to refuse to accept nomination or election.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Board also recommends voting for the approval of the compensation paid to the Company’s named executive officers for 2018.</w:t>
      </w: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Will any other matters be voted on?</w:t>
      </w:r>
    </w:p>
    <w:p>
      <w:pPr>
        <w:spacing w:after="0" w:line="217" w:lineRule="exact"/>
        <w:rPr>
          <w:sz w:val="20"/>
          <w:szCs w:val="20"/>
          <w:color w:val="auto"/>
        </w:rPr>
      </w:pPr>
    </w:p>
    <w:p>
      <w:pPr>
        <w:ind w:right="200" w:firstLine="6"/>
        <w:spacing w:after="0" w:line="314" w:lineRule="auto"/>
        <w:tabs>
          <w:tab w:leader="none" w:pos="337"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are not aware of any matters to be voted on other than the election of Directors and the Class A Shareholder advisory vote on compensation paid to the Company’s named executive officers for 2018. If any other matter is properly brought before the Meeting and you have submitted a Proxy, Timothy J. O’Shaughnessy, Wallace R. Cooney, Jacob M. Maas and Nicole M. Maddrey, acting as your proxies, will vote for you at their discretion.</w:t>
      </w:r>
    </w:p>
    <w:p>
      <w:pPr>
        <w:spacing w:after="0" w:line="136" w:lineRule="exact"/>
        <w:rPr>
          <w:sz w:val="20"/>
          <w:szCs w:val="20"/>
          <w:color w:val="auto"/>
        </w:rPr>
      </w:pPr>
    </w:p>
    <w:p>
      <w:pPr>
        <w:ind w:left="360" w:hanging="354"/>
        <w:spacing w:after="0"/>
        <w:tabs>
          <w:tab w:leader="none" w:pos="3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217" w:lineRule="exact"/>
        <w:rPr>
          <w:sz w:val="20"/>
          <w:szCs w:val="20"/>
          <w:color w:val="auto"/>
        </w:rPr>
      </w:pPr>
    </w:p>
    <w:p>
      <w:pPr>
        <w:ind w:left="340" w:hanging="334"/>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four ways to vote:</w:t>
      </w:r>
    </w:p>
    <w:p>
      <w:pPr>
        <w:spacing w:after="0" w:line="72" w:lineRule="exact"/>
        <w:rPr>
          <w:rFonts w:ascii="Arial" w:cs="Arial" w:eastAsia="Arial" w:hAnsi="Arial"/>
          <w:sz w:val="17"/>
          <w:szCs w:val="17"/>
          <w:color w:val="auto"/>
        </w:rPr>
      </w:pPr>
    </w:p>
    <w:p>
      <w:pPr>
        <w:ind w:left="1040" w:hanging="204"/>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By Internet at www.investorvote.com. We encourage you to vote this way;</w:t>
      </w:r>
    </w:p>
    <w:p>
      <w:pPr>
        <w:spacing w:after="0" w:line="20" w:lineRule="exact"/>
        <w:rPr>
          <w:rFonts w:ascii="Arial" w:cs="Arial" w:eastAsia="Arial" w:hAnsi="Arial"/>
          <w:sz w:val="17"/>
          <w:szCs w:val="17"/>
          <w:color w:val="auto"/>
        </w:rPr>
      </w:pPr>
    </w:p>
    <w:p>
      <w:pPr>
        <w:ind w:left="1040" w:hanging="204"/>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By toll-free telephone at 1-800-652-8683;</w:t>
      </w:r>
    </w:p>
    <w:p>
      <w:pPr>
        <w:spacing w:after="0" w:line="8" w:lineRule="exact"/>
        <w:rPr>
          <w:rFonts w:ascii="Arial" w:cs="Arial" w:eastAsia="Arial" w:hAnsi="Arial"/>
          <w:sz w:val="17"/>
          <w:szCs w:val="17"/>
          <w:color w:val="auto"/>
        </w:rPr>
      </w:pPr>
    </w:p>
    <w:p>
      <w:pPr>
        <w:ind w:left="1040" w:hanging="204"/>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By completing and mailing your Proxy card; or</w:t>
      </w:r>
    </w:p>
    <w:p>
      <w:pPr>
        <w:spacing w:after="0" w:line="8" w:lineRule="exact"/>
        <w:rPr>
          <w:rFonts w:ascii="Arial" w:cs="Arial" w:eastAsia="Arial" w:hAnsi="Arial"/>
          <w:sz w:val="17"/>
          <w:szCs w:val="17"/>
          <w:color w:val="auto"/>
        </w:rPr>
      </w:pPr>
    </w:p>
    <w:p>
      <w:pPr>
        <w:ind w:left="1040" w:hanging="204"/>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By written ballot at the Meeting.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20"/>
          </w:cols>
          <w:pgMar w:left="740" w:top="263" w:right="739" w:bottom="1440" w:gutter="0" w:footer="0" w:header="0"/>
        </w:sectPr>
      </w:pPr>
    </w:p>
    <w:bookmarkStart w:id="4" w:name="page5"/>
    <w:bookmarkEnd w:id="4"/>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If you vote by Internet or telephone, your vote must be received by 5:00 p.m., Eastern Daylight Saving Time, on the day before the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“How do I vote if I participate in one of the Company’s 401(k) plans?” Please note that for participants in these plans, </w:t>
      </w:r>
      <w:r>
        <w:rPr>
          <w:rFonts w:ascii="Arial" w:cs="Arial" w:eastAsia="Arial" w:hAnsi="Arial"/>
          <w:sz w:val="16"/>
          <w:szCs w:val="16"/>
          <w:b w:val="1"/>
          <w:bCs w:val="1"/>
          <w:i w:val="1"/>
          <w:iCs w:val="1"/>
          <w:color w:val="auto"/>
        </w:rPr>
        <w:t>your voting direction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must be received no later than 11:00 p.m., Eastern Daylight Saving Time, on April 29, 2019, which is earlier than the time at which votes must be received for shares held outside of these plans.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paid to the Company’s named executive officers for 2018.</w:t>
      </w:r>
    </w:p>
    <w:p>
      <w:pPr>
        <w:spacing w:after="0" w:line="170" w:lineRule="exact"/>
        <w:rPr>
          <w:sz w:val="20"/>
          <w:szCs w:val="20"/>
          <w:color w:val="auto"/>
        </w:rPr>
      </w:pPr>
    </w:p>
    <w:p>
      <w:pPr>
        <w:ind w:left="360" w:hanging="354"/>
        <w:spacing w:after="0"/>
        <w:tabs>
          <w:tab w:leader="none" w:pos="3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if I participate in one of the Company’s 401(k) plans?</w:t>
      </w:r>
    </w:p>
    <w:p>
      <w:pPr>
        <w:spacing w:after="0" w:line="217" w:lineRule="exact"/>
        <w:rPr>
          <w:sz w:val="20"/>
          <w:szCs w:val="20"/>
          <w:color w:val="auto"/>
        </w:rPr>
      </w:pPr>
    </w:p>
    <w:p>
      <w:pPr>
        <w:ind w:right="40" w:firstLine="6"/>
        <w:spacing w:after="0" w:line="290" w:lineRule="auto"/>
        <w:tabs>
          <w:tab w:leader="none" w:pos="331"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Kaplan, Inc. Tax Deferred Savings Plan for Hourly Employees (the “Plan(s)”). Vanguard Fiduciary Trust Company serves as the trustee (the “Plan Trustee”) with respect to the Class B Common Stock allocated to accounts in the Plans. If you do not provide timely directions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directions were received, unless contrary to the Employee Retirement Income Security Act of 1974, as amended (“ERISA”). Plan participants may attend the Annual Meeting, but may not vote Plan shares at the Annual Meeting. If you wish to vote, whether you plan to attend the Annual Meeting or not, you should direct the Plan Trustee how you wish to vote your Plan shares </w:t>
      </w:r>
      <w:r>
        <w:rPr>
          <w:rFonts w:ascii="Arial" w:cs="Arial" w:eastAsia="Arial" w:hAnsi="Arial"/>
          <w:sz w:val="15"/>
          <w:szCs w:val="15"/>
          <w:b w:val="1"/>
          <w:bCs w:val="1"/>
          <w:i w:val="1"/>
          <w:iCs w:val="1"/>
          <w:color w:val="auto"/>
        </w:rPr>
        <w:t>no later than 11:00 p.m., Eastern Daylight Saving Time, on April 29, 2019.</w:t>
      </w:r>
    </w:p>
    <w:p>
      <w:pPr>
        <w:spacing w:after="0" w:line="158"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 can vote?</w:t>
      </w:r>
    </w:p>
    <w:p>
      <w:pPr>
        <w:spacing w:after="0" w:line="217" w:lineRule="exact"/>
        <w:rPr>
          <w:sz w:val="20"/>
          <w:szCs w:val="20"/>
          <w:color w:val="auto"/>
        </w:rPr>
      </w:pPr>
    </w:p>
    <w:p>
      <w:pPr>
        <w:ind w:right="260" w:firstLine="6"/>
        <w:spacing w:after="0" w:line="258" w:lineRule="auto"/>
        <w:tabs>
          <w:tab w:leader="none" w:pos="3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You can vote if you were a shareholder of record as of the close of business on March 13, 2019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2018 Compensation Awarded to Named Executive Officers.</w:t>
      </w:r>
    </w:p>
    <w:p>
      <w:pPr>
        <w:spacing w:after="0" w:line="17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61" w:lineRule="exact"/>
        <w:rPr>
          <w:sz w:val="20"/>
          <w:szCs w:val="20"/>
          <w:color w:val="auto"/>
        </w:rPr>
      </w:pPr>
    </w:p>
    <w:p>
      <w:pPr>
        <w:ind w:left="360" w:hanging="354"/>
        <w:spacing w:after="0"/>
        <w:tabs>
          <w:tab w:leader="none" w:pos="3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Can I change my vote?</w:t>
      </w:r>
    </w:p>
    <w:p>
      <w:pPr>
        <w:spacing w:after="0" w:line="217" w:lineRule="exact"/>
        <w:rPr>
          <w:sz w:val="20"/>
          <w:szCs w:val="20"/>
          <w:color w:val="auto"/>
        </w:rPr>
      </w:pPr>
    </w:p>
    <w:p>
      <w:pPr>
        <w:ind w:left="340" w:hanging="334"/>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Yes. You can change your vote or revoke your Proxy at any time before the Meeting:</w:t>
      </w:r>
    </w:p>
    <w:p>
      <w:pPr>
        <w:spacing w:after="0" w:line="72" w:lineRule="exact"/>
        <w:rPr>
          <w:rFonts w:ascii="Arial" w:cs="Arial" w:eastAsia="Arial" w:hAnsi="Arial"/>
          <w:sz w:val="17"/>
          <w:szCs w:val="17"/>
          <w:color w:val="auto"/>
        </w:rPr>
      </w:pPr>
    </w:p>
    <w:p>
      <w:pPr>
        <w:ind w:left="1040" w:hanging="204"/>
        <w:spacing w:after="0"/>
        <w:tabs>
          <w:tab w:leader="none" w:pos="10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entering a new vote by Internet or telephone;</w:t>
      </w:r>
    </w:p>
    <w:p>
      <w:pPr>
        <w:spacing w:after="0" w:line="20" w:lineRule="exact"/>
        <w:rPr>
          <w:rFonts w:ascii="Arial" w:cs="Arial" w:eastAsia="Arial" w:hAnsi="Arial"/>
          <w:sz w:val="17"/>
          <w:szCs w:val="17"/>
          <w:color w:val="auto"/>
        </w:rPr>
      </w:pPr>
    </w:p>
    <w:p>
      <w:pPr>
        <w:ind w:left="1040" w:hanging="204"/>
        <w:spacing w:after="0"/>
        <w:tabs>
          <w:tab w:leader="none" w:pos="10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returning a later-dated Proxy card; or</w:t>
      </w:r>
    </w:p>
    <w:p>
      <w:pPr>
        <w:spacing w:after="0" w:line="8" w:lineRule="exact"/>
        <w:rPr>
          <w:rFonts w:ascii="Arial" w:cs="Arial" w:eastAsia="Arial" w:hAnsi="Arial"/>
          <w:sz w:val="17"/>
          <w:szCs w:val="17"/>
          <w:color w:val="auto"/>
        </w:rPr>
      </w:pPr>
    </w:p>
    <w:p>
      <w:pPr>
        <w:ind w:left="1040" w:hanging="204"/>
        <w:spacing w:after="0"/>
        <w:tabs>
          <w:tab w:leader="none" w:pos="10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voting in person at the Meeting, provided you first revoke your previously voted Proxy.</w:t>
      </w: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If you are a participant in one of the Company’s 401(k) plans with Graham Holdings Company Class B Common Stock and wish to change your vote or revoke your Proxy, you must do so </w:t>
      </w:r>
      <w:r>
        <w:rPr>
          <w:rFonts w:ascii="Arial" w:cs="Arial" w:eastAsia="Arial" w:hAnsi="Arial"/>
          <w:sz w:val="16"/>
          <w:szCs w:val="16"/>
          <w:b w:val="1"/>
          <w:bCs w:val="1"/>
          <w:i w:val="1"/>
          <w:iCs w:val="1"/>
          <w:color w:val="auto"/>
        </w:rPr>
        <w:t>no later than 11:00 p.m., Eastern Daylight Saving Time, on April 29, 2019,</w:t>
      </w:r>
      <w:r>
        <w:rPr>
          <w:rFonts w:ascii="Arial" w:cs="Arial" w:eastAsia="Arial" w:hAnsi="Arial"/>
          <w:sz w:val="16"/>
          <w:szCs w:val="16"/>
          <w:color w:val="auto"/>
        </w:rPr>
        <w:t xml:space="preserve"> by instructing the Plan Trustee in a manner described under the Question “How do I vote if I participate in one of the Company’s 401(k) plans?” above</w:t>
      </w:r>
      <w:r>
        <w:rPr>
          <w:rFonts w:ascii="Arial" w:cs="Arial" w:eastAsia="Arial" w:hAnsi="Arial"/>
          <w:sz w:val="16"/>
          <w:szCs w:val="16"/>
          <w:b w:val="1"/>
          <w:bCs w:val="1"/>
          <w:i w:val="1"/>
          <w:iCs w:val="1"/>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20"/>
          </w:cols>
          <w:pgMar w:left="740" w:top="267" w:right="739" w:bottom="1440" w:gutter="0" w:footer="0" w:header="0"/>
        </w:sectPr>
      </w:pPr>
    </w:p>
    <w:bookmarkStart w:id="5" w:name="page6"/>
    <w:bookmarkEnd w:id="5"/>
    <w:p>
      <w:pPr>
        <w:spacing w:after="0"/>
        <w:tabs>
          <w:tab w:leader="none" w:pos="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Q:</w:t>
      </w:r>
      <w:r>
        <w:rPr>
          <w:sz w:val="20"/>
          <w:szCs w:val="20"/>
          <w:color w:val="auto"/>
        </w:rPr>
        <w:tab/>
      </w:r>
      <w:r>
        <w:rPr>
          <w:rFonts w:ascii="Arial" w:cs="Arial" w:eastAsia="Arial" w:hAnsi="Arial"/>
          <w:sz w:val="15"/>
          <w:szCs w:val="15"/>
          <w:b w:val="1"/>
          <w:bCs w:val="1"/>
          <w:color w:val="auto"/>
        </w:rPr>
        <w:t>What vote is required to approve a proposal?</w:t>
      </w:r>
    </w:p>
    <w:p>
      <w:pPr>
        <w:spacing w:after="0" w:line="217" w:lineRule="exact"/>
        <w:rPr>
          <w:sz w:val="20"/>
          <w:szCs w:val="20"/>
          <w:color w:val="auto"/>
        </w:rPr>
      </w:pPr>
    </w:p>
    <w:p>
      <w:pPr>
        <w:ind w:right="20" w:firstLine="6"/>
        <w:spacing w:after="0" w:line="25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Directors will be elected by a plurality of the votes cast at the Meeting. This means that the seven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While Proposal 2 to approve the 2018 compensation awarded to the Company’s named executive officers is non-binding and advisory in nature, it will be approved only on the favorable vote of a majority of the Class A Shareholders present or represented at the Meeting.</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Broker non-votes will have no impact on the voting results for any of the proposals presented at the Meeting, and abstentions will have the effect of a vote against the proposal to approve the 2018 compensation awarded to the Company’s named executive officers (Proposal 2). Abstentions will be counted for purposes of determining whether a quorum is present. For participants in one of the Company’s 401(k) plans with Graham Holdings Company Class B Common Stock allocated to your account, if no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directions were received, unless contrary to ERISA.</w:t>
      </w:r>
    </w:p>
    <w:p>
      <w:pPr>
        <w:spacing w:after="0" w:line="14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 will count the vote?</w:t>
      </w:r>
    </w:p>
    <w:p>
      <w:pPr>
        <w:spacing w:after="0" w:line="217" w:lineRule="exact"/>
        <w:rPr>
          <w:sz w:val="20"/>
          <w:szCs w:val="20"/>
          <w:color w:val="auto"/>
        </w:rPr>
      </w:pPr>
    </w:p>
    <w:p>
      <w:pPr>
        <w:ind w:right="400" w:firstLine="6"/>
        <w:spacing w:after="0" w:line="27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Computershare, the Company’s transfer agent and registrar, will count the vote. One of its representatives will be included among the persons authorized to certify the vote.</w:t>
      </w:r>
    </w:p>
    <w:p>
      <w:pPr>
        <w:spacing w:after="0" w:line="161"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 can attend the Meeting?</w:t>
      </w:r>
    </w:p>
    <w:p>
      <w:pPr>
        <w:spacing w:after="0" w:line="21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All shareholders of record as of the close of business on March 13, 2019, can attend.</w:t>
      </w: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do I need to do to attend the Meeting?</w:t>
      </w:r>
    </w:p>
    <w:p>
      <w:pPr>
        <w:spacing w:after="0" w:line="217" w:lineRule="exact"/>
        <w:rPr>
          <w:sz w:val="20"/>
          <w:szCs w:val="20"/>
          <w:color w:val="auto"/>
        </w:rPr>
      </w:pPr>
    </w:p>
    <w:p>
      <w:pPr>
        <w:ind w:left="340" w:hanging="334"/>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attend the Meeting, please follow these instructions:</w:t>
      </w:r>
    </w:p>
    <w:p>
      <w:pPr>
        <w:spacing w:after="0" w:line="72" w:lineRule="exact"/>
        <w:rPr>
          <w:rFonts w:ascii="Arial" w:cs="Arial" w:eastAsia="Arial" w:hAnsi="Arial"/>
          <w:sz w:val="17"/>
          <w:szCs w:val="17"/>
          <w:color w:val="auto"/>
        </w:rPr>
      </w:pPr>
    </w:p>
    <w:p>
      <w:pPr>
        <w:ind w:left="1040" w:hanging="204"/>
        <w:spacing w:after="0"/>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you vote by using the enclosed Proxy card, check the appropriate box on the card.</w:t>
      </w:r>
    </w:p>
    <w:p>
      <w:pPr>
        <w:spacing w:after="0" w:line="20" w:lineRule="exact"/>
        <w:rPr>
          <w:rFonts w:ascii="Arial" w:cs="Arial" w:eastAsia="Arial" w:hAnsi="Arial"/>
          <w:sz w:val="17"/>
          <w:szCs w:val="17"/>
          <w:color w:val="auto"/>
        </w:rPr>
      </w:pPr>
    </w:p>
    <w:p>
      <w:pPr>
        <w:ind w:left="1040" w:hanging="204"/>
        <w:spacing w:after="0"/>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you vote by Internet or telephone, follow the instructions provided for attendance.</w:t>
      </w:r>
    </w:p>
    <w:p>
      <w:pPr>
        <w:spacing w:after="0" w:line="8" w:lineRule="exact"/>
        <w:rPr>
          <w:rFonts w:ascii="Arial" w:cs="Arial" w:eastAsia="Arial" w:hAnsi="Arial"/>
          <w:sz w:val="17"/>
          <w:szCs w:val="17"/>
          <w:color w:val="auto"/>
        </w:rPr>
      </w:pPr>
    </w:p>
    <w:p>
      <w:pPr>
        <w:ind w:left="1040" w:hanging="204"/>
        <w:spacing w:after="0"/>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 broker or other nominee holds your shares, bring proof of your ownership with you to the Meeting.</w:t>
      </w:r>
    </w:p>
    <w:p>
      <w:pPr>
        <w:spacing w:after="0" w:line="202"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Seating at the Meeting will be on a first-come, first-served basis upon arrival at the Meeting. Participants in the Company’s 401(k) plans with Graham Holdings Company Class B Common Stock may attend the Annual Meeting, but may not vote Plan shares at the Annual Meeting and should instead rely on the procedures described under the Question “How do I vote if I participate in one of the Company’s 401(k) plans?” above.</w:t>
      </w:r>
    </w:p>
    <w:p>
      <w:pPr>
        <w:spacing w:after="0" w:line="136" w:lineRule="exact"/>
        <w:rPr>
          <w:sz w:val="20"/>
          <w:szCs w:val="20"/>
          <w:color w:val="auto"/>
        </w:rPr>
      </w:pPr>
    </w:p>
    <w:p>
      <w:pPr>
        <w:ind w:left="360" w:hanging="354"/>
        <w:spacing w:after="0"/>
        <w:tabs>
          <w:tab w:leader="none" w:pos="3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Can I bring a guest?</w:t>
      </w:r>
    </w:p>
    <w:p>
      <w:pPr>
        <w:spacing w:after="0" w:line="217" w:lineRule="exact"/>
        <w:rPr>
          <w:sz w:val="20"/>
          <w:szCs w:val="20"/>
          <w:color w:val="auto"/>
        </w:rPr>
      </w:pPr>
    </w:p>
    <w:p>
      <w:pPr>
        <w:ind w:left="340" w:hanging="334"/>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 The Meeting is for shareholders only.</w:t>
      </w: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is the quorum requirement of the Meeting?</w:t>
      </w:r>
    </w:p>
    <w:p>
      <w:pPr>
        <w:spacing w:after="0" w:line="217" w:lineRule="exact"/>
        <w:rPr>
          <w:sz w:val="20"/>
          <w:szCs w:val="20"/>
          <w:color w:val="auto"/>
        </w:rPr>
      </w:pPr>
    </w:p>
    <w:p>
      <w:pPr>
        <w:ind w:firstLine="6"/>
        <w:spacing w:after="0" w:line="286" w:lineRule="auto"/>
        <w:tabs>
          <w:tab w:leader="none" w:pos="331"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majority of the outstanding shares on March 13, 2019, constitutes a quorum for voting at the Annual Meeting, except that (i) for purposes of the election of seven Directors by the holders of Class A Common Stock (Proposal 1) and the advisory vote on whether to approve the compensation paid to the named executive officers of the Company in 2018 (Proposal 2), a quorum requires a majority of the outstanding shares of Class A Common Stock on March 13, 2019, and (ii) for purposes of the election of three Directors by the holders of Class B Common Stock (Proposal 1), a quorum requires a majority of the outstanding shares of Class B Common Stock on March 13, 2019. If you vote, your shares will be part of the quorum. All Class B Common Stock allocated to the accounts of participants in one of the Company’s 401(k) plans will be voted and will be counted in determining a quorum. Abstentions will be counted in determining the quorum. On March 13, 2019, there were 964,001 shares of Class A Common Stock</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 4,350,973 shares of Class B Common Stock, in each case, outstanding and entitled to vote.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00"/>
          </w:cols>
          <w:pgMar w:left="740" w:top="263" w:right="759" w:bottom="1440" w:gutter="0" w:footer="0" w:header="0"/>
        </w:sectPr>
      </w:pPr>
    </w:p>
    <w:bookmarkStart w:id="6" w:name="page7"/>
    <w:bookmarkEnd w:id="6"/>
    <w:p>
      <w:pPr>
        <w:spacing w:after="0"/>
        <w:tabs>
          <w:tab w:leader="none" w:pos="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Q:</w:t>
      </w:r>
      <w:r>
        <w:rPr>
          <w:sz w:val="20"/>
          <w:szCs w:val="20"/>
          <w:color w:val="auto"/>
        </w:rPr>
        <w:tab/>
      </w:r>
      <w:r>
        <w:rPr>
          <w:rFonts w:ascii="Arial" w:cs="Arial" w:eastAsia="Arial" w:hAnsi="Arial"/>
          <w:sz w:val="14"/>
          <w:szCs w:val="14"/>
          <w:b w:val="1"/>
          <w:bCs w:val="1"/>
          <w:color w:val="auto"/>
        </w:rPr>
        <w:t>Who is soliciting Proxies?</w:t>
      </w:r>
    </w:p>
    <w:p>
      <w:pPr>
        <w:spacing w:after="0" w:line="217" w:lineRule="exact"/>
        <w:rPr>
          <w:sz w:val="20"/>
          <w:szCs w:val="20"/>
          <w:color w:val="auto"/>
        </w:rPr>
      </w:pPr>
    </w:p>
    <w:p>
      <w:pPr>
        <w:ind w:right="300" w:firstLine="6"/>
        <w:spacing w:after="0" w:line="28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When are the shareholder proposals due for the Company’s 2020 Annual Meeting of Shareholders?</w:t>
      </w:r>
    </w:p>
    <w:p>
      <w:pPr>
        <w:spacing w:after="0" w:line="217" w:lineRule="exact"/>
        <w:rPr>
          <w:sz w:val="20"/>
          <w:szCs w:val="20"/>
          <w:color w:val="auto"/>
        </w:rPr>
      </w:pPr>
    </w:p>
    <w:p>
      <w:pPr>
        <w:jc w:val="both"/>
        <w:ind w:right="40" w:firstLine="6"/>
        <w:spacing w:after="0" w:line="28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Shareholder proposals submitted by shareholders entitled to vote on such matters, meeting the requirements of the SEC’s proxy rules, must be in writing, received by November 22, 2019,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5, 2020, to be considered a timely submission.</w:t>
      </w:r>
    </w:p>
    <w:p>
      <w:pPr>
        <w:spacing w:after="0" w:line="163"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Meeting.</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other information about Graham Holdings Company is available?</w:t>
      </w:r>
    </w:p>
    <w:p>
      <w:pPr>
        <w:spacing w:after="0" w:line="217"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following information is available:</w:t>
      </w:r>
    </w:p>
    <w:p>
      <w:pPr>
        <w:spacing w:after="0" w:line="72" w:lineRule="exact"/>
        <w:rPr>
          <w:rFonts w:ascii="Arial" w:cs="Arial" w:eastAsia="Arial" w:hAnsi="Arial"/>
          <w:sz w:val="17"/>
          <w:szCs w:val="17"/>
          <w:color w:val="auto"/>
        </w:rPr>
      </w:pPr>
    </w:p>
    <w:p>
      <w:pPr>
        <w:jc w:val="both"/>
        <w:ind w:left="820" w:hanging="303"/>
        <w:spacing w:after="0" w:line="263" w:lineRule="auto"/>
        <w:tabs>
          <w:tab w:leader="none" w:pos="8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33" w:lineRule="exact"/>
        <w:rPr>
          <w:rFonts w:ascii="Arial" w:cs="Arial" w:eastAsia="Arial" w:hAnsi="Arial"/>
          <w:sz w:val="17"/>
          <w:szCs w:val="17"/>
          <w:color w:val="auto"/>
        </w:rPr>
      </w:pPr>
    </w:p>
    <w:p>
      <w:pPr>
        <w:ind w:left="820" w:right="20" w:hanging="303"/>
        <w:spacing w:after="0" w:line="258" w:lineRule="auto"/>
        <w:tabs>
          <w:tab w:leader="none" w:pos="8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77" w:lineRule="exact"/>
        <w:rPr>
          <w:sz w:val="20"/>
          <w:szCs w:val="20"/>
          <w:color w:val="auto"/>
        </w:rPr>
      </w:pPr>
    </w:p>
    <w:p>
      <w:pPr>
        <w:ind w:left="360" w:hanging="354"/>
        <w:spacing w:after="0"/>
        <w:tabs>
          <w:tab w:leader="none" w:pos="3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Can I receive materials relating to the Meeting electronically?</w:t>
      </w:r>
    </w:p>
    <w:p>
      <w:pPr>
        <w:spacing w:after="0" w:line="217" w:lineRule="exact"/>
        <w:rPr>
          <w:sz w:val="20"/>
          <w:szCs w:val="20"/>
          <w:color w:val="auto"/>
        </w:rPr>
      </w:pPr>
    </w:p>
    <w:p>
      <w:pPr>
        <w:ind w:firstLine="6"/>
        <w:spacing w:after="0" w:line="299" w:lineRule="auto"/>
        <w:tabs>
          <w:tab w:leader="none" w:pos="33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47"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is householding?</w:t>
      </w:r>
    </w:p>
    <w:p>
      <w:pPr>
        <w:spacing w:after="0" w:line="217" w:lineRule="exact"/>
        <w:rPr>
          <w:sz w:val="20"/>
          <w:szCs w:val="20"/>
          <w:color w:val="auto"/>
        </w:rPr>
      </w:pPr>
    </w:p>
    <w:p>
      <w:pPr>
        <w:ind w:right="120" w:firstLine="6"/>
        <w:spacing w:after="0" w:line="25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1300 North 17th Street, Suite 1700, Arlington, VA 22209.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20"/>
          </w:cols>
          <w:pgMar w:left="740" w:top="263" w:right="7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PROPOSAL 1: ELECTION OF DIRECTORS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BOARD OF DIRECTORS</w:t>
      </w:r>
    </w:p>
    <w:p>
      <w:pPr>
        <w:spacing w:after="0" w:line="217" w:lineRule="exact"/>
        <w:rPr>
          <w:sz w:val="20"/>
          <w:szCs w:val="20"/>
          <w:color w:val="auto"/>
        </w:rPr>
      </w:pPr>
    </w:p>
    <w:p>
      <w:pPr>
        <w:ind w:right="80" w:firstLine="937"/>
        <w:spacing w:after="0" w:line="291" w:lineRule="auto"/>
        <w:rPr>
          <w:sz w:val="20"/>
          <w:szCs w:val="20"/>
          <w:color w:val="auto"/>
        </w:rPr>
      </w:pPr>
      <w:r>
        <w:rPr>
          <w:rFonts w:ascii="Arial" w:cs="Arial" w:eastAsia="Arial" w:hAnsi="Arial"/>
          <w:sz w:val="15"/>
          <w:szCs w:val="15"/>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60" w:lineRule="exact"/>
        <w:rPr>
          <w:sz w:val="20"/>
          <w:szCs w:val="20"/>
          <w:color w:val="auto"/>
        </w:rPr>
      </w:pPr>
    </w:p>
    <w:p>
      <w:pPr>
        <w:ind w:right="20" w:firstLine="937"/>
        <w:spacing w:after="0" w:line="270" w:lineRule="auto"/>
        <w:rPr>
          <w:sz w:val="20"/>
          <w:szCs w:val="20"/>
          <w:color w:val="auto"/>
        </w:rPr>
      </w:pPr>
      <w:r>
        <w:rPr>
          <w:rFonts w:ascii="Arial" w:cs="Arial" w:eastAsia="Arial" w:hAnsi="Arial"/>
          <w:sz w:val="16"/>
          <w:szCs w:val="16"/>
          <w:color w:val="auto"/>
        </w:rPr>
        <w:t>The Company is a diversified education and media company whose operations include educational services; television broadcasting; online, print and local TV news; social-media advertising services; home health and hospice care; and manufacturing. The Company serves customers in a rapidly evolving, highly regulated, competitive and technological environment. The Directors’ expertise and experience encompass the areas of education, media, technology, marketing, international business and finance, journalism, law, government and public policy. All of the Directors have held senior positions as leaders of government or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biographies highlight specific qualifications, skills and experience of each of the Director nominees.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ELECTION BY CLASS A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 C. Bollinger</w:t>
      </w:r>
    </w:p>
    <w:p>
      <w:pPr>
        <w:spacing w:after="0" w:line="217" w:lineRule="exact"/>
        <w:rPr>
          <w:sz w:val="20"/>
          <w:szCs w:val="20"/>
          <w:color w:val="auto"/>
        </w:rPr>
      </w:pPr>
    </w:p>
    <w:p>
      <w:pPr>
        <w:ind w:left="740"/>
        <w:spacing w:after="0" w:line="270" w:lineRule="auto"/>
        <w:rPr>
          <w:sz w:val="20"/>
          <w:szCs w:val="20"/>
          <w:color w:val="auto"/>
        </w:rPr>
      </w:pPr>
      <w:r>
        <w:rPr>
          <w:rFonts w:ascii="Arial" w:cs="Arial" w:eastAsia="Arial" w:hAnsi="Arial"/>
          <w:sz w:val="16"/>
          <w:szCs w:val="16"/>
          <w:color w:val="auto"/>
        </w:rPr>
        <w:t>Mr. Bollinger, age 72,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Mr. Bollinger is a member of the Board of Columbia University and certain of its affiliates. He is a Trustee of the Institute of International Education and was Chairman of the Board of the Federal Reserve Bank of New York until December 2012. Mr. Bollinger serves as a member of the Pulitzer Prize Board.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Thomas S. Gayner</w:t>
      </w:r>
    </w:p>
    <w:p>
      <w:pPr>
        <w:spacing w:after="0" w:line="217" w:lineRule="exact"/>
        <w:rPr>
          <w:sz w:val="20"/>
          <w:szCs w:val="20"/>
          <w:color w:val="auto"/>
        </w:rPr>
      </w:pPr>
    </w:p>
    <w:p>
      <w:pPr>
        <w:ind w:left="740" w:right="60"/>
        <w:spacing w:after="0" w:line="256" w:lineRule="auto"/>
        <w:rPr>
          <w:sz w:val="20"/>
          <w:szCs w:val="20"/>
          <w:color w:val="auto"/>
        </w:rPr>
      </w:pPr>
      <w:r>
        <w:rPr>
          <w:rFonts w:ascii="Arial" w:cs="Arial" w:eastAsia="Arial" w:hAnsi="Arial"/>
          <w:sz w:val="17"/>
          <w:szCs w:val="17"/>
          <w:color w:val="auto"/>
        </w:rPr>
        <w:t>Mr. Gayner, age 57, has served as Co-Chief Executive Officer of Markel Corporation, a publicly traded financial holding company headquartered in Glen Allen, VA, since January 2016, and prior to that, he served as President and Chief Investment Officer of Markel Corporation since May 2010. Mr. Gayner has served as a Director of the Company since January 2007. He is Chairman of the Audit Committee and a member of the Finance Committee. Since 1990, he has served as President of Markel Gayner Asset Management; he served as a Director of Markel Corporation from 1998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20"/>
          </w:cols>
          <w:pgMar w:left="740" w:top="263" w:right="739" w:bottom="1440" w:gutter="0" w:footer="0" w:header="0"/>
        </w:sectPr>
      </w:pPr>
    </w:p>
    <w:bookmarkStart w:id="8" w:name="page9"/>
    <w:bookmarkEnd w:id="8"/>
    <w:p>
      <w:pPr>
        <w:ind w:left="740" w:right="12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to 2003. Previously, he was a certified public accountant at PricewaterhouseCoopers LLP and a Vice President of Davenport &amp; Company of Virginia. Mr. Gayner serves on the Board of Directors of Colfax Corporation, Cable ONE, Inc. (“Cable ONE”), the Davis Series Mutual Funds and the Community Foundation of Richmond, and is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w:t>
      </w:r>
    </w:p>
    <w:p>
      <w:pPr>
        <w:spacing w:after="0" w:line="1" w:lineRule="exact"/>
        <w:rPr>
          <w:sz w:val="20"/>
          <w:szCs w:val="20"/>
          <w:color w:val="auto"/>
        </w:rPr>
      </w:pPr>
    </w:p>
    <w:p>
      <w:pPr>
        <w:ind w:left="740" w:right="120"/>
        <w:spacing w:after="0" w:line="261" w:lineRule="auto"/>
        <w:rPr>
          <w:sz w:val="20"/>
          <w:szCs w:val="20"/>
          <w:color w:val="auto"/>
        </w:rPr>
      </w:pPr>
      <w:r>
        <w:rPr>
          <w:rFonts w:ascii="Arial" w:cs="Arial" w:eastAsia="Arial" w:hAnsi="Arial"/>
          <w:sz w:val="17"/>
          <w:szCs w:val="17"/>
          <w:color w:val="auto"/>
        </w:rPr>
        <w:t>Mr. Gayner has significant experience in public company financial reporting, accounting and financial control matters, as well as experience in the analysis of strategic investment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Donald E. Graham</w:t>
      </w:r>
    </w:p>
    <w:p>
      <w:pPr>
        <w:spacing w:after="0" w:line="217" w:lineRule="exact"/>
        <w:rPr>
          <w:sz w:val="20"/>
          <w:szCs w:val="20"/>
          <w:color w:val="auto"/>
        </w:rPr>
      </w:pPr>
    </w:p>
    <w:p>
      <w:pPr>
        <w:ind w:left="740" w:right="60"/>
        <w:spacing w:after="0" w:line="289" w:lineRule="auto"/>
        <w:rPr>
          <w:sz w:val="20"/>
          <w:szCs w:val="20"/>
          <w:color w:val="auto"/>
        </w:rPr>
      </w:pPr>
      <w:r>
        <w:rPr>
          <w:rFonts w:ascii="Arial" w:cs="Arial" w:eastAsia="Arial" w:hAnsi="Arial"/>
          <w:sz w:val="15"/>
          <w:szCs w:val="15"/>
          <w:color w:val="auto"/>
        </w:rPr>
        <w:t>Mr. Graham, age 73, has served as Chairman of the Board of the Company since September 1993 and served as Chief Executive Officer of the Company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55.9% of the outstanding Class A Stock of the Company and his right to control the vote as a trustee of certain family trusts of an additional 31.6% of such stock, Mr. Graham effectively votes a total of 87.5% of the Class A shares. Mr. Graham was a Director of Facebook, Inc. from December 2008 until June 2015. Mr. Graham is a Trustee of the Federal City Council and KIPP-DC. He serves as a Director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also serve as members of the Board.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Jack A. Markell</w:t>
      </w:r>
    </w:p>
    <w:p>
      <w:pPr>
        <w:spacing w:after="0" w:line="217" w:lineRule="exact"/>
        <w:rPr>
          <w:sz w:val="20"/>
          <w:szCs w:val="20"/>
          <w:color w:val="auto"/>
        </w:rPr>
      </w:pPr>
    </w:p>
    <w:p>
      <w:pPr>
        <w:ind w:left="740" w:right="20"/>
        <w:spacing w:after="0" w:line="274" w:lineRule="auto"/>
        <w:rPr>
          <w:sz w:val="20"/>
          <w:szCs w:val="20"/>
          <w:color w:val="auto"/>
        </w:rPr>
      </w:pPr>
      <w:r>
        <w:rPr>
          <w:rFonts w:ascii="Arial" w:cs="Arial" w:eastAsia="Arial" w:hAnsi="Arial"/>
          <w:sz w:val="16"/>
          <w:szCs w:val="16"/>
          <w:color w:val="auto"/>
        </w:rPr>
        <w:t>Mr. Markell, age 58, served from 2009 to 2017 as Governor of Delaware. Before he was elected Governor, Mr. Markell served 10 years as Delaware’s State Treasurer. Mr. Markell has served as a Director of the Company since 2017 and is a member of the Audit Committee. Prior to his public service, Mr. Markell held several executive leadership roles in corporation development, investor relations, strategic management and consulting with First Chicago Corporation, McKinsey &amp; Company, Comcast Corporation and Nextel. Mr. Markell serves on the boards of Upstream USA, Symbiont.io and FS Credit Real Estate Income Trust; on the National Board of Directors of Jobs for America’s Graduates; and as a Trustee of the Annie E. Casey Foundation and Delaware State University.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Timothy J. O’Shaughnessy</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Mr. O’Shaughnessy, age 37, is President and Chief Executive Officer of Graham Holdings Company. He has served as a Director of the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Company since November 2014 and is a member of the Finance and Executive Committees of the Board. Previously, he served as Chief</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Executive Officer of LivingSocial, which he co-founded in 2007. During his tenure, the e-commerce and marketing company grew sales to</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nearly $2 billion. Mr. O’Shaughnessy also worked at several media and technology companies, including AOL and Revolution Health. He is</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 graduate of Georgetown University, a member of the Executive Committee of the Federal City Council and a Director of Framebridge,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Inc. He is married to Laura Graham O’Shaughnessy, a daughter of Donald E. Graham. She is Chief Executive Officer of SocialCode, a social-</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media marketing technology and services company, wholly owned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 Richard Wagoner, Jr.</w:t>
      </w:r>
    </w:p>
    <w:p>
      <w:pPr>
        <w:spacing w:after="0" w:line="217" w:lineRule="exact"/>
        <w:rPr>
          <w:sz w:val="20"/>
          <w:szCs w:val="20"/>
          <w:color w:val="auto"/>
        </w:rPr>
      </w:pPr>
    </w:p>
    <w:p>
      <w:pPr>
        <w:ind w:left="740"/>
        <w:spacing w:after="0" w:line="273" w:lineRule="auto"/>
        <w:rPr>
          <w:sz w:val="20"/>
          <w:szCs w:val="20"/>
          <w:color w:val="auto"/>
        </w:rPr>
      </w:pPr>
      <w:r>
        <w:rPr>
          <w:rFonts w:ascii="Arial" w:cs="Arial" w:eastAsia="Arial" w:hAnsi="Arial"/>
          <w:sz w:val="16"/>
          <w:szCs w:val="16"/>
          <w:color w:val="auto"/>
        </w:rPr>
        <w:t>Mr. Wagoner, age 66,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U.S. Bankruptcy Court for the Southern District of New York, seeking relief under Chapter 11 of the U.S. Bankruptcy Code. Mr. Wagoner was not an Executive Officer or Director of GM at the time of that filing.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20"/>
          </w:cols>
          <w:pgMar w:left="740" w:top="267" w:right="739" w:bottom="1440" w:gutter="0" w:footer="0" w:header="0"/>
        </w:sectPr>
      </w:pPr>
    </w:p>
    <w:bookmarkStart w:id="9" w:name="page10"/>
    <w:bookmarkEnd w:id="9"/>
    <w:p>
      <w:pPr>
        <w:ind w:left="740" w:right="14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Mr. Wagoner is a member of the Board of Directors of Invesco, Aleris International and several privately held companies. In addition, he advises several finance firms, start-ups and early stage ventures. Mr. Wagoner is a member of the Virginia Commonwealth University Board of Visitors, the Duke University Health Systems Board of Directors and the Duke Kunshan University Global Advisory Board. He is a Trustee Emeritus of Duke University and a former Board Chair. He is a Director of The Leapfrog Group. He is an honorary member of the Mayor of Shanghai, China’s International Business Leaders Advisory Council. Through his leadership roles at GM and other activities,</w:t>
      </w:r>
    </w:p>
    <w:p>
      <w:pPr>
        <w:spacing w:after="0" w:line="1" w:lineRule="exact"/>
        <w:rPr>
          <w:sz w:val="20"/>
          <w:szCs w:val="20"/>
          <w:color w:val="auto"/>
        </w:rPr>
      </w:pPr>
    </w:p>
    <w:p>
      <w:pPr>
        <w:ind w:left="740"/>
        <w:spacing w:after="0" w:line="256" w:lineRule="auto"/>
        <w:rPr>
          <w:sz w:val="20"/>
          <w:szCs w:val="20"/>
          <w:color w:val="auto"/>
        </w:rPr>
      </w:pPr>
      <w:r>
        <w:rPr>
          <w:rFonts w:ascii="Arial" w:cs="Arial" w:eastAsia="Arial" w:hAnsi="Arial"/>
          <w:sz w:val="17"/>
          <w:szCs w:val="17"/>
          <w:color w:val="auto"/>
        </w:rPr>
        <w:t>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Katharine Weymouth</w:t>
      </w:r>
    </w:p>
    <w:p>
      <w:pPr>
        <w:spacing w:after="0" w:line="217" w:lineRule="exact"/>
        <w:rPr>
          <w:sz w:val="20"/>
          <w:szCs w:val="20"/>
          <w:color w:val="auto"/>
        </w:rPr>
      </w:pPr>
    </w:p>
    <w:p>
      <w:pPr>
        <w:ind w:left="740"/>
        <w:spacing w:after="0" w:line="271" w:lineRule="auto"/>
        <w:rPr>
          <w:sz w:val="20"/>
          <w:szCs w:val="20"/>
          <w:color w:val="auto"/>
        </w:rPr>
      </w:pPr>
      <w:r>
        <w:rPr>
          <w:rFonts w:ascii="Arial" w:cs="Arial" w:eastAsia="Arial" w:hAnsi="Arial"/>
          <w:sz w:val="16"/>
          <w:szCs w:val="16"/>
          <w:color w:val="auto"/>
        </w:rPr>
        <w:t>Ms. Weymouth, age 52, is the Chief Executive Officer of dineXpert, a group buying organization working with independent restaurants. Ms. Weymouth has been a Director of the Company since 2010 and currently serves on the Finance Committee and the Compensation Committee of the Board. Ms. Weymouth is a niece of the Chairman of the Board of the Company, Mr. Graham. Ms. Weymouth served as Publisher and Chief Executive Officer of The Washington Post, the newspaper division of The Washington Post Company, from 2008 through the end of 2014. Ms. Weymouth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is a Director of Cable ONE and of Republic Services. She serves as a Trustee of the Philip L. Graham Fund, The Economic Club of Washington, D.C., and the Greater Washington Community Foundation.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NOMINEES FOR ELECTION BY CLASS B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Christopher C. Davis</w:t>
      </w:r>
    </w:p>
    <w:p>
      <w:pPr>
        <w:spacing w:after="0" w:line="217" w:lineRule="exact"/>
        <w:rPr>
          <w:sz w:val="20"/>
          <w:szCs w:val="20"/>
          <w:color w:val="auto"/>
        </w:rPr>
      </w:pPr>
    </w:p>
    <w:p>
      <w:pPr>
        <w:ind w:left="740" w:right="40"/>
        <w:spacing w:after="0" w:line="290" w:lineRule="auto"/>
        <w:rPr>
          <w:sz w:val="20"/>
          <w:szCs w:val="20"/>
          <w:color w:val="auto"/>
        </w:rPr>
      </w:pPr>
      <w:r>
        <w:rPr>
          <w:rFonts w:ascii="Arial" w:cs="Arial" w:eastAsia="Arial" w:hAnsi="Arial"/>
          <w:sz w:val="15"/>
          <w:szCs w:val="15"/>
          <w:color w:val="auto"/>
        </w:rPr>
        <w:t>Mr. Davis, age 53, has served as Chairman of Davis Selected Advisers, NY, Inc., an investment counseling firm that oversees more than $23 billion in assets as of December 31, 2018, including mutual funds and institutional separate accounts, since 2009. The firm employs a research-driven, long-term approach to investing. He has served as a Director of the Company since January 2006 and is a member of the Audit and Executive Committees of the Board and Chairman of the Finance Committee. Mr. Davis became lead independent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 M. Mulcahy</w:t>
      </w:r>
    </w:p>
    <w:p>
      <w:pPr>
        <w:spacing w:after="0" w:line="217" w:lineRule="exact"/>
        <w:rPr>
          <w:sz w:val="20"/>
          <w:szCs w:val="20"/>
          <w:color w:val="auto"/>
        </w:rPr>
      </w:pPr>
    </w:p>
    <w:p>
      <w:pPr>
        <w:ind w:left="740" w:right="40"/>
        <w:spacing w:after="0" w:line="290" w:lineRule="auto"/>
        <w:rPr>
          <w:sz w:val="20"/>
          <w:szCs w:val="20"/>
          <w:color w:val="auto"/>
        </w:rPr>
      </w:pPr>
      <w:r>
        <w:rPr>
          <w:rFonts w:ascii="Arial" w:cs="Arial" w:eastAsia="Arial" w:hAnsi="Arial"/>
          <w:sz w:val="15"/>
          <w:szCs w:val="15"/>
          <w:color w:val="auto"/>
        </w:rPr>
        <w:t>Mrs. Mulcahy, age 66,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LPL Financial and Williams Sonoma.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Larry D. Thompson</w:t>
      </w:r>
    </w:p>
    <w:p>
      <w:pPr>
        <w:spacing w:after="0" w:line="217" w:lineRule="exact"/>
        <w:rPr>
          <w:sz w:val="20"/>
          <w:szCs w:val="20"/>
          <w:color w:val="auto"/>
        </w:rPr>
      </w:pPr>
    </w:p>
    <w:p>
      <w:pPr>
        <w:ind w:left="740" w:right="340"/>
        <w:spacing w:after="0" w:line="275" w:lineRule="auto"/>
        <w:rPr>
          <w:sz w:val="20"/>
          <w:szCs w:val="20"/>
          <w:color w:val="auto"/>
        </w:rPr>
      </w:pPr>
      <w:r>
        <w:rPr>
          <w:rFonts w:ascii="Arial" w:cs="Arial" w:eastAsia="Arial" w:hAnsi="Arial"/>
          <w:sz w:val="17"/>
          <w:szCs w:val="17"/>
          <w:color w:val="auto"/>
        </w:rPr>
        <w:t>Mr. Thompson, age 73, is retired from PepsiCo, Inc., a global food and beverage company, where he served as Executive Vice President– Government Affairs, General Counsel and Corporate Secretary from June 2012 to November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20"/>
          </w:cols>
          <w:pgMar w:left="740" w:top="267" w:right="739" w:bottom="1440" w:gutter="0" w:footer="0" w:header="0"/>
        </w:sectPr>
      </w:pPr>
    </w:p>
    <w:bookmarkStart w:id="10" w:name="page11"/>
    <w:bookmarkEnd w:id="10"/>
    <w:p>
      <w:pPr>
        <w:ind w:left="740" w:right="2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2014. From October 2004 to May 2011, when he initially retired, Mr. Thompson served as a Senior Vice President–Government Affairs, General Counsel and Corporate Secretary of PepsiCo, Inc. Mr. Thompson has served as a Director of the Company since June 2011 and is a member of the Compensation Committee. Mr. Thompson serves on the Advisory Board of The Brookings Institution and is a Director of the George W. Bush Foundation, the Ethics Resource Center and the Southern Company, as well as various Franklin, Templeton and Mutual Series Funds. Mr. Thompson is also a Trustee of the Chautauqua Institution. His government career included serving in the U.S. Department of Justice as Deputy Attorney General and leading the Department’s National Security Coordination Council. In 2002, President George W. Bush named Mr. Thompson to head the Corporate Fraud Task Force.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in the legal profession by the Gate City Bar Association in Atlanta. Mr. Thompson currently serves as the Independent Compliance Monitor and Auditor for Volkswagen, AG. Through his previous roles at the U.S. Department of Justice and at PepsiCo,</w:t>
      </w:r>
    </w:p>
    <w:p>
      <w:pPr>
        <w:spacing w:after="0" w:line="3" w:lineRule="exact"/>
        <w:rPr>
          <w:sz w:val="20"/>
          <w:szCs w:val="20"/>
          <w:color w:val="auto"/>
        </w:rPr>
      </w:pPr>
    </w:p>
    <w:p>
      <w:pPr>
        <w:ind w:left="740" w:right="400"/>
        <w:spacing w:after="0" w:line="261" w:lineRule="auto"/>
        <w:rPr>
          <w:sz w:val="20"/>
          <w:szCs w:val="20"/>
          <w:color w:val="auto"/>
        </w:rPr>
      </w:pPr>
      <w:r>
        <w:rPr>
          <w:rFonts w:ascii="Arial" w:cs="Arial" w:eastAsia="Arial" w:hAnsi="Arial"/>
          <w:sz w:val="17"/>
          <w:szCs w:val="17"/>
          <w:color w:val="auto"/>
        </w:rPr>
        <w:t>Mr. Thompson brings to the Board extensive legal experience in both governmental and corporate settings. As a Director of other public companies, he also has significant experience with corporate governance matters and reporting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The standing committees of the Board are the Audit Committee, Compensation Committee, Finance Committee and Executive Committee.</w:t>
      </w:r>
    </w:p>
    <w:p>
      <w:pPr>
        <w:spacing w:after="0" w:line="236" w:lineRule="exact"/>
        <w:rPr>
          <w:sz w:val="20"/>
          <w:szCs w:val="20"/>
          <w:color w:val="auto"/>
        </w:rPr>
      </w:pPr>
    </w:p>
    <w:p>
      <w:pPr>
        <w:ind w:right="80" w:firstLine="937"/>
        <w:spacing w:after="0" w:line="287" w:lineRule="auto"/>
        <w:rPr>
          <w:sz w:val="20"/>
          <w:szCs w:val="20"/>
          <w:color w:val="auto"/>
        </w:rPr>
      </w:pPr>
      <w:r>
        <w:rPr>
          <w:rFonts w:ascii="Arial" w:cs="Arial" w:eastAsia="Arial" w:hAnsi="Arial"/>
          <w:sz w:val="16"/>
          <w:szCs w:val="16"/>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3" w:lineRule="exact"/>
        <w:rPr>
          <w:sz w:val="20"/>
          <w:szCs w:val="20"/>
          <w:color w:val="auto"/>
        </w:rPr>
      </w:pPr>
    </w:p>
    <w:p>
      <w:pPr>
        <w:ind w:right="60" w:firstLine="937"/>
        <w:spacing w:after="0" w:line="288" w:lineRule="auto"/>
        <w:rPr>
          <w:sz w:val="20"/>
          <w:szCs w:val="20"/>
          <w:color w:val="auto"/>
        </w:rPr>
      </w:pPr>
      <w:r>
        <w:rPr>
          <w:rFonts w:ascii="Arial" w:cs="Arial" w:eastAsia="Arial" w:hAnsi="Arial"/>
          <w:sz w:val="15"/>
          <w:szCs w:val="15"/>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ind w:right="60" w:firstLine="6"/>
        <w:spacing w:after="0" w:line="256" w:lineRule="auto"/>
        <w:tabs>
          <w:tab w:leader="none" w:pos="3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0" w:lineRule="exact"/>
        <w:rPr>
          <w:sz w:val="20"/>
          <w:szCs w:val="20"/>
          <w:color w:val="auto"/>
        </w:rPr>
      </w:pPr>
    </w:p>
    <w:p>
      <w:pPr>
        <w:ind w:right="20" w:firstLine="937"/>
        <w:spacing w:after="0" w:line="299" w:lineRule="auto"/>
        <w:rPr>
          <w:sz w:val="20"/>
          <w:szCs w:val="20"/>
          <w:color w:val="auto"/>
        </w:rPr>
      </w:pPr>
      <w:r>
        <w:rPr>
          <w:rFonts w:ascii="Arial" w:cs="Arial" w:eastAsia="Arial" w:hAnsi="Arial"/>
          <w:sz w:val="15"/>
          <w:szCs w:val="15"/>
          <w:color w:val="auto"/>
        </w:rPr>
        <w:t>Christopher C. Davis, Thomas S. Gayner (Chairman) and G. Richard Wagoner, Jr. served on the Audit Committee in 2018.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 Jack A. Markell was appointed to the Audit Committee in January 2019.</w:t>
      </w:r>
    </w:p>
    <w:p>
      <w:pPr>
        <w:spacing w:after="0" w:line="151" w:lineRule="exact"/>
        <w:rPr>
          <w:sz w:val="20"/>
          <w:szCs w:val="20"/>
          <w:color w:val="auto"/>
        </w:rPr>
      </w:pPr>
    </w:p>
    <w:p>
      <w:pPr>
        <w:ind w:right="20" w:firstLine="937"/>
        <w:spacing w:after="0" w:line="299" w:lineRule="auto"/>
        <w:rPr>
          <w:sz w:val="20"/>
          <w:szCs w:val="20"/>
          <w:color w:val="auto"/>
        </w:rPr>
      </w:pPr>
      <w:r>
        <w:rPr>
          <w:rFonts w:ascii="Arial" w:cs="Arial" w:eastAsia="Arial" w:hAnsi="Arial"/>
          <w:sz w:val="15"/>
          <w:szCs w:val="15"/>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20"/>
          </w:cols>
          <w:pgMar w:left="740" w:top="267" w:right="739" w:bottom="1440" w:gutter="0" w:footer="0" w:header="0"/>
        </w:sectPr>
      </w:pPr>
    </w:p>
    <w:bookmarkStart w:id="11" w:name="page12"/>
    <w:bookmarkEnd w:id="11"/>
    <w:p>
      <w:pPr>
        <w:ind w:right="16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Audit Committee held seven meetings in 2018.</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3" w:lineRule="exact"/>
        <w:rPr>
          <w:sz w:val="20"/>
          <w:szCs w:val="20"/>
          <w:color w:val="auto"/>
        </w:rPr>
      </w:pPr>
    </w:p>
    <w:p>
      <w:pPr>
        <w:ind w:right="140" w:firstLine="937"/>
        <w:spacing w:after="0" w:line="254" w:lineRule="auto"/>
        <w:rPr>
          <w:sz w:val="20"/>
          <w:szCs w:val="20"/>
          <w:color w:val="auto"/>
        </w:rPr>
      </w:pPr>
      <w:r>
        <w:rPr>
          <w:rFonts w:ascii="Arial" w:cs="Arial" w:eastAsia="Arial" w:hAnsi="Arial"/>
          <w:sz w:val="17"/>
          <w:szCs w:val="17"/>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and (iii)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6" w:lineRule="exact"/>
        <w:rPr>
          <w:sz w:val="20"/>
          <w:szCs w:val="20"/>
          <w:color w:val="auto"/>
        </w:rPr>
      </w:pPr>
    </w:p>
    <w:p>
      <w:pPr>
        <w:ind w:firstLine="937"/>
        <w:spacing w:after="0" w:line="258" w:lineRule="auto"/>
        <w:rPr>
          <w:sz w:val="20"/>
          <w:szCs w:val="20"/>
          <w:color w:val="auto"/>
        </w:rPr>
      </w:pPr>
      <w:r>
        <w:rPr>
          <w:rFonts w:ascii="Arial" w:cs="Arial" w:eastAsia="Arial" w:hAnsi="Arial"/>
          <w:sz w:val="17"/>
          <w:szCs w:val="17"/>
          <w:color w:val="auto"/>
        </w:rPr>
        <w:t>Lee C. Bollinger, Anne M. Mulcahy (Chairman) and Larry D. Thompson served on the Compensation Committee in 2018. All members of the Compensation Committee are non-employee Directors and have been determined to be “independent” within the meaning of the listing requirements of the New York Stock Exchange applicable to service on compensation committees. Katharine Weymouth was appointed to the Compensation Committee in January 2019.</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Compensation Committee held six meetings in 2018.</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Committee</w:t>
      </w:r>
    </w:p>
    <w:p>
      <w:pPr>
        <w:spacing w:after="0" w:line="213" w:lineRule="exact"/>
        <w:rPr>
          <w:sz w:val="20"/>
          <w:szCs w:val="20"/>
          <w:color w:val="auto"/>
        </w:rPr>
      </w:pPr>
    </w:p>
    <w:p>
      <w:pPr>
        <w:ind w:firstLine="937"/>
        <w:spacing w:after="0" w:line="287" w:lineRule="auto"/>
        <w:rPr>
          <w:sz w:val="20"/>
          <w:szCs w:val="20"/>
          <w:color w:val="auto"/>
        </w:rPr>
      </w:pPr>
      <w:r>
        <w:rPr>
          <w:rFonts w:ascii="Arial" w:cs="Arial" w:eastAsia="Arial" w:hAnsi="Arial"/>
          <w:sz w:val="16"/>
          <w:szCs w:val="16"/>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57" w:lineRule="exact"/>
        <w:rPr>
          <w:sz w:val="20"/>
          <w:szCs w:val="20"/>
          <w:color w:val="auto"/>
        </w:rPr>
      </w:pPr>
    </w:p>
    <w:p>
      <w:pPr>
        <w:ind w:right="60" w:firstLine="937"/>
        <w:spacing w:after="0" w:line="275" w:lineRule="auto"/>
        <w:rPr>
          <w:sz w:val="20"/>
          <w:szCs w:val="20"/>
          <w:color w:val="auto"/>
        </w:rPr>
      </w:pPr>
      <w:r>
        <w:rPr>
          <w:rFonts w:ascii="Arial" w:cs="Arial" w:eastAsia="Arial" w:hAnsi="Arial"/>
          <w:sz w:val="17"/>
          <w:szCs w:val="17"/>
          <w:color w:val="auto"/>
        </w:rPr>
        <w:t>Christopher C. Davis (Chairman), Thomas S. Gayner, Donald E. Graham, Timothy J. O’Shaughnessy and Katharine Weymouth served on the Finance Committee in 2018.</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Finance Committee held one meeting in 2018.</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Committee</w:t>
      </w:r>
    </w:p>
    <w:p>
      <w:pPr>
        <w:spacing w:after="0" w:line="213" w:lineRule="exact"/>
        <w:rPr>
          <w:sz w:val="20"/>
          <w:szCs w:val="20"/>
          <w:color w:val="auto"/>
        </w:rPr>
      </w:pPr>
    </w:p>
    <w:p>
      <w:pPr>
        <w:ind w:right="300" w:firstLine="937"/>
        <w:spacing w:after="0" w:line="275" w:lineRule="auto"/>
        <w:rPr>
          <w:sz w:val="20"/>
          <w:szCs w:val="20"/>
          <w:color w:val="auto"/>
        </w:rPr>
      </w:pPr>
      <w:r>
        <w:rPr>
          <w:rFonts w:ascii="Arial" w:cs="Arial" w:eastAsia="Arial" w:hAnsi="Arial"/>
          <w:sz w:val="17"/>
          <w:szCs w:val="17"/>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5" w:lineRule="exact"/>
        <w:rPr>
          <w:sz w:val="20"/>
          <w:szCs w:val="20"/>
          <w:color w:val="auto"/>
        </w:rPr>
      </w:pPr>
    </w:p>
    <w:p>
      <w:pPr>
        <w:ind w:right="640" w:firstLine="937"/>
        <w:spacing w:after="0" w:line="275" w:lineRule="auto"/>
        <w:rPr>
          <w:sz w:val="20"/>
          <w:szCs w:val="20"/>
          <w:color w:val="auto"/>
        </w:rPr>
      </w:pPr>
      <w:r>
        <w:rPr>
          <w:rFonts w:ascii="Arial" w:cs="Arial" w:eastAsia="Arial" w:hAnsi="Arial"/>
          <w:sz w:val="17"/>
          <w:szCs w:val="17"/>
          <w:color w:val="auto"/>
        </w:rPr>
        <w:t>Christopher C. Davis, Donald E. Graham (Chairman), Anne M. Mulcahy and Timothy J. O’Shaughnessy served on the Executive Committee in 2018.</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Executive Committee held no meetings in 2018.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217" w:lineRule="exact"/>
        <w:rPr>
          <w:sz w:val="20"/>
          <w:szCs w:val="20"/>
          <w:color w:val="auto"/>
        </w:rPr>
      </w:pPr>
    </w:p>
    <w:p>
      <w:pPr>
        <w:ind w:right="160" w:firstLine="937"/>
        <w:spacing w:after="0" w:line="275" w:lineRule="auto"/>
        <w:rPr>
          <w:sz w:val="20"/>
          <w:szCs w:val="20"/>
          <w:color w:val="auto"/>
        </w:rPr>
      </w:pPr>
      <w:r>
        <w:rPr>
          <w:rFonts w:ascii="Arial" w:cs="Arial" w:eastAsia="Arial" w:hAnsi="Arial"/>
          <w:sz w:val="17"/>
          <w:szCs w:val="17"/>
          <w:color w:val="auto"/>
        </w:rPr>
        <w:t>The Board held a total of five meetings in 2018. Each Director attended at least 75% of the meetings of the Board and the committees of the Board on which the Director served.</w:t>
      </w:r>
    </w:p>
    <w:p>
      <w:pPr>
        <w:spacing w:after="0" w:line="165" w:lineRule="exact"/>
        <w:rPr>
          <w:sz w:val="20"/>
          <w:szCs w:val="20"/>
          <w:color w:val="auto"/>
        </w:rPr>
      </w:pPr>
    </w:p>
    <w:p>
      <w:pPr>
        <w:ind w:right="40" w:firstLine="937"/>
        <w:spacing w:after="0" w:line="344" w:lineRule="auto"/>
        <w:rPr>
          <w:sz w:val="20"/>
          <w:szCs w:val="20"/>
          <w:color w:val="auto"/>
        </w:rPr>
      </w:pPr>
      <w:r>
        <w:rPr>
          <w:rFonts w:ascii="Arial" w:cs="Arial" w:eastAsia="Arial" w:hAnsi="Arial"/>
          <w:sz w:val="15"/>
          <w:szCs w:val="15"/>
          <w:color w:val="auto"/>
        </w:rPr>
        <w:t>The Board does not have a policy of requiring Directors to attend annual meetings of shareholders and leaves it at the discretion of each Director as to whether he or she will attend the meeting. In addition to the Chairman, nine Directors attended the 2018 Annual Meeting of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During 2018, non-employee Directors received the following annual payments:</w:t>
      </w:r>
    </w:p>
    <w:p>
      <w:pPr>
        <w:spacing w:after="0" w:line="47" w:lineRule="exact"/>
        <w:rPr>
          <w:sz w:val="20"/>
          <w:szCs w:val="20"/>
          <w:color w:val="auto"/>
        </w:rPr>
      </w:pPr>
    </w:p>
    <w:p>
      <w:pPr>
        <w:ind w:left="1980" w:hanging="314"/>
        <w:spacing w:after="0"/>
        <w:tabs>
          <w:tab w:leader="none" w:pos="1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$150,000 as a cash retainer; and</w:t>
      </w:r>
    </w:p>
    <w:p>
      <w:pPr>
        <w:spacing w:after="0" w:line="47" w:lineRule="exact"/>
        <w:rPr>
          <w:rFonts w:ascii="Arial" w:cs="Arial" w:eastAsia="Arial" w:hAnsi="Arial"/>
          <w:sz w:val="17"/>
          <w:szCs w:val="17"/>
          <w:color w:val="auto"/>
        </w:rPr>
      </w:pPr>
    </w:p>
    <w:p>
      <w:pPr>
        <w:ind w:left="1980" w:hanging="314"/>
        <w:spacing w:after="0"/>
        <w:tabs>
          <w:tab w:leader="none" w:pos="1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reimbursement of out-of-pocket expenses for the meetings they attended.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00"/>
          </w:cols>
          <w:pgMar w:left="740" w:top="267" w:right="759" w:bottom="1440" w:gutter="0" w:footer="0" w:header="0"/>
        </w:sectPr>
      </w:pPr>
    </w:p>
    <w:bookmarkStart w:id="12" w:name="page13"/>
    <w:bookmarkEnd w:id="12"/>
    <w:p>
      <w:pPr>
        <w:ind w:right="420" w:firstLine="937"/>
        <w:spacing w:after="0" w:line="34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11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total 2018 compensation of non-employee Directors is shown on the following table: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 COMPENSATION</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4420" w:type="dxa"/>
            <w:vAlign w:val="bottom"/>
            <w:tcBorders>
              <w:top w:val="single" w:sz="8" w:color="auto"/>
              <w:left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spacing w:after="0"/>
              <w:rPr>
                <w:sz w:val="11"/>
                <w:szCs w:val="11"/>
                <w:color w:val="auto"/>
              </w:rPr>
            </w:pPr>
          </w:p>
        </w:tc>
        <w:tc>
          <w:tcPr>
            <w:tcW w:w="2080" w:type="dxa"/>
            <w:vAlign w:val="bottom"/>
            <w:tcBorders>
              <w:top w:val="single" w:sz="8" w:color="auto"/>
              <w:right w:val="single" w:sz="8" w:color="auto"/>
            </w:tcBorders>
          </w:tcPr>
          <w:p>
            <w:pPr>
              <w:jc w:val="center"/>
              <w:ind w:left="332"/>
              <w:spacing w:after="0" w:line="133" w:lineRule="exact"/>
              <w:rPr>
                <w:sz w:val="20"/>
                <w:szCs w:val="20"/>
                <w:color w:val="auto"/>
              </w:rPr>
            </w:pPr>
            <w:r>
              <w:rPr>
                <w:rFonts w:ascii="Arial" w:cs="Arial" w:eastAsia="Arial" w:hAnsi="Arial"/>
                <w:sz w:val="14"/>
                <w:szCs w:val="14"/>
                <w:b w:val="1"/>
                <w:bCs w:val="1"/>
                <w:color w:val="auto"/>
                <w:w w:val="86"/>
              </w:rPr>
              <w:t>Change in Pension Value</w:t>
            </w:r>
          </w:p>
        </w:tc>
        <w:tc>
          <w:tcPr>
            <w:tcW w:w="150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r>
      <w:tr>
        <w:trPr>
          <w:trHeight w:val="140"/>
        </w:trPr>
        <w:tc>
          <w:tcPr>
            <w:tcW w:w="44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ind w:left="352"/>
              <w:spacing w:after="0" w:line="141" w:lineRule="exact"/>
              <w:rPr>
                <w:sz w:val="20"/>
                <w:szCs w:val="20"/>
                <w:color w:val="auto"/>
              </w:rPr>
            </w:pPr>
            <w:r>
              <w:rPr>
                <w:rFonts w:ascii="Arial" w:cs="Arial" w:eastAsia="Arial" w:hAnsi="Arial"/>
                <w:sz w:val="14"/>
                <w:szCs w:val="14"/>
                <w:b w:val="1"/>
                <w:bCs w:val="1"/>
                <w:color w:val="auto"/>
                <w:w w:val="86"/>
              </w:rPr>
              <w:t>Fees Earned or</w:t>
            </w:r>
          </w:p>
        </w:tc>
        <w:tc>
          <w:tcPr>
            <w:tcW w:w="2080" w:type="dxa"/>
            <w:vAlign w:val="bottom"/>
            <w:tcBorders>
              <w:right w:val="single" w:sz="8" w:color="auto"/>
            </w:tcBorders>
          </w:tcPr>
          <w:p>
            <w:pPr>
              <w:jc w:val="center"/>
              <w:ind w:left="352"/>
              <w:spacing w:after="0" w:line="141" w:lineRule="exact"/>
              <w:rPr>
                <w:sz w:val="20"/>
                <w:szCs w:val="20"/>
                <w:color w:val="auto"/>
              </w:rPr>
            </w:pPr>
            <w:r>
              <w:rPr>
                <w:rFonts w:ascii="Arial" w:cs="Arial" w:eastAsia="Arial" w:hAnsi="Arial"/>
                <w:sz w:val="14"/>
                <w:szCs w:val="14"/>
                <w:b w:val="1"/>
                <w:bCs w:val="1"/>
                <w:color w:val="auto"/>
                <w:w w:val="90"/>
              </w:rPr>
              <w:t>and Nonqualified Deferred</w:t>
            </w:r>
          </w:p>
        </w:tc>
        <w:tc>
          <w:tcPr>
            <w:tcW w:w="1500" w:type="dxa"/>
            <w:vAlign w:val="bottom"/>
            <w:tcBorders>
              <w:right w:val="single" w:sz="8" w:color="auto"/>
            </w:tcBorders>
          </w:tcPr>
          <w:p>
            <w:pPr>
              <w:jc w:val="center"/>
              <w:ind w:left="352"/>
              <w:spacing w:after="0" w:line="141" w:lineRule="exact"/>
              <w:rPr>
                <w:sz w:val="20"/>
                <w:szCs w:val="20"/>
                <w:color w:val="auto"/>
              </w:rPr>
            </w:pPr>
            <w:r>
              <w:rPr>
                <w:rFonts w:ascii="Arial" w:cs="Arial" w:eastAsia="Arial" w:hAnsi="Arial"/>
                <w:sz w:val="14"/>
                <w:szCs w:val="14"/>
                <w:b w:val="1"/>
                <w:bCs w:val="1"/>
                <w:color w:val="auto"/>
                <w:w w:val="94"/>
              </w:rPr>
              <w:t>All Other</w:t>
            </w:r>
          </w:p>
        </w:tc>
        <w:tc>
          <w:tcPr>
            <w:tcW w:w="1000" w:type="dxa"/>
            <w:vAlign w:val="bottom"/>
            <w:tcBorders>
              <w:right w:val="single" w:sz="8" w:color="auto"/>
            </w:tcBorders>
          </w:tcPr>
          <w:p>
            <w:pPr>
              <w:spacing w:after="0"/>
              <w:rPr>
                <w:sz w:val="12"/>
                <w:szCs w:val="12"/>
                <w:color w:val="auto"/>
              </w:rPr>
            </w:pPr>
          </w:p>
        </w:tc>
      </w:tr>
      <w:tr>
        <w:trPr>
          <w:trHeight w:val="161"/>
        </w:trPr>
        <w:tc>
          <w:tcPr>
            <w:tcW w:w="4420" w:type="dxa"/>
            <w:vAlign w:val="bottom"/>
            <w:tcBorders>
              <w:left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auto"/>
              <w:right w:val="single" w:sz="8" w:color="auto"/>
            </w:tcBorders>
          </w:tcPr>
          <w:p>
            <w:pPr>
              <w:jc w:val="center"/>
              <w:ind w:left="372"/>
              <w:spacing w:after="0"/>
              <w:rPr>
                <w:sz w:val="20"/>
                <w:szCs w:val="20"/>
                <w:color w:val="auto"/>
              </w:rPr>
            </w:pPr>
            <w:r>
              <w:rPr>
                <w:rFonts w:ascii="Arial" w:cs="Arial" w:eastAsia="Arial" w:hAnsi="Arial"/>
                <w:sz w:val="14"/>
                <w:szCs w:val="14"/>
                <w:b w:val="1"/>
                <w:bCs w:val="1"/>
                <w:color w:val="auto"/>
                <w:w w:val="89"/>
              </w:rPr>
              <w:t>Paid in Cash ($)</w:t>
            </w:r>
          </w:p>
        </w:tc>
        <w:tc>
          <w:tcPr>
            <w:tcW w:w="2080" w:type="dxa"/>
            <w:vAlign w:val="bottom"/>
            <w:tcBorders>
              <w:bottom w:val="single" w:sz="8" w:color="auto"/>
              <w:right w:val="single" w:sz="8" w:color="auto"/>
            </w:tcBorders>
          </w:tcPr>
          <w:p>
            <w:pPr>
              <w:jc w:val="center"/>
              <w:ind w:left="352"/>
              <w:spacing w:after="0"/>
              <w:rPr>
                <w:sz w:val="20"/>
                <w:szCs w:val="20"/>
                <w:color w:val="auto"/>
              </w:rPr>
            </w:pPr>
            <w:r>
              <w:rPr>
                <w:rFonts w:ascii="Arial" w:cs="Arial" w:eastAsia="Arial" w:hAnsi="Arial"/>
                <w:sz w:val="14"/>
                <w:szCs w:val="14"/>
                <w:b w:val="1"/>
                <w:bCs w:val="1"/>
                <w:color w:val="auto"/>
                <w:w w:val="86"/>
              </w:rPr>
              <w:t>Compensation Earnings ($)</w:t>
            </w:r>
          </w:p>
        </w:tc>
        <w:tc>
          <w:tcPr>
            <w:tcW w:w="1500" w:type="dxa"/>
            <w:vAlign w:val="bottom"/>
            <w:tcBorders>
              <w:bottom w:val="single" w:sz="8" w:color="auto"/>
              <w:right w:val="single" w:sz="8" w:color="auto"/>
            </w:tcBorders>
          </w:tcPr>
          <w:p>
            <w:pPr>
              <w:jc w:val="center"/>
              <w:ind w:left="352"/>
              <w:spacing w:after="0"/>
              <w:rPr>
                <w:sz w:val="20"/>
                <w:szCs w:val="20"/>
                <w:color w:val="auto"/>
              </w:rPr>
            </w:pPr>
            <w:r>
              <w:rPr>
                <w:rFonts w:ascii="Arial" w:cs="Arial" w:eastAsia="Arial" w:hAnsi="Arial"/>
                <w:sz w:val="14"/>
                <w:szCs w:val="14"/>
                <w:b w:val="1"/>
                <w:bCs w:val="1"/>
                <w:color w:val="auto"/>
                <w:w w:val="87"/>
              </w:rPr>
              <w:t>Compensation ($)</w:t>
            </w:r>
          </w:p>
        </w:tc>
        <w:tc>
          <w:tcPr>
            <w:tcW w:w="10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w w:val="91"/>
              </w:rPr>
              <w:t>Total ($)</w:t>
            </w:r>
          </w:p>
        </w:tc>
      </w:tr>
      <w:tr>
        <w:trPr>
          <w:trHeight w:val="133"/>
        </w:trPr>
        <w:tc>
          <w:tcPr>
            <w:tcW w:w="442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Lee C. Bollinger</w:t>
            </w:r>
          </w:p>
        </w:tc>
        <w:tc>
          <w:tcPr>
            <w:tcW w:w="1420" w:type="dxa"/>
            <w:vAlign w:val="bottom"/>
            <w:tcBorders>
              <w:bottom w:val="single" w:sz="8" w:color="auto"/>
              <w:right w:val="single" w:sz="8" w:color="auto"/>
            </w:tcBorders>
            <w:shd w:val="clear" w:color="auto" w:fill="CCEEFF"/>
          </w:tcPr>
          <w:p>
            <w:pPr>
              <w:jc w:val="center"/>
              <w:ind w:left="372"/>
              <w:spacing w:after="0" w:line="133" w:lineRule="exact"/>
              <w:rPr>
                <w:sz w:val="20"/>
                <w:szCs w:val="20"/>
                <w:color w:val="auto"/>
              </w:rPr>
            </w:pPr>
            <w:r>
              <w:rPr>
                <w:rFonts w:ascii="Arial" w:cs="Arial" w:eastAsia="Arial" w:hAnsi="Arial"/>
                <w:sz w:val="14"/>
                <w:szCs w:val="14"/>
                <w:color w:val="auto"/>
                <w:w w:val="85"/>
              </w:rPr>
              <w:t>$150,000</w:t>
            </w:r>
          </w:p>
        </w:tc>
        <w:tc>
          <w:tcPr>
            <w:tcW w:w="208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85"/>
              </w:rPr>
              <w:t>$150,000</w:t>
            </w:r>
          </w:p>
        </w:tc>
      </w:tr>
      <w:tr>
        <w:trPr>
          <w:trHeight w:val="133"/>
        </w:trPr>
        <w:tc>
          <w:tcPr>
            <w:tcW w:w="442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Christopher C. Davis</w:t>
            </w:r>
          </w:p>
        </w:tc>
        <w:tc>
          <w:tcPr>
            <w:tcW w:w="142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86"/>
              </w:rPr>
              <w:t>190,000</w:t>
            </w:r>
          </w:p>
        </w:tc>
        <w:tc>
          <w:tcPr>
            <w:tcW w:w="208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ind w:left="372"/>
              <w:spacing w:after="0" w:line="133" w:lineRule="exact"/>
              <w:rPr>
                <w:sz w:val="20"/>
                <w:szCs w:val="20"/>
                <w:color w:val="auto"/>
              </w:rPr>
            </w:pPr>
            <w:r>
              <w:rPr>
                <w:rFonts w:ascii="Arial" w:cs="Arial" w:eastAsia="Arial" w:hAnsi="Arial"/>
                <w:sz w:val="14"/>
                <w:szCs w:val="14"/>
                <w:color w:val="auto"/>
                <w:w w:val="86"/>
              </w:rPr>
              <w:t>190,000</w:t>
            </w:r>
          </w:p>
        </w:tc>
      </w:tr>
      <w:tr>
        <w:trPr>
          <w:trHeight w:val="133"/>
        </w:trPr>
        <w:tc>
          <w:tcPr>
            <w:tcW w:w="442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Thomas S. Gayner</w:t>
            </w:r>
          </w:p>
        </w:tc>
        <w:tc>
          <w:tcPr>
            <w:tcW w:w="142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86"/>
              </w:rPr>
              <w:t>190,000</w:t>
            </w:r>
          </w:p>
        </w:tc>
        <w:tc>
          <w:tcPr>
            <w:tcW w:w="208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ind w:left="372"/>
              <w:spacing w:after="0" w:line="133" w:lineRule="exact"/>
              <w:rPr>
                <w:sz w:val="20"/>
                <w:szCs w:val="20"/>
                <w:color w:val="auto"/>
              </w:rPr>
            </w:pPr>
            <w:r>
              <w:rPr>
                <w:rFonts w:ascii="Arial" w:cs="Arial" w:eastAsia="Arial" w:hAnsi="Arial"/>
                <w:sz w:val="14"/>
                <w:szCs w:val="14"/>
                <w:color w:val="auto"/>
                <w:w w:val="86"/>
              </w:rPr>
              <w:t>190,000</w:t>
            </w:r>
          </w:p>
        </w:tc>
      </w:tr>
      <w:tr>
        <w:trPr>
          <w:trHeight w:val="133"/>
        </w:trPr>
        <w:tc>
          <w:tcPr>
            <w:tcW w:w="442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Jack A. Markell</w:t>
            </w:r>
          </w:p>
        </w:tc>
        <w:tc>
          <w:tcPr>
            <w:tcW w:w="142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86"/>
              </w:rPr>
              <w:t>150,000</w:t>
            </w:r>
          </w:p>
        </w:tc>
        <w:tc>
          <w:tcPr>
            <w:tcW w:w="208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ind w:left="372"/>
              <w:spacing w:after="0" w:line="133" w:lineRule="exact"/>
              <w:rPr>
                <w:sz w:val="20"/>
                <w:szCs w:val="20"/>
                <w:color w:val="auto"/>
              </w:rPr>
            </w:pPr>
            <w:r>
              <w:rPr>
                <w:rFonts w:ascii="Arial" w:cs="Arial" w:eastAsia="Arial" w:hAnsi="Arial"/>
                <w:sz w:val="14"/>
                <w:szCs w:val="14"/>
                <w:color w:val="auto"/>
                <w:w w:val="86"/>
              </w:rPr>
              <w:t>150,000</w:t>
            </w:r>
          </w:p>
        </w:tc>
      </w:tr>
      <w:tr>
        <w:trPr>
          <w:trHeight w:val="133"/>
        </w:trPr>
        <w:tc>
          <w:tcPr>
            <w:tcW w:w="442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Anne M. Mulcahy</w:t>
            </w:r>
          </w:p>
        </w:tc>
        <w:tc>
          <w:tcPr>
            <w:tcW w:w="142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86"/>
              </w:rPr>
              <w:t>170,000</w:t>
            </w:r>
          </w:p>
        </w:tc>
        <w:tc>
          <w:tcPr>
            <w:tcW w:w="208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ind w:left="372"/>
              <w:spacing w:after="0" w:line="133" w:lineRule="exact"/>
              <w:rPr>
                <w:sz w:val="20"/>
                <w:szCs w:val="20"/>
                <w:color w:val="auto"/>
              </w:rPr>
            </w:pPr>
            <w:r>
              <w:rPr>
                <w:rFonts w:ascii="Arial" w:cs="Arial" w:eastAsia="Arial" w:hAnsi="Arial"/>
                <w:sz w:val="14"/>
                <w:szCs w:val="14"/>
                <w:color w:val="auto"/>
                <w:w w:val="86"/>
              </w:rPr>
              <w:t>170,000</w:t>
            </w:r>
          </w:p>
        </w:tc>
      </w:tr>
      <w:tr>
        <w:trPr>
          <w:trHeight w:val="133"/>
        </w:trPr>
        <w:tc>
          <w:tcPr>
            <w:tcW w:w="442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Larry D. Thompson</w:t>
            </w:r>
          </w:p>
        </w:tc>
        <w:tc>
          <w:tcPr>
            <w:tcW w:w="142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86"/>
              </w:rPr>
              <w:t>150,000</w:t>
            </w:r>
          </w:p>
        </w:tc>
        <w:tc>
          <w:tcPr>
            <w:tcW w:w="208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ind w:left="372"/>
              <w:spacing w:after="0" w:line="133" w:lineRule="exact"/>
              <w:rPr>
                <w:sz w:val="20"/>
                <w:szCs w:val="20"/>
                <w:color w:val="auto"/>
              </w:rPr>
            </w:pPr>
            <w:r>
              <w:rPr>
                <w:rFonts w:ascii="Arial" w:cs="Arial" w:eastAsia="Arial" w:hAnsi="Arial"/>
                <w:sz w:val="14"/>
                <w:szCs w:val="14"/>
                <w:color w:val="auto"/>
                <w:w w:val="86"/>
              </w:rPr>
              <w:t>150,000</w:t>
            </w:r>
          </w:p>
        </w:tc>
      </w:tr>
      <w:tr>
        <w:trPr>
          <w:trHeight w:val="133"/>
        </w:trPr>
        <w:tc>
          <w:tcPr>
            <w:tcW w:w="442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G. Richard Wagoner, Jr.</w:t>
            </w:r>
          </w:p>
        </w:tc>
        <w:tc>
          <w:tcPr>
            <w:tcW w:w="142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86"/>
              </w:rPr>
              <w:t>170,000</w:t>
            </w:r>
          </w:p>
        </w:tc>
        <w:tc>
          <w:tcPr>
            <w:tcW w:w="2080" w:type="dxa"/>
            <w:vAlign w:val="bottom"/>
            <w:tcBorders>
              <w:bottom w:val="single" w:sz="8" w:color="auto"/>
              <w:right w:val="single" w:sz="8" w:color="auto"/>
            </w:tcBorders>
            <w:shd w:val="clear" w:color="auto" w:fill="CCEEFF"/>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332"/>
              <w:spacing w:after="0" w:line="133" w:lineRule="exact"/>
              <w:rPr>
                <w:sz w:val="20"/>
                <w:szCs w:val="20"/>
                <w:color w:val="auto"/>
              </w:rPr>
            </w:pPr>
            <w:r>
              <w:rPr>
                <w:rFonts w:ascii="Arial" w:cs="Arial" w:eastAsia="Arial" w:hAnsi="Arial"/>
                <w:sz w:val="14"/>
                <w:szCs w:val="14"/>
                <w:color w:val="auto"/>
                <w:w w:val="89"/>
              </w:rPr>
              <w:t>8,000 (1)</w:t>
            </w:r>
          </w:p>
        </w:tc>
        <w:tc>
          <w:tcPr>
            <w:tcW w:w="1000" w:type="dxa"/>
            <w:vAlign w:val="bottom"/>
            <w:tcBorders>
              <w:bottom w:val="single" w:sz="8" w:color="auto"/>
              <w:right w:val="single" w:sz="8" w:color="auto"/>
            </w:tcBorders>
            <w:shd w:val="clear" w:color="auto" w:fill="CCEEFF"/>
          </w:tcPr>
          <w:p>
            <w:pPr>
              <w:jc w:val="center"/>
              <w:ind w:left="372"/>
              <w:spacing w:after="0" w:line="133" w:lineRule="exact"/>
              <w:rPr>
                <w:sz w:val="20"/>
                <w:szCs w:val="20"/>
                <w:color w:val="auto"/>
              </w:rPr>
            </w:pPr>
            <w:r>
              <w:rPr>
                <w:rFonts w:ascii="Arial" w:cs="Arial" w:eastAsia="Arial" w:hAnsi="Arial"/>
                <w:sz w:val="14"/>
                <w:szCs w:val="14"/>
                <w:color w:val="auto"/>
                <w:w w:val="86"/>
              </w:rPr>
              <w:t>178,000</w:t>
            </w:r>
          </w:p>
        </w:tc>
      </w:tr>
      <w:tr>
        <w:trPr>
          <w:trHeight w:val="133"/>
        </w:trPr>
        <w:tc>
          <w:tcPr>
            <w:tcW w:w="442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Katharine Weymouth</w:t>
            </w:r>
          </w:p>
        </w:tc>
        <w:tc>
          <w:tcPr>
            <w:tcW w:w="142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86"/>
              </w:rPr>
              <w:t>150,000</w:t>
            </w:r>
          </w:p>
        </w:tc>
        <w:tc>
          <w:tcPr>
            <w:tcW w:w="2080" w:type="dxa"/>
            <w:vAlign w:val="bottom"/>
            <w:tcBorders>
              <w:bottom w:val="single" w:sz="8" w:color="auto"/>
              <w:right w:val="single" w:sz="8" w:color="auto"/>
            </w:tcBorders>
          </w:tcPr>
          <w:p>
            <w:pPr>
              <w:jc w:val="center"/>
              <w:ind w:left="352"/>
              <w:spacing w:after="0" w:line="133"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332"/>
              <w:spacing w:after="0" w:line="133"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ind w:left="372"/>
              <w:spacing w:after="0" w:line="133" w:lineRule="exact"/>
              <w:rPr>
                <w:sz w:val="20"/>
                <w:szCs w:val="20"/>
                <w:color w:val="auto"/>
              </w:rPr>
            </w:pPr>
            <w:r>
              <w:rPr>
                <w:rFonts w:ascii="Arial" w:cs="Arial" w:eastAsia="Arial" w:hAnsi="Arial"/>
                <w:sz w:val="14"/>
                <w:szCs w:val="14"/>
                <w:color w:val="auto"/>
                <w:w w:val="86"/>
              </w:rPr>
              <w:t>150,000</w:t>
            </w: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 Charitable contribution made pursuant to the Company’s matching gift program.</w:t>
      </w:r>
    </w:p>
    <w:p>
      <w:pPr>
        <w:spacing w:after="0" w:line="190" w:lineRule="exact"/>
        <w:rPr>
          <w:sz w:val="20"/>
          <w:szCs w:val="20"/>
          <w:color w:val="auto"/>
        </w:rPr>
      </w:pPr>
    </w:p>
    <w:p>
      <w:pPr>
        <w:ind w:right="40" w:firstLine="937"/>
        <w:spacing w:after="0" w:line="273" w:lineRule="auto"/>
        <w:rPr>
          <w:sz w:val="20"/>
          <w:szCs w:val="20"/>
          <w:color w:val="auto"/>
        </w:rPr>
      </w:pPr>
      <w:r>
        <w:rPr>
          <w:rFonts w:ascii="Arial" w:cs="Arial" w:eastAsia="Arial" w:hAnsi="Arial"/>
          <w:sz w:val="16"/>
          <w:szCs w:val="16"/>
          <w:color w:val="auto"/>
        </w:rPr>
        <w:t>The Company has in place a voluntary Deferred Compensation Plan for Directors of the Company. The Company closed the Deferred Compensation Plan to new participants and new deferrals for existing participants as of December 2015. This plan provided an opportunity for participants to elect to defer the receipt of either all or a portion of the fees received for service as a Director. Elections to defer had to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equity or non-equity incentive compensation to non-employee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w:t>
      </w:r>
    </w:p>
    <w:p>
      <w:pPr>
        <w:spacing w:after="0" w:line="217" w:lineRule="exact"/>
        <w:rPr>
          <w:sz w:val="20"/>
          <w:szCs w:val="20"/>
          <w:color w:val="auto"/>
        </w:rPr>
      </w:pPr>
    </w:p>
    <w:p>
      <w:pPr>
        <w:ind w:right="60" w:firstLine="937"/>
        <w:spacing w:after="0" w:line="289" w:lineRule="auto"/>
        <w:rPr>
          <w:sz w:val="20"/>
          <w:szCs w:val="20"/>
          <w:color w:val="auto"/>
        </w:rPr>
      </w:pPr>
      <w:r>
        <w:rPr>
          <w:rFonts w:ascii="Arial" w:cs="Arial" w:eastAsia="Arial" w:hAnsi="Arial"/>
          <w:sz w:val="15"/>
          <w:szCs w:val="15"/>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Thomas S. Gayner, Anne M. Mulcahy, Jack A. Markell, Larry D. Thompson,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Non-Management Directors</w:t>
      </w:r>
    </w:p>
    <w:p>
      <w:pPr>
        <w:spacing w:after="0" w:line="217" w:lineRule="exact"/>
        <w:rPr>
          <w:sz w:val="20"/>
          <w:szCs w:val="20"/>
          <w:color w:val="auto"/>
        </w:rPr>
      </w:pPr>
    </w:p>
    <w:p>
      <w:pPr>
        <w:ind w:right="20" w:firstLine="937"/>
        <w:spacing w:after="0" w:line="258" w:lineRule="auto"/>
        <w:rPr>
          <w:sz w:val="20"/>
          <w:szCs w:val="20"/>
          <w:color w:val="auto"/>
        </w:rPr>
      </w:pPr>
      <w:r>
        <w:rPr>
          <w:rFonts w:ascii="Arial" w:cs="Arial" w:eastAsia="Arial" w:hAnsi="Arial"/>
          <w:sz w:val="17"/>
          <w:szCs w:val="17"/>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in September of 2018 and expect to meet in executive session in 2019 as appropriate.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40"/>
          </w:cols>
          <w:pgMar w:left="740" w:top="267" w:right="7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Compensation Committee Interlocks and Insider Participation</w:t>
      </w:r>
    </w:p>
    <w:p>
      <w:pPr>
        <w:spacing w:after="0" w:line="217" w:lineRule="exact"/>
        <w:rPr>
          <w:sz w:val="20"/>
          <w:szCs w:val="20"/>
          <w:color w:val="auto"/>
        </w:rPr>
      </w:pPr>
    </w:p>
    <w:p>
      <w:pPr>
        <w:ind w:firstLine="937"/>
        <w:spacing w:after="0" w:line="304" w:lineRule="auto"/>
        <w:rPr>
          <w:sz w:val="20"/>
          <w:szCs w:val="20"/>
          <w:color w:val="auto"/>
        </w:rPr>
      </w:pPr>
      <w:r>
        <w:rPr>
          <w:rFonts w:ascii="Arial" w:cs="Arial" w:eastAsia="Arial" w:hAnsi="Arial"/>
          <w:sz w:val="15"/>
          <w:szCs w:val="15"/>
          <w:color w:val="auto"/>
        </w:rPr>
        <w:t>Lee C. Bollinger, Anne M. Mulcahy and Larry D. Thompson served as members of the Compensation Committee in 2018. These members have never been an employee of the Company. Katharine Weymouth, who was appointed to the Compensation Committee in January 2019,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 and Role in Risk Oversight</w:t>
      </w:r>
    </w:p>
    <w:p>
      <w:pPr>
        <w:spacing w:after="0" w:line="217" w:lineRule="exact"/>
        <w:rPr>
          <w:sz w:val="20"/>
          <w:szCs w:val="20"/>
          <w:color w:val="auto"/>
        </w:rPr>
      </w:pPr>
    </w:p>
    <w:p>
      <w:pPr>
        <w:ind w:right="20" w:firstLine="937"/>
        <w:spacing w:after="0" w:line="287" w:lineRule="auto"/>
        <w:rPr>
          <w:sz w:val="20"/>
          <w:szCs w:val="20"/>
          <w:color w:val="auto"/>
        </w:rPr>
      </w:pPr>
      <w:r>
        <w:rPr>
          <w:rFonts w:ascii="Arial" w:cs="Arial" w:eastAsia="Arial" w:hAnsi="Arial"/>
          <w:sz w:val="15"/>
          <w:szCs w:val="15"/>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as President and Chief Executive Officer. The Board also appoints a lead independent Director. Christopher C. Davis serves in this capacity. The lead independent Director typically chairs executive sessions of Board meetings and consults with Messrs. Graham and O’Shaughnessy and senior management regarding issues to be included in Board meeting agendas. The lead independent Director is also expected to collaborate with</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7"/>
          <w:szCs w:val="17"/>
          <w:color w:val="auto"/>
        </w:rPr>
        <w:t>Mr. O’Shaughnessy in reviewing key operational and other matters and to act as a liaison between Messrs. Graham and O’Shaughnessy and the independent Directors.</w:t>
      </w:r>
    </w:p>
    <w:p>
      <w:pPr>
        <w:spacing w:after="0" w:line="176" w:lineRule="exact"/>
        <w:rPr>
          <w:sz w:val="20"/>
          <w:szCs w:val="20"/>
          <w:color w:val="auto"/>
        </w:rPr>
      </w:pPr>
    </w:p>
    <w:p>
      <w:pPr>
        <w:ind w:right="180" w:firstLine="937"/>
        <w:spacing w:after="0" w:line="273" w:lineRule="auto"/>
        <w:rPr>
          <w:sz w:val="20"/>
          <w:szCs w:val="20"/>
          <w:color w:val="auto"/>
        </w:rPr>
      </w:pPr>
      <w:r>
        <w:rPr>
          <w:rFonts w:ascii="Arial" w:cs="Arial" w:eastAsia="Arial" w:hAnsi="Arial"/>
          <w:sz w:val="16"/>
          <w:szCs w:val="16"/>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69" w:lineRule="exact"/>
        <w:rPr>
          <w:sz w:val="20"/>
          <w:szCs w:val="20"/>
          <w:color w:val="auto"/>
        </w:rPr>
      </w:pPr>
    </w:p>
    <w:p>
      <w:pPr>
        <w:ind w:right="120" w:firstLine="937"/>
        <w:spacing w:after="0" w:line="256" w:lineRule="auto"/>
        <w:rPr>
          <w:sz w:val="20"/>
          <w:szCs w:val="20"/>
          <w:color w:val="auto"/>
        </w:rPr>
      </w:pPr>
      <w:r>
        <w:rPr>
          <w:rFonts w:ascii="Arial" w:cs="Arial" w:eastAsia="Arial" w:hAnsi="Arial"/>
          <w:sz w:val="17"/>
          <w:szCs w:val="17"/>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Communicating With Directors</w:t>
      </w:r>
    </w:p>
    <w:p>
      <w:pPr>
        <w:spacing w:after="0" w:line="217" w:lineRule="exact"/>
        <w:rPr>
          <w:sz w:val="20"/>
          <w:szCs w:val="20"/>
          <w:color w:val="auto"/>
        </w:rPr>
      </w:pPr>
    </w:p>
    <w:p>
      <w:pPr>
        <w:ind w:right="320" w:firstLine="937"/>
        <w:spacing w:after="0" w:line="275" w:lineRule="auto"/>
        <w:rPr>
          <w:sz w:val="20"/>
          <w:szCs w:val="20"/>
          <w:color w:val="auto"/>
        </w:rPr>
      </w:pPr>
      <w:r>
        <w:rPr>
          <w:rFonts w:ascii="Arial" w:cs="Arial" w:eastAsia="Arial" w:hAnsi="Arial"/>
          <w:sz w:val="17"/>
          <w:szCs w:val="17"/>
          <w:color w:val="auto"/>
        </w:rPr>
        <w:t>Interested parties may communicate concerns to the lead Director or to the other Directors of the Company through Navex Global, the Company’s third-party-managed hotline, via telephone at 1-866-687-8972 or online at https://ghco.alertline.com.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HOLDINGS OF CERTAIN BENEFICIAL OWNERS AND MANAGEMENT</w:t>
      </w:r>
    </w:p>
    <w:p>
      <w:pPr>
        <w:spacing w:after="0" w:line="217" w:lineRule="exact"/>
        <w:rPr>
          <w:sz w:val="20"/>
          <w:szCs w:val="20"/>
          <w:color w:val="auto"/>
        </w:rPr>
      </w:pPr>
    </w:p>
    <w:p>
      <w:pPr>
        <w:ind w:firstLine="937"/>
        <w:spacing w:after="0" w:line="269" w:lineRule="auto"/>
        <w:rPr>
          <w:sz w:val="20"/>
          <w:szCs w:val="20"/>
          <w:color w:val="auto"/>
        </w:rPr>
      </w:pPr>
      <w:r>
        <w:rPr>
          <w:rFonts w:ascii="Arial" w:cs="Arial" w:eastAsia="Arial" w:hAnsi="Arial"/>
          <w:sz w:val="16"/>
          <w:szCs w:val="16"/>
          <w:color w:val="auto"/>
        </w:rPr>
        <w:t>The information in the following two tables relates to each person who, on February 1, 2019,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00"/>
          </w:cols>
          <w:pgMar w:left="740" w:top="263" w:right="75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Principal Holders of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18"/>
              <w:spacing w:after="0"/>
              <w:rPr>
                <w:sz w:val="20"/>
                <w:szCs w:val="20"/>
                <w:color w:val="auto"/>
              </w:rPr>
            </w:pPr>
            <w:r>
              <w:rPr>
                <w:rFonts w:ascii="Arial" w:cs="Arial" w:eastAsia="Arial" w:hAnsi="Arial"/>
                <w:sz w:val="14"/>
                <w:szCs w:val="14"/>
                <w:b w:val="1"/>
                <w:bCs w:val="1"/>
                <w:color w:val="auto"/>
                <w:w w:val="88"/>
              </w:rPr>
              <w:t>Shares (%)</w:t>
            </w:r>
          </w:p>
        </w:tc>
        <w:tc>
          <w:tcPr>
            <w:tcW w:w="0" w:type="dxa"/>
            <w:vAlign w:val="bottom"/>
          </w:tcPr>
          <w:p>
            <w:pPr>
              <w:spacing w:after="0"/>
              <w:rPr>
                <w:sz w:val="1"/>
                <w:szCs w:val="1"/>
                <w:color w:val="auto"/>
              </w:rPr>
            </w:pPr>
          </w:p>
        </w:tc>
      </w:tr>
      <w:tr>
        <w:trPr>
          <w:trHeight w:val="140"/>
        </w:trPr>
        <w:tc>
          <w:tcPr>
            <w:tcW w:w="7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Class A Stock</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198"/>
              <w:spacing w:after="0" w:line="121" w:lineRule="exact"/>
              <w:rPr>
                <w:sz w:val="20"/>
                <w:szCs w:val="20"/>
                <w:color w:val="auto"/>
              </w:rPr>
            </w:pPr>
            <w:r>
              <w:rPr>
                <w:rFonts w:ascii="Arial" w:cs="Arial" w:eastAsia="Arial" w:hAnsi="Arial"/>
                <w:sz w:val="12"/>
                <w:szCs w:val="12"/>
                <w:b w:val="1"/>
                <w:bCs w:val="1"/>
                <w:color w:val="auto"/>
              </w:rPr>
              <w:t>Class B Stock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Donald E. Graham (a)</w:t>
            </w:r>
          </w:p>
        </w:tc>
        <w:tc>
          <w:tcPr>
            <w:tcW w:w="54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center"/>
              <w:spacing w:after="0" w:line="108" w:lineRule="exact"/>
              <w:rPr>
                <w:sz w:val="20"/>
                <w:szCs w:val="20"/>
                <w:color w:val="auto"/>
              </w:rPr>
            </w:pPr>
            <w:r>
              <w:rPr>
                <w:rFonts w:ascii="Arial" w:cs="Arial" w:eastAsia="Arial" w:hAnsi="Arial"/>
                <w:sz w:val="12"/>
                <w:szCs w:val="12"/>
                <w:color w:val="auto"/>
              </w:rPr>
              <w:t>843,929 (87.5%)</w:t>
            </w: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jc w:val="right"/>
              <w:ind w:right="78"/>
              <w:spacing w:after="0" w:line="108" w:lineRule="exact"/>
              <w:rPr>
                <w:sz w:val="20"/>
                <w:szCs w:val="20"/>
                <w:color w:val="auto"/>
              </w:rPr>
            </w:pPr>
            <w:r>
              <w:rPr>
                <w:rFonts w:ascii="Arial" w:cs="Arial" w:eastAsia="Arial" w:hAnsi="Arial"/>
                <w:sz w:val="12"/>
                <w:szCs w:val="12"/>
                <w:color w:val="auto"/>
              </w:rPr>
              <w:t>902,083 (17.0%)*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1300 North 17th Street, Suite 1700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Arlington, VA</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tcPr>
          <w:p>
            <w:pPr>
              <w:spacing w:after="0" w:line="122" w:lineRule="exact"/>
              <w:rPr>
                <w:sz w:val="20"/>
                <w:szCs w:val="20"/>
                <w:color w:val="auto"/>
              </w:rPr>
            </w:pPr>
            <w:r>
              <w:rPr>
                <w:rFonts w:ascii="Arial" w:cs="Arial" w:eastAsia="Arial" w:hAnsi="Arial"/>
                <w:sz w:val="14"/>
                <w:szCs w:val="14"/>
                <w:color w:val="auto"/>
              </w:rPr>
              <w:t>Elizabeth G. Weymouth (b)</w:t>
            </w:r>
          </w:p>
        </w:tc>
        <w:tc>
          <w:tcPr>
            <w:tcW w:w="12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w w:val="88"/>
              </w:rPr>
              <w:t>237,625 (24.6%)</w:t>
            </w:r>
          </w:p>
        </w:tc>
        <w:tc>
          <w:tcPr>
            <w:tcW w:w="1640" w:type="dxa"/>
            <w:vAlign w:val="bottom"/>
            <w:gridSpan w:val="3"/>
          </w:tcPr>
          <w:p>
            <w:pPr>
              <w:jc w:val="center"/>
              <w:ind w:left="27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1300 North 17th Street, Suite 1700</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Arlington, VA</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Daniel L. Mosley (c)</w:t>
            </w:r>
          </w:p>
        </w:tc>
        <w:tc>
          <w:tcPr>
            <w:tcW w:w="1080" w:type="dxa"/>
            <w:vAlign w:val="bottom"/>
            <w:gridSpan w:val="2"/>
            <w:shd w:val="clear" w:color="auto" w:fill="CCEEFF"/>
          </w:tcPr>
          <w:p>
            <w:pPr>
              <w:jc w:val="center"/>
              <w:ind w:left="92"/>
              <w:spacing w:after="0" w:line="122" w:lineRule="exact"/>
              <w:rPr>
                <w:sz w:val="20"/>
                <w:szCs w:val="20"/>
                <w:color w:val="auto"/>
              </w:rPr>
            </w:pPr>
            <w:r>
              <w:rPr>
                <w:rFonts w:ascii="Arial" w:cs="Arial" w:eastAsia="Arial" w:hAnsi="Arial"/>
                <w:sz w:val="14"/>
                <w:szCs w:val="14"/>
                <w:color w:val="auto"/>
                <w:w w:val="88"/>
              </w:rPr>
              <w:t>950,501 (98.6%)</w:t>
            </w:r>
          </w:p>
        </w:tc>
        <w:tc>
          <w:tcPr>
            <w:tcW w:w="1640" w:type="dxa"/>
            <w:vAlign w:val="bottom"/>
            <w:gridSpan w:val="3"/>
            <w:shd w:val="clear" w:color="auto" w:fill="CCEEFF"/>
          </w:tcPr>
          <w:p>
            <w:pPr>
              <w:jc w:val="right"/>
              <w:ind w:right="78"/>
              <w:spacing w:after="0" w:line="122" w:lineRule="exact"/>
              <w:rPr>
                <w:sz w:val="20"/>
                <w:szCs w:val="20"/>
                <w:color w:val="auto"/>
              </w:rPr>
            </w:pPr>
            <w:r>
              <w:rPr>
                <w:rFonts w:ascii="Arial" w:cs="Arial" w:eastAsia="Arial" w:hAnsi="Arial"/>
                <w:sz w:val="14"/>
                <w:szCs w:val="14"/>
                <w:color w:val="auto"/>
              </w:rPr>
              <w:t>1,006,270 (18.9%)*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825 Eighth Avenue</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New York, NY</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tcPr>
          <w:p>
            <w:pPr>
              <w:spacing w:after="0" w:line="122" w:lineRule="exact"/>
              <w:rPr>
                <w:sz w:val="20"/>
                <w:szCs w:val="20"/>
                <w:color w:val="auto"/>
              </w:rPr>
            </w:pPr>
            <w:r>
              <w:rPr>
                <w:rFonts w:ascii="Arial" w:cs="Arial" w:eastAsia="Arial" w:hAnsi="Arial"/>
                <w:sz w:val="14"/>
                <w:szCs w:val="14"/>
                <w:color w:val="auto"/>
              </w:rPr>
              <w:t>Southeastern Asset Management (d)</w:t>
            </w:r>
          </w:p>
        </w:tc>
        <w:tc>
          <w:tcPr>
            <w:tcW w:w="12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1640" w:type="dxa"/>
            <w:vAlign w:val="bottom"/>
            <w:gridSpan w:val="3"/>
          </w:tcPr>
          <w:p>
            <w:pPr>
              <w:jc w:val="center"/>
              <w:ind w:left="252"/>
              <w:spacing w:after="0" w:line="122" w:lineRule="exact"/>
              <w:rPr>
                <w:sz w:val="20"/>
                <w:szCs w:val="20"/>
                <w:color w:val="auto"/>
              </w:rPr>
            </w:pPr>
            <w:r>
              <w:rPr>
                <w:rFonts w:ascii="Arial" w:cs="Arial" w:eastAsia="Arial" w:hAnsi="Arial"/>
                <w:sz w:val="14"/>
                <w:szCs w:val="14"/>
                <w:color w:val="auto"/>
                <w:w w:val="88"/>
              </w:rPr>
              <w:t>650,109 (15.0%)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6410 Poplar Avenue, Suite 900</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Memphis, TN</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The Vanguard Group (e)</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1640" w:type="dxa"/>
            <w:vAlign w:val="bottom"/>
            <w:gridSpan w:val="3"/>
            <w:shd w:val="clear" w:color="auto" w:fill="CCEEFF"/>
          </w:tcPr>
          <w:p>
            <w:pPr>
              <w:jc w:val="center"/>
              <w:ind w:left="252"/>
              <w:spacing w:after="0" w:line="122" w:lineRule="exact"/>
              <w:rPr>
                <w:sz w:val="20"/>
                <w:szCs w:val="20"/>
                <w:color w:val="auto"/>
              </w:rPr>
            </w:pPr>
            <w:r>
              <w:rPr>
                <w:rFonts w:ascii="Arial" w:cs="Arial" w:eastAsia="Arial" w:hAnsi="Arial"/>
                <w:sz w:val="14"/>
                <w:szCs w:val="14"/>
                <w:color w:val="auto"/>
                <w:w w:val="88"/>
              </w:rPr>
              <w:t>382,179 (8.81%)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100 Vanguard Boulevard</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Malvern, PA</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tcPr>
          <w:p>
            <w:pPr>
              <w:spacing w:after="0" w:line="122" w:lineRule="exact"/>
              <w:rPr>
                <w:sz w:val="20"/>
                <w:szCs w:val="20"/>
                <w:color w:val="auto"/>
              </w:rPr>
            </w:pPr>
            <w:r>
              <w:rPr>
                <w:rFonts w:ascii="Arial" w:cs="Arial" w:eastAsia="Arial" w:hAnsi="Arial"/>
                <w:sz w:val="14"/>
                <w:szCs w:val="14"/>
                <w:color w:val="auto"/>
              </w:rPr>
              <w:t>BlackRock, Inc. (f)</w:t>
            </w:r>
          </w:p>
        </w:tc>
        <w:tc>
          <w:tcPr>
            <w:tcW w:w="12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1640" w:type="dxa"/>
            <w:vAlign w:val="bottom"/>
            <w:gridSpan w:val="3"/>
          </w:tcPr>
          <w:p>
            <w:pPr>
              <w:jc w:val="right"/>
              <w:ind w:right="178"/>
              <w:spacing w:after="0" w:line="122" w:lineRule="exact"/>
              <w:rPr>
                <w:sz w:val="20"/>
                <w:szCs w:val="20"/>
                <w:color w:val="auto"/>
              </w:rPr>
            </w:pPr>
            <w:r>
              <w:rPr>
                <w:rFonts w:ascii="Arial" w:cs="Arial" w:eastAsia="Arial" w:hAnsi="Arial"/>
                <w:sz w:val="14"/>
                <w:szCs w:val="14"/>
                <w:color w:val="auto"/>
              </w:rPr>
              <w:t>393,182 (9.1%)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55 East 52nd Street</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New York, NY</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Dimensional Fund Advisors LP (g)</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1640" w:type="dxa"/>
            <w:vAlign w:val="bottom"/>
            <w:gridSpan w:val="3"/>
            <w:shd w:val="clear" w:color="auto" w:fill="CCEEFF"/>
          </w:tcPr>
          <w:p>
            <w:pPr>
              <w:jc w:val="center"/>
              <w:ind w:left="252"/>
              <w:spacing w:after="0" w:line="122" w:lineRule="exact"/>
              <w:rPr>
                <w:sz w:val="20"/>
                <w:szCs w:val="20"/>
                <w:color w:val="auto"/>
              </w:rPr>
            </w:pPr>
            <w:r>
              <w:rPr>
                <w:rFonts w:ascii="Arial" w:cs="Arial" w:eastAsia="Arial" w:hAnsi="Arial"/>
                <w:sz w:val="14"/>
                <w:szCs w:val="14"/>
                <w:color w:val="auto"/>
                <w:w w:val="88"/>
              </w:rPr>
              <w:t>318,287 (7.34%)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6300 Bee Cave Road, Building One</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Austin, TX</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gridSpan w:val="2"/>
          </w:tcPr>
          <w:p>
            <w:pPr>
              <w:spacing w:after="0" w:line="122" w:lineRule="exact"/>
              <w:rPr>
                <w:sz w:val="20"/>
                <w:szCs w:val="20"/>
                <w:color w:val="auto"/>
              </w:rPr>
            </w:pPr>
            <w:r>
              <w:rPr>
                <w:rFonts w:ascii="Arial" w:cs="Arial" w:eastAsia="Arial" w:hAnsi="Arial"/>
                <w:sz w:val="14"/>
                <w:szCs w:val="14"/>
                <w:color w:val="auto"/>
              </w:rPr>
              <w:t>Fiduciary Management, Inc. (h)</w:t>
            </w:r>
          </w:p>
        </w:tc>
        <w:tc>
          <w:tcPr>
            <w:tcW w:w="12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1640" w:type="dxa"/>
            <w:vAlign w:val="bottom"/>
            <w:gridSpan w:val="3"/>
          </w:tcPr>
          <w:p>
            <w:pPr>
              <w:jc w:val="center"/>
              <w:ind w:left="252"/>
              <w:spacing w:after="0" w:line="122" w:lineRule="exact"/>
              <w:rPr>
                <w:sz w:val="20"/>
                <w:szCs w:val="20"/>
                <w:color w:val="auto"/>
              </w:rPr>
            </w:pPr>
            <w:r>
              <w:rPr>
                <w:rFonts w:ascii="Arial" w:cs="Arial" w:eastAsia="Arial" w:hAnsi="Arial"/>
                <w:sz w:val="14"/>
                <w:szCs w:val="14"/>
                <w:color w:val="auto"/>
                <w:w w:val="88"/>
              </w:rPr>
              <w:t>218,718 (5.04%)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100 East Wisconsin Avenue, Suite 2200</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80" w:type="dxa"/>
            <w:vAlign w:val="bottom"/>
            <w:gridSpan w:val="2"/>
          </w:tcPr>
          <w:p>
            <w:pPr>
              <w:ind w:left="200"/>
              <w:spacing w:after="0"/>
              <w:rPr>
                <w:sz w:val="20"/>
                <w:szCs w:val="20"/>
                <w:color w:val="auto"/>
              </w:rPr>
            </w:pPr>
            <w:r>
              <w:rPr>
                <w:rFonts w:ascii="Arial" w:cs="Arial" w:eastAsia="Arial" w:hAnsi="Arial"/>
                <w:sz w:val="14"/>
                <w:szCs w:val="14"/>
                <w:color w:val="auto"/>
              </w:rPr>
              <w:t>Milwaukee, WI</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656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26" w:lineRule="exact"/>
        <w:rPr>
          <w:sz w:val="20"/>
          <w:szCs w:val="20"/>
          <w:color w:val="auto"/>
        </w:rPr>
      </w:pPr>
    </w:p>
    <w:p>
      <w:pPr>
        <w:ind w:right="340" w:firstLine="6"/>
        <w:spacing w:after="0" w:line="233" w:lineRule="auto"/>
        <w:tabs>
          <w:tab w:leader="none" w:pos="168"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for Messrs. Graham and Mosley include shares of Class B Stock issuable upon conversion of shares of Class A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Less than 5%.</w:t>
      </w:r>
    </w:p>
    <w:p>
      <w:pPr>
        <w:spacing w:after="0" w:line="43" w:lineRule="exact"/>
        <w:rPr>
          <w:sz w:val="20"/>
          <w:szCs w:val="20"/>
          <w:color w:val="auto"/>
        </w:rPr>
      </w:pPr>
    </w:p>
    <w:p>
      <w:pPr>
        <w:ind w:left="320" w:right="160" w:hanging="314"/>
        <w:spacing w:after="0" w:line="264"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According to information as of February 1, 2019, and available to the Company, Mr. Donald Graham has voting and investment power with respect to shares of Class A Stock as follows: sole voting and investment power, 364,594 (37.8%) shares, which includes 150,469 shares in a trust that Mr. Donald Graham has the power to amend or revoke and 214,125 shares in certain trusts for which Mr. Donald Graham is a co-trustee and can exercise a casting vote; and shared voting and investment power, 479,335 (49.7%) shares, which excludes the previously referenced 214,125 shares in certain trusts for which Mr. Donald Graham is a co-trustee and can exercise a casting vote.</w:t>
      </w:r>
    </w:p>
    <w:p>
      <w:pPr>
        <w:spacing w:after="0" w:line="18" w:lineRule="exact"/>
        <w:rPr>
          <w:rFonts w:ascii="Arial" w:cs="Arial" w:eastAsia="Arial" w:hAnsi="Arial"/>
          <w:sz w:val="12"/>
          <w:szCs w:val="12"/>
          <w:color w:val="auto"/>
        </w:rPr>
      </w:pPr>
    </w:p>
    <w:p>
      <w:pPr>
        <w:ind w:left="320" w:right="20"/>
        <w:spacing w:after="0" w:line="219" w:lineRule="auto"/>
        <w:rPr>
          <w:rFonts w:ascii="Arial" w:cs="Arial" w:eastAsia="Arial" w:hAnsi="Arial"/>
          <w:sz w:val="12"/>
          <w:szCs w:val="12"/>
          <w:color w:val="auto"/>
        </w:rPr>
      </w:pPr>
      <w:r>
        <w:rPr>
          <w:rFonts w:ascii="Arial" w:cs="Arial" w:eastAsia="Arial" w:hAnsi="Arial"/>
          <w:sz w:val="14"/>
          <w:szCs w:val="14"/>
          <w:color w:val="auto"/>
        </w:rPr>
        <w:t>Mr. Graham also has voting and investment power with respect to shares of Class B Stock as follows: sole voting and investment power, 47,494 (1%) shares which includes 3,087 shares in a trust that Mr. Donald Graham has the power to amend or revoke and 44,407 shares in certain trusts for which Mr. Donald Graham is a co-trustee and can exercise a casting vote; shared voting and investment power, 10,600 (less than 1%) shares, which excludes the previously referenced 44,407 shares in certain trusts for which Mr. Donald Graham is a co-trustee and can exercise a casting vote; and 843,929 (17.0%) shares issuable upon conversion of shares of Class A Stock deemed to be beneficially owned by Mr. Graham. Includes 60 shares held by Mr. Graham’s spouse.</w:t>
      </w:r>
    </w:p>
    <w:p>
      <w:pPr>
        <w:spacing w:after="0" w:line="31" w:lineRule="exact"/>
        <w:rPr>
          <w:rFonts w:ascii="Arial" w:cs="Arial" w:eastAsia="Arial" w:hAnsi="Arial"/>
          <w:sz w:val="12"/>
          <w:szCs w:val="12"/>
          <w:color w:val="auto"/>
        </w:rPr>
      </w:pPr>
    </w:p>
    <w:p>
      <w:pPr>
        <w:ind w:left="320" w:right="140" w:hanging="314"/>
        <w:spacing w:after="0" w:line="264"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According to information as of February 2, 2019,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The holdings of Class B Stock recorded for Mrs. Weymouth, including shares issuable upon conversion of shares of Class A Stock deemed to be beneficially owned by Mrs. Weymouth, are less than 5%.</w:t>
      </w:r>
    </w:p>
    <w:p>
      <w:pPr>
        <w:spacing w:after="0" w:line="18" w:lineRule="exact"/>
        <w:rPr>
          <w:rFonts w:ascii="Arial" w:cs="Arial" w:eastAsia="Arial" w:hAnsi="Arial"/>
          <w:sz w:val="12"/>
          <w:szCs w:val="12"/>
          <w:color w:val="auto"/>
        </w:rPr>
      </w:pPr>
    </w:p>
    <w:p>
      <w:pPr>
        <w:ind w:left="320" w:right="20" w:hanging="314"/>
        <w:spacing w:after="0" w:line="252"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According to information as of February 1, 2019, and available to the Company, Mr. Daniel Mosley, as a trustee of various trusts, has voting and investment power with respect to shares of Class A Stock as follows: sole voting and investment power, 70,300 (7.3%) shares, shared voting and investment power, 880,201 (91.3%) shares, which includes 150,469 shares in a trust for which Mr. Daniel Mosley is a co-trustee with Mr. Donald Graham and Mr. Donald Graham has the power to amend or revoke and 214,215 shares in certain trusts for which Mr. Daniel Mosley is a co-trustee with Mr. Donald Graham and Mr. Donald Graham can exercise a casting vote. In addition, Mr. Mosley has voting and investment power, with respect to shares of Class B Stock as follows: sole voting and investment power, 3,275 (less than 1%) shares; shared voting and investment power 52,494 (1%) shares, which includes 3,087 shares in a trust for which Mr. Daniel Mosley is a co-trustee with Mr. Donald Graham and Mr. Donald Graham has the power to amend or revoke and 44,407 shares in certain trusts for which Mr. Daniel Mosley is a co-trustee with Mr. Donald Graham and Mr. Donald Graham can exercise a casting vote. The holdings of Class B Stock recorded for Mr. Mosley include 950,501 (17.9%) shares issuable upon conversion of shares of Class A Stock deemed to be beneficially owned by Mr. Mosley as a Trustee of various trusts.</w:t>
      </w:r>
    </w:p>
    <w:p>
      <w:pPr>
        <w:spacing w:after="0" w:line="27" w:lineRule="exact"/>
        <w:rPr>
          <w:rFonts w:ascii="Arial" w:cs="Arial" w:eastAsia="Arial" w:hAnsi="Arial"/>
          <w:sz w:val="12"/>
          <w:szCs w:val="12"/>
          <w:color w:val="auto"/>
        </w:rPr>
      </w:pPr>
    </w:p>
    <w:p>
      <w:pPr>
        <w:jc w:val="both"/>
        <w:ind w:left="320" w:hanging="314"/>
        <w:spacing w:after="0" w:line="256"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According to a Schedule 13G/A filed on February 14, 2019, Southeastern Asset Management, Inc. (“Southeastern Asset”), an investment adviser, was deemed to be the beneficial owner of 650,109 (15.0%) shares of Class B Stock. According to the Schedule 13G/A, Southeastern Asset has sole voting power over 108,281 shares; shared voting power over 495,135 shares; no voting power over 46,693 shares; sole dispositive power over 222,109 shares; and shared dispositive power over 428,000 shares. The Schedule 13G/A was filed jointly with Longleaf Partners Small-Cap Fund (an investment company), which has shared voting and dispositive power over 428,000 (9.9%) shares, according to the Schedule 13G/A. The Schedule 13G/A was also filed jointly with Mr. O. Mason Hawkins, Chairman of the Board and CEO of Southeastern Asset in the event he could be deemed to be a controlling person of that firm as the result of his official positions with, or ownership of, its voting securities.</w:t>
      </w:r>
    </w:p>
    <w:p>
      <w:pPr>
        <w:spacing w:after="0" w:line="23" w:lineRule="exact"/>
        <w:rPr>
          <w:rFonts w:ascii="Arial" w:cs="Arial" w:eastAsia="Arial" w:hAnsi="Arial"/>
          <w:sz w:val="12"/>
          <w:szCs w:val="12"/>
          <w:color w:val="auto"/>
        </w:rPr>
      </w:pPr>
    </w:p>
    <w:p>
      <w:pPr>
        <w:ind w:left="320" w:hanging="314"/>
        <w:spacing w:after="0" w:line="225" w:lineRule="auto"/>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According to a Schedule 13G/A filed on February 11, 2019, The Vanguard Group (“Vanguard”), an investment adviser, was deemed to be the beneficial owner of 382,179 (8.81%) shares of Class B Stock. According to the Schedule 13G/A, Vanguard has sole voting power over 2,567 shares, shared voting power over 575 shares, shared dispositive power over 2,204 shares, and sole dispositive power over 379,975 shares.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20"/>
          </w:cols>
          <w:pgMar w:left="740" w:top="263" w:right="739" w:bottom="1440" w:gutter="0" w:footer="0" w:header="0"/>
        </w:sectPr>
      </w:pPr>
    </w:p>
    <w:bookmarkStart w:id="15" w:name="page16"/>
    <w:bookmarkEnd w:id="15"/>
    <w:p>
      <w:pPr>
        <w:jc w:val="both"/>
        <w:ind w:left="320" w:right="360" w:hanging="314"/>
        <w:spacing w:after="0" w:line="299"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According to a Schedule 13G/A filed on February 4, 2019, BlackRock, Inc. (“BlackRock”), a parent holding company or control person, was deemed to be the beneficial owner of 393,182 (9.1%) shares of Class B Stock. According to the Schedule 13G/A, BlackRock has sole voting power over 375,355 shares and sole dispositive power over 393,182 shares.</w:t>
      </w:r>
    </w:p>
    <w:p>
      <w:pPr>
        <w:jc w:val="both"/>
        <w:ind w:left="320" w:right="300" w:hanging="314"/>
        <w:spacing w:after="0" w:line="225"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According to a Schedule 13G/A filed on February 8, 2019, Dimensional Fund Advisors LP (“Dimensional Fund”), an investment adviser, was deemed to be the beneficial owner of 318,287 (7.34%) shares of Class B Stock. According to the Schedule 13G/A, Dimensional Fund has sole voting power over 312,008 shares and sole dispositive power over 318,287 shares.</w:t>
      </w:r>
    </w:p>
    <w:p>
      <w:pPr>
        <w:spacing w:after="0" w:line="32" w:lineRule="exact"/>
        <w:rPr>
          <w:rFonts w:ascii="Arial" w:cs="Arial" w:eastAsia="Arial" w:hAnsi="Arial"/>
          <w:sz w:val="14"/>
          <w:szCs w:val="14"/>
          <w:color w:val="auto"/>
        </w:rPr>
      </w:pPr>
    </w:p>
    <w:p>
      <w:pPr>
        <w:ind w:left="320" w:right="180" w:hanging="314"/>
        <w:spacing w:after="0" w:line="225"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According to a Schedule 13G filed on February 14, 2019, Fiduciary Management, Inc. (“Fiduciary Management”), an investment adviser, was deemed to be the beneficial owner of 218,718 (5.04%) shares of Class B Stock. According to the Schedule 13G, Fiduciary Management has sole voting power over 188,330 shares and sole dispositive power over 218,718 shares.</w:t>
      </w:r>
    </w:p>
    <w:p>
      <w:pPr>
        <w:spacing w:after="0" w:line="17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table below, which is based on information furnished to the Company by its Directors and officers, shows as of February 1, 2019,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Holdings of Directors and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 (%)</w:t>
            </w:r>
          </w:p>
        </w:tc>
        <w:tc>
          <w:tcPr>
            <w:tcW w:w="6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84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Class A</w:t>
            </w:r>
          </w:p>
        </w:tc>
        <w:tc>
          <w:tcPr>
            <w:tcW w:w="62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84"/>
              </w:rPr>
              <w:t>Class B(a)</w:t>
            </w:r>
          </w:p>
        </w:tc>
        <w:tc>
          <w:tcPr>
            <w:tcW w:w="78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71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Lee C. Bollinger^</w:t>
            </w:r>
          </w:p>
        </w:tc>
        <w:tc>
          <w:tcPr>
            <w:tcW w:w="520" w:type="dxa"/>
            <w:vAlign w:val="bottom"/>
            <w:tcBorders>
              <w:top w:val="single" w:sz="8" w:color="auto"/>
            </w:tcBorders>
            <w:shd w:val="clear" w:color="auto" w:fill="CCEEFF"/>
          </w:tcPr>
          <w:p>
            <w:pPr>
              <w:ind w:left="380"/>
              <w:spacing w:after="0" w:line="133" w:lineRule="exact"/>
              <w:rPr>
                <w:sz w:val="20"/>
                <w:szCs w:val="20"/>
                <w:color w:val="auto"/>
              </w:rPr>
            </w:pPr>
            <w:r>
              <w:rPr>
                <w:rFonts w:ascii="Arial" w:cs="Arial" w:eastAsia="Arial" w:hAnsi="Arial"/>
                <w:sz w:val="14"/>
                <w:szCs w:val="14"/>
                <w:color w:val="auto"/>
                <w:w w:val="85"/>
              </w:rPr>
              <w:t>—</w:t>
            </w:r>
          </w:p>
        </w:tc>
        <w:tc>
          <w:tcPr>
            <w:tcW w:w="13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Wallace R. Cooney+</w:t>
            </w:r>
            <w:r>
              <w:rPr>
                <w:rFonts w:ascii="Arial" w:cs="Arial" w:eastAsia="Arial" w:hAnsi="Arial"/>
                <w:sz w:val="11"/>
                <w:szCs w:val="11"/>
                <w:color w:val="auto"/>
              </w:rPr>
              <w:t>(c)</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2,333</w:t>
            </w:r>
          </w:p>
        </w:tc>
        <w:tc>
          <w:tcPr>
            <w:tcW w:w="780" w:type="dxa"/>
            <w:vAlign w:val="bottom"/>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Christopher C. Davis^</w:t>
            </w:r>
          </w:p>
        </w:tc>
        <w:tc>
          <w:tcPr>
            <w:tcW w:w="1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5,000</w:t>
            </w:r>
          </w:p>
        </w:tc>
        <w:tc>
          <w:tcPr>
            <w:tcW w:w="7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Thomas S. Gayner^</w:t>
            </w:r>
            <w:r>
              <w:rPr>
                <w:rFonts w:ascii="Arial" w:cs="Arial" w:eastAsia="Arial" w:hAnsi="Arial"/>
                <w:sz w:val="11"/>
                <w:szCs w:val="11"/>
                <w:color w:val="auto"/>
              </w:rPr>
              <w:t>(d)</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5,300</w:t>
            </w:r>
          </w:p>
        </w:tc>
        <w:tc>
          <w:tcPr>
            <w:tcW w:w="780" w:type="dxa"/>
            <w:vAlign w:val="bottom"/>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Donald E. Graham^</w:t>
            </w:r>
            <w:r>
              <w:rPr>
                <w:rFonts w:ascii="Arial" w:cs="Arial" w:eastAsia="Arial" w:hAnsi="Arial"/>
                <w:sz w:val="11"/>
                <w:szCs w:val="11"/>
                <w:color w:val="auto"/>
              </w:rPr>
              <w:t>(e)</w:t>
            </w:r>
          </w:p>
        </w:tc>
        <w:tc>
          <w:tcPr>
            <w:tcW w:w="1840" w:type="dxa"/>
            <w:vAlign w:val="bottom"/>
            <w:gridSpan w:val="2"/>
            <w:shd w:val="clear" w:color="auto" w:fill="CCEEFF"/>
          </w:tcPr>
          <w:p>
            <w:pPr>
              <w:jc w:val="center"/>
              <w:ind w:right="772"/>
              <w:spacing w:after="0" w:line="141" w:lineRule="exact"/>
              <w:rPr>
                <w:sz w:val="20"/>
                <w:szCs w:val="20"/>
                <w:color w:val="auto"/>
              </w:rPr>
            </w:pPr>
            <w:r>
              <w:rPr>
                <w:rFonts w:ascii="Arial" w:cs="Arial" w:eastAsia="Arial" w:hAnsi="Arial"/>
                <w:sz w:val="14"/>
                <w:szCs w:val="14"/>
                <w:color w:val="auto"/>
                <w:w w:val="88"/>
              </w:rPr>
              <w:t>843,929 (87.5%)</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902,083</w:t>
            </w:r>
          </w:p>
        </w:tc>
        <w:tc>
          <w:tcPr>
            <w:tcW w:w="7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(17.0%)</w:t>
            </w: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Jacob M. Maas+</w:t>
            </w:r>
            <w:r>
              <w:rPr>
                <w:rFonts w:ascii="Arial" w:cs="Arial" w:eastAsia="Arial" w:hAnsi="Arial"/>
                <w:sz w:val="11"/>
                <w:szCs w:val="11"/>
                <w:color w:val="auto"/>
              </w:rPr>
              <w:t>(f)</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72"/>
              <w:spacing w:after="0" w:line="141" w:lineRule="exact"/>
              <w:rPr>
                <w:sz w:val="20"/>
                <w:szCs w:val="20"/>
                <w:color w:val="auto"/>
              </w:rPr>
            </w:pPr>
            <w:r>
              <w:rPr>
                <w:rFonts w:ascii="Arial" w:cs="Arial" w:eastAsia="Arial" w:hAnsi="Arial"/>
                <w:sz w:val="14"/>
                <w:szCs w:val="14"/>
                <w:color w:val="auto"/>
              </w:rPr>
              <w:t>2,025(b)</w:t>
            </w: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Nicole M. Maddrey+</w:t>
            </w:r>
          </w:p>
        </w:tc>
        <w:tc>
          <w:tcPr>
            <w:tcW w:w="1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2,650</w:t>
            </w:r>
          </w:p>
        </w:tc>
        <w:tc>
          <w:tcPr>
            <w:tcW w:w="7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Jack A. Markell^</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Anne M. Mulcahy^</w:t>
            </w:r>
          </w:p>
        </w:tc>
        <w:tc>
          <w:tcPr>
            <w:tcW w:w="1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1"/>
                <w:szCs w:val="11"/>
                <w:color w:val="auto"/>
              </w:rPr>
              <w:t>(g)</w:t>
            </w:r>
          </w:p>
        </w:tc>
        <w:tc>
          <w:tcPr>
            <w:tcW w:w="1840" w:type="dxa"/>
            <w:vAlign w:val="bottom"/>
            <w:gridSpan w:val="2"/>
          </w:tcPr>
          <w:p>
            <w:pPr>
              <w:jc w:val="center"/>
              <w:ind w:right="752"/>
              <w:spacing w:after="0" w:line="141" w:lineRule="exact"/>
              <w:rPr>
                <w:sz w:val="20"/>
                <w:szCs w:val="20"/>
                <w:color w:val="auto"/>
              </w:rPr>
            </w:pPr>
            <w:r>
              <w:rPr>
                <w:rFonts w:ascii="Arial" w:cs="Arial" w:eastAsia="Arial" w:hAnsi="Arial"/>
                <w:sz w:val="14"/>
                <w:szCs w:val="14"/>
                <w:color w:val="auto"/>
                <w:w w:val="88"/>
              </w:rPr>
              <w:t>34,865 (3.6%)</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119,374</w:t>
            </w:r>
          </w:p>
        </w:tc>
        <w:tc>
          <w:tcPr>
            <w:tcW w:w="780" w:type="dxa"/>
            <w:vAlign w:val="bottom"/>
          </w:tcPr>
          <w:p>
            <w:pPr>
              <w:spacing w:after="0" w:line="141" w:lineRule="exact"/>
              <w:rPr>
                <w:sz w:val="20"/>
                <w:szCs w:val="20"/>
                <w:color w:val="auto"/>
              </w:rPr>
            </w:pPr>
            <w:r>
              <w:rPr>
                <w:rFonts w:ascii="Arial" w:cs="Arial" w:eastAsia="Arial" w:hAnsi="Arial"/>
                <w:sz w:val="14"/>
                <w:szCs w:val="14"/>
                <w:color w:val="auto"/>
              </w:rPr>
              <w:t>(2.2%)</w:t>
            </w: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Andrew S. Rosen+</w:t>
            </w:r>
            <w:r>
              <w:rPr>
                <w:rFonts w:ascii="Arial" w:cs="Arial" w:eastAsia="Arial" w:hAnsi="Arial"/>
                <w:sz w:val="11"/>
                <w:szCs w:val="11"/>
                <w:color w:val="auto"/>
              </w:rPr>
              <w:t>(h)</w:t>
            </w:r>
          </w:p>
        </w:tc>
        <w:tc>
          <w:tcPr>
            <w:tcW w:w="1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86,253</w:t>
            </w:r>
          </w:p>
        </w:tc>
        <w:tc>
          <w:tcPr>
            <w:tcW w:w="7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(1.6%)</w:t>
            </w: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Larry D. Thompson^</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76</w:t>
            </w:r>
          </w:p>
        </w:tc>
        <w:tc>
          <w:tcPr>
            <w:tcW w:w="780" w:type="dxa"/>
            <w:vAlign w:val="bottom"/>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1"/>
                <w:szCs w:val="11"/>
                <w:color w:val="auto"/>
              </w:rPr>
              <w:t>(i)</w:t>
            </w:r>
          </w:p>
        </w:tc>
        <w:tc>
          <w:tcPr>
            <w:tcW w:w="184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w:t>
            </w:r>
          </w:p>
        </w:tc>
      </w:tr>
      <w:tr>
        <w:trPr>
          <w:trHeight w:val="140"/>
        </w:trPr>
        <w:tc>
          <w:tcPr>
            <w:tcW w:w="20" w:type="dxa"/>
            <w:vAlign w:val="bottom"/>
          </w:tcPr>
          <w:p>
            <w:pPr>
              <w:spacing w:after="0"/>
              <w:rPr>
                <w:sz w:val="12"/>
                <w:szCs w:val="12"/>
                <w:color w:val="auto"/>
              </w:rPr>
            </w:pPr>
          </w:p>
        </w:tc>
        <w:tc>
          <w:tcPr>
            <w:tcW w:w="7160" w:type="dxa"/>
            <w:vAlign w:val="bottom"/>
          </w:tcPr>
          <w:p>
            <w:pPr>
              <w:spacing w:after="0" w:line="141" w:lineRule="exact"/>
              <w:rPr>
                <w:sz w:val="20"/>
                <w:szCs w:val="20"/>
                <w:color w:val="auto"/>
              </w:rPr>
            </w:pPr>
            <w:r>
              <w:rPr>
                <w:rFonts w:ascii="Arial" w:cs="Arial" w:eastAsia="Arial" w:hAnsi="Arial"/>
                <w:sz w:val="14"/>
                <w:szCs w:val="14"/>
                <w:color w:val="auto"/>
              </w:rPr>
              <w:t>Katharine Weymouth^</w:t>
            </w:r>
          </w:p>
        </w:tc>
        <w:tc>
          <w:tcPr>
            <w:tcW w:w="184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72"/>
              <w:spacing w:after="0" w:line="141" w:lineRule="exact"/>
              <w:rPr>
                <w:sz w:val="20"/>
                <w:szCs w:val="20"/>
                <w:color w:val="auto"/>
              </w:rPr>
            </w:pPr>
            <w:r>
              <w:rPr>
                <w:rFonts w:ascii="Arial" w:cs="Arial" w:eastAsia="Arial" w:hAnsi="Arial"/>
                <w:sz w:val="14"/>
                <w:szCs w:val="14"/>
                <w:color w:val="auto"/>
              </w:rPr>
              <w:t>3,649(b)</w:t>
            </w:r>
          </w:p>
        </w:tc>
      </w:tr>
      <w:tr>
        <w:trPr>
          <w:trHeight w:val="122"/>
        </w:trPr>
        <w:tc>
          <w:tcPr>
            <w:tcW w:w="20" w:type="dxa"/>
            <w:vAlign w:val="bottom"/>
          </w:tcPr>
          <w:p>
            <w:pPr>
              <w:spacing w:after="0"/>
              <w:rPr>
                <w:sz w:val="10"/>
                <w:szCs w:val="10"/>
                <w:color w:val="auto"/>
              </w:rPr>
            </w:pPr>
          </w:p>
        </w:tc>
        <w:tc>
          <w:tcPr>
            <w:tcW w:w="7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All Directors, named executive officers and remaining executive officers as a group, eliminating duplications (16</w:t>
            </w:r>
          </w:p>
        </w:tc>
        <w:tc>
          <w:tcPr>
            <w:tcW w:w="5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71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individuals)</w:t>
            </w:r>
            <w:r>
              <w:rPr>
                <w:rFonts w:ascii="Arial" w:cs="Arial" w:eastAsia="Arial" w:hAnsi="Arial"/>
                <w:sz w:val="11"/>
                <w:szCs w:val="11"/>
                <w:color w:val="auto"/>
              </w:rPr>
              <w:t>(j)</w:t>
            </w:r>
          </w:p>
        </w:tc>
        <w:tc>
          <w:tcPr>
            <w:tcW w:w="1840" w:type="dxa"/>
            <w:vAlign w:val="bottom"/>
            <w:gridSpan w:val="2"/>
            <w:shd w:val="clear" w:color="auto" w:fill="CCEEFF"/>
          </w:tcPr>
          <w:p>
            <w:pPr>
              <w:jc w:val="center"/>
              <w:ind w:right="772"/>
              <w:spacing w:after="0" w:line="159" w:lineRule="exact"/>
              <w:rPr>
                <w:sz w:val="20"/>
                <w:szCs w:val="20"/>
                <w:color w:val="auto"/>
              </w:rPr>
            </w:pPr>
            <w:r>
              <w:rPr>
                <w:rFonts w:ascii="Arial" w:cs="Arial" w:eastAsia="Arial" w:hAnsi="Arial"/>
                <w:sz w:val="14"/>
                <w:szCs w:val="14"/>
                <w:color w:val="auto"/>
                <w:w w:val="88"/>
              </w:rPr>
              <w:t>878,794 (91.2%)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1,131,793</w:t>
            </w:r>
          </w:p>
        </w:tc>
        <w:tc>
          <w:tcPr>
            <w:tcW w:w="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5438775</wp:posOffset>
            </wp:positionH>
            <wp:positionV relativeFrom="paragraph">
              <wp:posOffset>-1442085</wp:posOffset>
            </wp:positionV>
            <wp:extent cx="24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81280</wp:posOffset>
            </wp:positionV>
            <wp:extent cx="656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40" w:lineRule="exact"/>
        <w:rPr>
          <w:sz w:val="20"/>
          <w:szCs w:val="20"/>
          <w:color w:val="auto"/>
        </w:rPr>
      </w:pPr>
    </w:p>
    <w:p>
      <w:pPr>
        <w:ind w:right="340" w:firstLine="6"/>
        <w:spacing w:after="0" w:line="285" w:lineRule="auto"/>
        <w:tabs>
          <w:tab w:leader="none" w:pos="1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Unless otherwise indicated, the Directors and officers listed have sole voting and investment power with respect to such securities. None of the securities has been pledged as security. ^ Director.</w:t>
      </w:r>
    </w:p>
    <w:p>
      <w:pPr>
        <w:spacing w:after="0"/>
        <w:rPr>
          <w:rFonts w:ascii="Arial" w:cs="Arial" w:eastAsia="Arial" w:hAnsi="Arial"/>
          <w:sz w:val="14"/>
          <w:szCs w:val="14"/>
          <w:color w:val="auto"/>
        </w:rPr>
      </w:pPr>
      <w:r>
        <w:rPr>
          <w:rFonts w:ascii="Arial" w:cs="Arial" w:eastAsia="Arial" w:hAnsi="Arial"/>
          <w:sz w:val="14"/>
          <w:szCs w:val="14"/>
          <w:color w:val="auto"/>
        </w:rPr>
        <w:t>+  Named Executive Officer.</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 Includes 964,001 shares of Class B Stock issuable upon conversion of shares of Class A Stock.</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(b) Less than 1%.</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 Includes 333 shares Mr. Cooney has the right to purchase, pursuant to stock options.</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 Includes 5,200 shares of Class B Stock held for the account of a number of beneficial owners in which Mr. Gayner disclaims beneficial ownership.</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 See Table of “Principal Holders of Stock” on page 14.</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 Includes 999 shares Mr. Maas has the right to purchase, pursuant to stock options.</w:t>
      </w:r>
    </w:p>
    <w:p>
      <w:pPr>
        <w:spacing w:after="0" w:line="43" w:lineRule="exact"/>
        <w:rPr>
          <w:sz w:val="20"/>
          <w:szCs w:val="20"/>
          <w:color w:val="auto"/>
        </w:rPr>
      </w:pPr>
    </w:p>
    <w:p>
      <w:pPr>
        <w:ind w:left="220" w:right="60" w:hanging="214"/>
        <w:spacing w:after="0" w:line="299" w:lineRule="auto"/>
        <w:tabs>
          <w:tab w:leader="none" w:pos="2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Class A shares held in a trust for Mr. O’Shaughnessy’s spouse. Class B stock includes 6,500 shares held in trusts for the benefit of Mr. O’Shaughnessy’s spouse and children. He is neither a trustee nor a beneficiary of such trusts and disclaims beneficial ownership. Includes 62,874 shares Mr. O’Shaughnessy has the right to purchase, pursuant to stock options.</w:t>
      </w:r>
    </w:p>
    <w:p>
      <w:pPr>
        <w:ind w:left="220" w:right="440" w:hanging="214"/>
        <w:spacing w:after="0" w:line="233"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77,258 shares Mr. Rosen has the right to purchase, pursuant to stock options. In addition to the stock set forth above, Mr. Rosen holds 7,206 shares of Kaplan stock, which represents less than 1% of the total outstanding stock of Kaplan, Inc.</w:t>
      </w:r>
    </w:p>
    <w:p>
      <w:pPr>
        <w:spacing w:after="0" w:line="32" w:lineRule="exact"/>
        <w:rPr>
          <w:rFonts w:ascii="Arial" w:cs="Arial" w:eastAsia="Arial" w:hAnsi="Arial"/>
          <w:sz w:val="14"/>
          <w:szCs w:val="14"/>
          <w:color w:val="auto"/>
        </w:rPr>
      </w:pPr>
    </w:p>
    <w:p>
      <w:pPr>
        <w:ind w:left="220" w:hanging="214"/>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43" w:lineRule="exact"/>
        <w:rPr>
          <w:rFonts w:ascii="Arial" w:cs="Arial" w:eastAsia="Arial" w:hAnsi="Arial"/>
          <w:sz w:val="14"/>
          <w:szCs w:val="14"/>
          <w:color w:val="auto"/>
        </w:rPr>
      </w:pPr>
    </w:p>
    <w:p>
      <w:pPr>
        <w:ind w:left="220" w:right="80" w:hanging="214"/>
        <w:spacing w:after="0" w:line="233"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141,464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17" w:lineRule="exact"/>
        <w:rPr>
          <w:sz w:val="20"/>
          <w:szCs w:val="20"/>
          <w:color w:val="auto"/>
        </w:rPr>
      </w:pPr>
    </w:p>
    <w:p>
      <w:pPr>
        <w:ind w:firstLine="937"/>
        <w:spacing w:after="0" w:line="256" w:lineRule="auto"/>
        <w:rPr>
          <w:sz w:val="20"/>
          <w:szCs w:val="20"/>
          <w:color w:val="auto"/>
        </w:rPr>
      </w:pPr>
      <w:r>
        <w:rPr>
          <w:rFonts w:ascii="Arial" w:cs="Arial" w:eastAsia="Arial" w:hAnsi="Arial"/>
          <w:sz w:val="17"/>
          <w:szCs w:val="17"/>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2018 were made in a timely manner, except for a Form 4 filed on behalf of Mr. O’Shaughnessy that was not filed on a timely basis to report shares purchased and a Form 4 filed on behalf of Katharine Weymouth that was not filed on a timely basis to report shares sold in March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20"/>
          </w:cols>
          <w:pgMar w:left="740" w:top="262" w:right="7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PROPOSAL 2: ADVISORY VOTE TO APPROVE 2018 COMPENSATION AWARDED TO NAMED EXECUTIVE OFFICERS</w:t>
      </w:r>
    </w:p>
    <w:p>
      <w:pPr>
        <w:spacing w:after="0" w:line="217" w:lineRule="exact"/>
        <w:rPr>
          <w:sz w:val="20"/>
          <w:szCs w:val="20"/>
          <w:color w:val="auto"/>
        </w:rPr>
      </w:pPr>
    </w:p>
    <w:p>
      <w:pPr>
        <w:ind w:firstLine="937"/>
        <w:spacing w:after="0" w:line="270" w:lineRule="auto"/>
        <w:rPr>
          <w:sz w:val="20"/>
          <w:szCs w:val="20"/>
          <w:color w:val="auto"/>
        </w:rPr>
      </w:pPr>
      <w:r>
        <w:rPr>
          <w:rFonts w:ascii="Arial" w:cs="Arial" w:eastAsia="Arial" w:hAnsi="Arial"/>
          <w:sz w:val="16"/>
          <w:szCs w:val="16"/>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2018.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73" w:lineRule="exact"/>
        <w:rPr>
          <w:sz w:val="20"/>
          <w:szCs w:val="20"/>
          <w:color w:val="auto"/>
        </w:rPr>
      </w:pPr>
    </w:p>
    <w:p>
      <w:pPr>
        <w:ind w:right="800" w:firstLine="833"/>
        <w:spacing w:after="0" w:line="316" w:lineRule="auto"/>
        <w:rPr>
          <w:sz w:val="20"/>
          <w:szCs w:val="20"/>
          <w:color w:val="auto"/>
        </w:rPr>
      </w:pPr>
      <w:r>
        <w:rPr>
          <w:rFonts w:ascii="Arial" w:cs="Arial" w:eastAsia="Arial" w:hAnsi="Arial"/>
          <w:sz w:val="15"/>
          <w:szCs w:val="15"/>
          <w:b w:val="1"/>
          <w:bCs w:val="1"/>
          <w:color w:val="auto"/>
        </w:rPr>
        <w:t>Resolved, that the compensation paid to the Company’s named executive officers for 2018,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36" w:lineRule="exact"/>
        <w:rPr>
          <w:sz w:val="20"/>
          <w:szCs w:val="20"/>
          <w:color w:val="auto"/>
        </w:rPr>
      </w:pPr>
    </w:p>
    <w:p>
      <w:pPr>
        <w:ind w:right="900"/>
        <w:spacing w:after="0" w:line="280" w:lineRule="auto"/>
        <w:rPr>
          <w:sz w:val="20"/>
          <w:szCs w:val="20"/>
          <w:color w:val="auto"/>
        </w:rPr>
      </w:pPr>
      <w:r>
        <w:rPr>
          <w:rFonts w:ascii="Arial" w:cs="Arial" w:eastAsia="Arial" w:hAnsi="Arial"/>
          <w:sz w:val="17"/>
          <w:szCs w:val="17"/>
          <w:b w:val="1"/>
          <w:bCs w:val="1"/>
          <w:color w:val="auto"/>
        </w:rPr>
        <w:t>THE BOARD OF DIRECTORS RECOMMENDS THAT CLASS A SHAREHOLDERS VOTE “FOR” THE APPROVAL OF THE FOREGOING RESOLUTION.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420"/>
          </w:cols>
          <w:pgMar w:left="740" w:top="263" w:right="7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EXECUTIVE COMPENSATION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02" w:lineRule="exact"/>
        <w:rPr>
          <w:sz w:val="20"/>
          <w:szCs w:val="20"/>
          <w:color w:val="auto"/>
        </w:rPr>
      </w:pPr>
    </w:p>
    <w:p>
      <w:pPr>
        <w:ind w:right="460" w:firstLine="417"/>
        <w:spacing w:after="0" w:line="263" w:lineRule="auto"/>
        <w:rPr>
          <w:sz w:val="20"/>
          <w:szCs w:val="20"/>
          <w:color w:val="auto"/>
        </w:rPr>
      </w:pPr>
      <w:r>
        <w:rPr>
          <w:rFonts w:ascii="Arial" w:cs="Arial" w:eastAsia="Arial" w:hAnsi="Arial"/>
          <w:sz w:val="17"/>
          <w:szCs w:val="17"/>
          <w:color w:val="auto"/>
        </w:rPr>
        <w:t>This Compensation Discussion and Analysis describes the Company’s executive compensation principles and programs, with a focus on the decisions of the Compensation Committee of the Board of Directors (the “Committee”) regarding 2018 compensation for the Company’s named executive officers. The named executive officers for 2018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7"/>
                <w:szCs w:val="17"/>
                <w:color w:val="auto"/>
                <w:w w:val="88"/>
              </w:rPr>
              <w:t>Name</w:t>
            </w:r>
          </w:p>
        </w:tc>
        <w:tc>
          <w:tcPr>
            <w:tcW w:w="2020" w:type="dxa"/>
            <w:vAlign w:val="bottom"/>
          </w:tcPr>
          <w:p>
            <w:pPr>
              <w:spacing w:after="0"/>
              <w:rPr>
                <w:sz w:val="18"/>
                <w:szCs w:val="18"/>
                <w:color w:val="auto"/>
              </w:rPr>
            </w:pPr>
          </w:p>
        </w:tc>
        <w:tc>
          <w:tcPr>
            <w:tcW w:w="6220" w:type="dxa"/>
            <w:vAlign w:val="bottom"/>
            <w:gridSpan w:val="3"/>
          </w:tcPr>
          <w:p>
            <w:pPr>
              <w:ind w:left="600"/>
              <w:spacing w:after="0"/>
              <w:rPr>
                <w:sz w:val="20"/>
                <w:szCs w:val="20"/>
                <w:color w:val="auto"/>
              </w:rPr>
            </w:pPr>
            <w:r>
              <w:rPr>
                <w:rFonts w:ascii="Arial" w:cs="Arial" w:eastAsia="Arial" w:hAnsi="Arial"/>
                <w:sz w:val="17"/>
                <w:szCs w:val="17"/>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40" w:type="dxa"/>
            <w:vAlign w:val="bottom"/>
            <w:gridSpan w:val="2"/>
          </w:tcPr>
          <w:p>
            <w:pPr>
              <w:spacing w:after="0" w:line="185" w:lineRule="exact"/>
              <w:rPr>
                <w:sz w:val="20"/>
                <w:szCs w:val="20"/>
                <w:color w:val="auto"/>
              </w:rPr>
            </w:pPr>
            <w:r>
              <w:rPr>
                <w:rFonts w:ascii="Arial" w:cs="Arial" w:eastAsia="Arial" w:hAnsi="Arial"/>
                <w:sz w:val="17"/>
                <w:szCs w:val="17"/>
                <w:color w:val="auto"/>
              </w:rPr>
              <w:t>Timothy J. O’Shaughnessy</w:t>
            </w:r>
          </w:p>
        </w:tc>
        <w:tc>
          <w:tcPr>
            <w:tcW w:w="600" w:type="dxa"/>
            <w:vAlign w:val="bottom"/>
            <w:vMerge w:val="continue"/>
          </w:tcPr>
          <w:p>
            <w:pPr>
              <w:spacing w:after="0"/>
              <w:rPr>
                <w:sz w:val="16"/>
                <w:szCs w:val="16"/>
                <w:color w:val="auto"/>
              </w:rPr>
            </w:pPr>
          </w:p>
        </w:tc>
        <w:tc>
          <w:tcPr>
            <w:tcW w:w="5620" w:type="dxa"/>
            <w:vAlign w:val="bottom"/>
            <w:gridSpan w:val="2"/>
          </w:tcPr>
          <w:p>
            <w:pPr>
              <w:spacing w:after="0" w:line="185" w:lineRule="exact"/>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204"/>
        </w:trPr>
        <w:tc>
          <w:tcPr>
            <w:tcW w:w="2440" w:type="dxa"/>
            <w:vAlign w:val="bottom"/>
            <w:gridSpan w:val="2"/>
          </w:tcPr>
          <w:p>
            <w:pPr>
              <w:spacing w:after="0"/>
              <w:rPr>
                <w:sz w:val="20"/>
                <w:szCs w:val="20"/>
                <w:color w:val="auto"/>
              </w:rPr>
            </w:pPr>
            <w:r>
              <w:rPr>
                <w:rFonts w:ascii="Arial" w:cs="Arial" w:eastAsia="Arial" w:hAnsi="Arial"/>
                <w:sz w:val="17"/>
                <w:szCs w:val="17"/>
                <w:color w:val="auto"/>
              </w:rPr>
              <w:t>Wallace R. Cooney</w:t>
            </w:r>
          </w:p>
        </w:tc>
        <w:tc>
          <w:tcPr>
            <w:tcW w:w="6220" w:type="dxa"/>
            <w:vAlign w:val="bottom"/>
            <w:gridSpan w:val="3"/>
          </w:tcPr>
          <w:p>
            <w:pPr>
              <w:ind w:left="600"/>
              <w:spacing w:after="0"/>
              <w:rPr>
                <w:sz w:val="20"/>
                <w:szCs w:val="20"/>
                <w:color w:val="auto"/>
              </w:rPr>
            </w:pPr>
            <w:r>
              <w:rPr>
                <w:rFonts w:ascii="Arial" w:cs="Arial" w:eastAsia="Arial" w:hAnsi="Arial"/>
                <w:sz w:val="17"/>
                <w:szCs w:val="17"/>
                <w:color w:val="auto"/>
              </w:rPr>
              <w:t>Senior Vice President–Finance and Chief Financial Officer</w:t>
            </w:r>
          </w:p>
        </w:tc>
        <w:tc>
          <w:tcPr>
            <w:tcW w:w="0" w:type="dxa"/>
            <w:vAlign w:val="bottom"/>
          </w:tcPr>
          <w:p>
            <w:pPr>
              <w:spacing w:after="0"/>
              <w:rPr>
                <w:sz w:val="1"/>
                <w:szCs w:val="1"/>
                <w:color w:val="auto"/>
              </w:rPr>
            </w:pPr>
          </w:p>
        </w:tc>
      </w:tr>
      <w:tr>
        <w:trPr>
          <w:trHeight w:val="204"/>
        </w:trPr>
        <w:tc>
          <w:tcPr>
            <w:tcW w:w="2440" w:type="dxa"/>
            <w:vAlign w:val="bottom"/>
            <w:gridSpan w:val="2"/>
          </w:tcPr>
          <w:p>
            <w:pPr>
              <w:spacing w:after="0"/>
              <w:rPr>
                <w:sz w:val="20"/>
                <w:szCs w:val="20"/>
                <w:color w:val="auto"/>
              </w:rPr>
            </w:pPr>
            <w:r>
              <w:rPr>
                <w:rFonts w:ascii="Arial" w:cs="Arial" w:eastAsia="Arial" w:hAnsi="Arial"/>
                <w:sz w:val="17"/>
                <w:szCs w:val="17"/>
                <w:color w:val="auto"/>
              </w:rPr>
              <w:t>Andrew S. Rosen</w:t>
            </w:r>
          </w:p>
        </w:tc>
        <w:tc>
          <w:tcPr>
            <w:tcW w:w="6220" w:type="dxa"/>
            <w:vAlign w:val="bottom"/>
            <w:gridSpan w:val="3"/>
          </w:tcPr>
          <w:p>
            <w:pPr>
              <w:ind w:left="600"/>
              <w:spacing w:after="0"/>
              <w:rPr>
                <w:sz w:val="20"/>
                <w:szCs w:val="20"/>
                <w:color w:val="auto"/>
              </w:rPr>
            </w:pPr>
            <w:r>
              <w:rPr>
                <w:rFonts w:ascii="Arial" w:cs="Arial" w:eastAsia="Arial" w:hAnsi="Arial"/>
                <w:sz w:val="17"/>
                <w:szCs w:val="17"/>
                <w:color w:val="auto"/>
                <w:w w:val="90"/>
              </w:rPr>
              <w:t>Chairman–Kaplan, Inc. and Executive Vice President–Graham Holdings Company</w:t>
            </w:r>
          </w:p>
        </w:tc>
        <w:tc>
          <w:tcPr>
            <w:tcW w:w="0" w:type="dxa"/>
            <w:vAlign w:val="bottom"/>
          </w:tcPr>
          <w:p>
            <w:pPr>
              <w:spacing w:after="0"/>
              <w:rPr>
                <w:sz w:val="1"/>
                <w:szCs w:val="1"/>
                <w:color w:val="auto"/>
              </w:rPr>
            </w:pPr>
          </w:p>
        </w:tc>
      </w:tr>
      <w:tr>
        <w:trPr>
          <w:trHeight w:val="204"/>
        </w:trPr>
        <w:tc>
          <w:tcPr>
            <w:tcW w:w="2440" w:type="dxa"/>
            <w:vAlign w:val="bottom"/>
            <w:gridSpan w:val="2"/>
          </w:tcPr>
          <w:p>
            <w:pPr>
              <w:spacing w:after="0"/>
              <w:rPr>
                <w:sz w:val="20"/>
                <w:szCs w:val="20"/>
                <w:color w:val="auto"/>
              </w:rPr>
            </w:pPr>
            <w:r>
              <w:rPr>
                <w:rFonts w:ascii="Arial" w:cs="Arial" w:eastAsia="Arial" w:hAnsi="Arial"/>
                <w:sz w:val="17"/>
                <w:szCs w:val="17"/>
                <w:color w:val="auto"/>
              </w:rPr>
              <w:t>Nicole M. Maddrey</w:t>
            </w:r>
          </w:p>
        </w:tc>
        <w:tc>
          <w:tcPr>
            <w:tcW w:w="6220" w:type="dxa"/>
            <w:vAlign w:val="bottom"/>
            <w:gridSpan w:val="3"/>
          </w:tcPr>
          <w:p>
            <w:pPr>
              <w:ind w:left="600"/>
              <w:spacing w:after="0"/>
              <w:rPr>
                <w:sz w:val="20"/>
                <w:szCs w:val="20"/>
                <w:color w:val="auto"/>
              </w:rPr>
            </w:pPr>
            <w:r>
              <w:rPr>
                <w:rFonts w:ascii="Arial" w:cs="Arial" w:eastAsia="Arial" w:hAnsi="Arial"/>
                <w:sz w:val="17"/>
                <w:szCs w:val="17"/>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7"/>
                <w:szCs w:val="17"/>
                <w:color w:val="auto"/>
              </w:rPr>
              <w:t>Jacob M. Maas</w:t>
            </w:r>
          </w:p>
        </w:tc>
        <w:tc>
          <w:tcPr>
            <w:tcW w:w="6220" w:type="dxa"/>
            <w:vAlign w:val="bottom"/>
            <w:gridSpan w:val="3"/>
          </w:tcPr>
          <w:p>
            <w:pPr>
              <w:ind w:left="600"/>
              <w:spacing w:after="0"/>
              <w:rPr>
                <w:sz w:val="20"/>
                <w:szCs w:val="20"/>
                <w:color w:val="auto"/>
              </w:rPr>
            </w:pPr>
            <w:r>
              <w:rPr>
                <w:rFonts w:ascii="Arial" w:cs="Arial" w:eastAsia="Arial" w:hAnsi="Arial"/>
                <w:sz w:val="17"/>
                <w:szCs w:val="17"/>
                <w:color w:val="auto"/>
              </w:rPr>
              <w:t>Senior Vice President–Planning and Development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Compensation Program</w:t>
      </w:r>
    </w:p>
    <w:p>
      <w:pPr>
        <w:spacing w:after="0" w:line="217" w:lineRule="exact"/>
        <w:rPr>
          <w:sz w:val="20"/>
          <w:szCs w:val="20"/>
          <w:color w:val="auto"/>
        </w:rPr>
      </w:pPr>
    </w:p>
    <w:p>
      <w:pPr>
        <w:ind w:firstLine="937"/>
        <w:spacing w:after="0" w:line="269" w:lineRule="auto"/>
        <w:rPr>
          <w:sz w:val="20"/>
          <w:szCs w:val="20"/>
          <w:color w:val="auto"/>
        </w:rPr>
      </w:pPr>
      <w:r>
        <w:rPr>
          <w:rFonts w:ascii="Arial" w:cs="Arial" w:eastAsia="Arial" w:hAnsi="Arial"/>
          <w:sz w:val="16"/>
          <w:szCs w:val="16"/>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composed entirely of independent Directors, chaired by Anne M. Mulcahy and including Lee C. Bollinger, Larry D. Thompson and beginning in January 2019, Katharine Weymouth,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 term growth of the Company. The Committee considers both the Company’s short-term and long-term plans in determining compensation. Annual plans are used to motivate and reward management for achieving specific yearly goals. Long-term plans, typically three or more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 and long-term compensation. Instead, management and the Committee select the method of compensation thought most likely to lead to achievement of the particular goal.</w:t>
      </w:r>
    </w:p>
    <w:p>
      <w:pPr>
        <w:spacing w:after="0" w:line="174" w:lineRule="exact"/>
        <w:rPr>
          <w:sz w:val="20"/>
          <w:szCs w:val="20"/>
          <w:color w:val="auto"/>
        </w:rPr>
      </w:pPr>
    </w:p>
    <w:p>
      <w:pPr>
        <w:ind w:right="40" w:firstLine="937"/>
        <w:spacing w:after="0" w:line="304" w:lineRule="auto"/>
        <w:rPr>
          <w:sz w:val="20"/>
          <w:szCs w:val="20"/>
          <w:color w:val="auto"/>
        </w:rPr>
      </w:pPr>
      <w:r>
        <w:rPr>
          <w:rFonts w:ascii="Arial" w:cs="Arial" w:eastAsia="Arial" w:hAnsi="Arial"/>
          <w:sz w:val="15"/>
          <w:szCs w:val="15"/>
          <w:color w:val="auto"/>
        </w:rPr>
        <w:t>The named executive officers receive an annual salary and participate in performance-based annual bonus plans and three- or four-year cash-based Long-Term Incentive Plans (“LTIPs”) (including the Performance Unit Plan and/or the Kaplan LTIP in the case of Mr. Rosen)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Role and Responsibility</w:t>
      </w:r>
    </w:p>
    <w:p>
      <w:pPr>
        <w:spacing w:after="0" w:line="217" w:lineRule="exact"/>
        <w:rPr>
          <w:sz w:val="20"/>
          <w:szCs w:val="20"/>
          <w:color w:val="auto"/>
        </w:rPr>
      </w:pPr>
    </w:p>
    <w:p>
      <w:pPr>
        <w:ind w:right="20" w:firstLine="937"/>
        <w:spacing w:after="0" w:line="286" w:lineRule="auto"/>
        <w:rPr>
          <w:sz w:val="20"/>
          <w:szCs w:val="20"/>
          <w:color w:val="auto"/>
        </w:rPr>
      </w:pPr>
      <w:r>
        <w:rPr>
          <w:rFonts w:ascii="Arial" w:cs="Arial" w:eastAsia="Arial" w:hAnsi="Arial"/>
          <w:sz w:val="15"/>
          <w:szCs w:val="15"/>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3" w:lineRule="exact"/>
        <w:rPr>
          <w:sz w:val="20"/>
          <w:szCs w:val="20"/>
          <w:color w:val="auto"/>
        </w:rPr>
      </w:pPr>
    </w:p>
    <w:p>
      <w:pPr>
        <w:ind w:right="320" w:firstLine="6"/>
        <w:spacing w:after="0" w:line="261" w:lineRule="auto"/>
        <w:tabs>
          <w:tab w:leader="none" w:pos="20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President and Chief Executive Officer’s recommendations as to a successor, should he become disabled or unable to perform his duties for an extended period of time, and, annually, (ii) the Company’s efforts at management development.</w:t>
      </w:r>
    </w:p>
    <w:p>
      <w:pPr>
        <w:spacing w:after="0" w:line="176" w:lineRule="exact"/>
        <w:rPr>
          <w:sz w:val="20"/>
          <w:szCs w:val="20"/>
          <w:color w:val="auto"/>
        </w:rPr>
      </w:pPr>
    </w:p>
    <w:p>
      <w:pPr>
        <w:ind w:firstLine="937"/>
        <w:spacing w:after="0" w:line="258" w:lineRule="auto"/>
        <w:rPr>
          <w:sz w:val="20"/>
          <w:szCs w:val="20"/>
          <w:color w:val="auto"/>
        </w:rPr>
      </w:pPr>
      <w:r>
        <w:rPr>
          <w:rFonts w:ascii="Arial" w:cs="Arial" w:eastAsia="Arial" w:hAnsi="Arial"/>
          <w:sz w:val="17"/>
          <w:szCs w:val="17"/>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President and Chief Executive Officer or senior management compensation and has sole authority to approve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20"/>
          </w:cols>
          <w:pgMar w:left="740" w:top="263" w:right="73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consultant’s fees and other retention terms. The Committee also has authority to obtain advice and assistance from internal or external legal, accounting or other advisors. In 2018, the Committee retained Semler Brossy to review the compensation package of Mr. O’Shaughnessy and Laura O’Shaughnessy, a daughter of Donald E. Graham and the wife of Mr. O’Shaughnessy, who serves as Chief Executive Officer of SocialCode, a social-media marketing technology and services company, wholly owned by the Company. The Committee reviews the performance, independence and conflict of interests of its compensation consultant in accordance with applicable standards, and no independence or conflict of interest issues were identified with Semler Brossy.</w:t>
      </w:r>
    </w:p>
    <w:p>
      <w:pPr>
        <w:spacing w:after="0" w:line="183" w:lineRule="exact"/>
        <w:rPr>
          <w:sz w:val="20"/>
          <w:szCs w:val="20"/>
          <w:color w:val="auto"/>
        </w:rPr>
      </w:pPr>
    </w:p>
    <w:p>
      <w:pPr>
        <w:ind w:right="160" w:firstLine="937"/>
        <w:spacing w:after="0" w:line="275" w:lineRule="auto"/>
        <w:rPr>
          <w:sz w:val="20"/>
          <w:szCs w:val="20"/>
          <w:color w:val="auto"/>
        </w:rPr>
      </w:pPr>
      <w:r>
        <w:rPr>
          <w:rFonts w:ascii="Arial" w:cs="Arial" w:eastAsia="Arial" w:hAnsi="Arial"/>
          <w:sz w:val="17"/>
          <w:szCs w:val="17"/>
          <w:color w:val="auto"/>
        </w:rPr>
        <w:t>During 2018, the Committee met six times. A copy of the Company’s Compensation Committee Charter is available under the “Investor Relations–Corporate Governance” tab at www.ghco.com.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17" w:lineRule="exact"/>
        <w:rPr>
          <w:sz w:val="20"/>
          <w:szCs w:val="20"/>
          <w:color w:val="auto"/>
        </w:rPr>
      </w:pPr>
    </w:p>
    <w:p>
      <w:pPr>
        <w:ind w:right="20" w:firstLine="937"/>
        <w:spacing w:after="0" w:line="275" w:lineRule="auto"/>
        <w:rPr>
          <w:sz w:val="20"/>
          <w:szCs w:val="20"/>
          <w:color w:val="auto"/>
        </w:rPr>
      </w:pPr>
      <w:r>
        <w:rPr>
          <w:rFonts w:ascii="Arial" w:cs="Arial" w:eastAsia="Arial" w:hAnsi="Arial"/>
          <w:sz w:val="17"/>
          <w:szCs w:val="17"/>
          <w:color w:val="auto"/>
        </w:rPr>
        <w:t>Mr. O’Shaughnessy, President and Chief Executive Officer, and Ms. Denise Demeter, Vice President–Chief Human Resources Officer and secretary of the Committee, attended all six Committee meetings.</w:t>
      </w:r>
    </w:p>
    <w:p>
      <w:pPr>
        <w:spacing w:after="0" w:line="165" w:lineRule="exact"/>
        <w:rPr>
          <w:sz w:val="20"/>
          <w:szCs w:val="20"/>
          <w:color w:val="auto"/>
        </w:rPr>
      </w:pPr>
    </w:p>
    <w:p>
      <w:pPr>
        <w:ind w:firstLine="937"/>
        <w:spacing w:after="0" w:line="254" w:lineRule="auto"/>
        <w:rPr>
          <w:sz w:val="20"/>
          <w:szCs w:val="20"/>
          <w:color w:val="auto"/>
        </w:rPr>
      </w:pPr>
      <w:r>
        <w:rPr>
          <w:rFonts w:ascii="Arial" w:cs="Arial" w:eastAsia="Arial" w:hAnsi="Arial"/>
          <w:sz w:val="17"/>
          <w:szCs w:val="17"/>
          <w:color w:val="auto"/>
        </w:rPr>
        <w:t>Mr. O’Shaughnessy and Ms. Demeter recommend to the Committee the size of each component of compensation for each of the executive officers (other than their own) and for all employees earning annual salaries of $400,000 or more or bonuses of $250,000 or more. Recommendations are based on a discussion with the employee’s division head,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 The Committee makes all compensation decisions for the executive officers of the Company and relevant employees, except with respect to any perquisites under $200,000 per named executive officer that may be approved by Mr. O’Shaughnessy.</w:t>
      </w:r>
    </w:p>
    <w:p>
      <w:pPr>
        <w:spacing w:after="0" w:line="186" w:lineRule="exact"/>
        <w:rPr>
          <w:sz w:val="20"/>
          <w:szCs w:val="20"/>
          <w:color w:val="auto"/>
        </w:rPr>
      </w:pPr>
    </w:p>
    <w:p>
      <w:pPr>
        <w:ind w:right="440" w:firstLine="937"/>
        <w:spacing w:after="0" w:line="275" w:lineRule="auto"/>
        <w:rPr>
          <w:sz w:val="20"/>
          <w:szCs w:val="20"/>
          <w:color w:val="auto"/>
        </w:rPr>
      </w:pPr>
      <w:r>
        <w:rPr>
          <w:rFonts w:ascii="Arial" w:cs="Arial" w:eastAsia="Arial" w:hAnsi="Arial"/>
          <w:sz w:val="17"/>
          <w:szCs w:val="17"/>
          <w:color w:val="auto"/>
        </w:rPr>
        <w:t>Mr. O’Shaughnessy was not present during the portion of the Committee meetings when his compensation or that of his wife, Laura O’Shaughnessy, was discussed by the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Executive Compensation</w:t>
      </w:r>
    </w:p>
    <w:p>
      <w:pPr>
        <w:spacing w:after="0" w:line="217" w:lineRule="exact"/>
        <w:rPr>
          <w:sz w:val="20"/>
          <w:szCs w:val="20"/>
          <w:color w:val="auto"/>
        </w:rPr>
      </w:pPr>
    </w:p>
    <w:p>
      <w:pPr>
        <w:ind w:right="20" w:firstLine="937"/>
        <w:spacing w:after="0" w:line="258" w:lineRule="auto"/>
        <w:rPr>
          <w:sz w:val="20"/>
          <w:szCs w:val="20"/>
          <w:color w:val="auto"/>
        </w:rPr>
      </w:pPr>
      <w:r>
        <w:rPr>
          <w:rFonts w:ascii="Arial" w:cs="Arial" w:eastAsia="Arial" w:hAnsi="Arial"/>
          <w:sz w:val="17"/>
          <w:szCs w:val="17"/>
          <w:color w:val="auto"/>
        </w:rPr>
        <w:t>To meet the Committee’s objectives, at its request, the President and Chief Executive Officer and the secretary of the Committee draft annual and long-term incentive-based cash and non-cash executive compensation plans. The Committee discusses,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81" w:lineRule="exact"/>
        <w:rPr>
          <w:sz w:val="20"/>
          <w:szCs w:val="20"/>
          <w:color w:val="auto"/>
        </w:rPr>
      </w:pPr>
    </w:p>
    <w:p>
      <w:pPr>
        <w:ind w:right="20" w:firstLine="937"/>
        <w:spacing w:after="0" w:line="272" w:lineRule="auto"/>
        <w:rPr>
          <w:sz w:val="20"/>
          <w:szCs w:val="20"/>
          <w:color w:val="auto"/>
        </w:rPr>
      </w:pPr>
      <w:r>
        <w:rPr>
          <w:rFonts w:ascii="Arial" w:cs="Arial" w:eastAsia="Arial" w:hAnsi="Arial"/>
          <w:sz w:val="16"/>
          <w:szCs w:val="16"/>
          <w:color w:val="auto"/>
        </w:rPr>
        <w:t>The Company adopts a holistic view on executive compensation. The Company compares its executive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2018, the Committee reviewed data from the Equilar Executive Compensation Survey and the Willis Towers Watson Media Executive Compensation Survey. Where public data for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80"/>
          </w:cols>
          <w:pgMar w:left="740" w:top="267" w:right="779" w:bottom="1440" w:gutter="0" w:footer="0" w:header="0"/>
        </w:sectPr>
      </w:pPr>
    </w:p>
    <w:bookmarkStart w:id="19" w:name="page20"/>
    <w:bookmarkEnd w:id="19"/>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comparable roles were available, the Committee also considered the compensation of its senior executives (including the named executive officers) in relation to the following peer companies:</w:t>
      </w:r>
    </w:p>
    <w:p>
      <w:pPr>
        <w:spacing w:after="0" w:line="183" w:lineRule="exact"/>
        <w:rPr>
          <w:sz w:val="20"/>
          <w:szCs w:val="20"/>
          <w:color w:val="auto"/>
        </w:rPr>
      </w:pPr>
    </w:p>
    <w:tbl>
      <w:tblPr>
        <w:tblLayout w:type="fixed"/>
        <w:tblInd w:w="30" w:type="dxa"/>
        <w:tblCellMar>
          <w:top w:w="0" w:type="dxa"/>
          <w:left w:w="0" w:type="dxa"/>
          <w:bottom w:w="0" w:type="dxa"/>
          <w:right w:w="0" w:type="dxa"/>
        </w:tblCellMar>
      </w:tblPr>
      <w:tr>
        <w:trPr>
          <w:trHeight w:val="217"/>
        </w:trPr>
        <w:tc>
          <w:tcPr>
            <w:tcW w:w="5340" w:type="dxa"/>
            <w:vAlign w:val="bottom"/>
            <w:tcBorders>
              <w:top w:val="single" w:sz="8" w:color="auto"/>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2"/>
              </w:rPr>
              <w:t>Adtalem Global Education Inc.</w:t>
            </w:r>
          </w:p>
        </w:tc>
        <w:tc>
          <w:tcPr>
            <w:tcW w:w="5080" w:type="dxa"/>
            <w:vAlign w:val="bottom"/>
            <w:tcBorders>
              <w:top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7"/>
                <w:szCs w:val="17"/>
                <w:color w:val="auto"/>
                <w:w w:val="92"/>
              </w:rPr>
              <w:t>John Wiley &amp; Sons Inc.</w:t>
            </w:r>
          </w:p>
        </w:tc>
      </w:tr>
      <w:tr>
        <w:trPr>
          <w:trHeight w:val="197"/>
        </w:trPr>
        <w:tc>
          <w:tcPr>
            <w:tcW w:w="534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3"/>
              </w:rPr>
              <w:t>AMC Entertainment Holdings</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1"/>
              </w:rPr>
              <w:t>Laureate Education,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3"/>
              </w:rPr>
              <w:t>American Public Education,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89"/>
              </w:rPr>
              <w:t>LeapFrog Enterprises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4"/>
              </w:rPr>
              <w:t>Apollo Education Group,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4"/>
              </w:rPr>
              <w:t>Liberty Media Corporation</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89"/>
              </w:rPr>
              <w:t>Capella Education Co.</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2"/>
              </w:rPr>
              <w:t>Meredith Corporation</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0"/>
              </w:rPr>
              <w:t>Career Education Corporation</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82"/>
              </w:rPr>
              <w:t>Pearson</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3"/>
              </w:rPr>
              <w:t>Cinemark Holdings,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1"/>
              </w:rPr>
              <w:t>Scholastic Corporation</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3"/>
              </w:rPr>
              <w:t>Cineplex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2"/>
              </w:rPr>
              <w:t>Shaw Communications</w:t>
            </w:r>
          </w:p>
        </w:tc>
      </w:tr>
      <w:tr>
        <w:trPr>
          <w:trHeight w:val="197"/>
        </w:trPr>
        <w:tc>
          <w:tcPr>
            <w:tcW w:w="534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0"/>
              </w:rPr>
              <w:t>Cogeco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2"/>
              </w:rPr>
              <w:t>Sinclair Broadcast Group,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1"/>
              </w:rPr>
              <w:t>Corus Entertainment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0"/>
              </w:rPr>
              <w:t>Strayer Education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3"/>
              </w:rPr>
              <w:t>Discovery Communications</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89"/>
              </w:rPr>
              <w:t>Tegna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4"/>
              </w:rPr>
              <w:t>Franklin Covey Co.</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1"/>
              </w:rPr>
              <w:t>The New York Times Company</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0"/>
              </w:rPr>
              <w:t>GP Strategies Corporation</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1"/>
              </w:rPr>
              <w:t>Transcontinental Inc.</w:t>
            </w:r>
          </w:p>
        </w:tc>
      </w:tr>
      <w:tr>
        <w:trPr>
          <w:trHeight w:val="197"/>
        </w:trPr>
        <w:tc>
          <w:tcPr>
            <w:tcW w:w="534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Arial" w:cs="Arial" w:eastAsia="Arial" w:hAnsi="Arial"/>
                <w:sz w:val="17"/>
                <w:szCs w:val="17"/>
                <w:color w:val="auto"/>
                <w:w w:val="91"/>
              </w:rPr>
              <w:t>Grand Canyon Education, Inc.</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5"/>
              </w:rPr>
              <w:t>Tronc Inc.</w:t>
            </w:r>
          </w:p>
        </w:tc>
      </w:tr>
      <w:tr>
        <w:trPr>
          <w:trHeight w:val="197"/>
        </w:trPr>
        <w:tc>
          <w:tcPr>
            <w:tcW w:w="534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5"/>
              </w:rPr>
              <w:t>Houghton Mifflin Harcourt Co.</w:t>
            </w:r>
          </w:p>
        </w:tc>
        <w:tc>
          <w:tcPr>
            <w:tcW w:w="508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7"/>
                <w:szCs w:val="17"/>
                <w:color w:val="auto"/>
                <w:w w:val="93"/>
              </w:rPr>
              <w:t>—</w:t>
            </w:r>
          </w:p>
        </w:tc>
      </w:tr>
    </w:tbl>
    <w:p>
      <w:pPr>
        <w:spacing w:after="0" w:line="192" w:lineRule="exact"/>
        <w:rPr>
          <w:sz w:val="20"/>
          <w:szCs w:val="20"/>
          <w:color w:val="auto"/>
        </w:rPr>
      </w:pPr>
    </w:p>
    <w:p>
      <w:pPr>
        <w:ind w:right="120" w:firstLine="937"/>
        <w:spacing w:after="0" w:line="271" w:lineRule="auto"/>
        <w:rPr>
          <w:sz w:val="20"/>
          <w:szCs w:val="20"/>
          <w:color w:val="auto"/>
        </w:rPr>
      </w:pPr>
      <w:r>
        <w:rPr>
          <w:rFonts w:ascii="Arial" w:cs="Arial" w:eastAsia="Arial" w:hAnsi="Arial"/>
          <w:sz w:val="16"/>
          <w:szCs w:val="16"/>
          <w:color w:val="auto"/>
        </w:rPr>
        <w:t>As described below, a significant portion of the Company’s executive compensation is linked directly to business unit and corporate performance and stock appreciation. Section 162(m) of the Internal Revenue Code, as was in effect prior to 2018, provided that compensation in excess of $1 million per year paid to the Company’s chief executive officer and the three other highest paid executive officers (other than the chief financial officer) would not be deductible unless it qualified as “performance-based” compensation. The Tax Cuts and Jobs Act, which was signed into law in December 2017, eliminated the exception for “performance-based” compensation and expanded the scope of executives considered to be “covered employees” subject to Section 162(m) with respect to 2018 and future years. As a result, except to the extent that compensation is eligible for limited transition relief applicable to binding contracts in effect on November 2, 2017, in general, compensation over $1 million per year paid to any named executive officer (and anyone who was otherwise a “covered employee” for purposes of Section 162(m) for any year, beginning with 2017) will be nondeductible under Section 162(m).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Assessment of Compensation Program</w:t>
      </w:r>
    </w:p>
    <w:p>
      <w:pPr>
        <w:spacing w:after="0" w:line="217" w:lineRule="exact"/>
        <w:rPr>
          <w:sz w:val="20"/>
          <w:szCs w:val="20"/>
          <w:color w:val="auto"/>
        </w:rPr>
      </w:pPr>
    </w:p>
    <w:p>
      <w:pPr>
        <w:ind w:right="20" w:firstLine="937"/>
        <w:spacing w:after="0" w:line="254" w:lineRule="auto"/>
        <w:rPr>
          <w:sz w:val="20"/>
          <w:szCs w:val="20"/>
          <w:color w:val="auto"/>
        </w:rPr>
      </w:pPr>
      <w:r>
        <w:rPr>
          <w:rFonts w:ascii="Arial" w:cs="Arial" w:eastAsia="Arial" w:hAnsi="Arial"/>
          <w:sz w:val="17"/>
          <w:szCs w:val="17"/>
          <w:color w:val="auto"/>
        </w:rPr>
        <w:t>During 2018, the Compensation Committee met with Mr. O’Shaughnessy and Ms. Demeter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compensation package offered by the Company to its executive officers comprises the following components:</w:t>
      </w:r>
    </w:p>
    <w:p>
      <w:pPr>
        <w:spacing w:after="0" w:line="47" w:lineRule="exact"/>
        <w:rPr>
          <w:sz w:val="20"/>
          <w:szCs w:val="20"/>
          <w:color w:val="auto"/>
        </w:rPr>
      </w:pPr>
    </w:p>
    <w:p>
      <w:pPr>
        <w:ind w:left="2080" w:hanging="517"/>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Competitive base salary;</w:t>
      </w:r>
    </w:p>
    <w:p>
      <w:pPr>
        <w:spacing w:after="0" w:line="47" w:lineRule="exact"/>
        <w:rPr>
          <w:rFonts w:ascii="Arial" w:cs="Arial" w:eastAsia="Arial" w:hAnsi="Arial"/>
          <w:sz w:val="17"/>
          <w:szCs w:val="17"/>
          <w:color w:val="auto"/>
        </w:rPr>
      </w:pPr>
    </w:p>
    <w:p>
      <w:pPr>
        <w:ind w:left="2080" w:hanging="517"/>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Short-term cash incentive compensation in the form of performance-based annual bonuses;</w:t>
      </w:r>
    </w:p>
    <w:p>
      <w:pPr>
        <w:spacing w:after="0" w:line="47" w:lineRule="exact"/>
        <w:rPr>
          <w:rFonts w:ascii="Arial" w:cs="Arial" w:eastAsia="Arial" w:hAnsi="Arial"/>
          <w:sz w:val="17"/>
          <w:szCs w:val="17"/>
          <w:color w:val="auto"/>
        </w:rPr>
      </w:pPr>
    </w:p>
    <w:p>
      <w:pPr>
        <w:ind w:left="2080" w:hanging="517"/>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Long-term cash incentive compensation, typically based on performance over three or more years;</w:t>
      </w:r>
    </w:p>
    <w:p>
      <w:pPr>
        <w:spacing w:after="0" w:line="47" w:lineRule="exact"/>
        <w:rPr>
          <w:rFonts w:ascii="Arial" w:cs="Arial" w:eastAsia="Arial" w:hAnsi="Arial"/>
          <w:sz w:val="17"/>
          <w:szCs w:val="17"/>
          <w:color w:val="auto"/>
        </w:rPr>
      </w:pPr>
    </w:p>
    <w:p>
      <w:pPr>
        <w:ind w:left="2080" w:hanging="517"/>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Long-term equity-based incentive compensation in the form of restricted stock and/or stock options; and</w:t>
      </w:r>
    </w:p>
    <w:p>
      <w:pPr>
        <w:spacing w:after="0" w:line="47" w:lineRule="exact"/>
        <w:rPr>
          <w:rFonts w:ascii="Arial" w:cs="Arial" w:eastAsia="Arial" w:hAnsi="Arial"/>
          <w:sz w:val="17"/>
          <w:szCs w:val="17"/>
          <w:color w:val="auto"/>
        </w:rPr>
      </w:pPr>
    </w:p>
    <w:p>
      <w:pPr>
        <w:ind w:left="2080" w:hanging="517"/>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Retirement benefits.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17" w:lineRule="exact"/>
        <w:rPr>
          <w:sz w:val="20"/>
          <w:szCs w:val="20"/>
          <w:color w:val="auto"/>
        </w:rPr>
      </w:pPr>
    </w:p>
    <w:p>
      <w:pPr>
        <w:ind w:right="60" w:firstLine="937"/>
        <w:spacing w:after="0" w:line="275" w:lineRule="auto"/>
        <w:rPr>
          <w:sz w:val="20"/>
          <w:szCs w:val="20"/>
          <w:color w:val="auto"/>
        </w:rPr>
      </w:pPr>
      <w:r>
        <w:rPr>
          <w:rFonts w:ascii="Arial" w:cs="Arial" w:eastAsia="Arial" w:hAnsi="Arial"/>
          <w:sz w:val="17"/>
          <w:szCs w:val="17"/>
          <w:color w:val="auto"/>
        </w:rPr>
        <w:t>The Company pays the named executive officers base salaries to compensate them for services rendered during the fiscal year. Salaries for the named executive officers are based on their responsibilities, their prior experience and their recent</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40"/>
          </w:cols>
          <w:pgMar w:left="740" w:top="267" w:right="719" w:bottom="1440" w:gutter="0" w:footer="0" w:header="0"/>
        </w:sectPr>
      </w:pPr>
    </w:p>
    <w:bookmarkStart w:id="20" w:name="page21"/>
    <w:bookmarkEnd w:id="20"/>
    <w:p>
      <w:pPr>
        <w:ind w:right="56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performance and are evaluated against market data provided by outside surveys. For additional details on the use of outside surveys, see “Setting Executive Compensation” above.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47" w:lineRule="exact"/>
        <w:rPr>
          <w:sz w:val="20"/>
          <w:szCs w:val="20"/>
          <w:color w:val="auto"/>
        </w:rPr>
      </w:pPr>
    </w:p>
    <w:p>
      <w:pPr>
        <w:ind w:right="80" w:firstLine="937"/>
        <w:spacing w:after="0" w:line="275" w:lineRule="auto"/>
        <w:rPr>
          <w:sz w:val="20"/>
          <w:szCs w:val="20"/>
          <w:color w:val="auto"/>
        </w:rPr>
      </w:pPr>
      <w:r>
        <w:rPr>
          <w:rFonts w:ascii="Arial" w:cs="Arial" w:eastAsia="Arial" w:hAnsi="Arial"/>
          <w:sz w:val="17"/>
          <w:szCs w:val="17"/>
          <w:color w:val="auto"/>
        </w:rPr>
        <w:t>With respect to the base salary paid to Mr. O’Shaughnessy in 2018, the Committee considered the base salaries paid to president and chief executive officers of peer companies and the Company’s results in 2017.</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Incentive Compensation</w:t>
      </w:r>
    </w:p>
    <w:p>
      <w:pPr>
        <w:spacing w:after="0" w:line="217" w:lineRule="exact"/>
        <w:rPr>
          <w:sz w:val="20"/>
          <w:szCs w:val="20"/>
          <w:color w:val="auto"/>
        </w:rPr>
      </w:pPr>
    </w:p>
    <w:p>
      <w:pPr>
        <w:ind w:right="60" w:firstLine="937"/>
        <w:spacing w:after="0" w:line="258" w:lineRule="auto"/>
        <w:rPr>
          <w:sz w:val="20"/>
          <w:szCs w:val="20"/>
          <w:color w:val="auto"/>
        </w:rPr>
      </w:pPr>
      <w:r>
        <w:rPr>
          <w:rFonts w:ascii="Arial" w:cs="Arial" w:eastAsia="Arial" w:hAnsi="Arial"/>
          <w:sz w:val="17"/>
          <w:szCs w:val="17"/>
          <w:color w:val="auto"/>
        </w:rPr>
        <w:t>To supplement base salaries and to reward management (including the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1" w:lineRule="exact"/>
        <w:rPr>
          <w:sz w:val="20"/>
          <w:szCs w:val="20"/>
          <w:color w:val="auto"/>
        </w:rPr>
      </w:pPr>
    </w:p>
    <w:p>
      <w:pPr>
        <w:ind w:right="200" w:firstLine="937"/>
        <w:spacing w:after="0" w:line="256" w:lineRule="auto"/>
        <w:rPr>
          <w:sz w:val="20"/>
          <w:szCs w:val="20"/>
          <w:color w:val="auto"/>
        </w:rPr>
      </w:pPr>
      <w:r>
        <w:rPr>
          <w:rFonts w:ascii="Arial" w:cs="Arial" w:eastAsia="Arial" w:hAnsi="Arial"/>
          <w:sz w:val="17"/>
          <w:szCs w:val="17"/>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138 employees of the Company who are participants in the 2012 ICP and receive annual bonus awards and/or hold restricted stock, stock options, Performance Units or LTIP units granted under the 2012 ICP. The named executive officers participate in certain of these programs.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Bonuses</w:t>
      </w:r>
    </w:p>
    <w:p>
      <w:pPr>
        <w:spacing w:after="0" w:line="213" w:lineRule="exact"/>
        <w:rPr>
          <w:sz w:val="20"/>
          <w:szCs w:val="20"/>
          <w:color w:val="auto"/>
        </w:rPr>
      </w:pPr>
    </w:p>
    <w:p>
      <w:pPr>
        <w:ind w:right="60" w:firstLine="937"/>
        <w:spacing w:after="0" w:line="274" w:lineRule="auto"/>
        <w:rPr>
          <w:sz w:val="20"/>
          <w:szCs w:val="20"/>
          <w:color w:val="auto"/>
        </w:rPr>
      </w:pPr>
      <w:r>
        <w:rPr>
          <w:rFonts w:ascii="Arial" w:cs="Arial" w:eastAsia="Arial" w:hAnsi="Arial"/>
          <w:sz w:val="16"/>
          <w:szCs w:val="16"/>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2018 target annual bonus award for each of the named executive officers, as a percentage of base salary, was as follows: Mr. O’Shaughnessy, 100%; Mr. Rosen, 100%; Mr. Cooney, 50%; Ms. Maddrey, 40%; and Mr. Maas, 40% (increased from 30% on January 1, 2018).</w:t>
      </w:r>
    </w:p>
    <w:p>
      <w:pPr>
        <w:spacing w:after="0" w:line="169" w:lineRule="exact"/>
        <w:rPr>
          <w:sz w:val="20"/>
          <w:szCs w:val="20"/>
          <w:color w:val="auto"/>
        </w:rPr>
      </w:pPr>
    </w:p>
    <w:p>
      <w:pPr>
        <w:ind w:firstLine="937"/>
        <w:spacing w:after="0" w:line="271" w:lineRule="auto"/>
        <w:rPr>
          <w:sz w:val="20"/>
          <w:szCs w:val="20"/>
          <w:color w:val="auto"/>
        </w:rPr>
      </w:pPr>
      <w:r>
        <w:rPr>
          <w:rFonts w:ascii="Arial" w:cs="Arial" w:eastAsia="Arial" w:hAnsi="Arial"/>
          <w:sz w:val="16"/>
          <w:szCs w:val="16"/>
          <w:color w:val="auto"/>
        </w:rPr>
        <w:t>In 2018,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For details regarding Mr. Rosen’s annual bonus, see below.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2018 annual bonus for the applicable named executive officers, and the maximum potential payout available in the event 140% of the diluted earnings per share target for the Company is attained. Management and the Committee believe that they have designed the targets to be challenging, but achievable. The Company has achieved its financial goals and paid out at or above target in the annual bonus portion of the 2012 ICP in four of the past five years; in 2017, the Company achieved less than 100% of its earnings per share goal, as adjusted to exclude certain items.</w:t>
      </w:r>
    </w:p>
    <w:p>
      <w:pPr>
        <w:spacing w:after="0" w:line="172" w:lineRule="exact"/>
        <w:rPr>
          <w:sz w:val="20"/>
          <w:szCs w:val="20"/>
          <w:color w:val="auto"/>
        </w:rPr>
      </w:pPr>
    </w:p>
    <w:p>
      <w:pPr>
        <w:ind w:right="120" w:firstLine="937"/>
        <w:spacing w:after="0" w:line="258" w:lineRule="auto"/>
        <w:rPr>
          <w:sz w:val="20"/>
          <w:szCs w:val="20"/>
          <w:color w:val="auto"/>
        </w:rPr>
      </w:pPr>
      <w:r>
        <w:rPr>
          <w:rFonts w:ascii="Arial" w:cs="Arial" w:eastAsia="Arial" w:hAnsi="Arial"/>
          <w:sz w:val="17"/>
          <w:szCs w:val="17"/>
          <w:color w:val="auto"/>
        </w:rPr>
        <w:t>The diluted earnings per share goal for 2018 was $34.37. In setting the goal for annual bonuses, the Committee established a formula that included adjustments for certain items, to the extent that actual amounts varied from those in the 2018 annual budget. Specifically, these adjustments included additions for foreign exchange losses and a Kaplan stock compensation expense variance. These additions were offset by a pension budget variance and gains on unbudgeted new acquisitions, investments and dispositions.</w:t>
      </w:r>
    </w:p>
    <w:p>
      <w:pPr>
        <w:spacing w:after="0" w:line="181" w:lineRule="exact"/>
        <w:rPr>
          <w:sz w:val="20"/>
          <w:szCs w:val="20"/>
          <w:color w:val="auto"/>
        </w:rPr>
      </w:pPr>
    </w:p>
    <w:p>
      <w:pPr>
        <w:ind w:right="40" w:firstLine="937"/>
        <w:spacing w:after="0" w:line="296" w:lineRule="auto"/>
        <w:rPr>
          <w:sz w:val="20"/>
          <w:szCs w:val="20"/>
          <w:color w:val="auto"/>
        </w:rPr>
      </w:pPr>
      <w:r>
        <w:rPr>
          <w:rFonts w:ascii="Arial" w:cs="Arial" w:eastAsia="Arial" w:hAnsi="Arial"/>
          <w:sz w:val="15"/>
          <w:szCs w:val="15"/>
          <w:color w:val="auto"/>
        </w:rPr>
        <w:t>In calculating the Company’s achievement of 2018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unbudgeted intangible and long-lived asset impairment charges; unbudgeted net losses on marketable and other equity securities; unbudgeted debt extinguishment costs; unbudgeted interest expense related to the settlement of a mandatorily redeemable noncontrolling interest; unbudgeted nonoperating expenses related to lease obligations; budgeted gains related to spectrum repack credits not realized at the television broadcasting division; and unbudgeted costs at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20"/>
          </w:cols>
          <w:pgMar w:left="740" w:top="267" w:right="739" w:bottom="1440" w:gutter="0" w:footer="0" w:header="0"/>
        </w:sectPr>
      </w:pPr>
    </w:p>
    <w:bookmarkStart w:id="21" w:name="page22"/>
    <w:bookmarkEnd w:id="21"/>
    <w:p>
      <w:pPr>
        <w:ind w:right="6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Dekko, Panoply and Graham Healthcare Group. These additions were offset by deductions for favorable income tax adjustments related to stock compensation and the release of a valuation allowance on deferred state income taxes; unbudgeted gains on equity method investments; unbudgeted earnings related to Purdue University Global’s service fee; and LTIP expense variance from budget at SocialCode, Graham Healthcare Group, CyberVista and Panoply. The Committee adjusted for these items as they do not relate to the regular operating results that are customarily considered by the Committee in determining bonus amounts. Page 39 of the Company’s 2018 Annual Report on Form 10-K, filed with the SEC on February 25, 2019, detailed $1.98 in diluted earnings per share net additions, which comprise most of these discretionary items.</w:t>
      </w:r>
    </w:p>
    <w:p>
      <w:pPr>
        <w:spacing w:after="0" w:line="169" w:lineRule="exact"/>
        <w:rPr>
          <w:sz w:val="20"/>
          <w:szCs w:val="20"/>
          <w:color w:val="auto"/>
        </w:rPr>
      </w:pPr>
    </w:p>
    <w:p>
      <w:pPr>
        <w:ind w:right="20" w:firstLine="937"/>
        <w:spacing w:after="0" w:line="314" w:lineRule="auto"/>
        <w:rPr>
          <w:sz w:val="20"/>
          <w:szCs w:val="20"/>
          <w:color w:val="auto"/>
        </w:rPr>
      </w:pPr>
      <w:r>
        <w:rPr>
          <w:rFonts w:ascii="Arial" w:cs="Arial" w:eastAsia="Arial" w:hAnsi="Arial"/>
          <w:sz w:val="15"/>
          <w:szCs w:val="15"/>
          <w:color w:val="auto"/>
        </w:rPr>
        <w:t>Taking into account these adjustments, the Company’s 2018 diluted earnings per share, as adjusted for purposes of the bonus determination, was $44.59 (compared to reported diluted earnings per share of $50.20), resulting in the Company’s achievement of 129.7% of its revised earnings per share goal for 2018. As a result, the annual bonus payout was approximately 167% of target, based on the established annual formula.</w:t>
      </w:r>
    </w:p>
    <w:p>
      <w:pPr>
        <w:spacing w:after="0" w:line="140" w:lineRule="exact"/>
        <w:rPr>
          <w:sz w:val="20"/>
          <w:szCs w:val="20"/>
          <w:color w:val="auto"/>
        </w:rPr>
      </w:pPr>
    </w:p>
    <w:p>
      <w:pPr>
        <w:ind w:right="100" w:firstLine="937"/>
        <w:spacing w:after="0" w:line="285" w:lineRule="auto"/>
        <w:rPr>
          <w:sz w:val="20"/>
          <w:szCs w:val="20"/>
          <w:color w:val="auto"/>
        </w:rPr>
      </w:pPr>
      <w:r>
        <w:rPr>
          <w:rFonts w:ascii="Arial" w:cs="Arial" w:eastAsia="Arial" w:hAnsi="Arial"/>
          <w:sz w:val="15"/>
          <w:szCs w:val="15"/>
          <w:color w:val="auto"/>
        </w:rPr>
        <w:t>For Mr. Rosen, 25% of his bonus was based on Mr. Rosen’s performance of his responsibilities relating to Graham Holdings Company, with a potential payout of 0% to 200% of target, as described above with respect to the other named executive officers, and the remaining 75% was tied to Kaplan’s enterprise operating income target of $89.9 million (this target excludes budgeted restructuring and other costs related to business closures and was adjusted for acquisitions) weighted at 80% and Kaplan’s enterprise revenue target of $1,434.0 million weighted at 20%. The potential payouts for the Kaplan component of Mr. Rosen’s bonus amount range from 0% to 190% of target, with a threshold achievement of 80% for the operating income target and 90% for the enterprise revenue target, and the maximum potential payout available in the event 161% of the operating income target is attained and 113% of the enterprise revenue target is met. When aggregating the potential payouts for all components of Mr. Rosen’s annual bonus, the potential payouts range from 0% to 193% of target. In calculating Kaplan’s enterprise operating income, on this basis, Kaplan achieved adjusted enterprise operating income of $92.0 million versus a target of $89.9 million, or 102% achievement, which resulted in payout of the portion of</w:t>
      </w:r>
    </w:p>
    <w:p>
      <w:pPr>
        <w:spacing w:after="0" w:line="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Mr. Rosen’s bonus attributable to Kaplan’s enterprise operating income of 94% of target. Kaplan enterprise revenue totaled $1,418.5 million versus a target of $1,434.0 million, or 99% achievement, which resulted in payout of the portion of Mr. Rosen’s bonus attributable to Kaplan’s enterprise revenue of 85% of target. Thus, the total percentage achievement of the Kaplan portion of Mr. Rosen’s bonus totaled 92% of target, or $1,125,625.</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13" w:lineRule="exact"/>
        <w:rPr>
          <w:sz w:val="20"/>
          <w:szCs w:val="20"/>
          <w:color w:val="auto"/>
        </w:rPr>
      </w:pPr>
    </w:p>
    <w:p>
      <w:pPr>
        <w:ind w:firstLine="937"/>
        <w:spacing w:after="0" w:line="254" w:lineRule="auto"/>
        <w:rPr>
          <w:sz w:val="20"/>
          <w:szCs w:val="20"/>
          <w:color w:val="auto"/>
        </w:rPr>
      </w:pPr>
      <w:r>
        <w:rPr>
          <w:rFonts w:ascii="Arial" w:cs="Arial" w:eastAsia="Arial" w:hAnsi="Arial"/>
          <w:sz w:val="17"/>
          <w:szCs w:val="17"/>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generally receive grants of restricted stock every other year. Restricted stock grants were made in January 2015 and January 2017. The 2015 grants vested in January 2019 and the 2017 grants will vest in January 2021. For additional information regarding such distributions, see the Outstanding Equity Awards at Fiscal Year-End table.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Units</w:t>
      </w:r>
    </w:p>
    <w:p>
      <w:pPr>
        <w:spacing w:after="0" w:line="213" w:lineRule="exact"/>
        <w:rPr>
          <w:sz w:val="20"/>
          <w:szCs w:val="20"/>
          <w:color w:val="auto"/>
        </w:rPr>
      </w:pPr>
    </w:p>
    <w:p>
      <w:pPr>
        <w:ind w:right="40" w:firstLine="937"/>
        <w:spacing w:after="0" w:line="272" w:lineRule="auto"/>
        <w:rPr>
          <w:sz w:val="20"/>
          <w:szCs w:val="20"/>
          <w:color w:val="auto"/>
        </w:rPr>
      </w:pPr>
      <w:r>
        <w:rPr>
          <w:rFonts w:ascii="Arial" w:cs="Arial" w:eastAsia="Arial" w:hAnsi="Arial"/>
          <w:sz w:val="16"/>
          <w:szCs w:val="16"/>
          <w:color w:val="auto"/>
        </w:rPr>
        <w:t>To highlight specific long-term financial goals, the 2012 ICP provides for the grant of performance-based compensation, which the Company grants pursuant to its Performance Unit Plan, and, in the case of Mr. Rosen, the Kaplan LTIPs, described below. The named executive officers participate in these plans, in which performance-based goals are determined at the beginning of each three- or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nominal value of $100 and a maximum potential payout of $200. The payment of a total award to any individual at the end of an award cycle may not exceed $5 million.</w:t>
      </w:r>
    </w:p>
    <w:p>
      <w:pPr>
        <w:spacing w:after="0" w:line="170" w:lineRule="exact"/>
        <w:rPr>
          <w:sz w:val="20"/>
          <w:szCs w:val="20"/>
          <w:color w:val="auto"/>
        </w:rPr>
      </w:pPr>
    </w:p>
    <w:p>
      <w:pPr>
        <w:ind w:right="60" w:firstLine="937"/>
        <w:spacing w:after="0" w:line="258" w:lineRule="auto"/>
        <w:rPr>
          <w:sz w:val="20"/>
          <w:szCs w:val="20"/>
          <w:color w:val="auto"/>
        </w:rPr>
      </w:pPr>
      <w:r>
        <w:rPr>
          <w:rFonts w:ascii="Arial" w:cs="Arial" w:eastAsia="Arial" w:hAnsi="Arial"/>
          <w:sz w:val="17"/>
          <w:szCs w:val="17"/>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20"/>
          </w:cols>
          <w:pgMar w:left="740" w:top="267" w:right="739" w:bottom="1440" w:gutter="0" w:footer="0" w:header="0"/>
        </w:sectPr>
      </w:pPr>
    </w:p>
    <w:bookmarkStart w:id="22" w:name="page23"/>
    <w:bookmarkEnd w:id="22"/>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65" w:lineRule="exact"/>
        <w:rPr>
          <w:sz w:val="20"/>
          <w:szCs w:val="20"/>
          <w:color w:val="auto"/>
        </w:rPr>
      </w:pPr>
    </w:p>
    <w:p>
      <w:pPr>
        <w:ind w:right="60" w:firstLine="937"/>
        <w:spacing w:after="0" w:line="273" w:lineRule="auto"/>
        <w:rPr>
          <w:sz w:val="20"/>
          <w:szCs w:val="20"/>
          <w:color w:val="auto"/>
        </w:rPr>
      </w:pPr>
      <w:r>
        <w:rPr>
          <w:rFonts w:ascii="Arial" w:cs="Arial" w:eastAsia="Arial" w:hAnsi="Arial"/>
          <w:sz w:val="16"/>
          <w:szCs w:val="16"/>
          <w:color w:val="auto"/>
        </w:rPr>
        <w:t>Awards under the 2015–2018 cycle were based on a three-pronged formula consisting of (1) the value of a Kaplan Performance Unit paid to Kaplan in accordance with the final unit valuation of the 2014–2017 Kaplan LTIP (up to 35% of a $200 per-unit maximum); plus (2) the value of a Performance Unit under the Graham Media Group (“GMG”) valuation as set forth below (up to 35% of a $200 per-unit maximum); plus (3) an amount based on cumulative operating income, excluding amortization of intangibles, during the four-year period for SocialCode, Slate, Graham Healthcare Group, Forney Corporation, Joyce/Dayton Corporation and Group Dekko (up to 30% of a $200 per-unit maximum). In December 2016, the Committee approved an amendment to the 2015–2018 Corporate Performance Unit Plan to include cumulative operating income goals for Group Dekko (acquired by the Company in the fourth quarter of 2015) in category (3) above.</w:t>
      </w:r>
    </w:p>
    <w:p>
      <w:pPr>
        <w:spacing w:after="0" w:line="169" w:lineRule="exact"/>
        <w:rPr>
          <w:sz w:val="20"/>
          <w:szCs w:val="20"/>
          <w:color w:val="auto"/>
        </w:rPr>
      </w:pPr>
    </w:p>
    <w:p>
      <w:pPr>
        <w:ind w:firstLine="937"/>
        <w:spacing w:after="0" w:line="292" w:lineRule="auto"/>
        <w:rPr>
          <w:sz w:val="20"/>
          <w:szCs w:val="20"/>
          <w:color w:val="auto"/>
        </w:rPr>
      </w:pPr>
      <w:r>
        <w:rPr>
          <w:rFonts w:ascii="Arial" w:cs="Arial" w:eastAsia="Arial" w:hAnsi="Arial"/>
          <w:sz w:val="15"/>
          <w:szCs w:val="15"/>
          <w:color w:val="auto"/>
        </w:rPr>
        <w:t>Awards under the 2017–2020 cycle are also based on a three-pronged formula consisting of (1) the value of Kaplan’s cumulative operating income for 2017–2020, excluding amortization of intangibles, Kaplan stock compensation and restructuring charges (up to 30% of a $200 per-unit maximum); plus (2) the value of a Performance Unit under the GMG valuation as set forth below (up to 30% of a $200 per-unit maximum); plus (3) an amount based on cumulative operating income, excluding amortization of intangibles, during the four-year period for SocialCode, Slate, Panoply, Foreign Policy, Graham Healthcare Group, Group Dekko, Forney Corporation, Joyce/Dayton Corporation and Hoover Treated Wood Products (up to 40% of a $200 per-unit maximum). In September 2017, the Committee approved an amendment to the 2017–2020 Corporate Performance Unit Plan to include cumulative operating income goals for Hoover Treated Wood Products (acquired by the Company in the second quarter of 2017) and to include two new GMG stations, WSLS and WCWJ (acquired by Graham Media Group in the first quarter of 2017).</w:t>
      </w:r>
    </w:p>
    <w:p>
      <w:pPr>
        <w:spacing w:after="0" w:line="159" w:lineRule="exact"/>
        <w:rPr>
          <w:sz w:val="20"/>
          <w:szCs w:val="20"/>
          <w:color w:val="auto"/>
        </w:rPr>
      </w:pPr>
    </w:p>
    <w:p>
      <w:pPr>
        <w:ind w:right="80" w:firstLine="937"/>
        <w:spacing w:after="0" w:line="263" w:lineRule="auto"/>
        <w:rPr>
          <w:sz w:val="20"/>
          <w:szCs w:val="20"/>
          <w:color w:val="auto"/>
        </w:rPr>
      </w:pPr>
      <w:r>
        <w:rPr>
          <w:rFonts w:ascii="Arial" w:cs="Arial" w:eastAsia="Arial" w:hAnsi="Arial"/>
          <w:sz w:val="17"/>
          <w:szCs w:val="17"/>
          <w:color w:val="auto"/>
        </w:rPr>
        <w:t>The Committee selected these targets because they reflected the key priorities for the Company on the grant date (or the amendment date, as applicable) for the applicable time periods. The values of Performance Units in the 2015–2018 and the 2017–2020 cycles are determined at the conclusion of those cycles, based on the performance criteria described below.</w:t>
      </w:r>
    </w:p>
    <w:p>
      <w:pPr>
        <w:spacing w:after="0" w:line="174" w:lineRule="exact"/>
        <w:rPr>
          <w:sz w:val="20"/>
          <w:szCs w:val="20"/>
          <w:color w:val="auto"/>
        </w:rPr>
      </w:pPr>
    </w:p>
    <w:p>
      <w:pPr>
        <w:ind w:right="20" w:firstLine="937"/>
        <w:spacing w:after="0" w:line="314" w:lineRule="auto"/>
        <w:rPr>
          <w:sz w:val="20"/>
          <w:szCs w:val="20"/>
          <w:color w:val="auto"/>
        </w:rPr>
      </w:pPr>
      <w:r>
        <w:rPr>
          <w:rFonts w:ascii="Arial" w:cs="Arial" w:eastAsia="Arial" w:hAnsi="Arial"/>
          <w:sz w:val="15"/>
          <w:szCs w:val="15"/>
          <w:color w:val="auto"/>
        </w:rPr>
        <w:t>For the 2015–2018 cycle, the performance measure used for Kaplan in the 2014–2017 Kaplan LTIP is Kaplan enterprise operating income growth. A baseline Kaplan enterprise operating income of $75 million was established in 2014 and increased year over year by 10%. Provided Kaplan achieved incremental operating income growth above the baseline, the aggregate amount of awards available was calculated as 12% of such growth.</w:t>
      </w:r>
    </w:p>
    <w:p>
      <w:pPr>
        <w:spacing w:after="0" w:line="140" w:lineRule="exact"/>
        <w:rPr>
          <w:sz w:val="20"/>
          <w:szCs w:val="20"/>
          <w:color w:val="auto"/>
        </w:rPr>
      </w:pPr>
    </w:p>
    <w:p>
      <w:pPr>
        <w:ind w:right="20" w:firstLine="937"/>
        <w:spacing w:after="0" w:line="307" w:lineRule="auto"/>
        <w:rPr>
          <w:sz w:val="20"/>
          <w:szCs w:val="20"/>
          <w:color w:val="auto"/>
        </w:rPr>
      </w:pPr>
      <w:r>
        <w:rPr>
          <w:rFonts w:ascii="Arial" w:cs="Arial" w:eastAsia="Arial" w:hAnsi="Arial"/>
          <w:sz w:val="16"/>
          <w:szCs w:val="16"/>
          <w:color w:val="auto"/>
        </w:rPr>
        <w:t>As described above, for the 2017–2020 cycle, the performance measure used for Kaplan is the cumulative operating income over the four-year period of $500 million, adjusted to exclude amortization of intangibles, Kaplan stock compensation and restructuring charges.</w:t>
      </w:r>
    </w:p>
    <w:p>
      <w:pPr>
        <w:spacing w:after="0" w:line="142" w:lineRule="exact"/>
        <w:rPr>
          <w:sz w:val="20"/>
          <w:szCs w:val="20"/>
          <w:color w:val="auto"/>
        </w:rPr>
      </w:pPr>
    </w:p>
    <w:p>
      <w:pPr>
        <w:ind w:right="120" w:firstLine="937"/>
        <w:spacing w:after="0" w:line="263" w:lineRule="auto"/>
        <w:rPr>
          <w:sz w:val="20"/>
          <w:szCs w:val="20"/>
          <w:color w:val="auto"/>
        </w:rPr>
      </w:pPr>
      <w:r>
        <w:rPr>
          <w:rFonts w:ascii="Arial" w:cs="Arial" w:eastAsia="Arial" w:hAnsi="Arial"/>
          <w:sz w:val="17"/>
          <w:szCs w:val="17"/>
          <w:color w:val="auto"/>
        </w:rPr>
        <w:t>For the 2015–2018 cycle, Kaplan’s incremental operating income growth in the 2014–2017 LTIP was $110.6 million. The award pool, calculated as 12% of such growth, was $13.3 million, resulting in a payout of $38.42 per unit with respect to the portion of performance attributable to Kaplan.</w:t>
      </w:r>
    </w:p>
    <w:p>
      <w:pPr>
        <w:spacing w:after="0" w:line="174" w:lineRule="exact"/>
        <w:rPr>
          <w:sz w:val="20"/>
          <w:szCs w:val="20"/>
          <w:color w:val="auto"/>
        </w:rPr>
      </w:pPr>
    </w:p>
    <w:p>
      <w:pPr>
        <w:ind w:right="40" w:firstLine="937"/>
        <w:spacing w:after="0" w:line="299" w:lineRule="auto"/>
        <w:rPr>
          <w:sz w:val="20"/>
          <w:szCs w:val="20"/>
          <w:color w:val="auto"/>
        </w:rPr>
      </w:pPr>
      <w:r>
        <w:rPr>
          <w:rFonts w:ascii="Arial" w:cs="Arial" w:eastAsia="Arial" w:hAnsi="Arial"/>
          <w:sz w:val="15"/>
          <w:szCs w:val="15"/>
          <w:color w:val="auto"/>
        </w:rPr>
        <w:t>The performance measure used for GMG for both the 2015–2018 and 2017–2020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GMG Cash Flow Margin Rank</w:t>
            </w:r>
          </w:p>
        </w:tc>
        <w:tc>
          <w:tcPr>
            <w:tcW w:w="4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1"/>
              </w:rPr>
              <w:t>2015–2018 Cycle:</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vMerge w:val="continue"/>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9"/>
              <w:spacing w:after="0" w:line="121" w:lineRule="exact"/>
              <w:rPr>
                <w:sz w:val="20"/>
                <w:szCs w:val="20"/>
                <w:color w:val="auto"/>
              </w:rPr>
            </w:pPr>
            <w:r>
              <w:rPr>
                <w:rFonts w:ascii="Arial" w:cs="Arial" w:eastAsia="Arial" w:hAnsi="Arial"/>
                <w:sz w:val="12"/>
                <w:szCs w:val="12"/>
                <w:b w:val="1"/>
                <w:bCs w:val="1"/>
                <w:color w:val="auto"/>
              </w:rPr>
              <w:t>Unit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#1</w:t>
            </w:r>
          </w:p>
        </w:tc>
        <w:tc>
          <w:tcPr>
            <w:tcW w:w="4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20"/>
                <w:szCs w:val="20"/>
                <w:color w:val="auto"/>
              </w:rPr>
            </w:pPr>
            <w:r>
              <w:rPr>
                <w:rFonts w:ascii="Arial" w:cs="Arial" w:eastAsia="Arial" w:hAnsi="Arial"/>
                <w:sz w:val="17"/>
                <w:szCs w:val="17"/>
                <w:color w:val="auto"/>
              </w:rPr>
              <w:t>#2</w:t>
            </w:r>
          </w:p>
        </w:tc>
        <w:tc>
          <w:tcPr>
            <w:tcW w:w="4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3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7"/>
                <w:szCs w:val="17"/>
                <w:color w:val="auto"/>
              </w:rPr>
              <w:t>Below #3</w:t>
            </w:r>
          </w:p>
        </w:tc>
        <w:tc>
          <w:tcPr>
            <w:tcW w:w="4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1840" w:type="dxa"/>
            <w:vAlign w:val="bottom"/>
          </w:tcPr>
          <w:p>
            <w:pPr>
              <w:spacing w:after="0"/>
              <w:rPr>
                <w:sz w:val="24"/>
                <w:szCs w:val="24"/>
                <w:color w:val="auto"/>
              </w:rPr>
            </w:pPr>
          </w:p>
        </w:tc>
        <w:tc>
          <w:tcPr>
            <w:tcW w:w="4160" w:type="dxa"/>
            <w:vAlign w:val="bottom"/>
          </w:tcPr>
          <w:p>
            <w:pPr>
              <w:jc w:val="right"/>
              <w:ind w:right="2295"/>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40" w:top="267" w:right="77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tbl>
      <w:tblPr>
        <w:tblLayout w:type="fixed"/>
        <w:tblInd w:w="168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GMG Cash Flow Margin Rank</w:t>
            </w:r>
          </w:p>
        </w:tc>
        <w:tc>
          <w:tcPr>
            <w:tcW w:w="4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1"/>
              </w:rPr>
              <w:t>2017–2020 Cycle:</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vMerge w:val="continue"/>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9"/>
              <w:spacing w:after="0" w:line="121" w:lineRule="exact"/>
              <w:rPr>
                <w:sz w:val="20"/>
                <w:szCs w:val="20"/>
                <w:color w:val="auto"/>
              </w:rPr>
            </w:pPr>
            <w:r>
              <w:rPr>
                <w:rFonts w:ascii="Arial" w:cs="Arial" w:eastAsia="Arial" w:hAnsi="Arial"/>
                <w:sz w:val="12"/>
                <w:szCs w:val="12"/>
                <w:b w:val="1"/>
                <w:bCs w:val="1"/>
                <w:color w:val="auto"/>
              </w:rPr>
              <w:t>Unit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#1</w:t>
            </w:r>
          </w:p>
        </w:tc>
        <w:tc>
          <w:tcPr>
            <w:tcW w:w="4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20"/>
                <w:szCs w:val="20"/>
                <w:color w:val="auto"/>
              </w:rPr>
            </w:pPr>
            <w:r>
              <w:rPr>
                <w:rFonts w:ascii="Arial" w:cs="Arial" w:eastAsia="Arial" w:hAnsi="Arial"/>
                <w:sz w:val="17"/>
                <w:szCs w:val="17"/>
                <w:color w:val="auto"/>
              </w:rPr>
              <w:t>#2</w:t>
            </w:r>
          </w:p>
        </w:tc>
        <w:tc>
          <w:tcPr>
            <w:tcW w:w="4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3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7"/>
                <w:szCs w:val="17"/>
                <w:color w:val="auto"/>
              </w:rPr>
              <w:t>Below #3</w:t>
            </w:r>
          </w:p>
        </w:tc>
        <w:tc>
          <w:tcPr>
            <w:tcW w:w="4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180" w:firstLine="937"/>
        <w:spacing w:after="0" w:line="263" w:lineRule="auto"/>
        <w:rPr>
          <w:sz w:val="20"/>
          <w:szCs w:val="20"/>
          <w:color w:val="auto"/>
        </w:rPr>
      </w:pPr>
      <w:r>
        <w:rPr>
          <w:rFonts w:ascii="Arial" w:cs="Arial" w:eastAsia="Arial" w:hAnsi="Arial"/>
          <w:sz w:val="17"/>
          <w:szCs w:val="17"/>
          <w:color w:val="auto"/>
        </w:rPr>
        <w:t>The GMG formula for the 2015–2018 award cycle provides that the payout value will be increased by $12.50 for each of the four years during the award cycle in which GMG’s actual cash flow margin is not only number one among peer companies, but is also 2% higher than that of the nearest competitor among the peer companies.</w:t>
      </w:r>
    </w:p>
    <w:p>
      <w:pPr>
        <w:spacing w:after="0" w:line="174" w:lineRule="exact"/>
        <w:rPr>
          <w:sz w:val="20"/>
          <w:szCs w:val="20"/>
          <w:color w:val="auto"/>
        </w:rPr>
      </w:pPr>
    </w:p>
    <w:p>
      <w:pPr>
        <w:ind w:right="180" w:firstLine="937"/>
        <w:spacing w:after="0" w:line="263" w:lineRule="auto"/>
        <w:rPr>
          <w:sz w:val="20"/>
          <w:szCs w:val="20"/>
          <w:color w:val="auto"/>
        </w:rPr>
      </w:pPr>
      <w:r>
        <w:rPr>
          <w:rFonts w:ascii="Arial" w:cs="Arial" w:eastAsia="Arial" w:hAnsi="Arial"/>
          <w:sz w:val="17"/>
          <w:szCs w:val="17"/>
          <w:color w:val="auto"/>
        </w:rPr>
        <w:t>The GMG formula for the 2017–2020 award cycle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74" w:lineRule="exact"/>
        <w:rPr>
          <w:sz w:val="20"/>
          <w:szCs w:val="20"/>
          <w:color w:val="auto"/>
        </w:rPr>
      </w:pPr>
    </w:p>
    <w:p>
      <w:pPr>
        <w:jc w:val="both"/>
        <w:ind w:firstLine="937"/>
        <w:spacing w:after="0" w:line="263" w:lineRule="auto"/>
        <w:rPr>
          <w:sz w:val="20"/>
          <w:szCs w:val="20"/>
          <w:color w:val="auto"/>
        </w:rPr>
      </w:pPr>
      <w:r>
        <w:rPr>
          <w:rFonts w:ascii="Arial" w:cs="Arial" w:eastAsia="Arial" w:hAnsi="Arial"/>
          <w:sz w:val="17"/>
          <w:szCs w:val="17"/>
          <w:color w:val="auto"/>
        </w:rPr>
        <w:t>In both the 2015–2018 and 2017–2020 award cycles, the formula also provides that the payout value will be reduced by 50% if GMG does not produce operating income in one of the four years during the award cycle. Also, if GMG does not produce operating income for at least two years in the cycle, then there will be no payout with respect to the portion of performance attributable to GMG.</w:t>
      </w:r>
    </w:p>
    <w:p>
      <w:pPr>
        <w:spacing w:after="0" w:line="174" w:lineRule="exact"/>
        <w:rPr>
          <w:sz w:val="20"/>
          <w:szCs w:val="20"/>
          <w:color w:val="auto"/>
        </w:rPr>
      </w:pPr>
    </w:p>
    <w:p>
      <w:pPr>
        <w:jc w:val="both"/>
        <w:ind w:right="80" w:firstLine="937"/>
        <w:spacing w:after="0" w:line="263" w:lineRule="auto"/>
        <w:rPr>
          <w:sz w:val="20"/>
          <w:szCs w:val="20"/>
          <w:color w:val="auto"/>
        </w:rPr>
      </w:pPr>
      <w:r>
        <w:rPr>
          <w:rFonts w:ascii="Arial" w:cs="Arial" w:eastAsia="Arial" w:hAnsi="Arial"/>
          <w:sz w:val="17"/>
          <w:szCs w:val="17"/>
          <w:color w:val="auto"/>
        </w:rPr>
        <w:t>For the 2015–2018 cycle, GMG’s cash flow ranked number one overall for each of the four years during the cycle. In addition, in each of the four years during the cycle, GMG’s cash flow was 2% higher than that of the nearest competitor among the peer companies, resulting in a payout of $70 per unit with respect to the portion of the performance attributable to GMG.</w:t>
      </w:r>
    </w:p>
    <w:p>
      <w:pPr>
        <w:spacing w:after="0" w:line="174" w:lineRule="exact"/>
        <w:rPr>
          <w:sz w:val="20"/>
          <w:szCs w:val="20"/>
          <w:color w:val="auto"/>
        </w:rPr>
      </w:pPr>
    </w:p>
    <w:p>
      <w:pPr>
        <w:ind w:firstLine="937"/>
        <w:spacing w:after="0" w:line="287" w:lineRule="auto"/>
        <w:rPr>
          <w:sz w:val="20"/>
          <w:szCs w:val="20"/>
          <w:color w:val="auto"/>
        </w:rPr>
      </w:pPr>
      <w:r>
        <w:rPr>
          <w:rFonts w:ascii="Arial" w:cs="Arial" w:eastAsia="Arial" w:hAnsi="Arial"/>
          <w:sz w:val="16"/>
          <w:szCs w:val="16"/>
          <w:color w:val="auto"/>
        </w:rPr>
        <w:t>For the 2015–2018 award cycle, the performance measure during the four-year period for SocialCode, Slate, Graham Healthcare Group, Forney Corporation, Joyce/Dayton Corp. and Group Dekko was based on adjusted cumulative operating income of $113 million, excluding amortization of intangibles, resulting in a payout of $17.91 per unit with respect to the portion of performance attributable to these businesses.</w:t>
      </w:r>
    </w:p>
    <w:p>
      <w:pPr>
        <w:spacing w:after="0" w:line="157" w:lineRule="exact"/>
        <w:rPr>
          <w:sz w:val="20"/>
          <w:szCs w:val="20"/>
          <w:color w:val="auto"/>
        </w:rPr>
      </w:pPr>
    </w:p>
    <w:p>
      <w:pPr>
        <w:ind w:right="360" w:firstLine="937"/>
        <w:spacing w:after="0" w:line="263" w:lineRule="auto"/>
        <w:rPr>
          <w:sz w:val="20"/>
          <w:szCs w:val="20"/>
          <w:color w:val="auto"/>
        </w:rPr>
      </w:pPr>
      <w:r>
        <w:rPr>
          <w:rFonts w:ascii="Arial" w:cs="Arial" w:eastAsia="Arial" w:hAnsi="Arial"/>
          <w:sz w:val="17"/>
          <w:szCs w:val="17"/>
          <w:color w:val="auto"/>
        </w:rPr>
        <w:t>For the 2017–2020 award cycle, the performance measure during the four-year period for SocialCode, Slate, Panoply, Foreign Policy, Graham Healthcare Group, Group Dekko, Forney Corporation, Joyce/Dayton Corp. and Hoover Treated Wood Products is based on cumulative operating income of $281 million, excluding amortization of intangibles.</w:t>
      </w:r>
    </w:p>
    <w:p>
      <w:pPr>
        <w:spacing w:after="0" w:line="174" w:lineRule="exact"/>
        <w:rPr>
          <w:sz w:val="20"/>
          <w:szCs w:val="20"/>
          <w:color w:val="auto"/>
        </w:rPr>
      </w:pPr>
    </w:p>
    <w:p>
      <w:pPr>
        <w:ind w:right="220" w:firstLine="937"/>
        <w:spacing w:after="0" w:line="263" w:lineRule="auto"/>
        <w:rPr>
          <w:sz w:val="20"/>
          <w:szCs w:val="20"/>
          <w:color w:val="auto"/>
        </w:rPr>
      </w:pPr>
      <w:r>
        <w:rPr>
          <w:rFonts w:ascii="Arial" w:cs="Arial" w:eastAsia="Arial" w:hAnsi="Arial"/>
          <w:sz w:val="17"/>
          <w:szCs w:val="17"/>
          <w:color w:val="auto"/>
        </w:rPr>
        <w:t>Performance Units for the 2015–2018 award cycle were valued at $127 per unit, based on achievement of the above-described performance measures. Performance Unit payouts for the named executive officers for the 2015–2018 award cycle were made in March 2019 and are included in the Summary Compensation Table.</w:t>
      </w:r>
    </w:p>
    <w:p>
      <w:pPr>
        <w:spacing w:after="0" w:line="174" w:lineRule="exact"/>
        <w:rPr>
          <w:sz w:val="20"/>
          <w:szCs w:val="20"/>
          <w:color w:val="auto"/>
        </w:rPr>
      </w:pPr>
    </w:p>
    <w:p>
      <w:pPr>
        <w:ind w:firstLine="937"/>
        <w:spacing w:after="0" w:line="294" w:lineRule="auto"/>
        <w:rPr>
          <w:sz w:val="20"/>
          <w:szCs w:val="20"/>
          <w:color w:val="auto"/>
        </w:rPr>
      </w:pPr>
      <w:r>
        <w:rPr>
          <w:rFonts w:ascii="Arial" w:cs="Arial" w:eastAsia="Arial" w:hAnsi="Arial"/>
          <w:sz w:val="15"/>
          <w:szCs w:val="15"/>
          <w:color w:val="auto"/>
        </w:rPr>
        <w:t>Because the performance measures that compose the valuation formula for Performance Units in the 2017–2020 cycle includes cumulative measures applicable to Kaplan,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previously held 7,500 units in the 2015–2018 cycle and currently holds 10,000 units in the 2017–2020 cycle; Mr. Cooney previously held 5,000 units in the 2015–2018 cycle and currently holds 6,500 units in the 2017–2020 cycle; Mr. Rosen previously held 7,000 units in the 2015–2018 cycle; Ms. Maddrey previously held 5,000 units in the 2015–2018 cycle and currently holds 5,000 units in the 2017– 2020 cycle; and Mr. Maas previously held 3,500 units in the 2015–2018 cycle and currently holds 5,000 units in the 2017–2020 cycle.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Kaplan Long-Term Incentive Plans</w:t>
      </w:r>
    </w:p>
    <w:p>
      <w:pPr>
        <w:spacing w:after="0" w:line="213" w:lineRule="exact"/>
        <w:rPr>
          <w:sz w:val="20"/>
          <w:szCs w:val="20"/>
          <w:color w:val="auto"/>
        </w:rPr>
      </w:pPr>
    </w:p>
    <w:p>
      <w:pPr>
        <w:ind w:right="600" w:firstLine="937"/>
        <w:spacing w:after="0" w:line="273" w:lineRule="auto"/>
        <w:rPr>
          <w:sz w:val="20"/>
          <w:szCs w:val="20"/>
          <w:color w:val="auto"/>
        </w:rPr>
      </w:pPr>
      <w:r>
        <w:rPr>
          <w:rFonts w:ascii="Arial" w:cs="Arial" w:eastAsia="Arial" w:hAnsi="Arial"/>
          <w:sz w:val="16"/>
          <w:szCs w:val="16"/>
          <w:color w:val="auto"/>
        </w:rPr>
        <w:t>A portion of Mr. Rosen’s performance-based compensation includes the 2016-2019 Kaplan LTIP and the 2018-2020 Kaplan LTIP. Mr. Rosen participates in the Kaplan Corporate component of the 2016-2019 Kaplan LTIP and was awarded 250 units, 25% of the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Kaplan Corporate pool. The Kaplan Corporate pool is based on achievement above a baseline four-year cumulative operating income target for Kaplan. Achievement above the baseline operating income target results in the creation of a Kaplan Corporate bonus pool equal to 8% of the overachievement. Kaplan’s baseline operating income target for the cumulative four-year period was established at $652.6 million, as adjusted for acquisitions or unexpected changes in capital expenditures. A third of the units awarded vested at the end of 2017, an additional third of the units awarded vested at the end of 2018 and the final third of the units awarded will vest at the end of 2019, with achievement payouts in respect of all years occurring in the first quarter of 2020.</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400"/>
          </w:cols>
          <w:pgMar w:left="740" w:top="259" w:right="759" w:bottom="1440" w:gutter="0" w:footer="0" w:header="0"/>
        </w:sectPr>
      </w:pPr>
    </w:p>
    <w:bookmarkStart w:id="24" w:name="page25"/>
    <w:bookmarkEnd w:id="24"/>
    <w:p>
      <w:pPr>
        <w:ind w:right="260" w:firstLine="937"/>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Mr. Rosen also participates in the 2018-2020 Kaplan LTIP and was awarded 20% of the Kaplan Corporate Pool. The Kaplan Corporate pool is based on enterprise and business unit performance components. For the enterprise component, achievement above a baseline three-</w:t>
      </w:r>
    </w:p>
    <w:p>
      <w:pPr>
        <w:spacing w:after="0" w:line="291" w:lineRule="auto"/>
        <w:rPr>
          <w:sz w:val="20"/>
          <w:szCs w:val="20"/>
          <w:color w:val="auto"/>
        </w:rPr>
      </w:pPr>
      <w:r>
        <w:rPr>
          <w:rFonts w:ascii="Arial" w:cs="Arial" w:eastAsia="Arial" w:hAnsi="Arial"/>
          <w:sz w:val="15"/>
          <w:szCs w:val="15"/>
          <w:color w:val="auto"/>
        </w:rPr>
        <w:t>year cumulative operating income target of $309.3 million, as adjusted for acquisitions and unexpected changes in capital expenditures, results in the creation of a Kaplan Corporate pool equal to 2% of overachievement. For the business unit component, baseline three-year cumulative operating income targets for each of the Kaplan business units was established based on 2017 results and will be adjusted for acquisitions or unexpected changes in capital expenditures. Achievement above the baseline operating income targets for each of the Kaplan business units would result in the creation of a Kaplan Corporate bonus pool equal to 8% of the overachievement. The 8% award pool percentage increases by the number of basis points that a business unit’s operating margin exceeds a base level operating margin. Seventy-five percent of the award will vest at the end of 2020 and twenty-five percent will vest at the end of 2021, the year following the end of the plan. Payouts of vested amounts will occur in March, following the relevant vesting tranche.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13" w:lineRule="exact"/>
        <w:rPr>
          <w:sz w:val="20"/>
          <w:szCs w:val="20"/>
          <w:color w:val="auto"/>
        </w:rPr>
      </w:pPr>
    </w:p>
    <w:p>
      <w:pPr>
        <w:ind w:right="20" w:firstLine="937"/>
        <w:spacing w:after="0" w:line="258" w:lineRule="auto"/>
        <w:rPr>
          <w:sz w:val="20"/>
          <w:szCs w:val="20"/>
          <w:color w:val="auto"/>
        </w:rPr>
      </w:pPr>
      <w:r>
        <w:rPr>
          <w:rFonts w:ascii="Arial" w:cs="Arial" w:eastAsia="Arial" w:hAnsi="Arial"/>
          <w:sz w:val="17"/>
          <w:szCs w:val="17"/>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over six years, and expire 10 years from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Defined Contribution and Defined Benefit Plan</w:t>
      </w:r>
    </w:p>
    <w:p>
      <w:pPr>
        <w:spacing w:after="0" w:line="213" w:lineRule="exact"/>
        <w:rPr>
          <w:sz w:val="20"/>
          <w:szCs w:val="20"/>
          <w:color w:val="auto"/>
        </w:rPr>
      </w:pPr>
    </w:p>
    <w:p>
      <w:pPr>
        <w:ind w:firstLine="937"/>
        <w:spacing w:after="0" w:line="287" w:lineRule="auto"/>
        <w:rPr>
          <w:sz w:val="20"/>
          <w:szCs w:val="20"/>
          <w:color w:val="auto"/>
        </w:rPr>
      </w:pPr>
      <w:r>
        <w:rPr>
          <w:rFonts w:ascii="Arial" w:cs="Arial" w:eastAsia="Arial" w:hAnsi="Arial"/>
          <w:sz w:val="16"/>
          <w:szCs w:val="16"/>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157" w:lineRule="exact"/>
        <w:rPr>
          <w:sz w:val="20"/>
          <w:szCs w:val="20"/>
          <w:color w:val="auto"/>
        </w:rPr>
      </w:pPr>
    </w:p>
    <w:p>
      <w:pPr>
        <w:ind w:firstLine="937"/>
        <w:spacing w:after="0" w:line="289" w:lineRule="auto"/>
        <w:rPr>
          <w:sz w:val="20"/>
          <w:szCs w:val="20"/>
          <w:color w:val="auto"/>
        </w:rPr>
      </w:pPr>
      <w:r>
        <w:rPr>
          <w:rFonts w:ascii="Arial" w:cs="Arial" w:eastAsia="Arial" w:hAnsi="Arial"/>
          <w:sz w:val="15"/>
          <w:szCs w:val="15"/>
          <w:color w:val="auto"/>
        </w:rPr>
        <w:t>Eligible Corporate employees hired or rehired by the Company on or after September 1, 2009, participate in the Cash Balance Retirement Program (“CBRP”). Eligible Corporate employees who were actively employed on or after August 1, 2012, also participate in the Secure Retirement Account (“SRA”). Both the CBRP and the SRA are non-contributory defined benefit programs expressed in the form of hypothetical account balances that grow through quarterly pay-based credits and quarterly interest credits. 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Cash pension supplements are also provided to assist in payment of retiree medical coverage. The annual cash pension supplement is equal to $200 multiplied by the number of years of credited service under the Graham Schedule. An additional temporary Pre-Age 65 pension supplement of $250 per month ($2,075 per month for those participants who have attained age 50 with 5 years of vesting service as of September 1, 2018) is provided to participants under the Graham Schedule who retire and commence benefit payment at or after age 55, but prior to age 65, and who had 10 years of vesting service at retirement. The temporary Pre-Age 65 supplement is discontinued when the retiree qualifies for Medicare (the month prior to the 65th birthday).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Non-Qualified Supplemental Executive Retirement Plans</w:t>
      </w:r>
    </w:p>
    <w:p>
      <w:pPr>
        <w:spacing w:after="0" w:line="213" w:lineRule="exact"/>
        <w:rPr>
          <w:sz w:val="20"/>
          <w:szCs w:val="20"/>
          <w:color w:val="auto"/>
        </w:rPr>
      </w:pPr>
    </w:p>
    <w:p>
      <w:pPr>
        <w:ind w:right="160" w:firstLine="937"/>
        <w:spacing w:after="0" w:line="314" w:lineRule="auto"/>
        <w:rPr>
          <w:sz w:val="20"/>
          <w:szCs w:val="20"/>
          <w:color w:val="auto"/>
        </w:rPr>
      </w:pPr>
      <w:r>
        <w:rPr>
          <w:rFonts w:ascii="Arial" w:cs="Arial" w:eastAsia="Arial" w:hAnsi="Arial"/>
          <w:sz w:val="15"/>
          <w:szCs w:val="15"/>
          <w:color w:val="auto"/>
        </w:rPr>
        <w:t>The Company maintains an unfunded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40" w:lineRule="exact"/>
        <w:rPr>
          <w:sz w:val="20"/>
          <w:szCs w:val="20"/>
          <w:color w:val="auto"/>
        </w:rPr>
      </w:pPr>
    </w:p>
    <w:p>
      <w:pPr>
        <w:ind w:right="40" w:firstLine="937"/>
        <w:spacing w:after="0" w:line="255" w:lineRule="auto"/>
        <w:rPr>
          <w:sz w:val="20"/>
          <w:szCs w:val="20"/>
          <w:color w:val="auto"/>
        </w:rPr>
      </w:pPr>
      <w:r>
        <w:rPr>
          <w:rFonts w:ascii="Arial" w:cs="Arial" w:eastAsia="Arial" w:hAnsi="Arial"/>
          <w:sz w:val="17"/>
          <w:szCs w:val="17"/>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00"/>
          </w:cols>
          <w:pgMar w:left="740" w:top="267" w:right="759" w:bottom="1440" w:gutter="0" w:footer="0" w:header="0"/>
        </w:sectPr>
      </w:pPr>
    </w:p>
    <w:bookmarkStart w:id="25" w:name="page26"/>
    <w:bookmarkEnd w:id="25"/>
    <w:p>
      <w:pPr>
        <w:ind w:right="20" w:firstLine="937"/>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The SERP also provides key executives, including Mr. Rosen, with tax deferred accruals of amounts proportionate to the benefits available to non-highly compensated participants in the Company’s 401(k) savings plan, to the extent that benefits exceed those under the Company’s basic plans because of the tax law limitations (currently $56,000). The executive is required to defer compensation to the SERP savings plan in order to receive the applicable matching Company contribution each year.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Non-Qualified Deferred Compensation Plan</w:t>
      </w:r>
    </w:p>
    <w:p>
      <w:pPr>
        <w:spacing w:after="0" w:line="213" w:lineRule="exact"/>
        <w:rPr>
          <w:sz w:val="20"/>
          <w:szCs w:val="20"/>
          <w:color w:val="auto"/>
        </w:rPr>
      </w:pPr>
    </w:p>
    <w:p>
      <w:pPr>
        <w:ind w:right="80" w:firstLine="937"/>
        <w:spacing w:after="0" w:line="276" w:lineRule="auto"/>
        <w:rPr>
          <w:sz w:val="20"/>
          <w:szCs w:val="20"/>
          <w:color w:val="auto"/>
        </w:rPr>
      </w:pPr>
      <w:r>
        <w:rPr>
          <w:rFonts w:ascii="Arial" w:cs="Arial" w:eastAsia="Arial" w:hAnsi="Arial"/>
          <w:sz w:val="16"/>
          <w:szCs w:val="16"/>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Severance Packages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 O’Shaughnessy’s Agreement</w:t>
      </w:r>
    </w:p>
    <w:p>
      <w:pPr>
        <w:spacing w:after="0" w:line="213" w:lineRule="exact"/>
        <w:rPr>
          <w:sz w:val="20"/>
          <w:szCs w:val="20"/>
          <w:color w:val="auto"/>
        </w:rPr>
      </w:pPr>
    </w:p>
    <w:p>
      <w:pPr>
        <w:ind w:right="40" w:firstLine="937"/>
        <w:spacing w:after="0" w:line="273" w:lineRule="auto"/>
        <w:rPr>
          <w:sz w:val="20"/>
          <w:szCs w:val="20"/>
          <w:color w:val="auto"/>
        </w:rPr>
      </w:pPr>
      <w:r>
        <w:rPr>
          <w:rFonts w:ascii="Arial" w:cs="Arial" w:eastAsia="Arial" w:hAnsi="Arial"/>
          <w:sz w:val="16"/>
          <w:szCs w:val="16"/>
          <w:color w:val="auto"/>
        </w:rPr>
        <w:t>The Company entered into a letter agreement with Mr. O’Shaughnessy in October 2014 to incentivize him to accept the position of President of the Company. Pursuant to his employment agreement, Mr. O’Shaughnessy was entitled to a grant of 5,000 Performance Units in the 2013– 2016 performance cycle and a grant of 7,500 Performance Units in the 2015–2018 cycle and was granted a new-hire option award of 77,258 (post Cable ONE spin-off) stock options. In addition, pursuant to 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Under the terms of Mr. O’Shaughnessy’s letter agreement, and as consideration for the benefits provided in the agreement,</w:t>
      </w:r>
    </w:p>
    <w:p>
      <w:pPr>
        <w:spacing w:after="0" w:line="20"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 Rosen’s Agreement</w:t>
      </w:r>
    </w:p>
    <w:p>
      <w:pPr>
        <w:spacing w:after="0" w:line="213" w:lineRule="exact"/>
        <w:rPr>
          <w:sz w:val="20"/>
          <w:szCs w:val="20"/>
          <w:color w:val="auto"/>
        </w:rPr>
      </w:pPr>
    </w:p>
    <w:p>
      <w:pPr>
        <w:ind w:right="500" w:firstLine="937"/>
        <w:spacing w:after="0" w:line="287" w:lineRule="auto"/>
        <w:rPr>
          <w:sz w:val="20"/>
          <w:szCs w:val="20"/>
          <w:color w:val="auto"/>
        </w:rPr>
      </w:pPr>
      <w:r>
        <w:rPr>
          <w:rFonts w:ascii="Arial" w:cs="Arial" w:eastAsia="Arial" w:hAnsi="Arial"/>
          <w:sz w:val="16"/>
          <w:szCs w:val="16"/>
          <w:color w:val="auto"/>
        </w:rPr>
        <w:t>The Company entered into a letter agreement with Mr. Rosen in April 2014 to incentivize him to accept the position of Chairman of Kaplan and Executive Vice President of the Company. In addition, pursuant to his employment agreement, he was entitled to a grant of 3,000 Performance Units in the 2013–2016 performance cycle and 7,000 Performance Units in the 2015–2018 performance cycle.</w:t>
      </w:r>
    </w:p>
    <w:p>
      <w:pPr>
        <w:spacing w:after="0" w:line="157" w:lineRule="exact"/>
        <w:rPr>
          <w:sz w:val="20"/>
          <w:szCs w:val="20"/>
          <w:color w:val="auto"/>
        </w:rPr>
      </w:pPr>
    </w:p>
    <w:p>
      <w:pPr>
        <w:ind w:right="20" w:firstLine="937"/>
        <w:spacing w:after="0" w:line="287" w:lineRule="auto"/>
        <w:rPr>
          <w:sz w:val="20"/>
          <w:szCs w:val="20"/>
          <w:color w:val="auto"/>
        </w:rPr>
      </w:pPr>
      <w:r>
        <w:rPr>
          <w:rFonts w:ascii="Arial" w:cs="Arial" w:eastAsia="Arial" w:hAnsi="Arial"/>
          <w:sz w:val="16"/>
          <w:szCs w:val="16"/>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57" w:lineRule="exact"/>
        <w:rPr>
          <w:sz w:val="20"/>
          <w:szCs w:val="20"/>
          <w:color w:val="auto"/>
        </w:rPr>
      </w:pPr>
    </w:p>
    <w:p>
      <w:pPr>
        <w:ind w:right="360" w:firstLine="937"/>
        <w:spacing w:after="0" w:line="287" w:lineRule="auto"/>
        <w:rPr>
          <w:sz w:val="20"/>
          <w:szCs w:val="20"/>
          <w:color w:val="auto"/>
        </w:rPr>
      </w:pPr>
      <w:r>
        <w:rPr>
          <w:rFonts w:ascii="Arial" w:cs="Arial" w:eastAsia="Arial" w:hAnsi="Arial"/>
          <w:sz w:val="16"/>
          <w:szCs w:val="16"/>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 Maas’ Agreement</w:t>
      </w:r>
    </w:p>
    <w:p>
      <w:pPr>
        <w:spacing w:after="0" w:line="213" w:lineRule="exact"/>
        <w:rPr>
          <w:sz w:val="20"/>
          <w:szCs w:val="20"/>
          <w:color w:val="auto"/>
        </w:rPr>
      </w:pPr>
    </w:p>
    <w:p>
      <w:pPr>
        <w:ind w:right="40" w:firstLine="937"/>
        <w:spacing w:after="0" w:line="273" w:lineRule="auto"/>
        <w:rPr>
          <w:sz w:val="20"/>
          <w:szCs w:val="20"/>
          <w:color w:val="auto"/>
        </w:rPr>
      </w:pPr>
      <w:r>
        <w:rPr>
          <w:rFonts w:ascii="Arial" w:cs="Arial" w:eastAsia="Arial" w:hAnsi="Arial"/>
          <w:sz w:val="16"/>
          <w:szCs w:val="16"/>
          <w:color w:val="auto"/>
        </w:rPr>
        <w:t>The Company entered into a letter agreement with Mr. Maas in August 2015 to incentivize him to accept the position of Senior Vice President–Planning and Development in the Corporate Office of Graham Holdings Company. Pursuant to his employment agreement, Mr. Maas was entitled to a grant of 3,500 Performance Units in the 2015–2018 cycle. He was also granted a new-hire option award of 2,000 (post Cable ONE spin-off) stock options. In addition, pursuant to Mr. Maas</w:t>
      </w:r>
      <w:r>
        <w:rPr>
          <w:rFonts w:ascii="Arial" w:cs="Arial" w:eastAsia="Arial" w:hAnsi="Arial"/>
          <w:sz w:val="16"/>
          <w:szCs w:val="16"/>
          <w:b w:val="1"/>
          <w:bCs w:val="1"/>
          <w:color w:val="auto"/>
        </w:rPr>
        <w:t>’</w:t>
      </w:r>
      <w:r>
        <w:rPr>
          <w:rFonts w:ascii="Arial" w:cs="Arial" w:eastAsia="Arial" w:hAnsi="Arial"/>
          <w:sz w:val="16"/>
          <w:szCs w:val="16"/>
          <w:color w:val="auto"/>
        </w:rPr>
        <w:t xml:space="preserve">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expiration date of the award) following termination to exercise any vested options.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420"/>
          </w:cols>
          <w:pgMar w:left="740" w:top="267" w:right="739" w:bottom="1440" w:gutter="0" w:footer="0" w:header="0"/>
        </w:sectPr>
      </w:pPr>
    </w:p>
    <w:bookmarkStart w:id="26" w:name="page27"/>
    <w:bookmarkEnd w:id="26"/>
    <w:p>
      <w:pPr>
        <w:ind w:right="480" w:firstLine="937"/>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Under the terms of Mr. Maas’ letter agreement, and as consideration for the benefits provided in the agreement, Mr. Maas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Shareholder Advisory Votes on Executive Compensation</w:t>
      </w:r>
    </w:p>
    <w:p>
      <w:pPr>
        <w:spacing w:after="0" w:line="217" w:lineRule="exact"/>
        <w:rPr>
          <w:sz w:val="20"/>
          <w:szCs w:val="20"/>
          <w:color w:val="auto"/>
        </w:rPr>
      </w:pPr>
    </w:p>
    <w:p>
      <w:pPr>
        <w:ind w:firstLine="937"/>
        <w:spacing w:after="0" w:line="296" w:lineRule="auto"/>
        <w:rPr>
          <w:sz w:val="20"/>
          <w:szCs w:val="20"/>
          <w:color w:val="auto"/>
        </w:rPr>
      </w:pPr>
      <w:r>
        <w:rPr>
          <w:rFonts w:ascii="Arial" w:cs="Arial" w:eastAsia="Arial" w:hAnsi="Arial"/>
          <w:sz w:val="15"/>
          <w:szCs w:val="15"/>
          <w:color w:val="auto"/>
        </w:rPr>
        <w:t>At the 2018 Annual Meeting of Shareholders, the Company’s Class A Shareholders unanimously approved the overall 2017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2018 as outlined in its compensation philosophy and framework. The Committee values the shareholder feedback provided through the vote and will consider the results of the vote, as well as future votes, in refining the development of the Company</w:t>
      </w:r>
      <w:r>
        <w:rPr>
          <w:rFonts w:ascii="Arial" w:cs="Arial" w:eastAsia="Arial" w:hAnsi="Arial"/>
          <w:sz w:val="15"/>
          <w:szCs w:val="15"/>
          <w:b w:val="1"/>
          <w:bCs w:val="1"/>
          <w:color w:val="auto"/>
        </w:rPr>
        <w:t>’</w:t>
      </w:r>
      <w:r>
        <w:rPr>
          <w:rFonts w:ascii="Arial" w:cs="Arial" w:eastAsia="Arial" w:hAnsi="Arial"/>
          <w:sz w:val="15"/>
          <w:szCs w:val="15"/>
          <w:color w:val="auto"/>
        </w:rPr>
        <w:t xml:space="preserve"> s compensation program and goal setting in the future.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COMPENSATION COMMITTEE REPORT</w:t>
      </w:r>
    </w:p>
    <w:p>
      <w:pPr>
        <w:spacing w:after="0" w:line="217" w:lineRule="exact"/>
        <w:rPr>
          <w:sz w:val="20"/>
          <w:szCs w:val="20"/>
          <w:color w:val="auto"/>
        </w:rPr>
      </w:pPr>
    </w:p>
    <w:p>
      <w:pPr>
        <w:ind w:right="60" w:firstLine="937"/>
        <w:spacing w:after="0" w:line="263" w:lineRule="auto"/>
        <w:rPr>
          <w:sz w:val="20"/>
          <w:szCs w:val="20"/>
          <w:color w:val="auto"/>
        </w:rPr>
      </w:pPr>
      <w:r>
        <w:rPr>
          <w:rFonts w:ascii="Arial" w:cs="Arial" w:eastAsia="Arial" w:hAnsi="Arial"/>
          <w:sz w:val="17"/>
          <w:szCs w:val="17"/>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74"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Anne M. Mulcahy, Chairman</w:t>
      </w:r>
    </w:p>
    <w:p>
      <w:pPr>
        <w:spacing w:after="0" w:line="20"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Lee C. Bollinger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Larry D. Thompson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380"/>
          </w:cols>
          <w:pgMar w:left="740" w:top="267" w:right="779" w:bottom="1440" w:gutter="0" w:footer="0" w:header="0"/>
        </w:sectPr>
      </w:pPr>
    </w:p>
    <w:bookmarkStart w:id="27" w:name="page28"/>
    <w:bookmarkEnd w:id="27"/>
    <w:p>
      <w:pPr>
        <w:ind w:right="100" w:firstLine="937"/>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The following table shows the compensation paid by the Company during the most recent three years to our named executive officers. No disclosure is provided for fiscal years for which those persons were not named executive officers.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COMPENSATION TABLE</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3040" w:type="dxa"/>
            <w:vAlign w:val="bottom"/>
            <w:tcBorders>
              <w:top w:val="single" w:sz="8" w:color="auto"/>
              <w:left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88"/>
              </w:rPr>
              <w:t>Change in</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r>
      <w:tr>
        <w:trPr>
          <w:trHeight w:val="140"/>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85"/>
              </w:rPr>
              <w:t>Pension Value</w:t>
            </w:r>
          </w:p>
        </w:tc>
        <w:tc>
          <w:tcPr>
            <w:tcW w:w="1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0"/>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8"/>
              </w:rPr>
              <w:t>and Non-</w:t>
            </w:r>
          </w:p>
        </w:tc>
        <w:tc>
          <w:tcPr>
            <w:tcW w:w="1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0"/>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90"/>
              </w:rPr>
              <w:t>Qualified</w:t>
            </w:r>
          </w:p>
        </w:tc>
        <w:tc>
          <w:tcPr>
            <w:tcW w:w="1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0"/>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52"/>
              <w:spacing w:after="0" w:line="141"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62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0"/>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8"/>
              </w:rPr>
              <w:t>Compen-</w:t>
            </w:r>
          </w:p>
        </w:tc>
        <w:tc>
          <w:tcPr>
            <w:tcW w:w="140" w:type="dxa"/>
            <w:vAlign w:val="bottom"/>
          </w:tcPr>
          <w:p>
            <w:pPr>
              <w:spacing w:after="0"/>
              <w:rPr>
                <w:sz w:val="12"/>
                <w:szCs w:val="12"/>
                <w:color w:val="auto"/>
              </w:rPr>
            </w:pPr>
          </w:p>
        </w:tc>
        <w:tc>
          <w:tcPr>
            <w:tcW w:w="62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tcPr>
          <w:p>
            <w:pPr>
              <w:jc w:val="center"/>
              <w:ind w:right="134"/>
              <w:spacing w:after="0" w:line="148"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660" w:type="dxa"/>
            <w:vAlign w:val="bottom"/>
            <w:tcBorders>
              <w:right w:val="single" w:sz="8" w:color="auto"/>
            </w:tcBorders>
          </w:tcPr>
          <w:p>
            <w:pPr>
              <w:jc w:val="center"/>
              <w:ind w:right="134"/>
              <w:spacing w:after="0" w:line="148"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8" w:lineRule="exact"/>
              <w:rPr>
                <w:sz w:val="20"/>
                <w:szCs w:val="20"/>
                <w:color w:val="auto"/>
              </w:rPr>
            </w:pPr>
            <w:r>
              <w:rPr>
                <w:rFonts w:ascii="Arial" w:cs="Arial" w:eastAsia="Arial" w:hAnsi="Arial"/>
                <w:sz w:val="14"/>
                <w:szCs w:val="14"/>
                <w:b w:val="1"/>
                <w:bCs w:val="1"/>
                <w:color w:val="auto"/>
                <w:w w:val="88"/>
              </w:rPr>
              <w:t>Compen-</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8" w:lineRule="exact"/>
              <w:rPr>
                <w:sz w:val="20"/>
                <w:szCs w:val="20"/>
                <w:color w:val="auto"/>
              </w:rPr>
            </w:pPr>
            <w:r>
              <w:rPr>
                <w:rFonts w:ascii="Arial" w:cs="Arial" w:eastAsia="Arial" w:hAnsi="Arial"/>
                <w:sz w:val="14"/>
                <w:szCs w:val="14"/>
                <w:b w:val="1"/>
                <w:bCs w:val="1"/>
                <w:color w:val="auto"/>
                <w:w w:val="82"/>
              </w:rPr>
              <w:t>sation</w:t>
            </w:r>
          </w:p>
        </w:tc>
        <w:tc>
          <w:tcPr>
            <w:tcW w:w="76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Compen-</w:t>
            </w: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0"/>
        </w:trPr>
        <w:tc>
          <w:tcPr>
            <w:tcW w:w="3040" w:type="dxa"/>
            <w:vAlign w:val="bottom"/>
            <w:tcBorders>
              <w:left w:val="single" w:sz="8" w:color="auto"/>
              <w:right w:val="single" w:sz="8" w:color="auto"/>
            </w:tcBorders>
          </w:tcPr>
          <w:p>
            <w:pPr>
              <w:ind w:left="740"/>
              <w:spacing w:after="0" w:line="141" w:lineRule="exact"/>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152"/>
              <w:spacing w:after="0" w:line="141"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w w:val="88"/>
              </w:rPr>
              <w:t>Salary ($)</w:t>
            </w:r>
          </w:p>
        </w:tc>
        <w:tc>
          <w:tcPr>
            <w:tcW w:w="56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w w:val="80"/>
              </w:rPr>
              <w:t>Bonus ($)</w:t>
            </w:r>
          </w:p>
        </w:tc>
        <w:tc>
          <w:tcPr>
            <w:tcW w:w="84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Awards ($)</w:t>
            </w:r>
          </w:p>
        </w:tc>
        <w:tc>
          <w:tcPr>
            <w:tcW w:w="82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Awards ($)</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132"/>
              <w:spacing w:after="0" w:line="141" w:lineRule="exact"/>
              <w:rPr>
                <w:sz w:val="20"/>
                <w:szCs w:val="20"/>
                <w:color w:val="auto"/>
              </w:rPr>
            </w:pPr>
            <w:r>
              <w:rPr>
                <w:rFonts w:ascii="Arial" w:cs="Arial" w:eastAsia="Arial" w:hAnsi="Arial"/>
                <w:sz w:val="14"/>
                <w:szCs w:val="14"/>
                <w:b w:val="1"/>
                <w:bCs w:val="1"/>
                <w:color w:val="auto"/>
                <w:w w:val="86"/>
              </w:rPr>
              <w:t>sation ($)</w:t>
            </w:r>
          </w:p>
        </w:tc>
        <w:tc>
          <w:tcPr>
            <w:tcW w:w="94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88"/>
              </w:rPr>
              <w:t>Earnings ($)</w:t>
            </w:r>
          </w:p>
        </w:tc>
        <w:tc>
          <w:tcPr>
            <w:tcW w:w="76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sation ($)</w:t>
            </w:r>
          </w:p>
        </w:tc>
        <w:tc>
          <w:tcPr>
            <w:tcW w:w="160" w:type="dxa"/>
            <w:vAlign w:val="bottom"/>
          </w:tcPr>
          <w:p>
            <w:pPr>
              <w:spacing w:after="0"/>
              <w:rPr>
                <w:sz w:val="12"/>
                <w:szCs w:val="12"/>
                <w:color w:val="auto"/>
              </w:rPr>
            </w:pPr>
          </w:p>
        </w:tc>
        <w:tc>
          <w:tcPr>
            <w:tcW w:w="76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rPr>
              <w:t>Total ($)</w:t>
            </w:r>
          </w:p>
        </w:tc>
      </w:tr>
      <w:tr>
        <w:trPr>
          <w:trHeight w:val="166"/>
        </w:trPr>
        <w:tc>
          <w:tcPr>
            <w:tcW w:w="3040" w:type="dxa"/>
            <w:vAlign w:val="bottom"/>
            <w:tcBorders>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(a)</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(b)</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1"/>
                <w:szCs w:val="11"/>
                <w:b w:val="1"/>
                <w:bCs w:val="1"/>
                <w:color w:val="auto"/>
              </w:rPr>
              <w:t>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5"/>
              </w:rPr>
              <w:t>(e)</w:t>
            </w:r>
            <w:r>
              <w:rPr>
                <w:rFonts w:ascii="Arial" w:cs="Arial" w:eastAsia="Arial" w:hAnsi="Arial"/>
                <w:sz w:val="11"/>
                <w:szCs w:val="11"/>
                <w:b w:val="1"/>
                <w:bCs w:val="1"/>
                <w:color w:val="auto"/>
                <w:w w:val="85"/>
              </w:rPr>
              <w:t>2</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(f)</w:t>
            </w:r>
            <w:r>
              <w:rPr>
                <w:rFonts w:ascii="Arial" w:cs="Arial" w:eastAsia="Arial" w:hAnsi="Arial"/>
                <w:sz w:val="11"/>
                <w:szCs w:val="11"/>
                <w:b w:val="1"/>
                <w:bCs w:val="1"/>
                <w:color w:val="auto"/>
                <w:w w:val="89"/>
              </w:rPr>
              <w:t>2</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(g)</w:t>
            </w:r>
            <w:r>
              <w:rPr>
                <w:rFonts w:ascii="Arial" w:cs="Arial" w:eastAsia="Arial" w:hAnsi="Arial"/>
                <w:sz w:val="11"/>
                <w:szCs w:val="11"/>
                <w:b w:val="1"/>
                <w:bCs w:val="1"/>
                <w:color w:val="auto"/>
                <w:w w:val="91"/>
              </w:rPr>
              <w:t>3</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(h)</w:t>
            </w:r>
            <w:r>
              <w:rPr>
                <w:rFonts w:ascii="Arial" w:cs="Arial" w:eastAsia="Arial" w:hAnsi="Arial"/>
                <w:sz w:val="11"/>
                <w:szCs w:val="11"/>
                <w:b w:val="1"/>
                <w:bCs w:val="1"/>
                <w:color w:val="auto"/>
                <w:w w:val="91"/>
              </w:rPr>
              <w:t>4</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2"/>
              </w:rPr>
              <w:t>(i)</w:t>
            </w:r>
            <w:r>
              <w:rPr>
                <w:rFonts w:ascii="Arial" w:cs="Arial" w:eastAsia="Arial" w:hAnsi="Arial"/>
                <w:sz w:val="11"/>
                <w:szCs w:val="11"/>
                <w:b w:val="1"/>
                <w:bCs w:val="1"/>
                <w:color w:val="auto"/>
                <w:w w:val="92"/>
              </w:rPr>
              <w:t>5</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(j)</w:t>
            </w:r>
          </w:p>
        </w:tc>
      </w:tr>
      <w:tr>
        <w:trPr>
          <w:trHeight w:val="115"/>
        </w:trPr>
        <w:tc>
          <w:tcPr>
            <w:tcW w:w="304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Timothy J. O’Shaughnessy</w:t>
            </w:r>
          </w:p>
        </w:tc>
        <w:tc>
          <w:tcPr>
            <w:tcW w:w="6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2018</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750,000</w:t>
            </w:r>
          </w:p>
        </w:tc>
        <w:tc>
          <w:tcPr>
            <w:tcW w:w="160" w:type="dxa"/>
            <w:vAlign w:val="bottom"/>
            <w:shd w:val="clear" w:color="auto" w:fill="CCEEFF"/>
          </w:tcPr>
          <w:p>
            <w:pPr>
              <w:spacing w:after="0"/>
              <w:rPr>
                <w:sz w:val="9"/>
                <w:szCs w:val="9"/>
                <w:color w:val="auto"/>
              </w:rPr>
            </w:pPr>
          </w:p>
        </w:tc>
        <w:tc>
          <w:tcPr>
            <w:tcW w:w="400" w:type="dxa"/>
            <w:vAlign w:val="bottom"/>
            <w:tcBorders>
              <w:right w:val="single" w:sz="8" w:color="auto"/>
            </w:tcBorders>
            <w:shd w:val="clear" w:color="auto" w:fill="CCEEFF"/>
          </w:tcPr>
          <w:p>
            <w:pPr>
              <w:ind w:left="80"/>
              <w:spacing w:after="0" w:line="11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9"/>
                <w:szCs w:val="9"/>
                <w:color w:val="auto"/>
              </w:rPr>
            </w:pPr>
          </w:p>
        </w:tc>
        <w:tc>
          <w:tcPr>
            <w:tcW w:w="66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2,205,807</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24,652</w:t>
            </w:r>
          </w:p>
        </w:tc>
        <w:tc>
          <w:tcPr>
            <w:tcW w:w="7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2,750</w:t>
            </w:r>
          </w:p>
        </w:tc>
        <w:tc>
          <w:tcPr>
            <w:tcW w:w="920" w:type="dxa"/>
            <w:vAlign w:val="bottom"/>
            <w:tcBorders>
              <w:right w:val="single" w:sz="8" w:color="auto"/>
            </w:tcBorders>
            <w:gridSpan w:val="2"/>
            <w:shd w:val="clear" w:color="auto" w:fill="CCEEFF"/>
          </w:tcPr>
          <w:p>
            <w:pPr>
              <w:ind w:left="200"/>
              <w:spacing w:after="0" w:line="115" w:lineRule="exact"/>
              <w:rPr>
                <w:sz w:val="20"/>
                <w:szCs w:val="20"/>
                <w:color w:val="auto"/>
              </w:rPr>
            </w:pPr>
            <w:r>
              <w:rPr>
                <w:rFonts w:ascii="Arial" w:cs="Arial" w:eastAsia="Arial" w:hAnsi="Arial"/>
                <w:sz w:val="12"/>
                <w:szCs w:val="12"/>
                <w:color w:val="auto"/>
              </w:rPr>
              <w:t>2,983,209</w:t>
            </w:r>
          </w:p>
        </w:tc>
      </w:tr>
      <w:tr>
        <w:trPr>
          <w:trHeight w:val="140"/>
        </w:trPr>
        <w:tc>
          <w:tcPr>
            <w:tcW w:w="3040" w:type="dxa"/>
            <w:vAlign w:val="bottom"/>
            <w:tcBorders>
              <w:left w:val="single" w:sz="8" w:color="auto"/>
              <w:right w:val="single" w:sz="8" w:color="auto"/>
            </w:tcBorders>
            <w:shd w:val="clear" w:color="auto" w:fill="CCEEFF"/>
          </w:tcPr>
          <w:p>
            <w:pPr>
              <w:ind w:left="140"/>
              <w:spacing w:after="0" w:line="141" w:lineRule="exact"/>
              <w:rPr>
                <w:sz w:val="20"/>
                <w:szCs w:val="20"/>
                <w:color w:val="auto"/>
              </w:rPr>
            </w:pPr>
            <w:r>
              <w:rPr>
                <w:rFonts w:ascii="Arial" w:cs="Arial" w:eastAsia="Arial" w:hAnsi="Arial"/>
                <w:sz w:val="14"/>
                <w:szCs w:val="14"/>
                <w:color w:val="auto"/>
              </w:rPr>
              <w:t>President and Chief Executive Officer</w:t>
            </w:r>
          </w:p>
        </w:tc>
        <w:tc>
          <w:tcPr>
            <w:tcW w:w="66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2017</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ind w:right="94"/>
              <w:spacing w:after="0" w:line="141"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center"/>
              <w:ind w:right="94"/>
              <w:spacing w:after="0" w:line="141"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682,366</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13,496</w:t>
            </w:r>
          </w:p>
        </w:tc>
        <w:tc>
          <w:tcPr>
            <w:tcW w:w="76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2,700</w:t>
            </w:r>
          </w:p>
        </w:tc>
        <w:tc>
          <w:tcPr>
            <w:tcW w:w="920" w:type="dxa"/>
            <w:vAlign w:val="bottom"/>
            <w:tcBorders>
              <w:right w:val="single" w:sz="8" w:color="auto"/>
            </w:tcBorders>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1,448,562</w:t>
            </w:r>
          </w:p>
        </w:tc>
      </w:tr>
      <w:tr>
        <w:trPr>
          <w:trHeight w:val="159"/>
        </w:trPr>
        <w:tc>
          <w:tcPr>
            <w:tcW w:w="304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750,000</w:t>
            </w:r>
          </w:p>
        </w:tc>
        <w:tc>
          <w:tcPr>
            <w:tcW w:w="1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right w:val="single" w:sz="8" w:color="auto"/>
            </w:tcBorders>
            <w:shd w:val="clear" w:color="auto" w:fill="CCEEFF"/>
          </w:tcPr>
          <w:p>
            <w:pPr>
              <w:jc w:val="center"/>
              <w:ind w:right="94"/>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auto"/>
            </w:tcBorders>
            <w:shd w:val="clear" w:color="auto" w:fill="CCEEFF"/>
          </w:tcPr>
          <w:p>
            <w:pPr>
              <w:jc w:val="center"/>
              <w:ind w:right="94"/>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1,860,025</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6,417</w:t>
            </w:r>
          </w:p>
        </w:tc>
        <w:tc>
          <w:tcPr>
            <w:tcW w:w="76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2,500</w:t>
            </w:r>
          </w:p>
        </w:tc>
        <w:tc>
          <w:tcPr>
            <w:tcW w:w="920" w:type="dxa"/>
            <w:vAlign w:val="bottom"/>
            <w:tcBorders>
              <w:bottom w:val="single" w:sz="8" w:color="auto"/>
              <w:right w:val="single" w:sz="8" w:color="auto"/>
            </w:tcBorders>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2,618,942</w:t>
            </w:r>
          </w:p>
        </w:tc>
      </w:tr>
      <w:tr>
        <w:trPr>
          <w:trHeight w:val="115"/>
        </w:trPr>
        <w:tc>
          <w:tcPr>
            <w:tcW w:w="304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Wallace R. Cooney</w:t>
            </w:r>
          </w:p>
        </w:tc>
        <w:tc>
          <w:tcPr>
            <w:tcW w:w="66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2018</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580,000</w:t>
            </w:r>
          </w:p>
        </w:tc>
        <w:tc>
          <w:tcPr>
            <w:tcW w:w="160" w:type="dxa"/>
            <w:vAlign w:val="bottom"/>
          </w:tcPr>
          <w:p>
            <w:pPr>
              <w:spacing w:after="0"/>
              <w:rPr>
                <w:sz w:val="9"/>
                <w:szCs w:val="9"/>
                <w:color w:val="auto"/>
              </w:rPr>
            </w:pPr>
          </w:p>
        </w:tc>
        <w:tc>
          <w:tcPr>
            <w:tcW w:w="400" w:type="dxa"/>
            <w:vAlign w:val="bottom"/>
            <w:tcBorders>
              <w:right w:val="single" w:sz="8" w:color="auto"/>
            </w:tcBorders>
          </w:tcPr>
          <w:p>
            <w:pPr>
              <w:ind w:left="80"/>
              <w:spacing w:after="0" w:line="11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80" w:type="dxa"/>
            <w:vAlign w:val="bottom"/>
            <w:tcBorders>
              <w:right w:val="single" w:sz="8" w:color="auto"/>
            </w:tcBorders>
          </w:tcPr>
          <w:p>
            <w:pPr>
              <w:jc w:val="center"/>
              <w:ind w:right="94"/>
              <w:spacing w:after="0" w:line="115" w:lineRule="exact"/>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9"/>
                <w:szCs w:val="9"/>
                <w:color w:val="auto"/>
              </w:rPr>
            </w:pPr>
          </w:p>
        </w:tc>
        <w:tc>
          <w:tcPr>
            <w:tcW w:w="660" w:type="dxa"/>
            <w:vAlign w:val="bottom"/>
            <w:tcBorders>
              <w:right w:val="single" w:sz="8" w:color="auto"/>
            </w:tcBorders>
          </w:tcPr>
          <w:p>
            <w:pPr>
              <w:jc w:val="center"/>
              <w:ind w:right="94"/>
              <w:spacing w:after="0" w:line="115" w:lineRule="exact"/>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1,119,612</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44,099</w:t>
            </w:r>
          </w:p>
        </w:tc>
        <w:tc>
          <w:tcPr>
            <w:tcW w:w="76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11,070</w:t>
            </w:r>
          </w:p>
        </w:tc>
        <w:tc>
          <w:tcPr>
            <w:tcW w:w="920" w:type="dxa"/>
            <w:vAlign w:val="bottom"/>
            <w:tcBorders>
              <w:right w:val="single" w:sz="8" w:color="auto"/>
            </w:tcBorders>
            <w:gridSpan w:val="2"/>
          </w:tcPr>
          <w:p>
            <w:pPr>
              <w:ind w:left="200"/>
              <w:spacing w:after="0" w:line="115" w:lineRule="exact"/>
              <w:rPr>
                <w:sz w:val="20"/>
                <w:szCs w:val="20"/>
                <w:color w:val="auto"/>
              </w:rPr>
            </w:pPr>
            <w:r>
              <w:rPr>
                <w:rFonts w:ascii="Arial" w:cs="Arial" w:eastAsia="Arial" w:hAnsi="Arial"/>
                <w:sz w:val="12"/>
                <w:szCs w:val="12"/>
                <w:color w:val="auto"/>
              </w:rPr>
              <w:t>1,754,781</w:t>
            </w:r>
          </w:p>
        </w:tc>
      </w:tr>
      <w:tr>
        <w:trPr>
          <w:trHeight w:val="140"/>
        </w:trPr>
        <w:tc>
          <w:tcPr>
            <w:tcW w:w="3040" w:type="dxa"/>
            <w:vAlign w:val="bottom"/>
            <w:tcBorders>
              <w:left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w w:val="90"/>
              </w:rPr>
              <w:t>Senior Vice President–Finance and Chief Financial</w:t>
            </w:r>
          </w:p>
        </w:tc>
        <w:tc>
          <w:tcPr>
            <w:tcW w:w="66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2017</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555,000</w:t>
            </w:r>
          </w:p>
        </w:tc>
        <w:tc>
          <w:tcPr>
            <w:tcW w:w="160" w:type="dxa"/>
            <w:vAlign w:val="bottom"/>
          </w:tcPr>
          <w:p>
            <w:pPr>
              <w:spacing w:after="0"/>
              <w:rPr>
                <w:sz w:val="12"/>
                <w:szCs w:val="12"/>
                <w:color w:val="auto"/>
              </w:rPr>
            </w:pPr>
          </w:p>
        </w:tc>
        <w:tc>
          <w:tcPr>
            <w:tcW w:w="40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86"/>
              </w:rPr>
              <w:t>314,336</w:t>
            </w:r>
          </w:p>
        </w:tc>
        <w:tc>
          <w:tcPr>
            <w:tcW w:w="82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86"/>
              </w:rPr>
              <w:t>240,932</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252,475</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153,265</w:t>
            </w:r>
          </w:p>
        </w:tc>
        <w:tc>
          <w:tcPr>
            <w:tcW w:w="76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10,330</w:t>
            </w:r>
          </w:p>
        </w:tc>
        <w:tc>
          <w:tcPr>
            <w:tcW w:w="920" w:type="dxa"/>
            <w:vAlign w:val="bottom"/>
            <w:tcBorders>
              <w:right w:val="single" w:sz="8" w:color="auto"/>
            </w:tcBorders>
            <w:gridSpan w:val="2"/>
          </w:tcPr>
          <w:p>
            <w:pPr>
              <w:ind w:left="200"/>
              <w:spacing w:after="0" w:line="141" w:lineRule="exact"/>
              <w:rPr>
                <w:sz w:val="20"/>
                <w:szCs w:val="20"/>
                <w:color w:val="auto"/>
              </w:rPr>
            </w:pPr>
            <w:r>
              <w:rPr>
                <w:rFonts w:ascii="Arial" w:cs="Arial" w:eastAsia="Arial" w:hAnsi="Arial"/>
                <w:sz w:val="14"/>
                <w:szCs w:val="14"/>
                <w:color w:val="auto"/>
              </w:rPr>
              <w:t>1,526,338</w:t>
            </w:r>
          </w:p>
        </w:tc>
      </w:tr>
      <w:tr>
        <w:trPr>
          <w:trHeight w:val="159"/>
        </w:trPr>
        <w:tc>
          <w:tcPr>
            <w:tcW w:w="3040" w:type="dxa"/>
            <w:vAlign w:val="bottom"/>
            <w:tcBorders>
              <w:left w:val="single" w:sz="8" w:color="auto"/>
              <w:bottom w:val="single" w:sz="8" w:color="auto"/>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Officer</w:t>
            </w:r>
          </w:p>
        </w:tc>
        <w:tc>
          <w:tcPr>
            <w:tcW w:w="66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480,000</w:t>
            </w: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center"/>
              <w:ind w:right="94"/>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ind w:right="94"/>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920,166</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95,188</w:t>
            </w:r>
          </w:p>
        </w:tc>
        <w:tc>
          <w:tcPr>
            <w:tcW w:w="76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11,243</w:t>
            </w:r>
          </w:p>
        </w:tc>
        <w:tc>
          <w:tcPr>
            <w:tcW w:w="920" w:type="dxa"/>
            <w:vAlign w:val="bottom"/>
            <w:tcBorders>
              <w:bottom w:val="single" w:sz="8" w:color="auto"/>
              <w:right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1,506,597</w:t>
            </w:r>
          </w:p>
        </w:tc>
      </w:tr>
      <w:tr>
        <w:trPr>
          <w:trHeight w:val="115"/>
        </w:trPr>
        <w:tc>
          <w:tcPr>
            <w:tcW w:w="304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Andrew S. Rosen</w:t>
            </w:r>
          </w:p>
        </w:tc>
        <w:tc>
          <w:tcPr>
            <w:tcW w:w="6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2018</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1,625,000</w:t>
            </w:r>
          </w:p>
        </w:tc>
        <w:tc>
          <w:tcPr>
            <w:tcW w:w="160" w:type="dxa"/>
            <w:vAlign w:val="bottom"/>
            <w:shd w:val="clear" w:color="auto" w:fill="CCEEFF"/>
          </w:tcPr>
          <w:p>
            <w:pPr>
              <w:spacing w:after="0"/>
              <w:rPr>
                <w:sz w:val="9"/>
                <w:szCs w:val="9"/>
                <w:color w:val="auto"/>
              </w:rPr>
            </w:pPr>
          </w:p>
        </w:tc>
        <w:tc>
          <w:tcPr>
            <w:tcW w:w="400" w:type="dxa"/>
            <w:vAlign w:val="bottom"/>
            <w:tcBorders>
              <w:right w:val="single" w:sz="8" w:color="auto"/>
            </w:tcBorders>
            <w:shd w:val="clear" w:color="auto" w:fill="CCEEFF"/>
          </w:tcPr>
          <w:p>
            <w:pPr>
              <w:ind w:left="80"/>
              <w:spacing w:after="0" w:line="11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9"/>
                <w:szCs w:val="9"/>
                <w:color w:val="auto"/>
              </w:rPr>
            </w:pPr>
          </w:p>
        </w:tc>
        <w:tc>
          <w:tcPr>
            <w:tcW w:w="66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2,693,500</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25,965</w:t>
            </w:r>
          </w:p>
        </w:tc>
        <w:tc>
          <w:tcPr>
            <w:tcW w:w="7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61,390</w:t>
            </w:r>
          </w:p>
        </w:tc>
        <w:tc>
          <w:tcPr>
            <w:tcW w:w="920" w:type="dxa"/>
            <w:vAlign w:val="bottom"/>
            <w:tcBorders>
              <w:right w:val="single" w:sz="8" w:color="auto"/>
            </w:tcBorders>
            <w:gridSpan w:val="2"/>
            <w:shd w:val="clear" w:color="auto" w:fill="CCEEFF"/>
          </w:tcPr>
          <w:p>
            <w:pPr>
              <w:ind w:left="200"/>
              <w:spacing w:after="0" w:line="115" w:lineRule="exact"/>
              <w:rPr>
                <w:sz w:val="20"/>
                <w:szCs w:val="20"/>
                <w:color w:val="auto"/>
              </w:rPr>
            </w:pPr>
            <w:r>
              <w:rPr>
                <w:rFonts w:ascii="Arial" w:cs="Arial" w:eastAsia="Arial" w:hAnsi="Arial"/>
                <w:sz w:val="12"/>
                <w:szCs w:val="12"/>
                <w:color w:val="auto"/>
              </w:rPr>
              <w:t>4,405,855</w:t>
            </w:r>
          </w:p>
        </w:tc>
      </w:tr>
      <w:tr>
        <w:trPr>
          <w:trHeight w:val="140"/>
        </w:trPr>
        <w:tc>
          <w:tcPr>
            <w:tcW w:w="3040" w:type="dxa"/>
            <w:vAlign w:val="bottom"/>
            <w:tcBorders>
              <w:left w:val="single" w:sz="8" w:color="auto"/>
              <w:right w:val="single" w:sz="8" w:color="auto"/>
            </w:tcBorders>
            <w:shd w:val="clear" w:color="auto" w:fill="CCEEFF"/>
          </w:tcPr>
          <w:p>
            <w:pPr>
              <w:ind w:left="140"/>
              <w:spacing w:after="0" w:line="141" w:lineRule="exact"/>
              <w:rPr>
                <w:sz w:val="20"/>
                <w:szCs w:val="20"/>
                <w:color w:val="auto"/>
              </w:rPr>
            </w:pPr>
            <w:r>
              <w:rPr>
                <w:rFonts w:ascii="Arial" w:cs="Arial" w:eastAsia="Arial" w:hAnsi="Arial"/>
                <w:sz w:val="14"/>
                <w:szCs w:val="14"/>
                <w:color w:val="auto"/>
              </w:rPr>
              <w:t>Chairman–Kaplan Inc. and Executive Vice</w:t>
            </w:r>
          </w:p>
        </w:tc>
        <w:tc>
          <w:tcPr>
            <w:tcW w:w="66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2017</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1,625,000</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shd w:val="clear" w:color="auto" w:fill="CCEEFF"/>
          </w:tcPr>
          <w:p>
            <w:pPr>
              <w:jc w:val="center"/>
              <w:spacing w:after="0" w:line="141" w:lineRule="exact"/>
              <w:rPr>
                <w:sz w:val="20"/>
                <w:szCs w:val="20"/>
                <w:color w:val="auto"/>
              </w:rPr>
            </w:pPr>
            <w:r>
              <w:rPr>
                <w:rFonts w:ascii="Arial" w:cs="Arial" w:eastAsia="Arial" w:hAnsi="Arial"/>
                <w:sz w:val="14"/>
                <w:szCs w:val="14"/>
                <w:color w:val="auto"/>
                <w:w w:val="86"/>
              </w:rPr>
              <w:t>518,975</w:t>
            </w:r>
          </w:p>
        </w:tc>
        <w:tc>
          <w:tcPr>
            <w:tcW w:w="1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center"/>
              <w:ind w:right="94"/>
              <w:spacing w:after="0" w:line="141"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1,119,141</w:t>
            </w:r>
          </w:p>
        </w:tc>
        <w:tc>
          <w:tcPr>
            <w:tcW w:w="94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3,173,794</w:t>
            </w:r>
          </w:p>
        </w:tc>
        <w:tc>
          <w:tcPr>
            <w:tcW w:w="760" w:type="dxa"/>
            <w:vAlign w:val="bottom"/>
            <w:tcBorders>
              <w:right w:val="single" w:sz="8" w:color="auto"/>
            </w:tcBorders>
            <w:gridSpan w:val="2"/>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60,010</w:t>
            </w:r>
          </w:p>
        </w:tc>
        <w:tc>
          <w:tcPr>
            <w:tcW w:w="920" w:type="dxa"/>
            <w:vAlign w:val="bottom"/>
            <w:tcBorders>
              <w:right w:val="single" w:sz="8" w:color="auto"/>
            </w:tcBorders>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6,496,920</w:t>
            </w:r>
          </w:p>
        </w:tc>
      </w:tr>
      <w:tr>
        <w:trPr>
          <w:trHeight w:val="159"/>
        </w:trPr>
        <w:tc>
          <w:tcPr>
            <w:tcW w:w="3040" w:type="dxa"/>
            <w:vAlign w:val="bottom"/>
            <w:tcBorders>
              <w:left w:val="single" w:sz="8" w:color="auto"/>
              <w:bottom w:val="single" w:sz="8" w:color="auto"/>
              <w:right w:val="single" w:sz="8" w:color="auto"/>
            </w:tcBorders>
            <w:shd w:val="clear" w:color="auto" w:fill="CCEEFF"/>
          </w:tcPr>
          <w:p>
            <w:pPr>
              <w:ind w:left="280"/>
              <w:spacing w:after="0" w:line="159" w:lineRule="exact"/>
              <w:rPr>
                <w:sz w:val="20"/>
                <w:szCs w:val="20"/>
                <w:color w:val="auto"/>
              </w:rPr>
            </w:pPr>
            <w:r>
              <w:rPr>
                <w:rFonts w:ascii="Arial" w:cs="Arial" w:eastAsia="Arial" w:hAnsi="Arial"/>
                <w:sz w:val="14"/>
                <w:szCs w:val="14"/>
                <w:color w:val="auto"/>
              </w:rPr>
              <w:t>President–Graham Holdings Co.</w:t>
            </w:r>
          </w:p>
        </w:tc>
        <w:tc>
          <w:tcPr>
            <w:tcW w:w="66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1,625,000</w:t>
            </w:r>
          </w:p>
        </w:tc>
        <w:tc>
          <w:tcPr>
            <w:tcW w:w="1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right w:val="single" w:sz="8" w:color="auto"/>
            </w:tcBorders>
            <w:shd w:val="clear" w:color="auto" w:fill="CCEEFF"/>
          </w:tcPr>
          <w:p>
            <w:pPr>
              <w:jc w:val="center"/>
              <w:ind w:right="94"/>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auto"/>
            </w:tcBorders>
            <w:shd w:val="clear" w:color="auto" w:fill="CCEEFF"/>
          </w:tcPr>
          <w:p>
            <w:pPr>
              <w:jc w:val="center"/>
              <w:ind w:right="94"/>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1,901,877</w:t>
            </w:r>
          </w:p>
        </w:tc>
        <w:tc>
          <w:tcPr>
            <w:tcW w:w="94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1,988,664</w:t>
            </w:r>
          </w:p>
        </w:tc>
        <w:tc>
          <w:tcPr>
            <w:tcW w:w="760" w:type="dxa"/>
            <w:vAlign w:val="bottom"/>
            <w:tcBorders>
              <w:bottom w:val="single" w:sz="8" w:color="auto"/>
              <w:right w:val="single" w:sz="8" w:color="auto"/>
            </w:tcBorders>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81,311</w:t>
            </w:r>
          </w:p>
        </w:tc>
        <w:tc>
          <w:tcPr>
            <w:tcW w:w="920" w:type="dxa"/>
            <w:vAlign w:val="bottom"/>
            <w:tcBorders>
              <w:bottom w:val="single" w:sz="8" w:color="auto"/>
              <w:right w:val="single" w:sz="8" w:color="auto"/>
            </w:tcBorders>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5,596,852</w:t>
            </w:r>
          </w:p>
        </w:tc>
      </w:tr>
      <w:tr>
        <w:trPr>
          <w:trHeight w:val="115"/>
        </w:trPr>
        <w:tc>
          <w:tcPr>
            <w:tcW w:w="304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Nicole M. Maddrey</w:t>
            </w:r>
          </w:p>
        </w:tc>
        <w:tc>
          <w:tcPr>
            <w:tcW w:w="66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2018</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575,000</w:t>
            </w:r>
          </w:p>
        </w:tc>
        <w:tc>
          <w:tcPr>
            <w:tcW w:w="160" w:type="dxa"/>
            <w:vAlign w:val="bottom"/>
          </w:tcPr>
          <w:p>
            <w:pPr>
              <w:spacing w:after="0"/>
              <w:rPr>
                <w:sz w:val="9"/>
                <w:szCs w:val="9"/>
                <w:color w:val="auto"/>
              </w:rPr>
            </w:pPr>
          </w:p>
        </w:tc>
        <w:tc>
          <w:tcPr>
            <w:tcW w:w="400" w:type="dxa"/>
            <w:vAlign w:val="bottom"/>
            <w:tcBorders>
              <w:right w:val="single" w:sz="8" w:color="auto"/>
            </w:tcBorders>
          </w:tcPr>
          <w:p>
            <w:pPr>
              <w:ind w:left="80"/>
              <w:spacing w:after="0" w:line="11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80" w:type="dxa"/>
            <w:vAlign w:val="bottom"/>
            <w:tcBorders>
              <w:right w:val="single" w:sz="8" w:color="auto"/>
            </w:tcBorders>
          </w:tcPr>
          <w:p>
            <w:pPr>
              <w:jc w:val="center"/>
              <w:ind w:right="94"/>
              <w:spacing w:after="0" w:line="115" w:lineRule="exact"/>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9"/>
                <w:szCs w:val="9"/>
                <w:color w:val="auto"/>
              </w:rPr>
            </w:pPr>
          </w:p>
        </w:tc>
        <w:tc>
          <w:tcPr>
            <w:tcW w:w="660" w:type="dxa"/>
            <w:vAlign w:val="bottom"/>
            <w:tcBorders>
              <w:right w:val="single" w:sz="8" w:color="auto"/>
            </w:tcBorders>
          </w:tcPr>
          <w:p>
            <w:pPr>
              <w:jc w:val="center"/>
              <w:ind w:right="94"/>
              <w:spacing w:after="0" w:line="115" w:lineRule="exact"/>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1,019,347</w:t>
            </w:r>
          </w:p>
        </w:tc>
        <w:tc>
          <w:tcPr>
            <w:tcW w:w="94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20,831</w:t>
            </w:r>
          </w:p>
        </w:tc>
        <w:tc>
          <w:tcPr>
            <w:tcW w:w="760" w:type="dxa"/>
            <w:vAlign w:val="bottom"/>
            <w:tcBorders>
              <w:right w:val="single" w:sz="8" w:color="auto"/>
            </w:tcBorders>
            <w:gridSpan w:val="2"/>
          </w:tcPr>
          <w:p>
            <w:pPr>
              <w:jc w:val="right"/>
              <w:ind w:right="132"/>
              <w:spacing w:after="0" w:line="115" w:lineRule="exact"/>
              <w:rPr>
                <w:sz w:val="20"/>
                <w:szCs w:val="20"/>
                <w:color w:val="auto"/>
              </w:rPr>
            </w:pPr>
            <w:r>
              <w:rPr>
                <w:rFonts w:ascii="Arial" w:cs="Arial" w:eastAsia="Arial" w:hAnsi="Arial"/>
                <w:sz w:val="12"/>
                <w:szCs w:val="12"/>
                <w:color w:val="auto"/>
              </w:rPr>
              <w:t>11,820</w:t>
            </w:r>
          </w:p>
        </w:tc>
        <w:tc>
          <w:tcPr>
            <w:tcW w:w="920" w:type="dxa"/>
            <w:vAlign w:val="bottom"/>
            <w:tcBorders>
              <w:right w:val="single" w:sz="8" w:color="auto"/>
            </w:tcBorders>
            <w:gridSpan w:val="2"/>
          </w:tcPr>
          <w:p>
            <w:pPr>
              <w:ind w:left="200"/>
              <w:spacing w:after="0" w:line="115" w:lineRule="exact"/>
              <w:rPr>
                <w:sz w:val="20"/>
                <w:szCs w:val="20"/>
                <w:color w:val="auto"/>
              </w:rPr>
            </w:pPr>
            <w:r>
              <w:rPr>
                <w:rFonts w:ascii="Arial" w:cs="Arial" w:eastAsia="Arial" w:hAnsi="Arial"/>
                <w:sz w:val="12"/>
                <w:szCs w:val="12"/>
                <w:color w:val="auto"/>
              </w:rPr>
              <w:t>1,626,998</w:t>
            </w:r>
          </w:p>
        </w:tc>
      </w:tr>
      <w:tr>
        <w:trPr>
          <w:trHeight w:val="140"/>
        </w:trPr>
        <w:tc>
          <w:tcPr>
            <w:tcW w:w="3040" w:type="dxa"/>
            <w:vAlign w:val="bottom"/>
            <w:tcBorders>
              <w:left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rPr>
              <w:t>Senior Vice President, General Counsel and</w:t>
            </w:r>
          </w:p>
        </w:tc>
        <w:tc>
          <w:tcPr>
            <w:tcW w:w="66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2017</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525,000</w:t>
            </w:r>
          </w:p>
        </w:tc>
        <w:tc>
          <w:tcPr>
            <w:tcW w:w="160" w:type="dxa"/>
            <w:vAlign w:val="bottom"/>
          </w:tcPr>
          <w:p>
            <w:pPr>
              <w:spacing w:after="0"/>
              <w:rPr>
                <w:sz w:val="12"/>
                <w:szCs w:val="12"/>
                <w:color w:val="auto"/>
              </w:rPr>
            </w:pPr>
          </w:p>
        </w:tc>
        <w:tc>
          <w:tcPr>
            <w:tcW w:w="40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86"/>
              </w:rPr>
              <w:t>259,488</w:t>
            </w:r>
          </w:p>
        </w:tc>
        <w:tc>
          <w:tcPr>
            <w:tcW w:w="160" w:type="dxa"/>
            <w:vAlign w:val="bottom"/>
          </w:tcPr>
          <w:p>
            <w:pPr>
              <w:spacing w:after="0"/>
              <w:rPr>
                <w:sz w:val="12"/>
                <w:szCs w:val="12"/>
                <w:color w:val="auto"/>
              </w:rPr>
            </w:pPr>
          </w:p>
        </w:tc>
        <w:tc>
          <w:tcPr>
            <w:tcW w:w="660" w:type="dxa"/>
            <w:vAlign w:val="bottom"/>
            <w:tcBorders>
              <w:right w:val="single" w:sz="8" w:color="auto"/>
            </w:tcBorders>
          </w:tcPr>
          <w:p>
            <w:pPr>
              <w:jc w:val="center"/>
              <w:ind w:right="94"/>
              <w:spacing w:after="0" w:line="141"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191,063</w:t>
            </w:r>
          </w:p>
        </w:tc>
        <w:tc>
          <w:tcPr>
            <w:tcW w:w="94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119,034</w:t>
            </w:r>
          </w:p>
        </w:tc>
        <w:tc>
          <w:tcPr>
            <w:tcW w:w="760" w:type="dxa"/>
            <w:vAlign w:val="bottom"/>
            <w:tcBorders>
              <w:right w:val="single" w:sz="8" w:color="auto"/>
            </w:tcBorders>
            <w:gridSpan w:val="2"/>
          </w:tcPr>
          <w:p>
            <w:pPr>
              <w:jc w:val="right"/>
              <w:ind w:right="132"/>
              <w:spacing w:after="0" w:line="141" w:lineRule="exact"/>
              <w:rPr>
                <w:sz w:val="20"/>
                <w:szCs w:val="20"/>
                <w:color w:val="auto"/>
              </w:rPr>
            </w:pPr>
            <w:r>
              <w:rPr>
                <w:rFonts w:ascii="Arial" w:cs="Arial" w:eastAsia="Arial" w:hAnsi="Arial"/>
                <w:sz w:val="14"/>
                <w:szCs w:val="14"/>
                <w:color w:val="auto"/>
              </w:rPr>
              <w:t>12,415</w:t>
            </w:r>
          </w:p>
        </w:tc>
        <w:tc>
          <w:tcPr>
            <w:tcW w:w="920" w:type="dxa"/>
            <w:vAlign w:val="bottom"/>
            <w:tcBorders>
              <w:right w:val="single" w:sz="8" w:color="auto"/>
            </w:tcBorders>
            <w:gridSpan w:val="2"/>
          </w:tcPr>
          <w:p>
            <w:pPr>
              <w:ind w:left="200"/>
              <w:spacing w:after="0" w:line="141" w:lineRule="exact"/>
              <w:rPr>
                <w:sz w:val="20"/>
                <w:szCs w:val="20"/>
                <w:color w:val="auto"/>
              </w:rPr>
            </w:pPr>
            <w:r>
              <w:rPr>
                <w:rFonts w:ascii="Arial" w:cs="Arial" w:eastAsia="Arial" w:hAnsi="Arial"/>
                <w:sz w:val="14"/>
                <w:szCs w:val="14"/>
                <w:color w:val="auto"/>
              </w:rPr>
              <w:t>1,107,000</w:t>
            </w:r>
          </w:p>
        </w:tc>
      </w:tr>
      <w:tr>
        <w:trPr>
          <w:trHeight w:val="159"/>
        </w:trPr>
        <w:tc>
          <w:tcPr>
            <w:tcW w:w="3040" w:type="dxa"/>
            <w:vAlign w:val="bottom"/>
            <w:tcBorders>
              <w:left w:val="single" w:sz="8" w:color="auto"/>
              <w:bottom w:val="single" w:sz="8" w:color="auto"/>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Secretary</w:t>
            </w:r>
          </w:p>
        </w:tc>
        <w:tc>
          <w:tcPr>
            <w:tcW w:w="66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525,000</w:t>
            </w: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center"/>
              <w:ind w:right="94"/>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ind w:right="94"/>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590,807</w:t>
            </w:r>
          </w:p>
        </w:tc>
        <w:tc>
          <w:tcPr>
            <w:tcW w:w="94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73,519</w:t>
            </w:r>
          </w:p>
        </w:tc>
        <w:tc>
          <w:tcPr>
            <w:tcW w:w="760" w:type="dxa"/>
            <w:vAlign w:val="bottom"/>
            <w:tcBorders>
              <w:bottom w:val="single" w:sz="8" w:color="auto"/>
              <w:right w:val="single" w:sz="8" w:color="auto"/>
            </w:tcBorders>
            <w:gridSpan w:val="2"/>
          </w:tcPr>
          <w:p>
            <w:pPr>
              <w:jc w:val="right"/>
              <w:ind w:right="132"/>
              <w:spacing w:after="0" w:line="159" w:lineRule="exact"/>
              <w:rPr>
                <w:sz w:val="20"/>
                <w:szCs w:val="20"/>
                <w:color w:val="auto"/>
              </w:rPr>
            </w:pPr>
            <w:r>
              <w:rPr>
                <w:rFonts w:ascii="Arial" w:cs="Arial" w:eastAsia="Arial" w:hAnsi="Arial"/>
                <w:sz w:val="14"/>
                <w:szCs w:val="14"/>
                <w:color w:val="auto"/>
              </w:rPr>
              <w:t>17,284</w:t>
            </w:r>
          </w:p>
        </w:tc>
        <w:tc>
          <w:tcPr>
            <w:tcW w:w="920" w:type="dxa"/>
            <w:vAlign w:val="bottom"/>
            <w:tcBorders>
              <w:bottom w:val="single" w:sz="8" w:color="auto"/>
              <w:right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1,206,610</w:t>
            </w:r>
          </w:p>
        </w:tc>
      </w:tr>
      <w:tr>
        <w:trPr>
          <w:trHeight w:val="126"/>
        </w:trPr>
        <w:tc>
          <w:tcPr>
            <w:tcW w:w="304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Jacob M. Maas</w:t>
            </w:r>
          </w:p>
        </w:tc>
        <w:tc>
          <w:tcPr>
            <w:tcW w:w="6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2018</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575,000</w:t>
            </w: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ind w:left="80"/>
              <w:spacing w:after="0" w:line="11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jc w:val="center"/>
              <w:ind w:right="94"/>
              <w:spacing w:after="0" w:line="115" w:lineRule="exact"/>
              <w:rPr>
                <w:sz w:val="20"/>
                <w:szCs w:val="20"/>
                <w:color w:val="auto"/>
              </w:rPr>
            </w:pPr>
            <w:r>
              <w:rPr>
                <w:rFonts w:ascii="Arial" w:cs="Arial" w:eastAsia="Arial" w:hAnsi="Arial"/>
                <w:sz w:val="12"/>
                <w:szCs w:val="12"/>
                <w:color w:val="auto"/>
              </w:rPr>
              <w:t>—</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828,847</w:t>
            </w:r>
          </w:p>
        </w:tc>
        <w:tc>
          <w:tcPr>
            <w:tcW w:w="94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19,598</w:t>
            </w:r>
          </w:p>
        </w:tc>
        <w:tc>
          <w:tcPr>
            <w:tcW w:w="760" w:type="dxa"/>
            <w:vAlign w:val="bottom"/>
            <w:tcBorders>
              <w:right w:val="single" w:sz="8" w:color="auto"/>
            </w:tcBorders>
            <w:gridSpan w:val="2"/>
            <w:shd w:val="clear" w:color="auto" w:fill="CCEEFF"/>
          </w:tcPr>
          <w:p>
            <w:pPr>
              <w:jc w:val="right"/>
              <w:ind w:right="132"/>
              <w:spacing w:after="0" w:line="115" w:lineRule="exact"/>
              <w:rPr>
                <w:sz w:val="20"/>
                <w:szCs w:val="20"/>
                <w:color w:val="auto"/>
              </w:rPr>
            </w:pPr>
            <w:r>
              <w:rPr>
                <w:rFonts w:ascii="Arial" w:cs="Arial" w:eastAsia="Arial" w:hAnsi="Arial"/>
                <w:sz w:val="12"/>
                <w:szCs w:val="12"/>
                <w:color w:val="auto"/>
              </w:rPr>
              <w:t>4,878</w:t>
            </w:r>
          </w:p>
        </w:tc>
        <w:tc>
          <w:tcPr>
            <w:tcW w:w="920" w:type="dxa"/>
            <w:vAlign w:val="bottom"/>
            <w:tcBorders>
              <w:right w:val="single" w:sz="8" w:color="auto"/>
            </w:tcBorders>
            <w:gridSpan w:val="2"/>
            <w:shd w:val="clear" w:color="auto" w:fill="CCEEFF"/>
          </w:tcPr>
          <w:p>
            <w:pPr>
              <w:ind w:left="200"/>
              <w:spacing w:after="0" w:line="115" w:lineRule="exact"/>
              <w:rPr>
                <w:sz w:val="20"/>
                <w:szCs w:val="20"/>
                <w:color w:val="auto"/>
              </w:rPr>
            </w:pPr>
            <w:r>
              <w:rPr>
                <w:rFonts w:ascii="Arial" w:cs="Arial" w:eastAsia="Arial" w:hAnsi="Arial"/>
                <w:sz w:val="12"/>
                <w:szCs w:val="12"/>
                <w:color w:val="auto"/>
              </w:rPr>
              <w:t>1,428,323</w:t>
            </w:r>
          </w:p>
        </w:tc>
      </w:tr>
      <w:tr>
        <w:trPr>
          <w:trHeight w:val="128"/>
        </w:trPr>
        <w:tc>
          <w:tcPr>
            <w:tcW w:w="3040" w:type="dxa"/>
            <w:vAlign w:val="bottom"/>
            <w:tcBorders>
              <w:top w:val="single" w:sz="8" w:color="CCEEFF"/>
              <w:left w:val="single" w:sz="8" w:color="auto"/>
              <w:bottom w:val="single" w:sz="8" w:color="auto"/>
              <w:right w:val="single" w:sz="8" w:color="auto"/>
            </w:tcBorders>
            <w:shd w:val="clear" w:color="auto" w:fill="CCEEFF"/>
          </w:tcPr>
          <w:p>
            <w:pPr>
              <w:ind w:left="140"/>
              <w:spacing w:after="0" w:line="128" w:lineRule="exact"/>
              <w:rPr>
                <w:sz w:val="20"/>
                <w:szCs w:val="20"/>
                <w:color w:val="auto"/>
              </w:rPr>
            </w:pPr>
            <w:r>
              <w:rPr>
                <w:rFonts w:ascii="Arial" w:cs="Arial" w:eastAsia="Arial" w:hAnsi="Arial"/>
                <w:sz w:val="14"/>
                <w:szCs w:val="14"/>
                <w:color w:val="auto"/>
                <w:w w:val="92"/>
              </w:rPr>
              <w:t>Senior Vice President–Planning and Development</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2018.</w:t>
      </w:r>
    </w:p>
    <w:p>
      <w:pPr>
        <w:spacing w:after="0" w:line="43" w:lineRule="exact"/>
        <w:rPr>
          <w:rFonts w:ascii="Arial" w:cs="Arial" w:eastAsia="Arial" w:hAnsi="Arial"/>
          <w:sz w:val="14"/>
          <w:szCs w:val="14"/>
          <w:color w:val="auto"/>
        </w:rPr>
      </w:pPr>
    </w:p>
    <w:p>
      <w:pPr>
        <w:ind w:left="320" w:right="120" w:hanging="314"/>
        <w:spacing w:after="0" w:line="264"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in this column represent the grant date fair value of stock and option awards computed in accordance with FASB ASC TOPIC 718 and reflect the grant date fair value of stock and option grants made through the close of the 2018 fiscal year, rather than amounts paid to or realized by the named executive officers. There can be no assurance that the amounts calculated will be realized, and amounts realized could ultimately exceed the amounts calculated. See Note 13 of Notes to the Consolidated Financial Statements contained in the Company’s Annual Report on Form 10-K, filed on February 25, 2019, for a discussion of the assumptions used in valuation of the stock and option awards.</w:t>
      </w:r>
    </w:p>
    <w:p>
      <w:pPr>
        <w:spacing w:after="0" w:line="18" w:lineRule="exact"/>
        <w:rPr>
          <w:rFonts w:ascii="Arial" w:cs="Arial" w:eastAsia="Arial" w:hAnsi="Arial"/>
          <w:sz w:val="12"/>
          <w:szCs w:val="12"/>
          <w:color w:val="auto"/>
        </w:rPr>
      </w:pPr>
    </w:p>
    <w:p>
      <w:pPr>
        <w:ind w:left="320" w:right="40" w:hanging="314"/>
        <w:spacing w:after="0" w:line="256"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in this column for 2018 represent payments under the 2018 annual bonus plan and the 2015–2018 Performance Unit Plan as follows: Mr. O’Shaughnessy, $1,253,307 in annual bonus, $952,500 in Performance Units; Mr. Cooney, $484,612 in annual bonus, $635,000 in Performance Units; Mr. Rosen, $1,804,500 in annual bonus, $889,000 in Performance Units; Ms. Maddrey, $384,347 in annual bonus, $635,000 in Performance Units; Mr. Maas, $384,347 in annual bonus, $444,500 in Performance Units. Amounts in this column for 2017 represent payments under the 2017 annual bonus plan. Amounts in this column for 2016 represent payments under the 2016 annual bonus plan and the 2013–2016 Performance Unit Plan as follows: Mr. O’Shaughnessy, $860,025 in annual bonus, $1,000,000 in Performance Units; Mr. Cooney, $220,166 in annual bonus, $700,000 in Performance Units; Mr. Rosen, $1,301,877 in annual bonus, $600,000 in Performance Units; Ms. Maddrey, $240,807 in annual bonus, $350,000 in Performance Units.</w:t>
      </w:r>
    </w:p>
    <w:p>
      <w:pPr>
        <w:spacing w:after="0" w:line="23" w:lineRule="exact"/>
        <w:rPr>
          <w:rFonts w:ascii="Arial" w:cs="Arial" w:eastAsia="Arial" w:hAnsi="Arial"/>
          <w:sz w:val="12"/>
          <w:szCs w:val="12"/>
          <w:color w:val="auto"/>
        </w:rPr>
      </w:pPr>
    </w:p>
    <w:p>
      <w:pPr>
        <w:ind w:left="320" w:right="180" w:hanging="314"/>
        <w:spacing w:after="0" w:line="233" w:lineRule="auto"/>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deferred on a non-tax-qualified basis, and therefore, no such earnings are reflected in the amounts shown in this column.</w:t>
      </w:r>
    </w:p>
    <w:p>
      <w:pPr>
        <w:spacing w:after="0" w:line="32" w:lineRule="exact"/>
        <w:rPr>
          <w:rFonts w:ascii="Arial" w:cs="Arial" w:eastAsia="Arial" w:hAnsi="Arial"/>
          <w:sz w:val="14"/>
          <w:szCs w:val="14"/>
          <w:color w:val="auto"/>
        </w:rPr>
      </w:pPr>
    </w:p>
    <w:p>
      <w:pPr>
        <w:ind w:left="320" w:right="100"/>
        <w:spacing w:after="0" w:line="264" w:lineRule="auto"/>
        <w:rPr>
          <w:rFonts w:ascii="Arial" w:cs="Arial" w:eastAsia="Arial" w:hAnsi="Arial"/>
          <w:sz w:val="14"/>
          <w:szCs w:val="14"/>
          <w:color w:val="auto"/>
        </w:rPr>
      </w:pPr>
      <w:r>
        <w:rPr>
          <w:rFonts w:ascii="Arial" w:cs="Arial" w:eastAsia="Arial" w:hAnsi="Arial"/>
          <w:sz w:val="12"/>
          <w:szCs w:val="12"/>
          <w:color w:val="auto"/>
        </w:rPr>
        <w:t>Benefits were assumed to commence at the age when benefits under the SERP are first unreduced, or the age when benefits under The Retirement Plan for Graham Holdings Company (“Retirement Plan”) are first unreduced due to the attainment of the earlier of the named executive officer’s normal retirement date at age 65 or eligibility under the Rule of 90 (age plus service greater than or equal to 90 with age at least 55). The benefits were discounted to the date as of which the benefits were determined (either 12/31/2018, 12/31/2017 or 12/31/2016). Assumed benefit commencement ages are shown below, rounded to the nearest age:</w:t>
      </w:r>
    </w:p>
    <w:p>
      <w:pPr>
        <w:sectPr>
          <w:pgSz w:w="11900" w:h="16838" w:orient="portrait"/>
          <w:cols w:equalWidth="0" w:num="1">
            <w:col w:w="10440"/>
          </w:cols>
          <w:pgMar w:left="740" w:top="267" w:right="719" w:bottom="1440" w:gutter="0" w:footer="0" w:header="0"/>
        </w:sectPr>
      </w:pPr>
    </w:p>
    <w:p>
      <w:pPr>
        <w:spacing w:after="0" w:line="18" w:lineRule="exact"/>
        <w:rPr>
          <w:sz w:val="20"/>
          <w:szCs w:val="20"/>
          <w:color w:val="auto"/>
        </w:rPr>
      </w:pPr>
    </w:p>
    <w:p>
      <w:pPr>
        <w:ind w:left="740"/>
        <w:spacing w:after="0"/>
        <w:rPr>
          <w:sz w:val="20"/>
          <w:szCs w:val="20"/>
          <w:color w:val="auto"/>
        </w:rPr>
      </w:pPr>
      <w:r>
        <w:rPr>
          <w:rFonts w:ascii="Arial" w:cs="Arial" w:eastAsia="Arial" w:hAnsi="Arial"/>
          <w:sz w:val="12"/>
          <w:szCs w:val="12"/>
          <w:color w:val="auto"/>
        </w:rPr>
        <w:t>O’Shaughnessy:</w:t>
      </w:r>
    </w:p>
    <w:p>
      <w:pPr>
        <w:ind w:left="740"/>
        <w:spacing w:after="0" w:line="230" w:lineRule="auto"/>
        <w:rPr>
          <w:sz w:val="20"/>
          <w:szCs w:val="20"/>
          <w:color w:val="auto"/>
        </w:rPr>
      </w:pPr>
      <w:r>
        <w:rPr>
          <w:rFonts w:ascii="Arial" w:cs="Arial" w:eastAsia="Arial" w:hAnsi="Arial"/>
          <w:sz w:val="14"/>
          <w:szCs w:val="14"/>
          <w:color w:val="auto"/>
        </w:rPr>
        <w:t>Cooney:</w:t>
      </w:r>
    </w:p>
    <w:p>
      <w:pPr>
        <w:ind w:left="740"/>
        <w:spacing w:after="0" w:line="210" w:lineRule="auto"/>
        <w:rPr>
          <w:sz w:val="20"/>
          <w:szCs w:val="20"/>
          <w:color w:val="auto"/>
        </w:rPr>
      </w:pPr>
      <w:r>
        <w:rPr>
          <w:rFonts w:ascii="Arial" w:cs="Arial" w:eastAsia="Arial" w:hAnsi="Arial"/>
          <w:sz w:val="14"/>
          <w:szCs w:val="14"/>
          <w:color w:val="auto"/>
        </w:rPr>
        <w:t>Rosen:</w:t>
      </w:r>
    </w:p>
    <w:p>
      <w:pPr>
        <w:ind w:left="740"/>
        <w:spacing w:after="0" w:line="209" w:lineRule="auto"/>
        <w:rPr>
          <w:sz w:val="20"/>
          <w:szCs w:val="20"/>
          <w:color w:val="auto"/>
        </w:rPr>
      </w:pPr>
      <w:r>
        <w:rPr>
          <w:rFonts w:ascii="Arial" w:cs="Arial" w:eastAsia="Arial" w:hAnsi="Arial"/>
          <w:sz w:val="14"/>
          <w:szCs w:val="14"/>
          <w:color w:val="auto"/>
        </w:rPr>
        <w:t>Maddrey:</w:t>
      </w:r>
    </w:p>
    <w:p>
      <w:pPr>
        <w:ind w:left="740"/>
        <w:spacing w:after="0"/>
        <w:rPr>
          <w:sz w:val="20"/>
          <w:szCs w:val="20"/>
          <w:color w:val="auto"/>
        </w:rPr>
      </w:pPr>
      <w:r>
        <w:rPr>
          <w:rFonts w:ascii="Arial" w:cs="Arial" w:eastAsia="Arial" w:hAnsi="Arial"/>
          <w:sz w:val="14"/>
          <w:szCs w:val="14"/>
          <w:color w:val="auto"/>
        </w:rPr>
        <w:t>Maas: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age 65</w:t>
      </w:r>
    </w:p>
    <w:p>
      <w:pPr>
        <w:spacing w:after="0"/>
        <w:rPr>
          <w:sz w:val="20"/>
          <w:szCs w:val="20"/>
          <w:color w:val="auto"/>
        </w:rPr>
      </w:pPr>
      <w:r>
        <w:rPr>
          <w:rFonts w:ascii="Arial" w:cs="Arial" w:eastAsia="Arial" w:hAnsi="Arial"/>
          <w:sz w:val="12"/>
          <w:szCs w:val="12"/>
          <w:color w:val="auto"/>
        </w:rPr>
        <w:t>age 64 (will be eligible for unreduced benefits under the Rule 90)</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age 58 (is currently eligible for unreduced benefits under the Rule of 90)</w:t>
      </w:r>
    </w:p>
    <w:p>
      <w:pPr>
        <w:spacing w:after="0" w:line="212" w:lineRule="auto"/>
        <w:rPr>
          <w:sz w:val="20"/>
          <w:szCs w:val="20"/>
          <w:color w:val="auto"/>
        </w:rPr>
      </w:pPr>
      <w:r>
        <w:rPr>
          <w:rFonts w:ascii="Arial" w:cs="Arial" w:eastAsia="Arial" w:hAnsi="Arial"/>
          <w:sz w:val="14"/>
          <w:szCs w:val="14"/>
          <w:color w:val="auto"/>
        </w:rPr>
        <w:t>age 65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age 65</w:t>
      </w:r>
    </w:p>
    <w:p>
      <w:pPr>
        <w:spacing w:after="0" w:line="82" w:lineRule="exact"/>
        <w:rPr>
          <w:sz w:val="20"/>
          <w:szCs w:val="20"/>
          <w:color w:val="auto"/>
        </w:rPr>
      </w:pPr>
    </w:p>
    <w:p>
      <w:pPr>
        <w:sectPr>
          <w:pgSz w:w="11900" w:h="16838" w:orient="portrait"/>
          <w:cols w:equalWidth="0" w:num="2">
            <w:col w:w="1640" w:space="560"/>
            <w:col w:w="8240"/>
          </w:cols>
          <w:pgMar w:left="740" w:top="267" w:right="719" w:bottom="1440" w:gutter="0" w:footer="0" w:header="0"/>
          <w:type w:val="continuous"/>
        </w:sectPr>
      </w:pPr>
    </w:p>
    <w:p>
      <w:pPr>
        <w:ind w:left="320" w:right="60"/>
        <w:spacing w:after="0" w:line="252" w:lineRule="auto"/>
        <w:rPr>
          <w:sz w:val="20"/>
          <w:szCs w:val="20"/>
          <w:color w:val="auto"/>
        </w:rPr>
      </w:pPr>
      <w:r>
        <w:rPr>
          <w:rFonts w:ascii="Arial" w:cs="Arial" w:eastAsia="Arial" w:hAnsi="Arial"/>
          <w:sz w:val="12"/>
          <w:szCs w:val="12"/>
          <w:color w:val="auto"/>
        </w:rPr>
        <w:t>Changes in the present value of benefits in 2018 are attributable to the Retirement Plan and the corresponding benefit under the SERP are as follows: Mr. O’Shaughnessy–$24,652 Retirement Plan; Mr. Cooney–$44,099 Retirement Plan; Mr. Rosen–$25,965 Retirement Plan; Ms. Maddrey–$20,831 Retirement Plan; and Mr. Maas–$19,598 Retirement Plan. Negative changes in Pension Value were excluded from this column which for Mr. Rosen was $(274,785) SERP. The annual change in the present value of accumulated benefits equals the difference in the accumulated value for the current fiscal year and the accumulated value for the prior fiscal year, generally using the same actuarial assumptions as used for the Company’s audited financial statements for the applicable fiscal year. Discount rates of 4.30% at 12/31/2018, 3.60% at 12/31/2017 and 4.10% at 12/31/2016 and applicable generational mortality tables for those years were used for this purpose. The benefits as of 12/31/2017 and 12/31/2016 were valued as annuities payable for life, and as of 12/31/2018, 50% of the benefit accumulated was valued as a lump sum, and 50% was valued as an annuity payable for life under the Retirement Plan. Cash Balance and Secure Retirement Account benefits are assumed to be taken as a lump sum with a 90% probability and an annuity with a 10% probability as of 12/31/2018.</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440"/>
          </w:cols>
          <w:pgMar w:left="740" w:top="267" w:right="719" w:bottom="1440" w:gutter="0" w:footer="0" w:header="0"/>
          <w:type w:val="continuous"/>
        </w:sectPr>
      </w:pPr>
    </w:p>
    <w:bookmarkStart w:id="28" w:name="page29"/>
    <w:bookmarkEnd w:id="28"/>
    <w:p>
      <w:pPr>
        <w:ind w:left="320" w:hanging="314"/>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For 2018, the amounts shown include the information detailed in the following table: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ALL OTHER COMPENSATION</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2660" w:type="dxa"/>
            <w:vAlign w:val="bottom"/>
            <w:tcBorders>
              <w:top w:val="single" w:sz="8" w:color="auto"/>
              <w:left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spacing w:after="0"/>
              <w:rPr>
                <w:sz w:val="11"/>
                <w:szCs w:val="11"/>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1160" w:type="dxa"/>
            <w:vAlign w:val="bottom"/>
            <w:tcBorders>
              <w:top w:val="single" w:sz="8" w:color="auto"/>
              <w:right w:val="single" w:sz="8" w:color="auto"/>
            </w:tcBorders>
          </w:tcPr>
          <w:p>
            <w:pPr>
              <w:jc w:val="center"/>
              <w:ind w:left="172"/>
              <w:spacing w:after="0" w:line="133" w:lineRule="exact"/>
              <w:rPr>
                <w:sz w:val="20"/>
                <w:szCs w:val="20"/>
                <w:color w:val="auto"/>
              </w:rPr>
            </w:pPr>
            <w:r>
              <w:rPr>
                <w:rFonts w:ascii="Arial" w:cs="Arial" w:eastAsia="Arial" w:hAnsi="Arial"/>
                <w:sz w:val="14"/>
                <w:szCs w:val="14"/>
                <w:b w:val="1"/>
                <w:bCs w:val="1"/>
                <w:color w:val="auto"/>
                <w:w w:val="91"/>
              </w:rPr>
              <w:t>Individual</w:t>
            </w:r>
          </w:p>
        </w:tc>
        <w:tc>
          <w:tcPr>
            <w:tcW w:w="10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jc w:val="center"/>
              <w:ind w:left="172"/>
              <w:spacing w:after="0" w:line="135" w:lineRule="exact"/>
              <w:rPr>
                <w:sz w:val="20"/>
                <w:szCs w:val="20"/>
                <w:color w:val="auto"/>
              </w:rPr>
            </w:pPr>
            <w:r>
              <w:rPr>
                <w:rFonts w:ascii="Arial" w:cs="Arial" w:eastAsia="Arial" w:hAnsi="Arial"/>
                <w:sz w:val="14"/>
                <w:szCs w:val="14"/>
                <w:b w:val="1"/>
                <w:bCs w:val="1"/>
                <w:color w:val="auto"/>
                <w:w w:val="90"/>
              </w:rPr>
              <w:t>Deferred</w:t>
            </w: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401(k) Company</w:t>
            </w:r>
          </w:p>
        </w:tc>
        <w:tc>
          <w:tcPr>
            <w:tcW w:w="15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SERP Company</w:t>
            </w:r>
          </w:p>
        </w:tc>
        <w:tc>
          <w:tcPr>
            <w:tcW w:w="13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tcBorders>
              <w:right w:val="single" w:sz="8" w:color="auto"/>
            </w:tcBorders>
          </w:tcPr>
          <w:p>
            <w:pPr>
              <w:jc w:val="center"/>
              <w:ind w:left="172"/>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right w:val="single" w:sz="8" w:color="auto"/>
            </w:tcBorders>
          </w:tcPr>
          <w:p>
            <w:pPr>
              <w:ind w:left="1220"/>
              <w:spacing w:after="0" w:line="141" w:lineRule="exact"/>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tcPr>
          <w:p>
            <w:pPr>
              <w:jc w:val="center"/>
              <w:ind w:left="192"/>
              <w:spacing w:after="0" w:line="141" w:lineRule="exact"/>
              <w:rPr>
                <w:sz w:val="20"/>
                <w:szCs w:val="20"/>
                <w:color w:val="auto"/>
              </w:rPr>
            </w:pPr>
            <w:r>
              <w:rPr>
                <w:rFonts w:ascii="Arial" w:cs="Arial" w:eastAsia="Arial" w:hAnsi="Arial"/>
                <w:sz w:val="14"/>
                <w:szCs w:val="14"/>
                <w:b w:val="1"/>
                <w:bCs w:val="1"/>
                <w:color w:val="auto"/>
                <w:w w:val="87"/>
              </w:rPr>
              <w:t>Perquisites ($)</w:t>
            </w:r>
          </w:p>
        </w:tc>
        <w:tc>
          <w:tcPr>
            <w:tcW w:w="1620" w:type="dxa"/>
            <w:vAlign w:val="bottom"/>
            <w:tcBorders>
              <w:right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Contributions ($)</w:t>
            </w:r>
          </w:p>
        </w:tc>
        <w:tc>
          <w:tcPr>
            <w:tcW w:w="15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Contributions ($)</w:t>
            </w:r>
          </w:p>
        </w:tc>
        <w:tc>
          <w:tcPr>
            <w:tcW w:w="13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Dividends ($)</w:t>
            </w:r>
          </w:p>
        </w:tc>
        <w:tc>
          <w:tcPr>
            <w:tcW w:w="1160" w:type="dxa"/>
            <w:vAlign w:val="bottom"/>
            <w:tcBorders>
              <w:right w:val="single" w:sz="8" w:color="auto"/>
            </w:tcBorders>
          </w:tcPr>
          <w:p>
            <w:pPr>
              <w:jc w:val="center"/>
              <w:ind w:left="192"/>
              <w:spacing w:after="0" w:line="141" w:lineRule="exact"/>
              <w:rPr>
                <w:sz w:val="20"/>
                <w:szCs w:val="20"/>
                <w:color w:val="auto"/>
              </w:rPr>
            </w:pPr>
            <w:r>
              <w:rPr>
                <w:rFonts w:ascii="Arial" w:cs="Arial" w:eastAsia="Arial" w:hAnsi="Arial"/>
                <w:sz w:val="14"/>
                <w:szCs w:val="14"/>
                <w:b w:val="1"/>
                <w:bCs w:val="1"/>
                <w:color w:val="auto"/>
                <w:w w:val="89"/>
              </w:rPr>
              <w:t>Arrangement</w:t>
            </w:r>
          </w:p>
        </w:tc>
        <w:tc>
          <w:tcPr>
            <w:tcW w:w="1020" w:type="dxa"/>
            <w:vAlign w:val="bottom"/>
            <w:tcBorders>
              <w:right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6"/>
        </w:trPr>
        <w:tc>
          <w:tcPr>
            <w:tcW w:w="26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9"/>
              </w:rPr>
              <w:t>(b)</w:t>
            </w:r>
          </w:p>
        </w:tc>
        <w:tc>
          <w:tcPr>
            <w:tcW w:w="162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w:t>
            </w:r>
            <w:r>
              <w:rPr>
                <w:rFonts w:ascii="Arial" w:cs="Arial" w:eastAsia="Arial" w:hAnsi="Arial"/>
                <w:sz w:val="11"/>
                <w:szCs w:val="11"/>
                <w:b w:val="1"/>
                <w:bCs w:val="1"/>
                <w:color w:val="auto"/>
                <w:w w:val="94"/>
              </w:rPr>
              <w:t>1</w:t>
            </w:r>
          </w:p>
        </w:tc>
        <w:tc>
          <w:tcPr>
            <w:tcW w:w="116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99"/>
              </w:rPr>
              <w:t>(f)</w:t>
            </w:r>
          </w:p>
        </w:tc>
        <w:tc>
          <w:tcPr>
            <w:tcW w:w="102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33"/>
        </w:trPr>
        <w:tc>
          <w:tcPr>
            <w:tcW w:w="26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Timothy J. O’Shaughnessy</w:t>
            </w:r>
          </w:p>
        </w:tc>
        <w:tc>
          <w:tcPr>
            <w:tcW w:w="1140" w:type="dxa"/>
            <w:vAlign w:val="bottom"/>
            <w:tcBorders>
              <w:bottom w:val="single" w:sz="8" w:color="auto"/>
              <w:right w:val="single" w:sz="8" w:color="auto"/>
            </w:tcBorders>
            <w:shd w:val="clear" w:color="auto" w:fill="CCEEFF"/>
          </w:tcPr>
          <w:p>
            <w:pPr>
              <w:jc w:val="center"/>
              <w:ind w:left="172"/>
              <w:spacing w:after="0" w:line="133"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92"/>
              <w:spacing w:after="0" w:line="133" w:lineRule="exact"/>
              <w:rPr>
                <w:sz w:val="20"/>
                <w:szCs w:val="20"/>
                <w:color w:val="auto"/>
              </w:rPr>
            </w:pPr>
            <w:r>
              <w:rPr>
                <w:rFonts w:ascii="Arial" w:cs="Arial" w:eastAsia="Arial" w:hAnsi="Arial"/>
                <w:sz w:val="14"/>
                <w:szCs w:val="14"/>
                <w:color w:val="auto"/>
              </w:rPr>
              <w:t>2,750</w:t>
            </w:r>
          </w:p>
        </w:tc>
        <w:tc>
          <w:tcPr>
            <w:tcW w:w="1520" w:type="dxa"/>
            <w:vAlign w:val="bottom"/>
            <w:tcBorders>
              <w:bottom w:val="single" w:sz="8" w:color="auto"/>
              <w:right w:val="single" w:sz="8" w:color="auto"/>
            </w:tcBorders>
            <w:shd w:val="clear" w:color="auto" w:fill="CCEEFF"/>
          </w:tcPr>
          <w:p>
            <w:pPr>
              <w:ind w:left="740"/>
              <w:spacing w:after="0" w:line="133"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CCEEFF"/>
          </w:tcPr>
          <w:p>
            <w:pPr>
              <w:jc w:val="right"/>
              <w:ind w:right="452"/>
              <w:spacing w:after="0" w:line="13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center"/>
              <w:ind w:left="192"/>
              <w:spacing w:after="0" w:line="133"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shd w:val="clear" w:color="auto" w:fill="CCEEFF"/>
          </w:tcPr>
          <w:p>
            <w:pPr>
              <w:jc w:val="right"/>
              <w:ind w:right="172"/>
              <w:spacing w:after="0" w:line="133" w:lineRule="exact"/>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33"/>
        </w:trPr>
        <w:tc>
          <w:tcPr>
            <w:tcW w:w="266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Wallace R. Cooney</w:t>
            </w:r>
          </w:p>
        </w:tc>
        <w:tc>
          <w:tcPr>
            <w:tcW w:w="1140" w:type="dxa"/>
            <w:vAlign w:val="bottom"/>
            <w:tcBorders>
              <w:bottom w:val="single" w:sz="8" w:color="auto"/>
              <w:right w:val="single" w:sz="8" w:color="auto"/>
            </w:tcBorders>
          </w:tcPr>
          <w:p>
            <w:pPr>
              <w:jc w:val="center"/>
              <w:ind w:left="172"/>
              <w:spacing w:after="0" w:line="133"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right"/>
              <w:ind w:right="192"/>
              <w:spacing w:after="0" w:line="133" w:lineRule="exact"/>
              <w:rPr>
                <w:sz w:val="20"/>
                <w:szCs w:val="20"/>
                <w:color w:val="auto"/>
              </w:rPr>
            </w:pPr>
            <w:r>
              <w:rPr>
                <w:rFonts w:ascii="Arial" w:cs="Arial" w:eastAsia="Arial" w:hAnsi="Arial"/>
                <w:sz w:val="14"/>
                <w:szCs w:val="14"/>
                <w:color w:val="auto"/>
              </w:rPr>
              <w:t>2,750</w:t>
            </w:r>
          </w:p>
        </w:tc>
        <w:tc>
          <w:tcPr>
            <w:tcW w:w="1520" w:type="dxa"/>
            <w:vAlign w:val="bottom"/>
            <w:tcBorders>
              <w:bottom w:val="single" w:sz="8" w:color="auto"/>
              <w:right w:val="single" w:sz="8" w:color="auto"/>
            </w:tcBorders>
          </w:tcPr>
          <w:p>
            <w:pPr>
              <w:ind w:left="740"/>
              <w:spacing w:after="0" w:line="133"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tcPr>
          <w:p>
            <w:pPr>
              <w:jc w:val="right"/>
              <w:ind w:right="172"/>
              <w:spacing w:after="0" w:line="133" w:lineRule="exact"/>
              <w:rPr>
                <w:sz w:val="20"/>
                <w:szCs w:val="20"/>
                <w:color w:val="auto"/>
              </w:rPr>
            </w:pPr>
            <w:r>
              <w:rPr>
                <w:rFonts w:ascii="Arial" w:cs="Arial" w:eastAsia="Arial" w:hAnsi="Arial"/>
                <w:sz w:val="14"/>
                <w:szCs w:val="14"/>
                <w:color w:val="auto"/>
              </w:rPr>
              <w:t>8,320</w:t>
            </w:r>
          </w:p>
        </w:tc>
        <w:tc>
          <w:tcPr>
            <w:tcW w:w="1160" w:type="dxa"/>
            <w:vAlign w:val="bottom"/>
            <w:tcBorders>
              <w:bottom w:val="single" w:sz="8" w:color="auto"/>
              <w:right w:val="single" w:sz="8" w:color="auto"/>
            </w:tcBorders>
          </w:tcPr>
          <w:p>
            <w:pPr>
              <w:jc w:val="center"/>
              <w:ind w:left="192"/>
              <w:spacing w:after="0" w:line="133"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right"/>
              <w:ind w:right="172"/>
              <w:spacing w:after="0" w:line="133" w:lineRule="exact"/>
              <w:rPr>
                <w:sz w:val="20"/>
                <w:szCs w:val="20"/>
                <w:color w:val="auto"/>
              </w:rPr>
            </w:pPr>
            <w:r>
              <w:rPr>
                <w:rFonts w:ascii="Arial" w:cs="Arial" w:eastAsia="Arial" w:hAnsi="Arial"/>
                <w:sz w:val="14"/>
                <w:szCs w:val="14"/>
                <w:color w:val="auto"/>
              </w:rPr>
              <w:t>11,070</w:t>
            </w:r>
          </w:p>
        </w:tc>
        <w:tc>
          <w:tcPr>
            <w:tcW w:w="0" w:type="dxa"/>
            <w:vAlign w:val="bottom"/>
          </w:tcPr>
          <w:p>
            <w:pPr>
              <w:spacing w:after="0"/>
              <w:rPr>
                <w:sz w:val="1"/>
                <w:szCs w:val="1"/>
                <w:color w:val="auto"/>
              </w:rPr>
            </w:pPr>
          </w:p>
        </w:tc>
      </w:tr>
      <w:tr>
        <w:trPr>
          <w:trHeight w:val="133"/>
        </w:trPr>
        <w:tc>
          <w:tcPr>
            <w:tcW w:w="26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Andrew S. Rosen</w:t>
            </w:r>
          </w:p>
        </w:tc>
        <w:tc>
          <w:tcPr>
            <w:tcW w:w="1140" w:type="dxa"/>
            <w:vAlign w:val="bottom"/>
            <w:tcBorders>
              <w:bottom w:val="single" w:sz="8" w:color="auto"/>
              <w:right w:val="single" w:sz="8" w:color="auto"/>
            </w:tcBorders>
            <w:shd w:val="clear" w:color="auto" w:fill="CCEEFF"/>
          </w:tcPr>
          <w:p>
            <w:pPr>
              <w:jc w:val="center"/>
              <w:ind w:left="172"/>
              <w:spacing w:after="0" w:line="133"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92"/>
              <w:spacing w:after="0" w:line="133" w:lineRule="exact"/>
              <w:rPr>
                <w:sz w:val="20"/>
                <w:szCs w:val="20"/>
                <w:color w:val="auto"/>
              </w:rPr>
            </w:pPr>
            <w:r>
              <w:rPr>
                <w:rFonts w:ascii="Arial" w:cs="Arial" w:eastAsia="Arial" w:hAnsi="Arial"/>
                <w:sz w:val="14"/>
                <w:szCs w:val="14"/>
                <w:color w:val="auto"/>
              </w:rPr>
              <w:t>2,750</w:t>
            </w:r>
          </w:p>
        </w:tc>
        <w:tc>
          <w:tcPr>
            <w:tcW w:w="1520" w:type="dxa"/>
            <w:vAlign w:val="bottom"/>
            <w:tcBorders>
              <w:bottom w:val="single" w:sz="8" w:color="auto"/>
              <w:right w:val="single" w:sz="8" w:color="auto"/>
            </w:tcBorders>
            <w:shd w:val="clear" w:color="auto" w:fill="CCEEFF"/>
          </w:tcPr>
          <w:p>
            <w:pPr>
              <w:ind w:left="900"/>
              <w:spacing w:after="0" w:line="133" w:lineRule="exact"/>
              <w:rPr>
                <w:sz w:val="20"/>
                <w:szCs w:val="20"/>
                <w:color w:val="auto"/>
              </w:rPr>
            </w:pPr>
            <w:r>
              <w:rPr>
                <w:rFonts w:ascii="Arial" w:cs="Arial" w:eastAsia="Arial" w:hAnsi="Arial"/>
                <w:sz w:val="14"/>
                <w:szCs w:val="14"/>
                <w:color w:val="auto"/>
              </w:rPr>
              <w:t>40,500</w:t>
            </w:r>
          </w:p>
        </w:tc>
        <w:tc>
          <w:tcPr>
            <w:tcW w:w="1300" w:type="dxa"/>
            <w:vAlign w:val="bottom"/>
            <w:tcBorders>
              <w:bottom w:val="single" w:sz="8" w:color="auto"/>
              <w:right w:val="single" w:sz="8" w:color="auto"/>
            </w:tcBorders>
            <w:shd w:val="clear" w:color="auto" w:fill="CCEEFF"/>
          </w:tcPr>
          <w:p>
            <w:pPr>
              <w:jc w:val="right"/>
              <w:ind w:right="172"/>
              <w:spacing w:after="0" w:line="133" w:lineRule="exact"/>
              <w:rPr>
                <w:sz w:val="20"/>
                <w:szCs w:val="20"/>
                <w:color w:val="auto"/>
              </w:rPr>
            </w:pPr>
            <w:r>
              <w:rPr>
                <w:rFonts w:ascii="Arial" w:cs="Arial" w:eastAsia="Arial" w:hAnsi="Arial"/>
                <w:sz w:val="14"/>
                <w:szCs w:val="14"/>
                <w:color w:val="auto"/>
              </w:rPr>
              <w:t>18,140</w:t>
            </w:r>
          </w:p>
        </w:tc>
        <w:tc>
          <w:tcPr>
            <w:tcW w:w="1160" w:type="dxa"/>
            <w:vAlign w:val="bottom"/>
            <w:tcBorders>
              <w:bottom w:val="single" w:sz="8" w:color="auto"/>
              <w:right w:val="single" w:sz="8" w:color="auto"/>
            </w:tcBorders>
            <w:shd w:val="clear" w:color="auto" w:fill="CCEEFF"/>
          </w:tcPr>
          <w:p>
            <w:pPr>
              <w:jc w:val="center"/>
              <w:ind w:left="192"/>
              <w:spacing w:after="0" w:line="133"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shd w:val="clear" w:color="auto" w:fill="CCEEFF"/>
          </w:tcPr>
          <w:p>
            <w:pPr>
              <w:jc w:val="right"/>
              <w:ind w:right="172"/>
              <w:spacing w:after="0" w:line="133" w:lineRule="exact"/>
              <w:rPr>
                <w:sz w:val="20"/>
                <w:szCs w:val="20"/>
                <w:color w:val="auto"/>
              </w:rPr>
            </w:pPr>
            <w:r>
              <w:rPr>
                <w:rFonts w:ascii="Arial" w:cs="Arial" w:eastAsia="Arial" w:hAnsi="Arial"/>
                <w:sz w:val="14"/>
                <w:szCs w:val="14"/>
                <w:color w:val="auto"/>
              </w:rPr>
              <w:t>61,390</w:t>
            </w:r>
          </w:p>
        </w:tc>
        <w:tc>
          <w:tcPr>
            <w:tcW w:w="0" w:type="dxa"/>
            <w:vAlign w:val="bottom"/>
          </w:tcPr>
          <w:p>
            <w:pPr>
              <w:spacing w:after="0"/>
              <w:rPr>
                <w:sz w:val="1"/>
                <w:szCs w:val="1"/>
                <w:color w:val="auto"/>
              </w:rPr>
            </w:pPr>
          </w:p>
        </w:tc>
      </w:tr>
      <w:tr>
        <w:trPr>
          <w:trHeight w:val="133"/>
        </w:trPr>
        <w:tc>
          <w:tcPr>
            <w:tcW w:w="266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Nicole M. Maddrey</w:t>
            </w:r>
          </w:p>
        </w:tc>
        <w:tc>
          <w:tcPr>
            <w:tcW w:w="1140" w:type="dxa"/>
            <w:vAlign w:val="bottom"/>
            <w:tcBorders>
              <w:bottom w:val="single" w:sz="8" w:color="auto"/>
              <w:right w:val="single" w:sz="8" w:color="auto"/>
            </w:tcBorders>
          </w:tcPr>
          <w:p>
            <w:pPr>
              <w:jc w:val="center"/>
              <w:ind w:left="172"/>
              <w:spacing w:after="0" w:line="133"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right"/>
              <w:ind w:right="192"/>
              <w:spacing w:after="0" w:line="133" w:lineRule="exact"/>
              <w:rPr>
                <w:sz w:val="20"/>
                <w:szCs w:val="20"/>
                <w:color w:val="auto"/>
              </w:rPr>
            </w:pPr>
            <w:r>
              <w:rPr>
                <w:rFonts w:ascii="Arial" w:cs="Arial" w:eastAsia="Arial" w:hAnsi="Arial"/>
                <w:sz w:val="14"/>
                <w:szCs w:val="14"/>
                <w:color w:val="auto"/>
              </w:rPr>
              <w:t>2,750</w:t>
            </w:r>
          </w:p>
        </w:tc>
        <w:tc>
          <w:tcPr>
            <w:tcW w:w="1520" w:type="dxa"/>
            <w:vAlign w:val="bottom"/>
            <w:tcBorders>
              <w:bottom w:val="single" w:sz="8" w:color="auto"/>
              <w:right w:val="single" w:sz="8" w:color="auto"/>
            </w:tcBorders>
          </w:tcPr>
          <w:p>
            <w:pPr>
              <w:ind w:left="740"/>
              <w:spacing w:after="0" w:line="133"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tcPr>
          <w:p>
            <w:pPr>
              <w:jc w:val="right"/>
              <w:ind w:right="172"/>
              <w:spacing w:after="0" w:line="133" w:lineRule="exact"/>
              <w:rPr>
                <w:sz w:val="20"/>
                <w:szCs w:val="20"/>
                <w:color w:val="auto"/>
              </w:rPr>
            </w:pPr>
            <w:r>
              <w:rPr>
                <w:rFonts w:ascii="Arial" w:cs="Arial" w:eastAsia="Arial" w:hAnsi="Arial"/>
                <w:sz w:val="14"/>
                <w:szCs w:val="14"/>
                <w:color w:val="auto"/>
              </w:rPr>
              <w:t>9,070</w:t>
            </w:r>
          </w:p>
        </w:tc>
        <w:tc>
          <w:tcPr>
            <w:tcW w:w="1160" w:type="dxa"/>
            <w:vAlign w:val="bottom"/>
            <w:tcBorders>
              <w:bottom w:val="single" w:sz="8" w:color="auto"/>
              <w:right w:val="single" w:sz="8" w:color="auto"/>
            </w:tcBorders>
          </w:tcPr>
          <w:p>
            <w:pPr>
              <w:jc w:val="center"/>
              <w:ind w:left="192"/>
              <w:spacing w:after="0" w:line="133"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right"/>
              <w:ind w:right="172"/>
              <w:spacing w:after="0" w:line="133" w:lineRule="exact"/>
              <w:rPr>
                <w:sz w:val="20"/>
                <w:szCs w:val="20"/>
                <w:color w:val="auto"/>
              </w:rPr>
            </w:pPr>
            <w:r>
              <w:rPr>
                <w:rFonts w:ascii="Arial" w:cs="Arial" w:eastAsia="Arial" w:hAnsi="Arial"/>
                <w:sz w:val="14"/>
                <w:szCs w:val="14"/>
                <w:color w:val="auto"/>
              </w:rPr>
              <w:t>11,820</w:t>
            </w:r>
          </w:p>
        </w:tc>
        <w:tc>
          <w:tcPr>
            <w:tcW w:w="0" w:type="dxa"/>
            <w:vAlign w:val="bottom"/>
          </w:tcPr>
          <w:p>
            <w:pPr>
              <w:spacing w:after="0"/>
              <w:rPr>
                <w:sz w:val="1"/>
                <w:szCs w:val="1"/>
                <w:color w:val="auto"/>
              </w:rPr>
            </w:pPr>
          </w:p>
        </w:tc>
      </w:tr>
      <w:tr>
        <w:trPr>
          <w:trHeight w:val="133"/>
        </w:trPr>
        <w:tc>
          <w:tcPr>
            <w:tcW w:w="26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Jacob M. Maas</w:t>
            </w:r>
          </w:p>
        </w:tc>
        <w:tc>
          <w:tcPr>
            <w:tcW w:w="1140" w:type="dxa"/>
            <w:vAlign w:val="bottom"/>
            <w:tcBorders>
              <w:bottom w:val="single" w:sz="8" w:color="auto"/>
              <w:right w:val="single" w:sz="8" w:color="auto"/>
            </w:tcBorders>
            <w:shd w:val="clear" w:color="auto" w:fill="CCEEFF"/>
          </w:tcPr>
          <w:p>
            <w:pPr>
              <w:jc w:val="center"/>
              <w:ind w:left="172"/>
              <w:spacing w:after="0" w:line="133"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92"/>
              <w:spacing w:after="0" w:line="133" w:lineRule="exact"/>
              <w:rPr>
                <w:sz w:val="20"/>
                <w:szCs w:val="20"/>
                <w:color w:val="auto"/>
              </w:rPr>
            </w:pPr>
            <w:r>
              <w:rPr>
                <w:rFonts w:ascii="Arial" w:cs="Arial" w:eastAsia="Arial" w:hAnsi="Arial"/>
                <w:sz w:val="14"/>
                <w:szCs w:val="14"/>
                <w:color w:val="auto"/>
              </w:rPr>
              <w:t>2,750</w:t>
            </w:r>
          </w:p>
        </w:tc>
        <w:tc>
          <w:tcPr>
            <w:tcW w:w="1520" w:type="dxa"/>
            <w:vAlign w:val="bottom"/>
            <w:tcBorders>
              <w:bottom w:val="single" w:sz="8" w:color="auto"/>
              <w:right w:val="single" w:sz="8" w:color="auto"/>
            </w:tcBorders>
            <w:shd w:val="clear" w:color="auto" w:fill="CCEEFF"/>
          </w:tcPr>
          <w:p>
            <w:pPr>
              <w:ind w:left="740"/>
              <w:spacing w:after="0" w:line="133"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CCEEFF"/>
          </w:tcPr>
          <w:p>
            <w:pPr>
              <w:jc w:val="right"/>
              <w:ind w:right="172"/>
              <w:spacing w:after="0" w:line="133" w:lineRule="exact"/>
              <w:rPr>
                <w:sz w:val="20"/>
                <w:szCs w:val="20"/>
                <w:color w:val="auto"/>
              </w:rPr>
            </w:pPr>
            <w:r>
              <w:rPr>
                <w:rFonts w:ascii="Arial" w:cs="Arial" w:eastAsia="Arial" w:hAnsi="Arial"/>
                <w:sz w:val="14"/>
                <w:szCs w:val="14"/>
                <w:color w:val="auto"/>
              </w:rPr>
              <w:t>2,128</w:t>
            </w:r>
          </w:p>
        </w:tc>
        <w:tc>
          <w:tcPr>
            <w:tcW w:w="1160" w:type="dxa"/>
            <w:vAlign w:val="bottom"/>
            <w:tcBorders>
              <w:bottom w:val="single" w:sz="8" w:color="auto"/>
              <w:right w:val="single" w:sz="8" w:color="auto"/>
            </w:tcBorders>
            <w:shd w:val="clear" w:color="auto" w:fill="CCEEFF"/>
          </w:tcPr>
          <w:p>
            <w:pPr>
              <w:jc w:val="center"/>
              <w:ind w:left="192"/>
              <w:spacing w:after="0" w:line="133"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shd w:val="clear" w:color="auto" w:fill="CCEEFF"/>
          </w:tcPr>
          <w:p>
            <w:pPr>
              <w:jc w:val="right"/>
              <w:ind w:right="172"/>
              <w:spacing w:after="0" w:line="133" w:lineRule="exact"/>
              <w:rPr>
                <w:sz w:val="20"/>
                <w:szCs w:val="20"/>
                <w:color w:val="auto"/>
              </w:rPr>
            </w:pPr>
            <w:r>
              <w:rPr>
                <w:rFonts w:ascii="Arial" w:cs="Arial" w:eastAsia="Arial" w:hAnsi="Arial"/>
                <w:sz w:val="14"/>
                <w:szCs w:val="14"/>
                <w:color w:val="auto"/>
              </w:rPr>
              <w:t>4,878</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20" w:right="220" w:hanging="314"/>
        <w:spacing w:after="0" w:line="233" w:lineRule="auto"/>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represent dividends attributable to Graham Holdings Company and Cable ONE restricted stock granted under the Company’s 2012 ICP that are not included in the grant date fair value of such restricted stock awards reported in column (e) of the Summary Compensation Table.</w:t>
      </w:r>
    </w:p>
    <w:p>
      <w:pPr>
        <w:spacing w:after="0" w:line="178" w:lineRule="exact"/>
        <w:rPr>
          <w:sz w:val="20"/>
          <w:szCs w:val="20"/>
          <w:color w:val="auto"/>
        </w:rPr>
      </w:pPr>
    </w:p>
    <w:p>
      <w:pPr>
        <w:ind w:right="240" w:firstLine="937"/>
        <w:spacing w:after="0" w:line="275" w:lineRule="auto"/>
        <w:rPr>
          <w:sz w:val="20"/>
          <w:szCs w:val="20"/>
          <w:color w:val="auto"/>
        </w:rPr>
      </w:pPr>
      <w:r>
        <w:rPr>
          <w:rFonts w:ascii="Arial" w:cs="Arial" w:eastAsia="Arial" w:hAnsi="Arial"/>
          <w:sz w:val="17"/>
          <w:szCs w:val="17"/>
          <w:color w:val="auto"/>
        </w:rPr>
        <w:t>The following table provides information on awards made under the 2012 ICP to each of the named executive officers in 2018. In 2018, only non-equity annual incentive awards were granted to the named executive officers under the 2012 ICP.</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2380" w:type="dxa"/>
            <w:vAlign w:val="bottom"/>
            <w:tcBorders>
              <w:top w:val="single" w:sz="8" w:color="auto"/>
              <w:left w:val="single" w:sz="8" w:color="auto"/>
              <w:right w:val="single" w:sz="8" w:color="auto"/>
            </w:tcBorders>
          </w:tcPr>
          <w:p>
            <w:pPr>
              <w:spacing w:after="0"/>
              <w:rPr>
                <w:sz w:val="11"/>
                <w:szCs w:val="11"/>
                <w:color w:val="auto"/>
              </w:rPr>
            </w:pPr>
          </w:p>
        </w:tc>
        <w:tc>
          <w:tcPr>
            <w:tcW w:w="4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1940" w:type="dxa"/>
            <w:vAlign w:val="bottom"/>
            <w:tcBorders>
              <w:top w:val="single" w:sz="8" w:color="auto"/>
              <w:right w:val="single" w:sz="8" w:color="auto"/>
            </w:tcBorders>
            <w:gridSpan w:val="4"/>
          </w:tcPr>
          <w:p>
            <w:pPr>
              <w:jc w:val="center"/>
              <w:spacing w:after="0" w:line="133" w:lineRule="exact"/>
              <w:rPr>
                <w:sz w:val="20"/>
                <w:szCs w:val="20"/>
                <w:color w:val="auto"/>
              </w:rPr>
            </w:pPr>
            <w:r>
              <w:rPr>
                <w:rFonts w:ascii="Arial" w:cs="Arial" w:eastAsia="Arial" w:hAnsi="Arial"/>
                <w:sz w:val="14"/>
                <w:szCs w:val="14"/>
                <w:b w:val="1"/>
                <w:bCs w:val="1"/>
                <w:color w:val="auto"/>
                <w:w w:val="87"/>
              </w:rPr>
              <w:t>Estimated Future Payouts</w:t>
            </w:r>
          </w:p>
        </w:tc>
        <w:tc>
          <w:tcPr>
            <w:tcW w:w="1480" w:type="dxa"/>
            <w:vAlign w:val="bottom"/>
            <w:tcBorders>
              <w:top w:val="single" w:sz="8" w:color="auto"/>
              <w:right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89"/>
              </w:rPr>
              <w:t>Estimated Future</w:t>
            </w:r>
          </w:p>
        </w:tc>
        <w:tc>
          <w:tcPr>
            <w:tcW w:w="6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89"/>
              </w:rPr>
              <w:t>Under Non-Equity Incentive</w:t>
            </w:r>
          </w:p>
        </w:tc>
        <w:tc>
          <w:tcPr>
            <w:tcW w:w="1480" w:type="dxa"/>
            <w:vAlign w:val="bottom"/>
            <w:tcBorders>
              <w:right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Payouts Under Equity</w:t>
            </w: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Borders>
              <w:left w:val="single" w:sz="8" w:color="auto"/>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36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88"/>
              </w:rPr>
              <w:t>Plan Awards</w:t>
            </w:r>
          </w:p>
        </w:tc>
        <w:tc>
          <w:tcPr>
            <w:tcW w:w="5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Incentive Plan Awards</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76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Closing</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380" w:type="dxa"/>
            <w:vAlign w:val="bottom"/>
            <w:tcBorders>
              <w:left w:val="single" w:sz="8" w:color="auto"/>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Exercise</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Price on</w:t>
            </w: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7"/>
              </w:rPr>
              <w:t>Plan</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1"/>
              </w:rPr>
              <w:t>or Base</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Date of</w:t>
            </w:r>
          </w:p>
        </w:tc>
        <w:tc>
          <w:tcPr>
            <w:tcW w:w="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Price of</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Grant for</w:t>
            </w:r>
          </w:p>
        </w:tc>
        <w:tc>
          <w:tcPr>
            <w:tcW w:w="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Number of</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8"/>
              </w:rPr>
              <w:t>of Units</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of Stock</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8"/>
        </w:trPr>
        <w:tc>
          <w:tcPr>
            <w:tcW w:w="238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6"/>
              </w:rPr>
              <w:t>Grant</w:t>
            </w:r>
          </w:p>
        </w:tc>
        <w:tc>
          <w:tcPr>
            <w:tcW w:w="7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or Other</w:t>
            </w:r>
          </w:p>
        </w:tc>
        <w:tc>
          <w:tcPr>
            <w:tcW w:w="6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Threshold</w:t>
            </w:r>
          </w:p>
        </w:tc>
        <w:tc>
          <w:tcPr>
            <w:tcW w:w="6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Target</w:t>
            </w:r>
          </w:p>
        </w:tc>
        <w:tc>
          <w:tcPr>
            <w:tcW w:w="60" w:type="dxa"/>
            <w:vAlign w:val="bottom"/>
          </w:tcPr>
          <w:p>
            <w:pPr>
              <w:spacing w:after="0"/>
              <w:rPr>
                <w:sz w:val="12"/>
                <w:szCs w:val="12"/>
                <w:color w:val="auto"/>
              </w:rPr>
            </w:pPr>
          </w:p>
        </w:tc>
        <w:tc>
          <w:tcPr>
            <w:tcW w:w="5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5"/>
              </w:rPr>
              <w:t>Max</w:t>
            </w:r>
          </w:p>
        </w:tc>
        <w:tc>
          <w:tcPr>
            <w:tcW w:w="6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Threshold</w:t>
            </w:r>
          </w:p>
        </w:tc>
        <w:tc>
          <w:tcPr>
            <w:tcW w:w="4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Target</w:t>
            </w:r>
          </w:p>
        </w:tc>
        <w:tc>
          <w:tcPr>
            <w:tcW w:w="3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5"/>
              </w:rPr>
              <w:t>Max</w:t>
            </w:r>
          </w:p>
        </w:tc>
        <w:tc>
          <w:tcPr>
            <w:tcW w:w="6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or Units</w:t>
            </w:r>
          </w:p>
        </w:tc>
        <w:tc>
          <w:tcPr>
            <w:tcW w:w="7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Underlying</w:t>
            </w:r>
          </w:p>
        </w:tc>
        <w:tc>
          <w:tcPr>
            <w:tcW w:w="5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w:t>
            </w:r>
          </w:p>
        </w:tc>
        <w:tc>
          <w:tcPr>
            <w:tcW w:w="7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1"/>
              </w:rPr>
              <w:t>if Different</w:t>
            </w: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0"/>
        </w:trPr>
        <w:tc>
          <w:tcPr>
            <w:tcW w:w="2380" w:type="dxa"/>
            <w:vAlign w:val="bottom"/>
            <w:tcBorders>
              <w:left w:val="single" w:sz="8" w:color="auto"/>
              <w:right w:val="single" w:sz="8" w:color="auto"/>
            </w:tcBorders>
          </w:tcPr>
          <w:p>
            <w:pPr>
              <w:ind w:left="1080"/>
              <w:spacing w:after="0" w:line="141" w:lineRule="exact"/>
              <w:rPr>
                <w:sz w:val="20"/>
                <w:szCs w:val="20"/>
                <w:color w:val="auto"/>
              </w:rPr>
            </w:pPr>
            <w:r>
              <w:rPr>
                <w:rFonts w:ascii="Arial" w:cs="Arial" w:eastAsia="Arial" w:hAnsi="Arial"/>
                <w:sz w:val="14"/>
                <w:szCs w:val="14"/>
                <w:b w:val="1"/>
                <w:bCs w:val="1"/>
                <w:color w:val="auto"/>
              </w:rPr>
              <w:t>Name</w:t>
            </w:r>
          </w:p>
        </w:tc>
        <w:tc>
          <w:tcPr>
            <w:tcW w:w="4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Date</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Rights (#)</w:t>
            </w:r>
          </w:p>
        </w:tc>
        <w:tc>
          <w:tcPr>
            <w:tcW w:w="6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6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6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4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6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7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Options (#)</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5"/>
              </w:rPr>
              <w:t>share)</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6"/>
        </w:trPr>
        <w:tc>
          <w:tcPr>
            <w:tcW w:w="238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4"/>
                <w:szCs w:val="14"/>
                <w:b w:val="1"/>
                <w:bCs w:val="1"/>
                <w:color w:val="auto"/>
              </w:rPr>
              <w:t>(a)</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Timothy J. O’Shaughnessy</w:t>
            </w:r>
          </w:p>
        </w:tc>
        <w:tc>
          <w:tcPr>
            <w:tcW w:w="4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6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440" w:type="dxa"/>
            <w:vAlign w:val="bottom"/>
            <w:tcBorders>
              <w:right w:val="single" w:sz="8" w:color="auto"/>
            </w:tcBorders>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6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bottom w:val="single" w:sz="8" w:color="auto"/>
              <w:right w:val="single" w:sz="8" w:color="auto"/>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Annual Incentive</w:t>
            </w:r>
            <w:r>
              <w:rPr>
                <w:rFonts w:ascii="Arial" w:cs="Arial" w:eastAsia="Arial" w:hAnsi="Arial"/>
                <w:sz w:val="11"/>
                <w:szCs w:val="11"/>
                <w:color w:val="auto"/>
              </w:rPr>
              <w:t>1</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375,000</w:t>
            </w:r>
          </w:p>
        </w:tc>
        <w:tc>
          <w:tcPr>
            <w:tcW w:w="6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750,000</w:t>
            </w: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1,500,000</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5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Wallace R. Cooney</w:t>
            </w:r>
          </w:p>
        </w:tc>
        <w:tc>
          <w:tcPr>
            <w:tcW w:w="4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bottom w:val="single" w:sz="8" w:color="auto"/>
              <w:right w:val="single" w:sz="8" w:color="auto"/>
            </w:tcBorders>
          </w:tcPr>
          <w:p>
            <w:pPr>
              <w:ind w:left="140"/>
              <w:spacing w:after="0" w:line="159" w:lineRule="exact"/>
              <w:rPr>
                <w:sz w:val="20"/>
                <w:szCs w:val="20"/>
                <w:color w:val="auto"/>
              </w:rPr>
            </w:pPr>
            <w:r>
              <w:rPr>
                <w:rFonts w:ascii="Arial" w:cs="Arial" w:eastAsia="Arial" w:hAnsi="Arial"/>
                <w:sz w:val="14"/>
                <w:szCs w:val="14"/>
                <w:color w:val="auto"/>
              </w:rPr>
              <w:t>Annual Incentive</w:t>
            </w:r>
            <w:r>
              <w:rPr>
                <w:rFonts w:ascii="Arial" w:cs="Arial" w:eastAsia="Arial" w:hAnsi="Arial"/>
                <w:sz w:val="11"/>
                <w:szCs w:val="11"/>
                <w:color w:val="auto"/>
              </w:rPr>
              <w:t>1</w:t>
            </w:r>
          </w:p>
        </w:tc>
        <w:tc>
          <w:tcPr>
            <w:tcW w:w="4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145,000</w:t>
            </w:r>
          </w:p>
        </w:tc>
        <w:tc>
          <w:tcPr>
            <w:tcW w:w="6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290,000</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580,000</w:t>
            </w:r>
          </w:p>
        </w:tc>
        <w:tc>
          <w:tcPr>
            <w:tcW w:w="6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w:t>
            </w:r>
          </w:p>
        </w:tc>
        <w:tc>
          <w:tcPr>
            <w:tcW w:w="5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Andrew S. Rosen</w:t>
            </w:r>
          </w:p>
        </w:tc>
        <w:tc>
          <w:tcPr>
            <w:tcW w:w="4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6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440" w:type="dxa"/>
            <w:vAlign w:val="bottom"/>
            <w:tcBorders>
              <w:right w:val="single" w:sz="8" w:color="auto"/>
            </w:tcBorders>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6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bottom w:val="single" w:sz="8" w:color="auto"/>
              <w:right w:val="single" w:sz="8" w:color="auto"/>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Annual Incentive</w:t>
            </w:r>
            <w:r>
              <w:rPr>
                <w:rFonts w:ascii="Arial" w:cs="Arial" w:eastAsia="Arial" w:hAnsi="Arial"/>
                <w:sz w:val="11"/>
                <w:szCs w:val="11"/>
                <w:color w:val="auto"/>
              </w:rPr>
              <w:t>1</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747,500</w:t>
            </w:r>
          </w:p>
        </w:tc>
        <w:tc>
          <w:tcPr>
            <w:tcW w:w="6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1,625,000</w:t>
            </w:r>
          </w:p>
        </w:tc>
        <w:tc>
          <w:tcPr>
            <w:tcW w:w="640" w:type="dxa"/>
            <w:vAlign w:val="bottom"/>
            <w:tcBorders>
              <w:bottom w:val="single" w:sz="8" w:color="auto"/>
              <w:right w:val="single" w:sz="8" w:color="auto"/>
            </w:tcBorders>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3,136,250</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5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Nicole M. Maddrey</w:t>
            </w:r>
          </w:p>
        </w:tc>
        <w:tc>
          <w:tcPr>
            <w:tcW w:w="4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bottom w:val="single" w:sz="8" w:color="auto"/>
              <w:right w:val="single" w:sz="8" w:color="auto"/>
            </w:tcBorders>
          </w:tcPr>
          <w:p>
            <w:pPr>
              <w:ind w:left="140"/>
              <w:spacing w:after="0" w:line="159" w:lineRule="exact"/>
              <w:rPr>
                <w:sz w:val="20"/>
                <w:szCs w:val="20"/>
                <w:color w:val="auto"/>
              </w:rPr>
            </w:pPr>
            <w:r>
              <w:rPr>
                <w:rFonts w:ascii="Arial" w:cs="Arial" w:eastAsia="Arial" w:hAnsi="Arial"/>
                <w:sz w:val="14"/>
                <w:szCs w:val="14"/>
                <w:color w:val="auto"/>
              </w:rPr>
              <w:t>Annual Incentive</w:t>
            </w:r>
            <w:r>
              <w:rPr>
                <w:rFonts w:ascii="Arial" w:cs="Arial" w:eastAsia="Arial" w:hAnsi="Arial"/>
                <w:sz w:val="11"/>
                <w:szCs w:val="11"/>
                <w:color w:val="auto"/>
              </w:rPr>
              <w:t>1</w:t>
            </w:r>
          </w:p>
        </w:tc>
        <w:tc>
          <w:tcPr>
            <w:tcW w:w="4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115,000</w:t>
            </w:r>
          </w:p>
        </w:tc>
        <w:tc>
          <w:tcPr>
            <w:tcW w:w="6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230,000</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460,000</w:t>
            </w:r>
          </w:p>
        </w:tc>
        <w:tc>
          <w:tcPr>
            <w:tcW w:w="6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w:t>
            </w:r>
          </w:p>
        </w:tc>
        <w:tc>
          <w:tcPr>
            <w:tcW w:w="5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Jacob M. Maas</w:t>
            </w:r>
          </w:p>
        </w:tc>
        <w:tc>
          <w:tcPr>
            <w:tcW w:w="4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6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440" w:type="dxa"/>
            <w:vAlign w:val="bottom"/>
            <w:tcBorders>
              <w:right w:val="single" w:sz="8" w:color="auto"/>
            </w:tcBorders>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64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bottom w:val="single" w:sz="8" w:color="auto"/>
              <w:right w:val="single" w:sz="8" w:color="auto"/>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Annual Incentive</w:t>
            </w:r>
            <w:r>
              <w:rPr>
                <w:rFonts w:ascii="Arial" w:cs="Arial" w:eastAsia="Arial" w:hAnsi="Arial"/>
                <w:sz w:val="11"/>
                <w:szCs w:val="11"/>
                <w:color w:val="auto"/>
              </w:rPr>
              <w:t>1</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115,000</w:t>
            </w:r>
          </w:p>
        </w:tc>
        <w:tc>
          <w:tcPr>
            <w:tcW w:w="62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230,000</w:t>
            </w: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460,000</w:t>
            </w:r>
          </w:p>
        </w:tc>
        <w:tc>
          <w:tcPr>
            <w:tcW w:w="6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5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20" w:right="20" w:hanging="314"/>
        <w:spacing w:after="0" w:line="259" w:lineRule="auto"/>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shown are the threshold, target and maximum payouts under the annual bonus component of the 2012 ICP. The Committee sets the performance-based goals for purposes of the annual incentive awards to be paid for fiscal year 2018. The amount in column (d) represents the minimum payment level, which is 50% of the target; in the case for Mr. Rosen, it is 46%. The amount shown in column (f) represents the maximum payout level, which is 200% of the target; in the case for Mr. Rosen, it is 193% of the target. In the event that the threshold performance level with respect to the performance goals set by the Committee (i.e., 80% of the target performance goal; in the case of Mr. Rosen, for the Kaplan component, 80% of operating income target performance goal and 90% of enterprise revenue target performance goal) is not attained, no amount would be paid.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NARRATIVE DISCLOSURE TO SUMMARY COMPENSATION TABLE AND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TABLE</w:t>
      </w:r>
    </w:p>
    <w:p>
      <w:pPr>
        <w:spacing w:after="0" w:line="202" w:lineRule="exact"/>
        <w:rPr>
          <w:sz w:val="20"/>
          <w:szCs w:val="20"/>
          <w:color w:val="auto"/>
        </w:rPr>
      </w:pPr>
    </w:p>
    <w:p>
      <w:pPr>
        <w:ind w:right="380" w:firstLine="937"/>
        <w:spacing w:after="0" w:line="275" w:lineRule="auto"/>
        <w:rPr>
          <w:sz w:val="20"/>
          <w:szCs w:val="20"/>
          <w:color w:val="auto"/>
        </w:rPr>
      </w:pPr>
      <w:r>
        <w:rPr>
          <w:rFonts w:ascii="Arial" w:cs="Arial" w:eastAsia="Arial" w:hAnsi="Arial"/>
          <w:sz w:val="17"/>
          <w:szCs w:val="17"/>
          <w:color w:val="auto"/>
        </w:rPr>
        <w:t>The following describes material features of the compensation disclosed in the Summary Compensation Table and the Grants of Plan-Based Awards table.</w:t>
      </w:r>
    </w:p>
    <w:p>
      <w:pPr>
        <w:spacing w:after="0" w:line="161" w:lineRule="exact"/>
        <w:rPr>
          <w:sz w:val="20"/>
          <w:szCs w:val="20"/>
          <w:color w:val="auto"/>
        </w:rPr>
      </w:pPr>
    </w:p>
    <w:p>
      <w:pPr>
        <w:ind w:right="40" w:firstLine="937"/>
        <w:spacing w:after="0" w:line="258" w:lineRule="auto"/>
        <w:rPr>
          <w:sz w:val="20"/>
          <w:szCs w:val="20"/>
          <w:color w:val="auto"/>
        </w:rPr>
      </w:pPr>
      <w:r>
        <w:rPr>
          <w:rFonts w:ascii="Arial" w:cs="Arial" w:eastAsia="Arial" w:hAnsi="Arial"/>
          <w:sz w:val="17"/>
          <w:szCs w:val="17"/>
          <w:b w:val="1"/>
          <w:bCs w:val="1"/>
          <w:color w:val="auto"/>
        </w:rPr>
        <w:t xml:space="preserve">Employment Agreements. </w:t>
      </w:r>
      <w:r>
        <w:rPr>
          <w:rFonts w:ascii="Arial" w:cs="Arial" w:eastAsia="Arial" w:hAnsi="Arial"/>
          <w:sz w:val="17"/>
          <w:szCs w:val="17"/>
          <w:color w:val="auto"/>
        </w:rPr>
        <w:t>As described in “Compensation Discussion and Analysis: Employment Agreements and Severance Packages,”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Messrs. O’Shaughnessy and Rosen entered into employment agreements with the Company in 2014 that provide for annual base salaries of $750,000 and $1,625,000, respectively, and a discretionary annual cash incentive bonus target of 100% of base salary. Mr. Maas entered into an employment agreement with the Company in 2015 that initially provided for an annual base salary of $450,000 and a discretionary annual cash incentive bonus target of 30% of base salary.</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440"/>
          </w:cols>
          <w:pgMar w:left="740" w:top="262" w:right="719" w:bottom="1440" w:gutter="0" w:footer="0" w:header="0"/>
        </w:sectPr>
      </w:pPr>
    </w:p>
    <w:bookmarkStart w:id="29" w:name="page30"/>
    <w:bookmarkEnd w:id="29"/>
    <w:p>
      <w:pPr>
        <w:ind w:right="520" w:firstLine="937"/>
        <w:spacing w:after="0" w:line="31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Annual Bonus/Incentive Awards. </w:t>
      </w:r>
      <w:r>
        <w:rPr>
          <w:rFonts w:ascii="Arial" w:cs="Arial" w:eastAsia="Arial" w:hAnsi="Arial"/>
          <w:sz w:val="15"/>
          <w:szCs w:val="15"/>
          <w:color w:val="auto"/>
        </w:rPr>
        <w:t>The Summary Compensation Table and Grants of Plan-Based Awards table provide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regarding the annual bonus or incentive awards granted to the named executive officers in 2018. See “Compensation Discussion and Analysis: Performance-Based Incentive Compensation–Annual Bonuses” for additional information regarding the terms of these awards.</w:t>
      </w:r>
    </w:p>
    <w:p>
      <w:pPr>
        <w:spacing w:after="0" w:line="136" w:lineRule="exact"/>
        <w:rPr>
          <w:sz w:val="20"/>
          <w:szCs w:val="20"/>
          <w:color w:val="auto"/>
        </w:rPr>
      </w:pPr>
    </w:p>
    <w:p>
      <w:pPr>
        <w:ind w:right="340" w:firstLine="937"/>
        <w:spacing w:after="0" w:line="280"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The Summary Compensation Table reflects the fair value of the restricted stock awards made in 2017 on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Restricted stock generally vests four years from the date of grant, subject to continued employment.</w:t>
      </w:r>
    </w:p>
    <w:p>
      <w:pPr>
        <w:spacing w:after="0" w:line="157" w:lineRule="exact"/>
        <w:rPr>
          <w:sz w:val="20"/>
          <w:szCs w:val="20"/>
          <w:color w:val="auto"/>
        </w:rPr>
      </w:pPr>
    </w:p>
    <w:p>
      <w:pPr>
        <w:ind w:right="300" w:firstLine="937"/>
        <w:spacing w:after="0" w:line="260" w:lineRule="auto"/>
        <w:rPr>
          <w:sz w:val="20"/>
          <w:szCs w:val="20"/>
          <w:color w:val="auto"/>
        </w:rPr>
      </w:pPr>
      <w:r>
        <w:rPr>
          <w:rFonts w:ascii="Arial" w:cs="Arial" w:eastAsia="Arial" w:hAnsi="Arial"/>
          <w:sz w:val="17"/>
          <w:szCs w:val="17"/>
          <w:b w:val="1"/>
          <w:bCs w:val="1"/>
          <w:color w:val="auto"/>
        </w:rPr>
        <w:t xml:space="preserve">Performance Units. </w:t>
      </w:r>
      <w:r>
        <w:rPr>
          <w:rFonts w:ascii="Arial" w:cs="Arial" w:eastAsia="Arial" w:hAnsi="Arial"/>
          <w:sz w:val="17"/>
          <w:szCs w:val="17"/>
          <w:color w:val="auto"/>
        </w:rPr>
        <w:t>The Summary Compensation Table includes amounts earned for Performance Units granted under the 2013–2016</w:t>
      </w:r>
      <w:r>
        <w:rPr>
          <w:rFonts w:ascii="Arial" w:cs="Arial" w:eastAsia="Arial" w:hAnsi="Arial"/>
          <w:sz w:val="17"/>
          <w:szCs w:val="17"/>
          <w:b w:val="1"/>
          <w:bCs w:val="1"/>
          <w:color w:val="auto"/>
        </w:rPr>
        <w:t xml:space="preserve"> </w:t>
      </w:r>
      <w:r>
        <w:rPr>
          <w:rFonts w:ascii="Arial" w:cs="Arial" w:eastAsia="Arial" w:hAnsi="Arial"/>
          <w:sz w:val="17"/>
          <w:szCs w:val="17"/>
          <w:color w:val="auto"/>
        </w:rPr>
        <w:t>and 2015–2018 award cycles. The Committee sets the performance-based goals for the grants at the beginning of each four-year award cycle. For additional information regarding the Performance Units, see “Compensation Discussion and Analysis: Performance-Based Incentive Compensation– Performance Units.”</w:t>
      </w:r>
    </w:p>
    <w:p>
      <w:pPr>
        <w:spacing w:after="0" w:line="174" w:lineRule="exact"/>
        <w:rPr>
          <w:sz w:val="20"/>
          <w:szCs w:val="20"/>
          <w:color w:val="auto"/>
        </w:rPr>
      </w:pPr>
    </w:p>
    <w:p>
      <w:pPr>
        <w:ind w:right="160" w:firstLine="937"/>
        <w:spacing w:after="0" w:line="265"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value of stock option awards shown in the Summary Compensation Table represents the grant date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granted to Mr. Cooney in 2017 under the 2012 ICP. The options generally vest over a six-year period from the date of grant and are exercisable for 10 years from the date of grant.</w:t>
      </w:r>
    </w:p>
    <w:p>
      <w:pPr>
        <w:spacing w:after="0" w:line="173" w:lineRule="exact"/>
        <w:rPr>
          <w:sz w:val="20"/>
          <w:szCs w:val="20"/>
          <w:color w:val="auto"/>
        </w:rPr>
      </w:pPr>
    </w:p>
    <w:p>
      <w:pPr>
        <w:ind w:right="260" w:firstLine="937"/>
        <w:spacing w:after="0" w:line="275" w:lineRule="auto"/>
        <w:rPr>
          <w:sz w:val="20"/>
          <w:szCs w:val="20"/>
          <w:color w:val="auto"/>
        </w:rPr>
      </w:pPr>
      <w:r>
        <w:rPr>
          <w:rFonts w:ascii="Arial" w:cs="Arial" w:eastAsia="Arial" w:hAnsi="Arial"/>
          <w:sz w:val="17"/>
          <w:szCs w:val="17"/>
          <w:color w:val="auto"/>
        </w:rPr>
        <w:t>The following table shows the number of shares covered by exercisable and unexercisable options and unvested restricted stock held by the Company’s named executive officers on December 31, 2018.</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53"/>
        </w:trPr>
        <w:tc>
          <w:tcPr>
            <w:tcW w:w="2160" w:type="dxa"/>
            <w:vAlign w:val="bottom"/>
            <w:tcBorders>
              <w:top w:val="single" w:sz="8" w:color="auto"/>
              <w:left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960" w:type="dxa"/>
            <w:vAlign w:val="bottom"/>
            <w:tcBorders>
              <w:top w:val="single" w:sz="8" w:color="auto"/>
              <w:bottom w:val="single" w:sz="8" w:color="auto"/>
            </w:tcBorders>
            <w:gridSpan w:val="2"/>
          </w:tcPr>
          <w:p>
            <w:pPr>
              <w:ind w:left="900"/>
              <w:spacing w:after="0" w:line="153" w:lineRule="exact"/>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1"/>
                <w:szCs w:val="11"/>
                <w:b w:val="1"/>
                <w:bCs w:val="1"/>
                <w:color w:val="auto"/>
                <w:w w:val="93"/>
              </w:rPr>
              <w:t>1</w:t>
            </w:r>
          </w:p>
        </w:tc>
        <w:tc>
          <w:tcPr>
            <w:tcW w:w="7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right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000" w:type="dxa"/>
            <w:vAlign w:val="bottom"/>
            <w:tcBorders>
              <w:top w:val="single" w:sz="8" w:color="auto"/>
              <w:bottom w:val="single" w:sz="8" w:color="auto"/>
            </w:tcBorders>
            <w:gridSpan w:val="2"/>
          </w:tcPr>
          <w:p>
            <w:pPr>
              <w:ind w:left="580"/>
              <w:spacing w:after="0" w:line="153" w:lineRule="exact"/>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1"/>
                <w:szCs w:val="11"/>
                <w:b w:val="1"/>
                <w:bCs w:val="1"/>
                <w:color w:val="auto"/>
              </w:rPr>
              <w:t>2</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r>
      <w:tr>
        <w:trPr>
          <w:trHeight w:val="113"/>
        </w:trPr>
        <w:tc>
          <w:tcPr>
            <w:tcW w:w="2160" w:type="dxa"/>
            <w:vAlign w:val="bottom"/>
            <w:tcBorders>
              <w:left w:val="single" w:sz="8" w:color="auto"/>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center"/>
              <w:ind w:left="13"/>
              <w:spacing w:after="0" w:line="113" w:lineRule="exact"/>
              <w:rPr>
                <w:sz w:val="20"/>
                <w:szCs w:val="20"/>
                <w:color w:val="auto"/>
              </w:rPr>
            </w:pPr>
            <w:r>
              <w:rPr>
                <w:rFonts w:ascii="Arial" w:cs="Arial" w:eastAsia="Arial" w:hAnsi="Arial"/>
                <w:sz w:val="12"/>
                <w:szCs w:val="12"/>
                <w:b w:val="1"/>
                <w:bCs w:val="1"/>
                <w:color w:val="auto"/>
              </w:rPr>
              <w:t>Equity</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5"/>
              </w:rPr>
              <w:t>Incentive</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53"/>
              <w:spacing w:after="0" w:line="141"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4"/>
              </w:rPr>
              <w:t>Plan</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Incentive</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6"/>
              </w:rPr>
              <w:t>Awards:</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Equity</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7"/>
              </w:rPr>
              <w:t>Plan</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5"/>
              </w:rPr>
              <w:t>Market or</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Incentive</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53"/>
              <w:spacing w:after="0" w:line="141"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5"/>
              </w:rPr>
              <w:t>Payout</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7"/>
              </w:rPr>
              <w:t>Plan</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8"/>
              </w:rPr>
              <w:t>Value of</w:t>
            </w: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tcBorders>
              <w:right w:val="single" w:sz="8" w:color="auto"/>
            </w:tcBorders>
          </w:tcPr>
          <w:p>
            <w:pPr>
              <w:jc w:val="center"/>
              <w:ind w:left="13"/>
              <w:spacing w:after="0" w:line="148"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tcBorders>
              <w:right w:val="single" w:sz="8" w:color="auto"/>
            </w:tcBorders>
          </w:tcPr>
          <w:p>
            <w:pPr>
              <w:jc w:val="center"/>
              <w:ind w:left="33"/>
              <w:spacing w:after="0" w:line="148"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13"/>
              <w:spacing w:after="0" w:line="148" w:lineRule="exact"/>
              <w:rPr>
                <w:sz w:val="20"/>
                <w:szCs w:val="20"/>
                <w:color w:val="auto"/>
              </w:rPr>
            </w:pPr>
            <w:r>
              <w:rPr>
                <w:rFonts w:ascii="Arial" w:cs="Arial" w:eastAsia="Arial" w:hAnsi="Arial"/>
                <w:sz w:val="14"/>
                <w:szCs w:val="14"/>
                <w:b w:val="1"/>
                <w:bCs w:val="1"/>
                <w:color w:val="auto"/>
                <w:w w:val="97"/>
              </w:rPr>
              <w:t>Market</w:t>
            </w:r>
          </w:p>
        </w:tc>
        <w:tc>
          <w:tcPr>
            <w:tcW w:w="1080" w:type="dxa"/>
            <w:vAlign w:val="bottom"/>
            <w:tcBorders>
              <w:right w:val="single" w:sz="8" w:color="auto"/>
            </w:tcBorders>
          </w:tcPr>
          <w:p>
            <w:pPr>
              <w:jc w:val="center"/>
              <w:ind w:left="33"/>
              <w:spacing w:after="0" w:line="148" w:lineRule="exact"/>
              <w:rPr>
                <w:sz w:val="20"/>
                <w:szCs w:val="20"/>
                <w:color w:val="auto"/>
              </w:rPr>
            </w:pPr>
            <w:r>
              <w:rPr>
                <w:rFonts w:ascii="Arial" w:cs="Arial" w:eastAsia="Arial" w:hAnsi="Arial"/>
                <w:sz w:val="14"/>
                <w:szCs w:val="14"/>
                <w:b w:val="1"/>
                <w:bCs w:val="1"/>
                <w:color w:val="auto"/>
                <w:w w:val="89"/>
              </w:rPr>
              <w:t>Unearned</w:t>
            </w:r>
          </w:p>
        </w:tc>
        <w:tc>
          <w:tcPr>
            <w:tcW w:w="880" w:type="dxa"/>
            <w:vAlign w:val="bottom"/>
            <w:tcBorders>
              <w:right w:val="single" w:sz="8" w:color="auto"/>
            </w:tcBorders>
          </w:tcPr>
          <w:p>
            <w:pPr>
              <w:jc w:val="center"/>
              <w:ind w:left="13"/>
              <w:spacing w:after="0" w:line="148" w:lineRule="exact"/>
              <w:rPr>
                <w:sz w:val="20"/>
                <w:szCs w:val="20"/>
                <w:color w:val="auto"/>
              </w:rPr>
            </w:pPr>
            <w:r>
              <w:rPr>
                <w:rFonts w:ascii="Arial" w:cs="Arial" w:eastAsia="Arial" w:hAnsi="Arial"/>
                <w:sz w:val="14"/>
                <w:szCs w:val="14"/>
                <w:b w:val="1"/>
                <w:bCs w:val="1"/>
                <w:color w:val="auto"/>
                <w:w w:val="86"/>
              </w:rPr>
              <w:t>Unearned</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3"/>
              </w:rPr>
              <w:t>Securities</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2"/>
              </w:rPr>
              <w:t>Shares,</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6"/>
              </w:rPr>
              <w:t>Shares,</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6"/>
              </w:rPr>
              <w:t>Securities</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6"/>
              </w:rPr>
              <w:t>Shares or</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3"/>
              </w:rPr>
              <w:t>Shares or</w:t>
            </w:r>
          </w:p>
        </w:tc>
        <w:tc>
          <w:tcPr>
            <w:tcW w:w="1080" w:type="dxa"/>
            <w:vAlign w:val="bottom"/>
            <w:tcBorders>
              <w:right w:val="single" w:sz="8" w:color="auto"/>
            </w:tcBorders>
          </w:tcPr>
          <w:p>
            <w:pPr>
              <w:jc w:val="center"/>
              <w:ind w:left="53"/>
              <w:spacing w:after="0" w:line="141" w:lineRule="exact"/>
              <w:rPr>
                <w:sz w:val="20"/>
                <w:szCs w:val="20"/>
                <w:color w:val="auto"/>
              </w:rPr>
            </w:pPr>
            <w:r>
              <w:rPr>
                <w:rFonts w:ascii="Arial" w:cs="Arial" w:eastAsia="Arial" w:hAnsi="Arial"/>
                <w:sz w:val="14"/>
                <w:szCs w:val="14"/>
                <w:b w:val="1"/>
                <w:bCs w:val="1"/>
                <w:color w:val="auto"/>
                <w:w w:val="90"/>
              </w:rPr>
              <w:t>Units or</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8"/>
              </w:rPr>
              <w:t>Units or</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Unexercised</w:t>
            </w:r>
          </w:p>
        </w:tc>
        <w:tc>
          <w:tcPr>
            <w:tcW w:w="104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6"/>
              </w:rPr>
              <w:t>Unexercised</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0"/>
              </w:rPr>
              <w:t>Underlying</w:t>
            </w:r>
          </w:p>
        </w:tc>
        <w:tc>
          <w:tcPr>
            <w:tcW w:w="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4"/>
              </w:rPr>
              <w:t>Units of</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Units of</w:t>
            </w:r>
          </w:p>
        </w:tc>
        <w:tc>
          <w:tcPr>
            <w:tcW w:w="10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9"/>
              </w:rPr>
              <w:t>Other Rights</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6"/>
              </w:rPr>
              <w:t>Other</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Options:</w:t>
            </w:r>
          </w:p>
        </w:tc>
        <w:tc>
          <w:tcPr>
            <w:tcW w:w="104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0"/>
              </w:rPr>
              <w:t>Options:</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9"/>
              </w:rPr>
              <w:t>Stock That</w:t>
            </w:r>
          </w:p>
        </w:tc>
        <w:tc>
          <w:tcPr>
            <w:tcW w:w="92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9"/>
              </w:rPr>
              <w:t>Stock That</w:t>
            </w: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2"/>
              </w:rPr>
              <w:t>That Have</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8"/>
              </w:rPr>
              <w:t>Rights That</w:t>
            </w:r>
          </w:p>
        </w:tc>
      </w:tr>
      <w:tr>
        <w:trPr>
          <w:trHeight w:val="140"/>
        </w:trPr>
        <w:tc>
          <w:tcPr>
            <w:tcW w:w="21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7"/>
              </w:rPr>
              <w:t>Exercisable</w:t>
            </w:r>
          </w:p>
        </w:tc>
        <w:tc>
          <w:tcPr>
            <w:tcW w:w="104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4"/>
              </w:rPr>
              <w:t>Unexercisable</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93"/>
              </w:rPr>
              <w:t>Expiration</w:t>
            </w: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2"/>
              </w:rPr>
              <w:t>Have Not</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8"/>
              </w:rPr>
              <w:t>Have Not</w:t>
            </w:r>
          </w:p>
        </w:tc>
        <w:tc>
          <w:tcPr>
            <w:tcW w:w="108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4"/>
              </w:rPr>
              <w:t>Not Vested</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2"/>
              </w:rPr>
              <w:t>Have Not</w:t>
            </w:r>
          </w:p>
        </w:tc>
      </w:tr>
      <w:tr>
        <w:trPr>
          <w:trHeight w:val="140"/>
        </w:trPr>
        <w:tc>
          <w:tcPr>
            <w:tcW w:w="2160" w:type="dxa"/>
            <w:vAlign w:val="bottom"/>
            <w:tcBorders>
              <w:left w:val="single" w:sz="8" w:color="auto"/>
              <w:right w:val="single" w:sz="8" w:color="auto"/>
            </w:tcBorders>
          </w:tcPr>
          <w:p>
            <w:pPr>
              <w:ind w:left="960"/>
              <w:spacing w:after="0" w:line="141" w:lineRule="exact"/>
              <w:rPr>
                <w:sz w:val="20"/>
                <w:szCs w:val="20"/>
                <w:color w:val="auto"/>
              </w:rPr>
            </w:pPr>
            <w:r>
              <w:rPr>
                <w:rFonts w:ascii="Arial" w:cs="Arial" w:eastAsia="Arial" w:hAnsi="Arial"/>
                <w:sz w:val="14"/>
                <w:szCs w:val="14"/>
                <w:b w:val="1"/>
                <w:bCs w:val="1"/>
                <w:color w:val="auto"/>
              </w:rPr>
              <w:t>Name</w:t>
            </w:r>
          </w:p>
        </w:tc>
        <w:tc>
          <w:tcPr>
            <w:tcW w:w="8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w:t>
            </w:r>
          </w:p>
        </w:tc>
        <w:tc>
          <w:tcPr>
            <w:tcW w:w="104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93"/>
              </w:rPr>
              <w:t>(#)</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4"/>
              </w:rPr>
              <w:t>Options (#)</w:t>
            </w:r>
          </w:p>
        </w:tc>
        <w:tc>
          <w:tcPr>
            <w:tcW w:w="74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86"/>
              </w:rPr>
              <w:t>Price ($)</w:t>
            </w:r>
          </w:p>
        </w:tc>
        <w:tc>
          <w:tcPr>
            <w:tcW w:w="900" w:type="dxa"/>
            <w:vAlign w:val="bottom"/>
            <w:tcBorders>
              <w:right w:val="single" w:sz="8" w:color="auto"/>
            </w:tcBorders>
          </w:tcPr>
          <w:p>
            <w:pPr>
              <w:jc w:val="center"/>
              <w:ind w:left="34"/>
              <w:spacing w:after="0" w:line="141" w:lineRule="exact"/>
              <w:rPr>
                <w:sz w:val="20"/>
                <w:szCs w:val="20"/>
                <w:color w:val="auto"/>
              </w:rPr>
            </w:pPr>
            <w:r>
              <w:rPr>
                <w:rFonts w:ascii="Arial" w:cs="Arial" w:eastAsia="Arial" w:hAnsi="Arial"/>
                <w:sz w:val="14"/>
                <w:szCs w:val="14"/>
                <w:b w:val="1"/>
                <w:bCs w:val="1"/>
                <w:color w:val="auto"/>
                <w:w w:val="92"/>
              </w:rPr>
              <w:t>Date</w:t>
            </w:r>
          </w:p>
        </w:tc>
        <w:tc>
          <w:tcPr>
            <w:tcW w:w="90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83"/>
              </w:rPr>
              <w:t>Vested (#)</w:t>
            </w:r>
          </w:p>
        </w:tc>
        <w:tc>
          <w:tcPr>
            <w:tcW w:w="920" w:type="dxa"/>
            <w:vAlign w:val="bottom"/>
            <w:tcBorders>
              <w:right w:val="single" w:sz="8" w:color="auto"/>
            </w:tcBorders>
          </w:tcPr>
          <w:p>
            <w:pPr>
              <w:jc w:val="center"/>
              <w:ind w:left="33"/>
              <w:spacing w:after="0" w:line="141" w:lineRule="exact"/>
              <w:rPr>
                <w:sz w:val="20"/>
                <w:szCs w:val="20"/>
                <w:color w:val="auto"/>
              </w:rPr>
            </w:pPr>
            <w:r>
              <w:rPr>
                <w:rFonts w:ascii="Arial" w:cs="Arial" w:eastAsia="Arial" w:hAnsi="Arial"/>
                <w:sz w:val="14"/>
                <w:szCs w:val="14"/>
                <w:b w:val="1"/>
                <w:bCs w:val="1"/>
                <w:color w:val="auto"/>
                <w:w w:val="92"/>
              </w:rPr>
              <w:t>Vested ($)</w:t>
            </w:r>
          </w:p>
        </w:tc>
        <w:tc>
          <w:tcPr>
            <w:tcW w:w="1080" w:type="dxa"/>
            <w:vAlign w:val="bottom"/>
            <w:tcBorders>
              <w:right w:val="single" w:sz="8" w:color="auto"/>
            </w:tcBorders>
          </w:tcPr>
          <w:p>
            <w:pPr>
              <w:jc w:val="center"/>
              <w:ind w:left="53"/>
              <w:spacing w:after="0" w:line="141" w:lineRule="exact"/>
              <w:rPr>
                <w:sz w:val="20"/>
                <w:szCs w:val="20"/>
                <w:color w:val="auto"/>
              </w:rPr>
            </w:pPr>
            <w:r>
              <w:rPr>
                <w:rFonts w:ascii="Arial" w:cs="Arial" w:eastAsia="Arial" w:hAnsi="Arial"/>
                <w:sz w:val="14"/>
                <w:szCs w:val="14"/>
                <w:b w:val="1"/>
                <w:bCs w:val="1"/>
                <w:color w:val="auto"/>
                <w:w w:val="93"/>
              </w:rPr>
              <w:t>(#)</w:t>
            </w:r>
          </w:p>
        </w:tc>
        <w:tc>
          <w:tcPr>
            <w:tcW w:w="880" w:type="dxa"/>
            <w:vAlign w:val="bottom"/>
            <w:tcBorders>
              <w:right w:val="single" w:sz="8" w:color="auto"/>
            </w:tcBorders>
          </w:tcPr>
          <w:p>
            <w:pPr>
              <w:jc w:val="center"/>
              <w:ind w:left="13"/>
              <w:spacing w:after="0" w:line="141" w:lineRule="exact"/>
              <w:rPr>
                <w:sz w:val="20"/>
                <w:szCs w:val="20"/>
                <w:color w:val="auto"/>
              </w:rPr>
            </w:pPr>
            <w:r>
              <w:rPr>
                <w:rFonts w:ascii="Arial" w:cs="Arial" w:eastAsia="Arial" w:hAnsi="Arial"/>
                <w:sz w:val="14"/>
                <w:szCs w:val="14"/>
                <w:b w:val="1"/>
                <w:bCs w:val="1"/>
                <w:color w:val="auto"/>
                <w:w w:val="83"/>
              </w:rPr>
              <w:t>Vested ($)</w:t>
            </w:r>
          </w:p>
        </w:tc>
      </w:tr>
      <w:tr>
        <w:trPr>
          <w:trHeight w:val="166"/>
        </w:trPr>
        <w:tc>
          <w:tcPr>
            <w:tcW w:w="2160" w:type="dxa"/>
            <w:vAlign w:val="bottom"/>
            <w:tcBorders>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4"/>
                <w:szCs w:val="14"/>
                <w:b w:val="1"/>
                <w:bCs w:val="1"/>
                <w:color w:val="auto"/>
              </w:rPr>
              <w:t>(a)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4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3"/>
              </w:rPr>
              <w:t>(c)</w:t>
            </w:r>
          </w:p>
        </w:tc>
        <w:tc>
          <w:tcPr>
            <w:tcW w:w="92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w:t>
            </w:r>
          </w:p>
        </w:tc>
        <w:tc>
          <w:tcPr>
            <w:tcW w:w="74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3"/>
              </w:rPr>
              <w:t>(e)</w:t>
            </w:r>
          </w:p>
        </w:tc>
        <w:tc>
          <w:tcPr>
            <w:tcW w:w="90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5"/>
              </w:rPr>
              <w:t>(f)</w:t>
            </w:r>
          </w:p>
        </w:tc>
        <w:tc>
          <w:tcPr>
            <w:tcW w:w="9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3"/>
              </w:rPr>
              <w:t>(g)</w:t>
            </w:r>
            <w:r>
              <w:rPr>
                <w:rFonts w:ascii="Arial" w:cs="Arial" w:eastAsia="Arial" w:hAnsi="Arial"/>
                <w:sz w:val="11"/>
                <w:szCs w:val="11"/>
                <w:b w:val="1"/>
                <w:bCs w:val="1"/>
                <w:color w:val="auto"/>
                <w:w w:val="83"/>
              </w:rPr>
              <w:t>2</w:t>
            </w:r>
          </w:p>
        </w:tc>
        <w:tc>
          <w:tcPr>
            <w:tcW w:w="92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1"/>
              </w:rPr>
              <w:t>(h)</w:t>
            </w:r>
            <w:r>
              <w:rPr>
                <w:rFonts w:ascii="Arial" w:cs="Arial" w:eastAsia="Arial" w:hAnsi="Arial"/>
                <w:sz w:val="11"/>
                <w:szCs w:val="11"/>
                <w:b w:val="1"/>
                <w:bCs w:val="1"/>
                <w:color w:val="auto"/>
                <w:w w:val="91"/>
              </w:rPr>
              <w:t>3</w:t>
            </w:r>
          </w:p>
        </w:tc>
        <w:tc>
          <w:tcPr>
            <w:tcW w:w="108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14"/>
                <w:szCs w:val="14"/>
                <w:b w:val="1"/>
                <w:bCs w:val="1"/>
                <w:color w:val="auto"/>
                <w:w w:val="90"/>
              </w:rPr>
              <w:t>(i)</w:t>
            </w:r>
          </w:p>
        </w:tc>
        <w:tc>
          <w:tcPr>
            <w:tcW w:w="8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0"/>
              </w:rPr>
              <w:t>(j)</w:t>
            </w:r>
          </w:p>
        </w:tc>
      </w:tr>
      <w:tr>
        <w:trPr>
          <w:trHeight w:val="115"/>
        </w:trPr>
        <w:tc>
          <w:tcPr>
            <w:tcW w:w="216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Timothy J. O’Shaughnessy</w:t>
            </w:r>
          </w:p>
        </w:tc>
        <w:tc>
          <w:tcPr>
            <w:tcW w:w="880" w:type="dxa"/>
            <w:vAlign w:val="bottom"/>
            <w:tcBorders>
              <w:right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51,504</w:t>
            </w:r>
          </w:p>
        </w:tc>
        <w:tc>
          <w:tcPr>
            <w:tcW w:w="1040" w:type="dxa"/>
            <w:vAlign w:val="bottom"/>
            <w:tcBorders>
              <w:right w:val="single" w:sz="8" w:color="auto"/>
            </w:tcBorders>
            <w:shd w:val="clear" w:color="auto" w:fill="CCEEFF"/>
          </w:tcPr>
          <w:p>
            <w:pPr>
              <w:jc w:val="center"/>
              <w:ind w:left="13"/>
              <w:spacing w:after="0" w:line="115" w:lineRule="exact"/>
              <w:rPr>
                <w:sz w:val="20"/>
                <w:szCs w:val="20"/>
                <w:color w:val="auto"/>
              </w:rPr>
            </w:pPr>
            <w:r>
              <w:rPr>
                <w:rFonts w:ascii="Arial" w:cs="Arial" w:eastAsia="Arial" w:hAnsi="Arial"/>
                <w:sz w:val="12"/>
                <w:szCs w:val="12"/>
                <w:color w:val="auto"/>
                <w:w w:val="97"/>
              </w:rPr>
              <w:t>25,754</w:t>
            </w:r>
          </w:p>
        </w:tc>
        <w:tc>
          <w:tcPr>
            <w:tcW w:w="92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shd w:val="clear" w:color="auto" w:fill="CCEEFF"/>
          </w:tcPr>
          <w:p>
            <w:pPr>
              <w:jc w:val="center"/>
              <w:ind w:left="34"/>
              <w:spacing w:after="0" w:line="115" w:lineRule="exact"/>
              <w:rPr>
                <w:sz w:val="20"/>
                <w:szCs w:val="20"/>
                <w:color w:val="auto"/>
              </w:rPr>
            </w:pPr>
            <w:r>
              <w:rPr>
                <w:rFonts w:ascii="Arial" w:cs="Arial" w:eastAsia="Arial" w:hAnsi="Arial"/>
                <w:sz w:val="12"/>
                <w:szCs w:val="12"/>
                <w:color w:val="auto"/>
                <w:w w:val="97"/>
              </w:rPr>
              <w:t>719.15</w:t>
            </w:r>
          </w:p>
        </w:tc>
        <w:tc>
          <w:tcPr>
            <w:tcW w:w="900" w:type="dxa"/>
            <w:vAlign w:val="bottom"/>
            <w:tcBorders>
              <w:right w:val="single" w:sz="8" w:color="auto"/>
            </w:tcBorders>
            <w:shd w:val="clear" w:color="auto" w:fill="CCEEFF"/>
          </w:tcPr>
          <w:p>
            <w:pPr>
              <w:jc w:val="center"/>
              <w:ind w:left="34"/>
              <w:spacing w:after="0" w:line="115" w:lineRule="exact"/>
              <w:rPr>
                <w:sz w:val="20"/>
                <w:szCs w:val="20"/>
                <w:color w:val="auto"/>
              </w:rPr>
            </w:pPr>
            <w:r>
              <w:rPr>
                <w:rFonts w:ascii="Arial" w:cs="Arial" w:eastAsia="Arial" w:hAnsi="Arial"/>
                <w:sz w:val="12"/>
                <w:szCs w:val="12"/>
                <w:color w:val="auto"/>
              </w:rPr>
              <w:t>11/3/2024</w:t>
            </w:r>
          </w:p>
        </w:tc>
        <w:tc>
          <w:tcPr>
            <w:tcW w:w="90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w w:val="99"/>
              </w:rPr>
              <w:t>—</w:t>
            </w:r>
          </w:p>
        </w:tc>
        <w:tc>
          <w:tcPr>
            <w:tcW w:w="92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108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shd w:val="clear" w:color="auto" w:fill="CCEEFF"/>
          </w:tcPr>
          <w:p>
            <w:pPr>
              <w:jc w:val="center"/>
              <w:ind w:left="53"/>
              <w:spacing w:after="0" w:line="115" w:lineRule="exact"/>
              <w:rPr>
                <w:sz w:val="20"/>
                <w:szCs w:val="20"/>
                <w:color w:val="auto"/>
              </w:rPr>
            </w:pPr>
            <w:r>
              <w:rPr>
                <w:rFonts w:ascii="Arial" w:cs="Arial" w:eastAsia="Arial" w:hAnsi="Arial"/>
                <w:sz w:val="12"/>
                <w:szCs w:val="12"/>
                <w:color w:val="auto"/>
                <w:w w:val="99"/>
              </w:rPr>
              <w:t>—</w:t>
            </w:r>
          </w:p>
        </w:tc>
      </w:tr>
      <w:tr>
        <w:trPr>
          <w:trHeight w:val="159"/>
        </w:trPr>
        <w:tc>
          <w:tcPr>
            <w:tcW w:w="21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11,370</w:t>
            </w:r>
          </w:p>
        </w:tc>
        <w:tc>
          <w:tcPr>
            <w:tcW w:w="1040" w:type="dxa"/>
            <w:vAlign w:val="bottom"/>
            <w:tcBorders>
              <w:bottom w:val="single" w:sz="8" w:color="auto"/>
              <w:right w:val="single" w:sz="8" w:color="auto"/>
            </w:tcBorders>
            <w:shd w:val="clear" w:color="auto" w:fill="CCEEFF"/>
          </w:tcPr>
          <w:p>
            <w:pPr>
              <w:jc w:val="center"/>
              <w:ind w:left="13"/>
              <w:spacing w:after="0" w:line="159" w:lineRule="exact"/>
              <w:rPr>
                <w:sz w:val="20"/>
                <w:szCs w:val="20"/>
                <w:color w:val="auto"/>
              </w:rPr>
            </w:pPr>
            <w:r>
              <w:rPr>
                <w:rFonts w:ascii="Arial" w:cs="Arial" w:eastAsia="Arial" w:hAnsi="Arial"/>
                <w:sz w:val="14"/>
                <w:szCs w:val="14"/>
                <w:color w:val="auto"/>
                <w:w w:val="83"/>
              </w:rPr>
              <w:t>11,372</w:t>
            </w:r>
          </w:p>
        </w:tc>
        <w:tc>
          <w:tcPr>
            <w:tcW w:w="920" w:type="dxa"/>
            <w:vAlign w:val="bottom"/>
            <w:tcBorders>
              <w:bottom w:val="single" w:sz="8" w:color="auto"/>
              <w:right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auto"/>
            </w:tcBorders>
            <w:shd w:val="clear" w:color="auto" w:fill="CCEEFF"/>
          </w:tcPr>
          <w:p>
            <w:pPr>
              <w:jc w:val="center"/>
              <w:ind w:left="34"/>
              <w:spacing w:after="0" w:line="159" w:lineRule="exact"/>
              <w:rPr>
                <w:sz w:val="20"/>
                <w:szCs w:val="20"/>
                <w:color w:val="auto"/>
              </w:rPr>
            </w:pPr>
            <w:r>
              <w:rPr>
                <w:rFonts w:ascii="Arial" w:cs="Arial" w:eastAsia="Arial" w:hAnsi="Arial"/>
                <w:sz w:val="14"/>
                <w:szCs w:val="14"/>
                <w:color w:val="auto"/>
                <w:w w:val="83"/>
              </w:rPr>
              <w:t>872.01</w:t>
            </w:r>
          </w:p>
        </w:tc>
        <w:tc>
          <w:tcPr>
            <w:tcW w:w="900" w:type="dxa"/>
            <w:vAlign w:val="bottom"/>
            <w:tcBorders>
              <w:bottom w:val="single" w:sz="8" w:color="auto"/>
              <w:right w:val="single" w:sz="8" w:color="auto"/>
            </w:tcBorders>
            <w:shd w:val="clear" w:color="auto" w:fill="CCEEFF"/>
          </w:tcPr>
          <w:p>
            <w:pPr>
              <w:jc w:val="center"/>
              <w:ind w:left="34"/>
              <w:spacing w:after="0" w:line="159" w:lineRule="exact"/>
              <w:rPr>
                <w:sz w:val="20"/>
                <w:szCs w:val="20"/>
                <w:color w:val="auto"/>
              </w:rPr>
            </w:pPr>
            <w:r>
              <w:rPr>
                <w:rFonts w:ascii="Arial" w:cs="Arial" w:eastAsia="Arial" w:hAnsi="Arial"/>
                <w:sz w:val="14"/>
                <w:szCs w:val="14"/>
                <w:color w:val="auto"/>
                <w:w w:val="85"/>
              </w:rPr>
              <w:t>11/12/2025</w:t>
            </w:r>
          </w:p>
        </w:tc>
        <w:tc>
          <w:tcPr>
            <w:tcW w:w="900" w:type="dxa"/>
            <w:vAlign w:val="bottom"/>
            <w:tcBorders>
              <w:bottom w:val="single" w:sz="8" w:color="auto"/>
              <w:right w:val="single" w:sz="8" w:color="auto"/>
            </w:tcBorders>
            <w:shd w:val="clear" w:color="auto" w:fill="CCEEFF"/>
          </w:tcPr>
          <w:p>
            <w:pPr>
              <w:spacing w:after="0"/>
              <w:rPr>
                <w:sz w:val="13"/>
                <w:szCs w:val="13"/>
                <w:color w:val="auto"/>
              </w:rPr>
            </w:pPr>
          </w:p>
        </w:tc>
        <w:tc>
          <w:tcPr>
            <w:tcW w:w="920" w:type="dxa"/>
            <w:vAlign w:val="bottom"/>
            <w:tcBorders>
              <w:bottom w:val="single" w:sz="8" w:color="auto"/>
              <w:right w:val="single" w:sz="8" w:color="auto"/>
            </w:tcBorders>
            <w:shd w:val="clear" w:color="auto" w:fill="CCEEFF"/>
          </w:tcPr>
          <w:p>
            <w:pPr>
              <w:spacing w:after="0"/>
              <w:rPr>
                <w:sz w:val="13"/>
                <w:szCs w:val="13"/>
                <w:color w:val="auto"/>
              </w:rPr>
            </w:pPr>
          </w:p>
        </w:tc>
        <w:tc>
          <w:tcPr>
            <w:tcW w:w="1080" w:type="dxa"/>
            <w:vAlign w:val="bottom"/>
            <w:tcBorders>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15"/>
        </w:trPr>
        <w:tc>
          <w:tcPr>
            <w:tcW w:w="216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Wallace R. Cooney</w:t>
            </w:r>
          </w:p>
        </w:tc>
        <w:tc>
          <w:tcPr>
            <w:tcW w:w="8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color w:val="auto"/>
                <w:w w:val="99"/>
              </w:rPr>
              <w:t>333</w:t>
            </w:r>
          </w:p>
        </w:tc>
        <w:tc>
          <w:tcPr>
            <w:tcW w:w="1040" w:type="dxa"/>
            <w:vAlign w:val="bottom"/>
            <w:tcBorders>
              <w:right w:val="single" w:sz="8" w:color="auto"/>
            </w:tcBorders>
          </w:tcPr>
          <w:p>
            <w:pPr>
              <w:jc w:val="center"/>
              <w:ind w:left="13"/>
              <w:spacing w:after="0" w:line="115" w:lineRule="exact"/>
              <w:rPr>
                <w:sz w:val="20"/>
                <w:szCs w:val="20"/>
                <w:color w:val="auto"/>
              </w:rPr>
            </w:pPr>
            <w:r>
              <w:rPr>
                <w:rFonts w:ascii="Arial" w:cs="Arial" w:eastAsia="Arial" w:hAnsi="Arial"/>
                <w:sz w:val="12"/>
                <w:szCs w:val="12"/>
                <w:color w:val="auto"/>
              </w:rPr>
              <w:t>1,667</w:t>
            </w:r>
          </w:p>
        </w:tc>
        <w:tc>
          <w:tcPr>
            <w:tcW w:w="92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tcPr>
          <w:p>
            <w:pPr>
              <w:jc w:val="center"/>
              <w:ind w:left="34"/>
              <w:spacing w:after="0" w:line="115" w:lineRule="exact"/>
              <w:rPr>
                <w:sz w:val="20"/>
                <w:szCs w:val="20"/>
                <w:color w:val="auto"/>
              </w:rPr>
            </w:pPr>
            <w:r>
              <w:rPr>
                <w:rFonts w:ascii="Arial" w:cs="Arial" w:eastAsia="Arial" w:hAnsi="Arial"/>
                <w:sz w:val="12"/>
                <w:szCs w:val="12"/>
                <w:color w:val="auto"/>
                <w:w w:val="97"/>
              </w:rPr>
              <w:t>845.72</w:t>
            </w:r>
          </w:p>
        </w:tc>
        <w:tc>
          <w:tcPr>
            <w:tcW w:w="900" w:type="dxa"/>
            <w:vAlign w:val="bottom"/>
            <w:tcBorders>
              <w:right w:val="single" w:sz="8" w:color="auto"/>
            </w:tcBorders>
          </w:tcPr>
          <w:p>
            <w:pPr>
              <w:jc w:val="center"/>
              <w:ind w:left="34"/>
              <w:spacing w:after="0" w:line="115" w:lineRule="exact"/>
              <w:rPr>
                <w:sz w:val="20"/>
                <w:szCs w:val="20"/>
                <w:color w:val="auto"/>
              </w:rPr>
            </w:pPr>
            <w:r>
              <w:rPr>
                <w:rFonts w:ascii="Arial" w:cs="Arial" w:eastAsia="Arial" w:hAnsi="Arial"/>
                <w:sz w:val="12"/>
                <w:szCs w:val="12"/>
                <w:color w:val="auto"/>
              </w:rPr>
              <w:t>4/1/2027</w:t>
            </w:r>
          </w:p>
        </w:tc>
        <w:tc>
          <w:tcPr>
            <w:tcW w:w="90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GHC 1,000</w:t>
            </w:r>
          </w:p>
        </w:tc>
        <w:tc>
          <w:tcPr>
            <w:tcW w:w="920" w:type="dxa"/>
            <w:vAlign w:val="bottom"/>
            <w:tcBorders>
              <w:right w:val="single" w:sz="8" w:color="auto"/>
            </w:tcBorders>
          </w:tcPr>
          <w:p>
            <w:pPr>
              <w:jc w:val="center"/>
              <w:ind w:left="13"/>
              <w:spacing w:after="0" w:line="115" w:lineRule="exact"/>
              <w:rPr>
                <w:sz w:val="20"/>
                <w:szCs w:val="20"/>
                <w:color w:val="auto"/>
              </w:rPr>
            </w:pPr>
            <w:r>
              <w:rPr>
                <w:rFonts w:ascii="Arial" w:cs="Arial" w:eastAsia="Arial" w:hAnsi="Arial"/>
                <w:sz w:val="12"/>
                <w:szCs w:val="12"/>
                <w:color w:val="auto"/>
              </w:rPr>
              <w:t>640,580</w:t>
            </w:r>
          </w:p>
        </w:tc>
        <w:tc>
          <w:tcPr>
            <w:tcW w:w="108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tcPr>
          <w:p>
            <w:pPr>
              <w:jc w:val="center"/>
              <w:ind w:left="53"/>
              <w:spacing w:after="0" w:line="115" w:lineRule="exact"/>
              <w:rPr>
                <w:sz w:val="20"/>
                <w:szCs w:val="20"/>
                <w:color w:val="auto"/>
              </w:rPr>
            </w:pPr>
            <w:r>
              <w:rPr>
                <w:rFonts w:ascii="Arial" w:cs="Arial" w:eastAsia="Arial" w:hAnsi="Arial"/>
                <w:sz w:val="12"/>
                <w:szCs w:val="12"/>
                <w:color w:val="auto"/>
                <w:w w:val="99"/>
              </w:rPr>
              <w:t>—</w:t>
            </w:r>
          </w:p>
        </w:tc>
      </w:tr>
      <w:tr>
        <w:trPr>
          <w:trHeight w:val="159"/>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left="33"/>
              <w:spacing w:after="0" w:line="159" w:lineRule="exact"/>
              <w:rPr>
                <w:sz w:val="20"/>
                <w:szCs w:val="20"/>
                <w:color w:val="auto"/>
              </w:rPr>
            </w:pPr>
            <w:r>
              <w:rPr>
                <w:rFonts w:ascii="Arial" w:cs="Arial" w:eastAsia="Arial" w:hAnsi="Arial"/>
                <w:sz w:val="14"/>
                <w:szCs w:val="14"/>
                <w:color w:val="auto"/>
                <w:w w:val="89"/>
              </w:rPr>
              <w:t>CABO 400</w:t>
            </w:r>
          </w:p>
        </w:tc>
        <w:tc>
          <w:tcPr>
            <w:tcW w:w="920" w:type="dxa"/>
            <w:vAlign w:val="bottom"/>
            <w:tcBorders>
              <w:bottom w:val="single" w:sz="8" w:color="auto"/>
              <w:right w:val="single" w:sz="8" w:color="auto"/>
            </w:tcBorders>
          </w:tcPr>
          <w:p>
            <w:pPr>
              <w:jc w:val="center"/>
              <w:ind w:left="13"/>
              <w:spacing w:after="0" w:line="159" w:lineRule="exact"/>
              <w:rPr>
                <w:sz w:val="20"/>
                <w:szCs w:val="20"/>
                <w:color w:val="auto"/>
              </w:rPr>
            </w:pPr>
            <w:r>
              <w:rPr>
                <w:rFonts w:ascii="Arial" w:cs="Arial" w:eastAsia="Arial" w:hAnsi="Arial"/>
                <w:sz w:val="14"/>
                <w:szCs w:val="14"/>
                <w:color w:val="auto"/>
                <w:w w:val="86"/>
              </w:rPr>
              <w:t>328,040</w:t>
            </w:r>
          </w:p>
        </w:tc>
        <w:tc>
          <w:tcPr>
            <w:tcW w:w="108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15"/>
        </w:trPr>
        <w:tc>
          <w:tcPr>
            <w:tcW w:w="216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Andrew S. Rosen</w:t>
            </w:r>
          </w:p>
        </w:tc>
        <w:tc>
          <w:tcPr>
            <w:tcW w:w="880" w:type="dxa"/>
            <w:vAlign w:val="bottom"/>
            <w:tcBorders>
              <w:right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77,258</w:t>
            </w:r>
          </w:p>
        </w:tc>
        <w:tc>
          <w:tcPr>
            <w:tcW w:w="1040" w:type="dxa"/>
            <w:vAlign w:val="bottom"/>
            <w:tcBorders>
              <w:right w:val="single" w:sz="8" w:color="auto"/>
            </w:tcBorders>
            <w:shd w:val="clear" w:color="auto" w:fill="CCEEFF"/>
          </w:tcPr>
          <w:p>
            <w:pPr>
              <w:jc w:val="center"/>
              <w:ind w:left="13"/>
              <w:spacing w:after="0" w:line="115" w:lineRule="exact"/>
              <w:rPr>
                <w:sz w:val="20"/>
                <w:szCs w:val="20"/>
                <w:color w:val="auto"/>
              </w:rPr>
            </w:pPr>
            <w:r>
              <w:rPr>
                <w:rFonts w:ascii="Arial" w:cs="Arial" w:eastAsia="Arial" w:hAnsi="Arial"/>
                <w:sz w:val="12"/>
                <w:szCs w:val="12"/>
                <w:color w:val="auto"/>
                <w:w w:val="99"/>
              </w:rPr>
              <w:t>—</w:t>
            </w:r>
          </w:p>
        </w:tc>
        <w:tc>
          <w:tcPr>
            <w:tcW w:w="92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shd w:val="clear" w:color="auto" w:fill="CCEEFF"/>
          </w:tcPr>
          <w:p>
            <w:pPr>
              <w:jc w:val="center"/>
              <w:ind w:left="34"/>
              <w:spacing w:after="0" w:line="115" w:lineRule="exact"/>
              <w:rPr>
                <w:sz w:val="20"/>
                <w:szCs w:val="20"/>
                <w:color w:val="auto"/>
              </w:rPr>
            </w:pPr>
            <w:r>
              <w:rPr>
                <w:rFonts w:ascii="Arial" w:cs="Arial" w:eastAsia="Arial" w:hAnsi="Arial"/>
                <w:sz w:val="12"/>
                <w:szCs w:val="12"/>
                <w:color w:val="auto"/>
                <w:w w:val="97"/>
              </w:rPr>
              <w:t>325.26</w:t>
            </w:r>
          </w:p>
        </w:tc>
        <w:tc>
          <w:tcPr>
            <w:tcW w:w="900" w:type="dxa"/>
            <w:vAlign w:val="bottom"/>
            <w:tcBorders>
              <w:right w:val="single" w:sz="8" w:color="auto"/>
            </w:tcBorders>
            <w:shd w:val="clear" w:color="auto" w:fill="CCEEFF"/>
          </w:tcPr>
          <w:p>
            <w:pPr>
              <w:jc w:val="center"/>
              <w:ind w:left="34"/>
              <w:spacing w:after="0" w:line="115" w:lineRule="exact"/>
              <w:rPr>
                <w:sz w:val="20"/>
                <w:szCs w:val="20"/>
                <w:color w:val="auto"/>
              </w:rPr>
            </w:pPr>
            <w:r>
              <w:rPr>
                <w:rFonts w:ascii="Arial" w:cs="Arial" w:eastAsia="Arial" w:hAnsi="Arial"/>
                <w:sz w:val="12"/>
                <w:szCs w:val="12"/>
                <w:color w:val="auto"/>
              </w:rPr>
              <w:t>2/22/2021</w:t>
            </w:r>
          </w:p>
        </w:tc>
        <w:tc>
          <w:tcPr>
            <w:tcW w:w="90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GHC 2,000</w:t>
            </w:r>
          </w:p>
        </w:tc>
        <w:tc>
          <w:tcPr>
            <w:tcW w:w="92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1,281,160</w:t>
            </w:r>
          </w:p>
        </w:tc>
        <w:tc>
          <w:tcPr>
            <w:tcW w:w="1080" w:type="dxa"/>
            <w:vAlign w:val="bottom"/>
            <w:tcBorders>
              <w:right w:val="single" w:sz="8" w:color="auto"/>
            </w:tcBorders>
            <w:shd w:val="clear" w:color="auto" w:fill="CCEEFF"/>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shd w:val="clear" w:color="auto" w:fill="CCEEFF"/>
          </w:tcPr>
          <w:p>
            <w:pPr>
              <w:jc w:val="center"/>
              <w:ind w:left="53"/>
              <w:spacing w:after="0" w:line="115" w:lineRule="exact"/>
              <w:rPr>
                <w:sz w:val="20"/>
                <w:szCs w:val="20"/>
                <w:color w:val="auto"/>
              </w:rPr>
            </w:pPr>
            <w:r>
              <w:rPr>
                <w:rFonts w:ascii="Arial" w:cs="Arial" w:eastAsia="Arial" w:hAnsi="Arial"/>
                <w:sz w:val="12"/>
                <w:szCs w:val="12"/>
                <w:color w:val="auto"/>
                <w:w w:val="99"/>
              </w:rPr>
              <w:t>—</w:t>
            </w:r>
          </w:p>
        </w:tc>
      </w:tr>
      <w:tr>
        <w:trPr>
          <w:trHeight w:val="159"/>
        </w:trPr>
        <w:tc>
          <w:tcPr>
            <w:tcW w:w="21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spacing w:after="0"/>
              <w:rPr>
                <w:sz w:val="13"/>
                <w:szCs w:val="13"/>
                <w:color w:val="auto"/>
              </w:rPr>
            </w:pPr>
          </w:p>
        </w:tc>
        <w:tc>
          <w:tcPr>
            <w:tcW w:w="920" w:type="dxa"/>
            <w:vAlign w:val="bottom"/>
            <w:tcBorders>
              <w:bottom w:val="single" w:sz="8" w:color="auto"/>
              <w:right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center"/>
              <w:ind w:left="33"/>
              <w:spacing w:after="0" w:line="159" w:lineRule="exact"/>
              <w:rPr>
                <w:sz w:val="20"/>
                <w:szCs w:val="20"/>
                <w:color w:val="auto"/>
              </w:rPr>
            </w:pPr>
            <w:r>
              <w:rPr>
                <w:rFonts w:ascii="Arial" w:cs="Arial" w:eastAsia="Arial" w:hAnsi="Arial"/>
                <w:sz w:val="14"/>
                <w:szCs w:val="14"/>
                <w:color w:val="auto"/>
                <w:w w:val="91"/>
              </w:rPr>
              <w:t>CABO 1,000</w:t>
            </w:r>
          </w:p>
        </w:tc>
        <w:tc>
          <w:tcPr>
            <w:tcW w:w="920" w:type="dxa"/>
            <w:vAlign w:val="bottom"/>
            <w:tcBorders>
              <w:bottom w:val="single" w:sz="8" w:color="auto"/>
              <w:right w:val="single" w:sz="8" w:color="auto"/>
            </w:tcBorders>
            <w:shd w:val="clear" w:color="auto" w:fill="CCEEFF"/>
          </w:tcPr>
          <w:p>
            <w:pPr>
              <w:jc w:val="center"/>
              <w:ind w:left="13"/>
              <w:spacing w:after="0" w:line="159" w:lineRule="exact"/>
              <w:rPr>
                <w:sz w:val="20"/>
                <w:szCs w:val="20"/>
                <w:color w:val="auto"/>
              </w:rPr>
            </w:pPr>
            <w:r>
              <w:rPr>
                <w:rFonts w:ascii="Arial" w:cs="Arial" w:eastAsia="Arial" w:hAnsi="Arial"/>
                <w:sz w:val="14"/>
                <w:szCs w:val="14"/>
                <w:color w:val="auto"/>
                <w:w w:val="86"/>
              </w:rPr>
              <w:t>820,100</w:t>
            </w:r>
          </w:p>
        </w:tc>
        <w:tc>
          <w:tcPr>
            <w:tcW w:w="1080" w:type="dxa"/>
            <w:vAlign w:val="bottom"/>
            <w:tcBorders>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15"/>
        </w:trPr>
        <w:tc>
          <w:tcPr>
            <w:tcW w:w="216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Nicole M. Maddrey</w:t>
            </w:r>
          </w:p>
        </w:tc>
        <w:tc>
          <w:tcPr>
            <w:tcW w:w="8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center"/>
              <w:ind w:left="13"/>
              <w:spacing w:after="0" w:line="115" w:lineRule="exact"/>
              <w:rPr>
                <w:sz w:val="20"/>
                <w:szCs w:val="20"/>
                <w:color w:val="auto"/>
              </w:rPr>
            </w:pPr>
            <w:r>
              <w:rPr>
                <w:rFonts w:ascii="Arial" w:cs="Arial" w:eastAsia="Arial" w:hAnsi="Arial"/>
                <w:sz w:val="12"/>
                <w:szCs w:val="12"/>
                <w:color w:val="auto"/>
                <w:w w:val="99"/>
              </w:rPr>
              <w:t>—</w:t>
            </w:r>
          </w:p>
        </w:tc>
        <w:tc>
          <w:tcPr>
            <w:tcW w:w="92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tcPr>
          <w:p>
            <w:pPr>
              <w:jc w:val="center"/>
              <w:ind w:left="14"/>
              <w:spacing w:after="0" w:line="115"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auto"/>
            </w:tcBorders>
          </w:tcPr>
          <w:p>
            <w:pPr>
              <w:jc w:val="center"/>
              <w:ind w:left="34"/>
              <w:spacing w:after="0" w:line="115" w:lineRule="exact"/>
              <w:rPr>
                <w:sz w:val="20"/>
                <w:szCs w:val="20"/>
                <w:color w:val="auto"/>
              </w:rPr>
            </w:pPr>
            <w:r>
              <w:rPr>
                <w:rFonts w:ascii="Arial" w:cs="Arial" w:eastAsia="Arial" w:hAnsi="Arial"/>
                <w:sz w:val="12"/>
                <w:szCs w:val="12"/>
                <w:color w:val="auto"/>
                <w:w w:val="99"/>
              </w:rPr>
              <w:t>—</w:t>
            </w:r>
          </w:p>
        </w:tc>
        <w:tc>
          <w:tcPr>
            <w:tcW w:w="90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GHC 1,000</w:t>
            </w:r>
          </w:p>
        </w:tc>
        <w:tc>
          <w:tcPr>
            <w:tcW w:w="920" w:type="dxa"/>
            <w:vAlign w:val="bottom"/>
            <w:tcBorders>
              <w:right w:val="single" w:sz="8" w:color="auto"/>
            </w:tcBorders>
          </w:tcPr>
          <w:p>
            <w:pPr>
              <w:jc w:val="center"/>
              <w:ind w:left="13"/>
              <w:spacing w:after="0" w:line="115" w:lineRule="exact"/>
              <w:rPr>
                <w:sz w:val="20"/>
                <w:szCs w:val="20"/>
                <w:color w:val="auto"/>
              </w:rPr>
            </w:pPr>
            <w:r>
              <w:rPr>
                <w:rFonts w:ascii="Arial" w:cs="Arial" w:eastAsia="Arial" w:hAnsi="Arial"/>
                <w:sz w:val="12"/>
                <w:szCs w:val="12"/>
                <w:color w:val="auto"/>
              </w:rPr>
              <w:t>640,580</w:t>
            </w:r>
          </w:p>
        </w:tc>
        <w:tc>
          <w:tcPr>
            <w:tcW w:w="1080" w:type="dxa"/>
            <w:vAlign w:val="bottom"/>
            <w:tcBorders>
              <w:right w:val="single" w:sz="8" w:color="auto"/>
            </w:tcBorders>
          </w:tcPr>
          <w:p>
            <w:pPr>
              <w:jc w:val="center"/>
              <w:ind w:left="33"/>
              <w:spacing w:after="0" w:line="115" w:lineRule="exact"/>
              <w:rPr>
                <w:sz w:val="20"/>
                <w:szCs w:val="20"/>
                <w:color w:val="auto"/>
              </w:rPr>
            </w:pPr>
            <w:r>
              <w:rPr>
                <w:rFonts w:ascii="Arial" w:cs="Arial" w:eastAsia="Arial" w:hAnsi="Arial"/>
                <w:sz w:val="12"/>
                <w:szCs w:val="12"/>
                <w:color w:val="auto"/>
              </w:rPr>
              <w:t>—</w:t>
            </w:r>
          </w:p>
        </w:tc>
        <w:tc>
          <w:tcPr>
            <w:tcW w:w="880" w:type="dxa"/>
            <w:vAlign w:val="bottom"/>
            <w:tcBorders>
              <w:right w:val="single" w:sz="8" w:color="auto"/>
            </w:tcBorders>
          </w:tcPr>
          <w:p>
            <w:pPr>
              <w:jc w:val="center"/>
              <w:ind w:left="53"/>
              <w:spacing w:after="0" w:line="115" w:lineRule="exact"/>
              <w:rPr>
                <w:sz w:val="20"/>
                <w:szCs w:val="20"/>
                <w:color w:val="auto"/>
              </w:rPr>
            </w:pPr>
            <w:r>
              <w:rPr>
                <w:rFonts w:ascii="Arial" w:cs="Arial" w:eastAsia="Arial" w:hAnsi="Arial"/>
                <w:sz w:val="12"/>
                <w:szCs w:val="12"/>
                <w:color w:val="auto"/>
                <w:w w:val="99"/>
              </w:rPr>
              <w:t>—</w:t>
            </w:r>
          </w:p>
        </w:tc>
      </w:tr>
      <w:tr>
        <w:trPr>
          <w:trHeight w:val="159"/>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left="33"/>
              <w:spacing w:after="0" w:line="159" w:lineRule="exact"/>
              <w:rPr>
                <w:sz w:val="20"/>
                <w:szCs w:val="20"/>
                <w:color w:val="auto"/>
              </w:rPr>
            </w:pPr>
            <w:r>
              <w:rPr>
                <w:rFonts w:ascii="Arial" w:cs="Arial" w:eastAsia="Arial" w:hAnsi="Arial"/>
                <w:sz w:val="14"/>
                <w:szCs w:val="14"/>
                <w:color w:val="auto"/>
                <w:w w:val="89"/>
              </w:rPr>
              <w:t>CABO 500</w:t>
            </w:r>
          </w:p>
        </w:tc>
        <w:tc>
          <w:tcPr>
            <w:tcW w:w="920" w:type="dxa"/>
            <w:vAlign w:val="bottom"/>
            <w:tcBorders>
              <w:bottom w:val="single" w:sz="8" w:color="auto"/>
              <w:right w:val="single" w:sz="8" w:color="auto"/>
            </w:tcBorders>
          </w:tcPr>
          <w:p>
            <w:pPr>
              <w:jc w:val="center"/>
              <w:ind w:left="13"/>
              <w:spacing w:after="0" w:line="159" w:lineRule="exact"/>
              <w:rPr>
                <w:sz w:val="20"/>
                <w:szCs w:val="20"/>
                <w:color w:val="auto"/>
              </w:rPr>
            </w:pPr>
            <w:r>
              <w:rPr>
                <w:rFonts w:ascii="Arial" w:cs="Arial" w:eastAsia="Arial" w:hAnsi="Arial"/>
                <w:sz w:val="14"/>
                <w:szCs w:val="14"/>
                <w:color w:val="auto"/>
                <w:w w:val="86"/>
              </w:rPr>
              <w:t>410,050</w:t>
            </w:r>
          </w:p>
        </w:tc>
        <w:tc>
          <w:tcPr>
            <w:tcW w:w="1080" w:type="dxa"/>
            <w:vAlign w:val="bottom"/>
            <w:tcBorders>
              <w:bottom w:val="single" w:sz="8" w:color="auto"/>
              <w:right w:val="single" w:sz="8" w:color="auto"/>
            </w:tcBorders>
          </w:tcPr>
          <w:p>
            <w:pPr>
              <w:jc w:val="center"/>
              <w:ind w:left="33"/>
              <w:spacing w:after="0" w:line="159"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center"/>
              <w:ind w:left="53"/>
              <w:spacing w:after="0" w:line="159" w:lineRule="exact"/>
              <w:rPr>
                <w:sz w:val="20"/>
                <w:szCs w:val="20"/>
                <w:color w:val="auto"/>
              </w:rPr>
            </w:pPr>
            <w:r>
              <w:rPr>
                <w:rFonts w:ascii="Arial" w:cs="Arial" w:eastAsia="Arial" w:hAnsi="Arial"/>
                <w:sz w:val="14"/>
                <w:szCs w:val="14"/>
                <w:color w:val="auto"/>
                <w:w w:val="85"/>
              </w:rPr>
              <w:t>—</w:t>
            </w:r>
          </w:p>
        </w:tc>
      </w:tr>
      <w:tr>
        <w:trPr>
          <w:trHeight w:val="133"/>
        </w:trPr>
        <w:tc>
          <w:tcPr>
            <w:tcW w:w="21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Jacob M. Maas</w:t>
            </w:r>
          </w:p>
        </w:tc>
        <w:tc>
          <w:tcPr>
            <w:tcW w:w="8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5"/>
              </w:rPr>
              <w:t>999</w:t>
            </w:r>
          </w:p>
        </w:tc>
        <w:tc>
          <w:tcPr>
            <w:tcW w:w="1040" w:type="dxa"/>
            <w:vAlign w:val="bottom"/>
            <w:tcBorders>
              <w:bottom w:val="single" w:sz="8" w:color="auto"/>
              <w:right w:val="single" w:sz="8" w:color="auto"/>
            </w:tcBorders>
            <w:shd w:val="clear" w:color="auto" w:fill="CCEEFF"/>
          </w:tcPr>
          <w:p>
            <w:pPr>
              <w:jc w:val="center"/>
              <w:ind w:left="13"/>
              <w:spacing w:after="0" w:line="133" w:lineRule="exact"/>
              <w:rPr>
                <w:sz w:val="20"/>
                <w:szCs w:val="20"/>
                <w:color w:val="auto"/>
              </w:rPr>
            </w:pPr>
            <w:r>
              <w:rPr>
                <w:rFonts w:ascii="Arial" w:cs="Arial" w:eastAsia="Arial" w:hAnsi="Arial"/>
                <w:sz w:val="14"/>
                <w:szCs w:val="14"/>
                <w:color w:val="auto"/>
                <w:w w:val="91"/>
              </w:rPr>
              <w:t>1,001</w:t>
            </w:r>
          </w:p>
        </w:tc>
        <w:tc>
          <w:tcPr>
            <w:tcW w:w="920" w:type="dxa"/>
            <w:vAlign w:val="bottom"/>
            <w:tcBorders>
              <w:bottom w:val="single" w:sz="8" w:color="auto"/>
              <w:right w:val="single" w:sz="8" w:color="auto"/>
            </w:tcBorders>
            <w:shd w:val="clear" w:color="auto" w:fill="CCEEFF"/>
          </w:tcPr>
          <w:p>
            <w:pPr>
              <w:jc w:val="center"/>
              <w:ind w:left="33"/>
              <w:spacing w:after="0" w:line="133"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ind w:left="34"/>
              <w:spacing w:after="0" w:line="133" w:lineRule="exact"/>
              <w:rPr>
                <w:sz w:val="20"/>
                <w:szCs w:val="20"/>
                <w:color w:val="auto"/>
              </w:rPr>
            </w:pPr>
            <w:r>
              <w:rPr>
                <w:rFonts w:ascii="Arial" w:cs="Arial" w:eastAsia="Arial" w:hAnsi="Arial"/>
                <w:sz w:val="14"/>
                <w:szCs w:val="14"/>
                <w:color w:val="auto"/>
                <w:w w:val="91"/>
              </w:rPr>
              <w:t>804.8</w:t>
            </w:r>
          </w:p>
        </w:tc>
        <w:tc>
          <w:tcPr>
            <w:tcW w:w="900" w:type="dxa"/>
            <w:vAlign w:val="bottom"/>
            <w:tcBorders>
              <w:bottom w:val="single" w:sz="8" w:color="auto"/>
              <w:right w:val="single" w:sz="8" w:color="auto"/>
            </w:tcBorders>
            <w:shd w:val="clear" w:color="auto" w:fill="CCEEFF"/>
          </w:tcPr>
          <w:p>
            <w:pPr>
              <w:jc w:val="center"/>
              <w:ind w:left="54"/>
              <w:spacing w:after="0" w:line="133" w:lineRule="exact"/>
              <w:rPr>
                <w:sz w:val="20"/>
                <w:szCs w:val="20"/>
                <w:color w:val="auto"/>
              </w:rPr>
            </w:pPr>
            <w:r>
              <w:rPr>
                <w:rFonts w:ascii="Arial" w:cs="Arial" w:eastAsia="Arial" w:hAnsi="Arial"/>
                <w:sz w:val="14"/>
                <w:szCs w:val="14"/>
                <w:color w:val="auto"/>
                <w:w w:val="88"/>
              </w:rPr>
              <w:t>10/26/2025</w:t>
            </w:r>
          </w:p>
        </w:tc>
        <w:tc>
          <w:tcPr>
            <w:tcW w:w="900" w:type="dxa"/>
            <w:vAlign w:val="bottom"/>
            <w:tcBorders>
              <w:bottom w:val="single" w:sz="8" w:color="auto"/>
              <w:right w:val="single" w:sz="8" w:color="auto"/>
            </w:tcBorders>
            <w:shd w:val="clear" w:color="auto" w:fill="CCEEFF"/>
          </w:tcPr>
          <w:p>
            <w:pPr>
              <w:jc w:val="center"/>
              <w:ind w:left="33"/>
              <w:spacing w:after="0" w:line="133" w:lineRule="exact"/>
              <w:rPr>
                <w:sz w:val="20"/>
                <w:szCs w:val="20"/>
                <w:color w:val="auto"/>
              </w:rPr>
            </w:pPr>
            <w:r>
              <w:rPr>
                <w:rFonts w:ascii="Arial" w:cs="Arial" w:eastAsia="Arial" w:hAnsi="Arial"/>
                <w:sz w:val="14"/>
                <w:szCs w:val="14"/>
                <w:color w:val="auto"/>
                <w:w w:val="89"/>
              </w:rPr>
              <w:t>GHC 400</w:t>
            </w:r>
          </w:p>
        </w:tc>
        <w:tc>
          <w:tcPr>
            <w:tcW w:w="920" w:type="dxa"/>
            <w:vAlign w:val="bottom"/>
            <w:tcBorders>
              <w:bottom w:val="single" w:sz="8" w:color="auto"/>
              <w:right w:val="single" w:sz="8" w:color="auto"/>
            </w:tcBorders>
            <w:shd w:val="clear" w:color="auto" w:fill="CCEEFF"/>
          </w:tcPr>
          <w:p>
            <w:pPr>
              <w:jc w:val="center"/>
              <w:ind w:left="13"/>
              <w:spacing w:after="0" w:line="133" w:lineRule="exact"/>
              <w:rPr>
                <w:sz w:val="20"/>
                <w:szCs w:val="20"/>
                <w:color w:val="auto"/>
              </w:rPr>
            </w:pPr>
            <w:r>
              <w:rPr>
                <w:rFonts w:ascii="Arial" w:cs="Arial" w:eastAsia="Arial" w:hAnsi="Arial"/>
                <w:sz w:val="14"/>
                <w:szCs w:val="14"/>
                <w:color w:val="auto"/>
                <w:w w:val="86"/>
              </w:rPr>
              <w:t>256,232</w:t>
            </w:r>
          </w:p>
        </w:tc>
        <w:tc>
          <w:tcPr>
            <w:tcW w:w="1080" w:type="dxa"/>
            <w:vAlign w:val="bottom"/>
            <w:tcBorders>
              <w:bottom w:val="single" w:sz="8" w:color="auto"/>
              <w:right w:val="single" w:sz="8" w:color="auto"/>
            </w:tcBorders>
            <w:shd w:val="clear" w:color="auto" w:fill="CCEEFF"/>
          </w:tcPr>
          <w:p>
            <w:pPr>
              <w:jc w:val="center"/>
              <w:ind w:left="33"/>
              <w:spacing w:after="0" w:line="133"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center"/>
              <w:ind w:left="53"/>
              <w:spacing w:after="0" w:line="133" w:lineRule="exact"/>
              <w:rPr>
                <w:sz w:val="20"/>
                <w:szCs w:val="20"/>
                <w:color w:val="auto"/>
              </w:rPr>
            </w:pPr>
            <w:r>
              <w:rPr>
                <w:rFonts w:ascii="Arial" w:cs="Arial" w:eastAsia="Arial" w:hAnsi="Arial"/>
                <w:sz w:val="14"/>
                <w:szCs w:val="14"/>
                <w:color w:val="auto"/>
                <w:w w:val="85"/>
              </w:rPr>
              <w:t>—</w:t>
            </w:r>
          </w:p>
        </w:tc>
      </w:tr>
    </w:tbl>
    <w:p>
      <w:pPr>
        <w:spacing w:after="0" w:line="45" w:lineRule="exact"/>
        <w:rPr>
          <w:sz w:val="20"/>
          <w:szCs w:val="20"/>
          <w:color w:val="auto"/>
        </w:rPr>
      </w:pPr>
    </w:p>
    <w:p>
      <w:pPr>
        <w:ind w:left="320" w:right="100" w:hanging="314"/>
        <w:spacing w:after="0" w:line="264"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Mr. O’Shaughnessy received a special new-hire option grant and an option grant in connection with his promotion to Chief Executive Officer that vest ratably over a six-year period. Mr. Cooney received an option grant in connection with his promotion to Chief Financial Officer, and Mr. Maas received a special new-hire option grant; both grants vest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Year 1</w:t>
            </w:r>
          </w:p>
        </w:tc>
        <w:tc>
          <w:tcPr>
            <w:tcW w:w="4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Year 4</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6</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Vested at</w:t>
            </w:r>
          </w:p>
        </w:tc>
        <w:tc>
          <w:tcPr>
            <w:tcW w:w="88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Options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Vest Date</w:t>
            </w:r>
          </w:p>
        </w:tc>
        <w:tc>
          <w:tcPr>
            <w:tcW w:w="48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Vest Date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Vest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12/31/18</w:t>
            </w:r>
          </w:p>
        </w:tc>
        <w:tc>
          <w:tcPr>
            <w:tcW w:w="10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Unvested</w:t>
            </w:r>
          </w:p>
        </w:tc>
      </w:tr>
      <w:tr>
        <w:trPr>
          <w:trHeight w:val="115"/>
        </w:trPr>
        <w:tc>
          <w:tcPr>
            <w:tcW w:w="20" w:type="dxa"/>
            <w:vAlign w:val="bottom"/>
          </w:tcPr>
          <w:p>
            <w:pPr>
              <w:spacing w:after="0"/>
              <w:rPr>
                <w:sz w:val="9"/>
                <w:szCs w:val="9"/>
                <w:color w:val="auto"/>
              </w:rPr>
            </w:pPr>
          </w:p>
        </w:tc>
        <w:tc>
          <w:tcPr>
            <w:tcW w:w="38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Timothy J. O’Shaughnessy</w:t>
            </w:r>
          </w:p>
        </w:tc>
        <w:tc>
          <w:tcPr>
            <w:tcW w:w="1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77,258</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11/3/2015</w:t>
            </w:r>
          </w:p>
        </w:tc>
        <w:tc>
          <w:tcPr>
            <w:tcW w:w="480" w:type="dxa"/>
            <w:vAlign w:val="bottom"/>
            <w:tcBorders>
              <w:top w:val="single" w:sz="8" w:color="CCEEFF"/>
            </w:tcBorders>
            <w:shd w:val="clear" w:color="auto" w:fill="CCEEFF"/>
          </w:tcPr>
          <w:p>
            <w:pPr>
              <w:ind w:left="240"/>
              <w:spacing w:after="0" w:line="115" w:lineRule="exact"/>
              <w:rPr>
                <w:sz w:val="20"/>
                <w:szCs w:val="20"/>
                <w:color w:val="auto"/>
              </w:rPr>
            </w:pPr>
            <w:r>
              <w:rPr>
                <w:rFonts w:ascii="Arial" w:cs="Arial" w:eastAsia="Arial" w:hAnsi="Arial"/>
                <w:sz w:val="12"/>
                <w:szCs w:val="12"/>
                <w:color w:val="auto"/>
              </w:rPr>
              <w:t>to</w:t>
            </w: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11/3/2020</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51,504</w:t>
            </w: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25,754</w:t>
            </w:r>
          </w:p>
        </w:tc>
      </w:tr>
      <w:tr>
        <w:trPr>
          <w:trHeight w:val="159"/>
        </w:trPr>
        <w:tc>
          <w:tcPr>
            <w:tcW w:w="20" w:type="dxa"/>
            <w:vAlign w:val="bottom"/>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8"/>
              </w:rPr>
              <w:t>22,742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11/12/2016</w:t>
            </w:r>
          </w:p>
        </w:tc>
        <w:tc>
          <w:tcPr>
            <w:tcW w:w="4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to</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11/12/2021</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11,370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11,372</w:t>
            </w:r>
          </w:p>
        </w:tc>
      </w:tr>
      <w:tr>
        <w:trPr>
          <w:trHeight w:val="140"/>
        </w:trPr>
        <w:tc>
          <w:tcPr>
            <w:tcW w:w="20" w:type="dxa"/>
            <w:vAlign w:val="bottom"/>
          </w:tcPr>
          <w:p>
            <w:pPr>
              <w:spacing w:after="0"/>
              <w:rPr>
                <w:sz w:val="12"/>
                <w:szCs w:val="12"/>
                <w:color w:val="auto"/>
              </w:rPr>
            </w:pPr>
          </w:p>
        </w:tc>
        <w:tc>
          <w:tcPr>
            <w:tcW w:w="3840" w:type="dxa"/>
            <w:vAlign w:val="bottom"/>
          </w:tcPr>
          <w:p>
            <w:pPr>
              <w:spacing w:after="0" w:line="141" w:lineRule="exact"/>
              <w:rPr>
                <w:sz w:val="20"/>
                <w:szCs w:val="20"/>
                <w:color w:val="auto"/>
              </w:rPr>
            </w:pPr>
            <w:r>
              <w:rPr>
                <w:rFonts w:ascii="Arial" w:cs="Arial" w:eastAsia="Arial" w:hAnsi="Arial"/>
                <w:sz w:val="14"/>
                <w:szCs w:val="14"/>
                <w:color w:val="auto"/>
              </w:rPr>
              <w:t>Wallace R. Cooney</w:t>
            </w:r>
          </w:p>
        </w:tc>
        <w:tc>
          <w:tcPr>
            <w:tcW w:w="1100" w:type="dxa"/>
            <w:vAlign w:val="bottom"/>
            <w:gridSpan w:val="2"/>
          </w:tcPr>
          <w:p>
            <w:pPr>
              <w:jc w:val="center"/>
              <w:ind w:left="12"/>
              <w:spacing w:after="0" w:line="141" w:lineRule="exact"/>
              <w:rPr>
                <w:sz w:val="20"/>
                <w:szCs w:val="20"/>
                <w:color w:val="auto"/>
              </w:rPr>
            </w:pPr>
            <w:r>
              <w:rPr>
                <w:rFonts w:ascii="Arial" w:cs="Arial" w:eastAsia="Arial" w:hAnsi="Arial"/>
                <w:sz w:val="14"/>
                <w:szCs w:val="14"/>
                <w:color w:val="auto"/>
                <w:w w:val="85"/>
              </w:rPr>
              <w:t>2,000</w:t>
            </w:r>
          </w:p>
        </w:tc>
        <w:tc>
          <w:tcPr>
            <w:tcW w:w="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88"/>
              </w:rPr>
              <w:t>4/1/2018</w:t>
            </w:r>
          </w:p>
        </w:tc>
        <w:tc>
          <w:tcPr>
            <w:tcW w:w="480" w:type="dxa"/>
            <w:vAlign w:val="bottom"/>
          </w:tcPr>
          <w:p>
            <w:pPr>
              <w:ind w:left="240"/>
              <w:spacing w:after="0" w:line="141" w:lineRule="exact"/>
              <w:rPr>
                <w:sz w:val="20"/>
                <w:szCs w:val="20"/>
                <w:color w:val="auto"/>
              </w:rPr>
            </w:pPr>
            <w:r>
              <w:rPr>
                <w:rFonts w:ascii="Arial" w:cs="Arial" w:eastAsia="Arial" w:hAnsi="Arial"/>
                <w:sz w:val="14"/>
                <w:szCs w:val="14"/>
                <w:color w:val="auto"/>
              </w:rPr>
              <w:t>to</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1"/>
              </w:rPr>
              <w:t>4/1/2023</w:t>
            </w:r>
          </w:p>
        </w:tc>
        <w:tc>
          <w:tcPr>
            <w:tcW w:w="12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w w:val="94"/>
              </w:rPr>
              <w:t>333</w:t>
            </w:r>
          </w:p>
        </w:tc>
        <w:tc>
          <w:tcPr>
            <w:tcW w:w="10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1"/>
              </w:rPr>
              <w:t>1,667</w:t>
            </w:r>
          </w:p>
        </w:tc>
      </w:tr>
      <w:tr>
        <w:trPr>
          <w:trHeight w:val="140"/>
        </w:trPr>
        <w:tc>
          <w:tcPr>
            <w:tcW w:w="20" w:type="dxa"/>
            <w:vAlign w:val="bottom"/>
          </w:tcPr>
          <w:p>
            <w:pPr>
              <w:spacing w:after="0"/>
              <w:rPr>
                <w:sz w:val="12"/>
                <w:szCs w:val="12"/>
                <w:color w:val="auto"/>
              </w:rPr>
            </w:pPr>
          </w:p>
        </w:tc>
        <w:tc>
          <w:tcPr>
            <w:tcW w:w="384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Andrew S. Rosen</w:t>
            </w:r>
          </w:p>
        </w:tc>
        <w:tc>
          <w:tcPr>
            <w:tcW w:w="1100" w:type="dxa"/>
            <w:vAlign w:val="bottom"/>
            <w:gridSpan w:val="2"/>
            <w:shd w:val="clear" w:color="auto" w:fill="CCEEFF"/>
          </w:tcPr>
          <w:p>
            <w:pPr>
              <w:jc w:val="center"/>
              <w:ind w:left="12"/>
              <w:spacing w:after="0" w:line="141" w:lineRule="exact"/>
              <w:rPr>
                <w:sz w:val="20"/>
                <w:szCs w:val="20"/>
                <w:color w:val="auto"/>
              </w:rPr>
            </w:pPr>
            <w:r>
              <w:rPr>
                <w:rFonts w:ascii="Arial" w:cs="Arial" w:eastAsia="Arial" w:hAnsi="Arial"/>
                <w:sz w:val="14"/>
                <w:szCs w:val="14"/>
                <w:color w:val="auto"/>
                <w:w w:val="88"/>
              </w:rPr>
              <w:t>77,258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2/22/2012</w:t>
            </w:r>
          </w:p>
        </w:tc>
        <w:tc>
          <w:tcPr>
            <w:tcW w:w="480" w:type="dxa"/>
            <w:vAlign w:val="bottom"/>
            <w:shd w:val="clear" w:color="auto" w:fill="CCEEFF"/>
          </w:tcPr>
          <w:p>
            <w:pPr>
              <w:ind w:left="240"/>
              <w:spacing w:after="0" w:line="141" w:lineRule="exact"/>
              <w:rPr>
                <w:sz w:val="20"/>
                <w:szCs w:val="20"/>
                <w:color w:val="auto"/>
              </w:rPr>
            </w:pPr>
            <w:r>
              <w:rPr>
                <w:rFonts w:ascii="Arial" w:cs="Arial" w:eastAsia="Arial" w:hAnsi="Arial"/>
                <w:sz w:val="14"/>
                <w:szCs w:val="14"/>
                <w:color w:val="auto"/>
              </w:rPr>
              <w:t>to</w:t>
            </w:r>
          </w:p>
        </w:tc>
        <w:tc>
          <w:tcPr>
            <w:tcW w:w="8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2/22/2015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77,258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w:t>
            </w: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Jacob M. Maas</w:t>
            </w:r>
          </w:p>
        </w:tc>
        <w:tc>
          <w:tcPr>
            <w:tcW w:w="1100" w:type="dxa"/>
            <w:vAlign w:val="bottom"/>
            <w:gridSpan w:val="2"/>
          </w:tcPr>
          <w:p>
            <w:pPr>
              <w:jc w:val="center"/>
              <w:ind w:left="12"/>
              <w:spacing w:after="0"/>
              <w:rPr>
                <w:sz w:val="20"/>
                <w:szCs w:val="20"/>
                <w:color w:val="auto"/>
              </w:rPr>
            </w:pPr>
            <w:r>
              <w:rPr>
                <w:rFonts w:ascii="Arial" w:cs="Arial" w:eastAsia="Arial" w:hAnsi="Arial"/>
                <w:sz w:val="14"/>
                <w:szCs w:val="14"/>
                <w:color w:val="auto"/>
                <w:w w:val="85"/>
              </w:rPr>
              <w:t>2,000</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10/26/2016</w:t>
            </w:r>
          </w:p>
        </w:tc>
        <w:tc>
          <w:tcPr>
            <w:tcW w:w="480" w:type="dxa"/>
            <w:vAlign w:val="bottom"/>
          </w:tcPr>
          <w:p>
            <w:pPr>
              <w:ind w:left="240"/>
              <w:spacing w:after="0"/>
              <w:rPr>
                <w:sz w:val="20"/>
                <w:szCs w:val="20"/>
                <w:color w:val="auto"/>
              </w:rPr>
            </w:pPr>
            <w:r>
              <w:rPr>
                <w:rFonts w:ascii="Arial" w:cs="Arial" w:eastAsia="Arial" w:hAnsi="Arial"/>
                <w:sz w:val="14"/>
                <w:szCs w:val="14"/>
                <w:color w:val="auto"/>
              </w:rPr>
              <w:t>to</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10/26/2021</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999</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1,001</w:t>
            </w:r>
          </w:p>
        </w:tc>
      </w:tr>
    </w:tbl>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440"/>
          </w:cols>
          <w:pgMar w:left="740" w:top="263" w:right="719" w:bottom="1440" w:gutter="0" w:footer="0" w:header="0"/>
        </w:sectPr>
      </w:pPr>
    </w:p>
    <w:bookmarkStart w:id="30" w:name="page31"/>
    <w:bookmarkEnd w:id="30"/>
    <w:p>
      <w:pPr>
        <w:jc w:val="both"/>
        <w:ind w:left="320" w:right="20" w:hanging="314"/>
        <w:spacing w:after="0" w:line="274" w:lineRule="auto"/>
        <w:tabs>
          <w:tab w:leader="none" w:pos="320" w:val="left"/>
        </w:tabs>
        <w:numPr>
          <w:ilvl w:val="0"/>
          <w:numId w:val="4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Stock Awards have been granted in the form of restricted stock under the Company’s 2012 ICP as of December 31, 2018. In connection with the Cable ONE spin-off, shares of restricted stock received a distribution of Cable ONE, Inc. (“CABO”) shares subject to the same vesting terms and conditions as the underlying award. All of the awards listed below vest 100% at the end of the relevant award cycle. The following are the vesting dates of the grants to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Stock</w:t>
            </w:r>
          </w:p>
        </w:tc>
        <w:tc>
          <w:tcPr>
            <w:tcW w:w="2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Number</w:t>
            </w:r>
          </w:p>
        </w:tc>
        <w:tc>
          <w:tcPr>
            <w:tcW w:w="166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Ticker</w:t>
            </w:r>
          </w:p>
        </w:tc>
        <w:tc>
          <w:tcPr>
            <w:tcW w:w="2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of Shares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4"/>
              </w:rPr>
              <w:t>Vest Date</w:t>
            </w:r>
          </w:p>
        </w:tc>
      </w:tr>
      <w:tr>
        <w:trPr>
          <w:trHeight w:val="133"/>
        </w:trPr>
        <w:tc>
          <w:tcPr>
            <w:tcW w:w="20" w:type="dxa"/>
            <w:vAlign w:val="bottom"/>
          </w:tcPr>
          <w:p>
            <w:pPr>
              <w:spacing w:after="0"/>
              <w:rPr>
                <w:sz w:val="11"/>
                <w:szCs w:val="11"/>
                <w:color w:val="auto"/>
              </w:rPr>
            </w:pPr>
          </w:p>
        </w:tc>
        <w:tc>
          <w:tcPr>
            <w:tcW w:w="4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Wallace R. Cooney</w:t>
            </w:r>
          </w:p>
        </w:tc>
        <w:tc>
          <w:tcPr>
            <w:tcW w:w="112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GHC</w:t>
            </w:r>
          </w:p>
        </w:tc>
        <w:tc>
          <w:tcPr>
            <w:tcW w:w="74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4"/>
              </w:rPr>
              <w:t>600</w:t>
            </w:r>
          </w:p>
        </w:tc>
        <w:tc>
          <w:tcPr>
            <w:tcW w:w="7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8"/>
              </w:rPr>
              <w:t>1/5/2021</w:t>
            </w:r>
          </w:p>
        </w:tc>
      </w:tr>
      <w:tr>
        <w:trPr>
          <w:trHeight w:val="140"/>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gridSpan w:val="2"/>
          </w:tcPr>
          <w:p>
            <w:pPr>
              <w:jc w:val="center"/>
              <w:ind w:right="740"/>
              <w:spacing w:after="0" w:line="141" w:lineRule="exact"/>
              <w:rPr>
                <w:sz w:val="20"/>
                <w:szCs w:val="20"/>
                <w:color w:val="auto"/>
              </w:rPr>
            </w:pPr>
            <w:r>
              <w:rPr>
                <w:rFonts w:ascii="Arial" w:cs="Arial" w:eastAsia="Arial" w:hAnsi="Arial"/>
                <w:sz w:val="14"/>
                <w:szCs w:val="14"/>
                <w:color w:val="auto"/>
                <w:w w:val="89"/>
              </w:rPr>
              <w:t>GHC</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w w:val="94"/>
              </w:rPr>
              <w:t>400</w:t>
            </w:r>
          </w:p>
        </w:tc>
        <w:tc>
          <w:tcPr>
            <w:tcW w:w="720" w:type="dxa"/>
            <w:vAlign w:val="bottom"/>
          </w:tcPr>
          <w:p>
            <w:pPr>
              <w:spacing w:after="0"/>
              <w:rPr>
                <w:sz w:val="12"/>
                <w:szCs w:val="12"/>
                <w:color w:val="auto"/>
              </w:rPr>
            </w:pPr>
          </w:p>
        </w:tc>
        <w:tc>
          <w:tcPr>
            <w:tcW w:w="1660" w:type="dxa"/>
            <w:vAlign w:val="bottom"/>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40"/>
        </w:trPr>
        <w:tc>
          <w:tcPr>
            <w:tcW w:w="20" w:type="dxa"/>
            <w:vAlign w:val="bottom"/>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760"/>
              <w:spacing w:after="0" w:line="141" w:lineRule="exact"/>
              <w:rPr>
                <w:sz w:val="20"/>
                <w:szCs w:val="20"/>
                <w:color w:val="auto"/>
              </w:rPr>
            </w:pPr>
            <w:r>
              <w:rPr>
                <w:rFonts w:ascii="Arial" w:cs="Arial" w:eastAsia="Arial" w:hAnsi="Arial"/>
                <w:sz w:val="14"/>
                <w:szCs w:val="14"/>
                <w:color w:val="auto"/>
                <w:w w:val="95"/>
              </w:rPr>
              <w:t>CABO</w:t>
            </w:r>
          </w:p>
        </w:tc>
        <w:tc>
          <w:tcPr>
            <w:tcW w:w="16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4"/>
              </w:rPr>
              <w:t>400</w:t>
            </w: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40"/>
        </w:trPr>
        <w:tc>
          <w:tcPr>
            <w:tcW w:w="20" w:type="dxa"/>
            <w:vAlign w:val="bottom"/>
          </w:tcPr>
          <w:p>
            <w:pPr>
              <w:spacing w:after="0"/>
              <w:rPr>
                <w:sz w:val="12"/>
                <w:szCs w:val="12"/>
                <w:color w:val="auto"/>
              </w:rPr>
            </w:pPr>
          </w:p>
        </w:tc>
        <w:tc>
          <w:tcPr>
            <w:tcW w:w="4560" w:type="dxa"/>
            <w:vAlign w:val="bottom"/>
          </w:tcPr>
          <w:p>
            <w:pPr>
              <w:spacing w:after="0" w:line="141" w:lineRule="exact"/>
              <w:rPr>
                <w:sz w:val="20"/>
                <w:szCs w:val="20"/>
                <w:color w:val="auto"/>
              </w:rPr>
            </w:pPr>
            <w:r>
              <w:rPr>
                <w:rFonts w:ascii="Arial" w:cs="Arial" w:eastAsia="Arial" w:hAnsi="Arial"/>
                <w:sz w:val="14"/>
                <w:szCs w:val="14"/>
                <w:color w:val="auto"/>
              </w:rPr>
              <w:t>Andrew S. Rosen</w:t>
            </w:r>
          </w:p>
        </w:tc>
        <w:tc>
          <w:tcPr>
            <w:tcW w:w="1860" w:type="dxa"/>
            <w:vAlign w:val="bottom"/>
            <w:gridSpan w:val="2"/>
          </w:tcPr>
          <w:p>
            <w:pPr>
              <w:jc w:val="center"/>
              <w:ind w:right="740"/>
              <w:spacing w:after="0" w:line="141" w:lineRule="exact"/>
              <w:rPr>
                <w:sz w:val="20"/>
                <w:szCs w:val="20"/>
                <w:color w:val="auto"/>
              </w:rPr>
            </w:pPr>
            <w:r>
              <w:rPr>
                <w:rFonts w:ascii="Arial" w:cs="Arial" w:eastAsia="Arial" w:hAnsi="Arial"/>
                <w:sz w:val="14"/>
                <w:szCs w:val="14"/>
                <w:color w:val="auto"/>
                <w:w w:val="89"/>
              </w:rPr>
              <w:t>GHC</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w w:val="85"/>
              </w:rPr>
              <w:t>1,000</w:t>
            </w:r>
          </w:p>
        </w:tc>
        <w:tc>
          <w:tcPr>
            <w:tcW w:w="720" w:type="dxa"/>
            <w:vAlign w:val="bottom"/>
          </w:tcPr>
          <w:p>
            <w:pPr>
              <w:spacing w:after="0"/>
              <w:rPr>
                <w:sz w:val="12"/>
                <w:szCs w:val="12"/>
                <w:color w:val="auto"/>
              </w:rPr>
            </w:pPr>
          </w:p>
        </w:tc>
        <w:tc>
          <w:tcPr>
            <w:tcW w:w="1660" w:type="dxa"/>
            <w:vAlign w:val="bottom"/>
          </w:tcPr>
          <w:p>
            <w:pPr>
              <w:jc w:val="center"/>
              <w:spacing w:after="0" w:line="141" w:lineRule="exact"/>
              <w:rPr>
                <w:sz w:val="20"/>
                <w:szCs w:val="20"/>
                <w:color w:val="auto"/>
              </w:rPr>
            </w:pPr>
            <w:r>
              <w:rPr>
                <w:rFonts w:ascii="Arial" w:cs="Arial" w:eastAsia="Arial" w:hAnsi="Arial"/>
                <w:sz w:val="14"/>
                <w:szCs w:val="14"/>
                <w:color w:val="auto"/>
                <w:w w:val="88"/>
              </w:rPr>
              <w:t>1/5/2021</w:t>
            </w:r>
          </w:p>
        </w:tc>
      </w:tr>
      <w:tr>
        <w:trPr>
          <w:trHeight w:val="140"/>
        </w:trPr>
        <w:tc>
          <w:tcPr>
            <w:tcW w:w="20" w:type="dxa"/>
            <w:vAlign w:val="bottom"/>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740"/>
              <w:spacing w:after="0" w:line="141" w:lineRule="exact"/>
              <w:rPr>
                <w:sz w:val="20"/>
                <w:szCs w:val="20"/>
                <w:color w:val="auto"/>
              </w:rPr>
            </w:pPr>
            <w:r>
              <w:rPr>
                <w:rFonts w:ascii="Arial" w:cs="Arial" w:eastAsia="Arial" w:hAnsi="Arial"/>
                <w:sz w:val="14"/>
                <w:szCs w:val="14"/>
                <w:color w:val="auto"/>
                <w:w w:val="89"/>
              </w:rPr>
              <w:t>GHC</w:t>
            </w:r>
          </w:p>
        </w:tc>
        <w:tc>
          <w:tcPr>
            <w:tcW w:w="16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1,000</w:t>
            </w: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40"/>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gridSpan w:val="2"/>
          </w:tcPr>
          <w:p>
            <w:pPr>
              <w:jc w:val="center"/>
              <w:ind w:right="760"/>
              <w:spacing w:after="0" w:line="141" w:lineRule="exact"/>
              <w:rPr>
                <w:sz w:val="20"/>
                <w:szCs w:val="20"/>
                <w:color w:val="auto"/>
              </w:rPr>
            </w:pPr>
            <w:r>
              <w:rPr>
                <w:rFonts w:ascii="Arial" w:cs="Arial" w:eastAsia="Arial" w:hAnsi="Arial"/>
                <w:sz w:val="14"/>
                <w:szCs w:val="14"/>
                <w:color w:val="auto"/>
                <w:w w:val="95"/>
              </w:rPr>
              <w:t>CABO</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w w:val="85"/>
              </w:rPr>
              <w:t>1,000</w:t>
            </w:r>
          </w:p>
        </w:tc>
        <w:tc>
          <w:tcPr>
            <w:tcW w:w="720" w:type="dxa"/>
            <w:vAlign w:val="bottom"/>
          </w:tcPr>
          <w:p>
            <w:pPr>
              <w:spacing w:after="0"/>
              <w:rPr>
                <w:sz w:val="12"/>
                <w:szCs w:val="12"/>
                <w:color w:val="auto"/>
              </w:rPr>
            </w:pPr>
          </w:p>
        </w:tc>
        <w:tc>
          <w:tcPr>
            <w:tcW w:w="1660" w:type="dxa"/>
            <w:vAlign w:val="bottom"/>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40"/>
        </w:trPr>
        <w:tc>
          <w:tcPr>
            <w:tcW w:w="20" w:type="dxa"/>
            <w:vAlign w:val="bottom"/>
          </w:tcPr>
          <w:p>
            <w:pPr>
              <w:spacing w:after="0"/>
              <w:rPr>
                <w:sz w:val="12"/>
                <w:szCs w:val="12"/>
                <w:color w:val="auto"/>
              </w:rPr>
            </w:pPr>
          </w:p>
        </w:tc>
        <w:tc>
          <w:tcPr>
            <w:tcW w:w="45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Nicole M. Maddrey</w:t>
            </w:r>
          </w:p>
        </w:tc>
        <w:tc>
          <w:tcPr>
            <w:tcW w:w="1860" w:type="dxa"/>
            <w:vAlign w:val="bottom"/>
            <w:gridSpan w:val="2"/>
            <w:shd w:val="clear" w:color="auto" w:fill="CCEEFF"/>
          </w:tcPr>
          <w:p>
            <w:pPr>
              <w:jc w:val="center"/>
              <w:ind w:right="740"/>
              <w:spacing w:after="0" w:line="141" w:lineRule="exact"/>
              <w:rPr>
                <w:sz w:val="20"/>
                <w:szCs w:val="20"/>
                <w:color w:val="auto"/>
              </w:rPr>
            </w:pPr>
            <w:r>
              <w:rPr>
                <w:rFonts w:ascii="Arial" w:cs="Arial" w:eastAsia="Arial" w:hAnsi="Arial"/>
                <w:sz w:val="14"/>
                <w:szCs w:val="14"/>
                <w:color w:val="auto"/>
                <w:w w:val="89"/>
              </w:rPr>
              <w:t>GHC</w:t>
            </w:r>
          </w:p>
        </w:tc>
        <w:tc>
          <w:tcPr>
            <w:tcW w:w="16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4"/>
              </w:rPr>
              <w:t>500</w:t>
            </w: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1/5/2021</w:t>
            </w:r>
          </w:p>
        </w:tc>
      </w:tr>
      <w:tr>
        <w:trPr>
          <w:trHeight w:val="140"/>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gridSpan w:val="2"/>
          </w:tcPr>
          <w:p>
            <w:pPr>
              <w:jc w:val="center"/>
              <w:ind w:right="740"/>
              <w:spacing w:after="0" w:line="141" w:lineRule="exact"/>
              <w:rPr>
                <w:sz w:val="20"/>
                <w:szCs w:val="20"/>
                <w:color w:val="auto"/>
              </w:rPr>
            </w:pPr>
            <w:r>
              <w:rPr>
                <w:rFonts w:ascii="Arial" w:cs="Arial" w:eastAsia="Arial" w:hAnsi="Arial"/>
                <w:sz w:val="14"/>
                <w:szCs w:val="14"/>
                <w:color w:val="auto"/>
                <w:w w:val="89"/>
              </w:rPr>
              <w:t>GHC</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w w:val="94"/>
              </w:rPr>
              <w:t>500</w:t>
            </w:r>
          </w:p>
        </w:tc>
        <w:tc>
          <w:tcPr>
            <w:tcW w:w="720" w:type="dxa"/>
            <w:vAlign w:val="bottom"/>
          </w:tcPr>
          <w:p>
            <w:pPr>
              <w:spacing w:after="0"/>
              <w:rPr>
                <w:sz w:val="12"/>
                <w:szCs w:val="12"/>
                <w:color w:val="auto"/>
              </w:rPr>
            </w:pPr>
          </w:p>
        </w:tc>
        <w:tc>
          <w:tcPr>
            <w:tcW w:w="1660" w:type="dxa"/>
            <w:vAlign w:val="bottom"/>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40"/>
        </w:trPr>
        <w:tc>
          <w:tcPr>
            <w:tcW w:w="20" w:type="dxa"/>
            <w:vAlign w:val="bottom"/>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760"/>
              <w:spacing w:after="0" w:line="141" w:lineRule="exact"/>
              <w:rPr>
                <w:sz w:val="20"/>
                <w:szCs w:val="20"/>
                <w:color w:val="auto"/>
              </w:rPr>
            </w:pPr>
            <w:r>
              <w:rPr>
                <w:rFonts w:ascii="Arial" w:cs="Arial" w:eastAsia="Arial" w:hAnsi="Arial"/>
                <w:sz w:val="14"/>
                <w:szCs w:val="14"/>
                <w:color w:val="auto"/>
                <w:w w:val="95"/>
              </w:rPr>
              <w:t>CABO</w:t>
            </w:r>
          </w:p>
        </w:tc>
        <w:tc>
          <w:tcPr>
            <w:tcW w:w="16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4"/>
              </w:rPr>
              <w:t>500</w:t>
            </w: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1/1/2019</w:t>
            </w: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Jacob M. Maas</w:t>
            </w:r>
          </w:p>
        </w:tc>
        <w:tc>
          <w:tcPr>
            <w:tcW w:w="1860" w:type="dxa"/>
            <w:vAlign w:val="bottom"/>
            <w:gridSpan w:val="2"/>
          </w:tcPr>
          <w:p>
            <w:pPr>
              <w:jc w:val="center"/>
              <w:ind w:right="740"/>
              <w:spacing w:after="0"/>
              <w:rPr>
                <w:sz w:val="20"/>
                <w:szCs w:val="20"/>
                <w:color w:val="auto"/>
              </w:rPr>
            </w:pPr>
            <w:r>
              <w:rPr>
                <w:rFonts w:ascii="Arial" w:cs="Arial" w:eastAsia="Arial" w:hAnsi="Arial"/>
                <w:sz w:val="14"/>
                <w:szCs w:val="14"/>
                <w:color w:val="auto"/>
                <w:w w:val="89"/>
              </w:rPr>
              <w:t>GHC</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400</w:t>
            </w:r>
          </w:p>
        </w:tc>
        <w:tc>
          <w:tcPr>
            <w:tcW w:w="7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88"/>
              </w:rPr>
              <w:t>1/5/2021</w:t>
            </w:r>
          </w:p>
        </w:tc>
      </w:tr>
    </w:tbl>
    <w:p>
      <w:pPr>
        <w:spacing w:after="0" w:line="13" w:lineRule="exact"/>
        <w:rPr>
          <w:sz w:val="20"/>
          <w:szCs w:val="20"/>
          <w:color w:val="auto"/>
        </w:rPr>
      </w:pPr>
    </w:p>
    <w:p>
      <w:pPr>
        <w:ind w:left="320" w:right="200" w:hanging="314"/>
        <w:spacing w:after="0" w:line="233" w:lineRule="auto"/>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31, 2018 ($640.58). For the Cable ONE Restricted Stock, calculated using the closing price of a share of Cable ONE common stock as of December 31, 2018 ($820.10).</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None of the named executive officers acquired shares upon the exercise of stock options or the vesting of stock awards in fiscal year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PENSION BENEFITS</w:t>
      </w:r>
    </w:p>
    <w:p>
      <w:pPr>
        <w:spacing w:after="0" w:line="217" w:lineRule="exact"/>
        <w:rPr>
          <w:sz w:val="20"/>
          <w:szCs w:val="20"/>
          <w:color w:val="auto"/>
        </w:rPr>
      </w:pPr>
    </w:p>
    <w:p>
      <w:pPr>
        <w:ind w:firstLine="937"/>
        <w:spacing w:after="0" w:line="296" w:lineRule="auto"/>
        <w:rPr>
          <w:sz w:val="20"/>
          <w:szCs w:val="20"/>
          <w:color w:val="auto"/>
        </w:rPr>
      </w:pPr>
      <w:r>
        <w:rPr>
          <w:rFonts w:ascii="Arial" w:cs="Arial" w:eastAsia="Arial" w:hAnsi="Arial"/>
          <w:sz w:val="15"/>
          <w:szCs w:val="15"/>
          <w:color w:val="auto"/>
        </w:rPr>
        <w:t>The Pension Benefits table includes information related to the Company’s funded and tax-qualified defined benefit plan, The Retirement Plan, as well as the associated unfunded and non-qualified supplemental executive retirement plan, the SERP.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53" w:lineRule="exact"/>
        <w:rPr>
          <w:sz w:val="20"/>
          <w:szCs w:val="20"/>
          <w:color w:val="auto"/>
        </w:rPr>
      </w:pPr>
    </w:p>
    <w:p>
      <w:pPr>
        <w:ind w:right="40" w:firstLine="937"/>
        <w:spacing w:after="0" w:line="280" w:lineRule="auto"/>
        <w:rPr>
          <w:sz w:val="20"/>
          <w:szCs w:val="20"/>
          <w:color w:val="auto"/>
        </w:rPr>
      </w:pPr>
      <w:r>
        <w:rPr>
          <w:rFonts w:ascii="Arial" w:cs="Arial" w:eastAsia="Arial" w:hAnsi="Arial"/>
          <w:sz w:val="16"/>
          <w:szCs w:val="16"/>
          <w:color w:val="auto"/>
        </w:rPr>
        <w:t>The SERP provides supplemental defined benefit retirement benefits that are calculated based on the formulas in The Retirement Plan, but include bonuses under the 2012 ICP, rather than just base salary, without regard to (i) the salary limitation applicable to tax-qualified plans (currently $280,000) or (ii) the benefit limitation applicable to tax-qualified plans (currently $225,000 per year, commencing at age 65). The SERP provides benefits only to the extent that the benefit described above exceeds the benefit in The Retirement Plan.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Graham Schedule</w:t>
      </w:r>
    </w:p>
    <w:p>
      <w:pPr>
        <w:spacing w:after="0" w:line="217" w:lineRule="exact"/>
        <w:rPr>
          <w:sz w:val="20"/>
          <w:szCs w:val="20"/>
          <w:color w:val="auto"/>
        </w:rPr>
      </w:pPr>
    </w:p>
    <w:p>
      <w:pPr>
        <w:ind w:right="160" w:firstLine="937"/>
        <w:spacing w:after="0" w:line="275" w:lineRule="auto"/>
        <w:rPr>
          <w:sz w:val="20"/>
          <w:szCs w:val="20"/>
          <w:color w:val="auto"/>
        </w:rPr>
      </w:pPr>
      <w:r>
        <w:rPr>
          <w:rFonts w:ascii="Arial" w:cs="Arial" w:eastAsia="Arial" w:hAnsi="Arial"/>
          <w:sz w:val="17"/>
          <w:szCs w:val="17"/>
          <w:color w:val="auto"/>
        </w:rPr>
        <w:t>Mr. Cooney, Mr. Rosen and Ms. Maddrey are participants in the Graham Schedule. Benefits payable under the Graham Schedule include the following, subject to the limitations on tax-qualified plans mentioned above:</w:t>
      </w:r>
    </w:p>
    <w:p>
      <w:pPr>
        <w:spacing w:after="0" w:line="24" w:lineRule="exact"/>
        <w:rPr>
          <w:sz w:val="20"/>
          <w:szCs w:val="20"/>
          <w:color w:val="auto"/>
        </w:rPr>
      </w:pPr>
    </w:p>
    <w:p>
      <w:pPr>
        <w:ind w:left="1660" w:right="140" w:hanging="199"/>
        <w:spacing w:after="0" w:line="254" w:lineRule="auto"/>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42" w:lineRule="exact"/>
        <w:rPr>
          <w:rFonts w:ascii="Arial" w:cs="Arial" w:eastAsia="Arial" w:hAnsi="Arial"/>
          <w:sz w:val="17"/>
          <w:szCs w:val="17"/>
          <w:color w:val="auto"/>
        </w:rPr>
      </w:pPr>
    </w:p>
    <w:p>
      <w:pPr>
        <w:ind w:left="1660" w:hanging="199"/>
        <w:spacing w:after="0"/>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annual Cash Pension Supplement equal to $200 multiplied by years of credited service.</w:t>
      </w:r>
    </w:p>
    <w:p>
      <w:pPr>
        <w:spacing w:after="0" w:line="72" w:lineRule="exact"/>
        <w:rPr>
          <w:rFonts w:ascii="Arial" w:cs="Arial" w:eastAsia="Arial" w:hAnsi="Arial"/>
          <w:sz w:val="17"/>
          <w:szCs w:val="17"/>
          <w:color w:val="auto"/>
        </w:rPr>
      </w:pPr>
    </w:p>
    <w:p>
      <w:pPr>
        <w:ind w:left="1660" w:right="60" w:hanging="199"/>
        <w:spacing w:after="0" w:line="256" w:lineRule="auto"/>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420"/>
          </w:cols>
          <w:pgMar w:left="740" w:top="262" w:right="739" w:bottom="1440" w:gutter="0" w:footer="0" w:header="0"/>
        </w:sectPr>
      </w:pPr>
    </w:p>
    <w:bookmarkStart w:id="31" w:name="page32"/>
    <w:bookmarkEnd w:id="31"/>
    <w:p>
      <w:pPr>
        <w:ind w:firstLine="937"/>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Vested benefits under The Retirement Plan are generally payable in the form of a single life annuity or lump 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Newsweek Schedule</w:t>
      </w:r>
    </w:p>
    <w:p>
      <w:pPr>
        <w:spacing w:after="0" w:line="2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 portion of Mr. Rosen’s pension benefit was earned under the Newsweek Schedule. Vested benefits payable under this Schedule include the following, subject to the limitations on tax-qualified plans mentioned above:</w:t>
      </w:r>
    </w:p>
    <w:p>
      <w:pPr>
        <w:spacing w:after="0" w:line="24" w:lineRule="exact"/>
        <w:rPr>
          <w:sz w:val="20"/>
          <w:szCs w:val="20"/>
          <w:color w:val="auto"/>
        </w:rPr>
      </w:pPr>
    </w:p>
    <w:p>
      <w:pPr>
        <w:ind w:left="1660" w:right="80" w:hanging="199"/>
        <w:spacing w:after="0" w:line="275" w:lineRule="auto"/>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24" w:lineRule="exact"/>
        <w:rPr>
          <w:rFonts w:ascii="Arial" w:cs="Arial" w:eastAsia="Arial" w:hAnsi="Arial"/>
          <w:sz w:val="17"/>
          <w:szCs w:val="17"/>
          <w:color w:val="auto"/>
        </w:rPr>
      </w:pPr>
    </w:p>
    <w:p>
      <w:pPr>
        <w:ind w:left="1660" w:hanging="199"/>
        <w:spacing w:after="0"/>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annual Cash Pension Supplement equal to $150, multiplied by years of credited service (up to 30 years).</w:t>
      </w:r>
    </w:p>
    <w:p>
      <w:pPr>
        <w:spacing w:after="0" w:line="213" w:lineRule="exact"/>
        <w:rPr>
          <w:sz w:val="20"/>
          <w:szCs w:val="20"/>
          <w:color w:val="auto"/>
        </w:rPr>
      </w:pPr>
    </w:p>
    <w:p>
      <w:pPr>
        <w:ind w:right="80" w:firstLine="937"/>
        <w:spacing w:after="0" w:line="275" w:lineRule="auto"/>
        <w:rPr>
          <w:sz w:val="20"/>
          <w:szCs w:val="20"/>
          <w:color w:val="auto"/>
        </w:rPr>
      </w:pPr>
      <w:r>
        <w:rPr>
          <w:rFonts w:ascii="Arial" w:cs="Arial" w:eastAsia="Arial" w:hAnsi="Arial"/>
          <w:sz w:val="17"/>
          <w:szCs w:val="17"/>
          <w:color w:val="auto"/>
        </w:rPr>
        <w:t>The Newsweek Schedule permits early retirement with full benefits at various combinations of age and service. Mr. Rosen will be eligible for an unreduced early retirement benefit at age 60.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Kaplan Schedule</w:t>
      </w:r>
    </w:p>
    <w:p>
      <w:pPr>
        <w:spacing w:after="0" w:line="217" w:lineRule="exact"/>
        <w:rPr>
          <w:sz w:val="20"/>
          <w:szCs w:val="20"/>
          <w:color w:val="auto"/>
        </w:rPr>
      </w:pPr>
    </w:p>
    <w:p>
      <w:pPr>
        <w:ind w:right="60" w:firstLine="937"/>
        <w:spacing w:after="0" w:line="255" w:lineRule="auto"/>
        <w:rPr>
          <w:sz w:val="20"/>
          <w:szCs w:val="20"/>
          <w:color w:val="auto"/>
        </w:rPr>
      </w:pPr>
      <w:r>
        <w:rPr>
          <w:rFonts w:ascii="Arial" w:cs="Arial" w:eastAsia="Arial" w:hAnsi="Arial"/>
          <w:sz w:val="17"/>
          <w:szCs w:val="17"/>
          <w:color w:val="auto"/>
        </w:rPr>
        <w:t>A portion of Mr. Rosen’s pension benefit is earned under the Kaplan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SRA</w:t>
      </w:r>
    </w:p>
    <w:p>
      <w:pPr>
        <w:spacing w:after="0" w:line="217" w:lineRule="exact"/>
        <w:rPr>
          <w:sz w:val="20"/>
          <w:szCs w:val="20"/>
          <w:color w:val="auto"/>
        </w:rPr>
      </w:pPr>
    </w:p>
    <w:p>
      <w:pPr>
        <w:ind w:right="100" w:firstLine="937"/>
        <w:spacing w:after="0" w:line="254" w:lineRule="auto"/>
        <w:rPr>
          <w:sz w:val="20"/>
          <w:szCs w:val="20"/>
          <w:color w:val="auto"/>
        </w:rPr>
      </w:pPr>
      <w:r>
        <w:rPr>
          <w:rFonts w:ascii="Arial" w:cs="Arial" w:eastAsia="Arial" w:hAnsi="Arial"/>
          <w:sz w:val="17"/>
          <w:szCs w:val="17"/>
          <w:color w:val="auto"/>
        </w:rPr>
        <w:t>A portion of Mr. O’Shaughnessy’s, Mr. Cooney’s, Mr. Rosen’s, Mr. Maas’, and Ms. Maddrey’s pension benefit is earned under the SRA Schedule. Under this Schedule, each employee has an account (expressed as a lump-sum amount, rather than as an annuity) that is credited with quarterly pay-based credits and interest credits. Pay-based credits vary from 4.62% to 7.35% for Mr. Cooney and Ms. Maddrey and 2.20% to 3.50% for Mr. O’Shaughnessy, Mr. Maas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CBRP</w:t>
      </w:r>
    </w:p>
    <w:p>
      <w:pPr>
        <w:spacing w:after="0" w:line="217" w:lineRule="exact"/>
        <w:rPr>
          <w:sz w:val="20"/>
          <w:szCs w:val="20"/>
          <w:color w:val="auto"/>
        </w:rPr>
      </w:pPr>
    </w:p>
    <w:p>
      <w:pPr>
        <w:ind w:right="80" w:firstLine="937"/>
        <w:spacing w:after="0" w:line="255" w:lineRule="auto"/>
        <w:rPr>
          <w:sz w:val="20"/>
          <w:szCs w:val="20"/>
          <w:color w:val="auto"/>
        </w:rPr>
      </w:pPr>
      <w:r>
        <w:rPr>
          <w:rFonts w:ascii="Arial" w:cs="Arial" w:eastAsia="Arial" w:hAnsi="Arial"/>
          <w:sz w:val="17"/>
          <w:szCs w:val="17"/>
          <w:color w:val="auto"/>
        </w:rPr>
        <w:t>A portion of Mr. O’Shaughnessy’s and Mr. Maas’ pension benefit is earned under the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SERP Benefits</w:t>
      </w:r>
    </w:p>
    <w:p>
      <w:pPr>
        <w:spacing w:after="0" w:line="217" w:lineRule="exact"/>
        <w:rPr>
          <w:sz w:val="20"/>
          <w:szCs w:val="20"/>
          <w:color w:val="auto"/>
        </w:rPr>
      </w:pPr>
    </w:p>
    <w:p>
      <w:pPr>
        <w:ind w:right="40" w:firstLine="937"/>
        <w:spacing w:after="0" w:line="258" w:lineRule="auto"/>
        <w:rPr>
          <w:sz w:val="20"/>
          <w:szCs w:val="20"/>
          <w:color w:val="auto"/>
        </w:rPr>
      </w:pPr>
      <w:r>
        <w:rPr>
          <w:rFonts w:ascii="Arial" w:cs="Arial" w:eastAsia="Arial" w:hAnsi="Arial"/>
          <w:sz w:val="17"/>
          <w:szCs w:val="17"/>
          <w:color w:val="auto"/>
        </w:rPr>
        <w:t>As explained above, the SERP, closed to new participants, provides benefits to certain eligible employees (including Mr. Rosen)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420"/>
          </w:cols>
          <w:pgMar w:left="740" w:top="267" w:right="739" w:bottom="1440" w:gutter="0" w:footer="0" w:header="0"/>
        </w:sectPr>
      </w:pPr>
    </w:p>
    <w:bookmarkStart w:id="32" w:name="page33"/>
    <w:bookmarkEnd w:id="32"/>
    <w:p>
      <w:pPr>
        <w:jc w:val="both"/>
        <w:ind w:right="16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w:t>
      </w: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1820" w:type="dxa"/>
            <w:vAlign w:val="bottom"/>
            <w:tcBorders>
              <w:top w:val="single" w:sz="8" w:color="auto"/>
              <w:left w:val="single" w:sz="8" w:color="auto"/>
              <w:right w:val="single" w:sz="8" w:color="auto"/>
            </w:tcBorders>
          </w:tcPr>
          <w:p>
            <w:pPr>
              <w:spacing w:after="0"/>
              <w:rPr>
                <w:sz w:val="11"/>
                <w:szCs w:val="11"/>
                <w:color w:val="auto"/>
              </w:rPr>
            </w:pPr>
          </w:p>
        </w:tc>
        <w:tc>
          <w:tcPr>
            <w:tcW w:w="542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jc w:val="center"/>
              <w:ind w:left="194"/>
              <w:spacing w:after="0" w:line="133"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Borders>
              <w:top w:val="single" w:sz="8" w:color="auto"/>
              <w:right w:val="single" w:sz="8" w:color="auto"/>
            </w:tcBorders>
          </w:tcPr>
          <w:p>
            <w:pPr>
              <w:jc w:val="center"/>
              <w:ind w:left="194"/>
              <w:spacing w:after="0" w:line="133" w:lineRule="exact"/>
              <w:rPr>
                <w:sz w:val="20"/>
                <w:szCs w:val="20"/>
                <w:color w:val="auto"/>
              </w:rPr>
            </w:pPr>
            <w:r>
              <w:rPr>
                <w:rFonts w:ascii="Arial" w:cs="Arial" w:eastAsia="Arial" w:hAnsi="Arial"/>
                <w:sz w:val="14"/>
                <w:szCs w:val="14"/>
                <w:b w:val="1"/>
                <w:bCs w:val="1"/>
                <w:color w:val="auto"/>
                <w:w w:val="85"/>
              </w:rPr>
              <w:t>Present</w:t>
            </w:r>
          </w:p>
        </w:tc>
        <w:tc>
          <w:tcPr>
            <w:tcW w:w="1040" w:type="dxa"/>
            <w:vAlign w:val="bottom"/>
            <w:tcBorders>
              <w:top w:val="single" w:sz="8" w:color="auto"/>
              <w:right w:val="single" w:sz="8" w:color="auto"/>
            </w:tcBorders>
          </w:tcPr>
          <w:p>
            <w:pPr>
              <w:spacing w:after="0"/>
              <w:rPr>
                <w:sz w:val="11"/>
                <w:szCs w:val="1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54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194"/>
              <w:spacing w:after="0" w:line="141" w:lineRule="exact"/>
              <w:rPr>
                <w:sz w:val="20"/>
                <w:szCs w:val="20"/>
                <w:color w:val="auto"/>
              </w:rPr>
            </w:pPr>
            <w:r>
              <w:rPr>
                <w:rFonts w:ascii="Arial" w:cs="Arial" w:eastAsia="Arial" w:hAnsi="Arial"/>
                <w:sz w:val="14"/>
                <w:szCs w:val="14"/>
                <w:b w:val="1"/>
                <w:bCs w:val="1"/>
                <w:color w:val="auto"/>
                <w:w w:val="83"/>
              </w:rPr>
              <w:t>Years of</w:t>
            </w:r>
          </w:p>
        </w:tc>
        <w:tc>
          <w:tcPr>
            <w:tcW w:w="1140" w:type="dxa"/>
            <w:vAlign w:val="bottom"/>
            <w:tcBorders>
              <w:right w:val="single" w:sz="8" w:color="auto"/>
            </w:tcBorders>
          </w:tcPr>
          <w:p>
            <w:pPr>
              <w:jc w:val="center"/>
              <w:ind w:left="194"/>
              <w:spacing w:after="0" w:line="141" w:lineRule="exact"/>
              <w:rPr>
                <w:sz w:val="20"/>
                <w:szCs w:val="20"/>
                <w:color w:val="auto"/>
              </w:rPr>
            </w:pPr>
            <w:r>
              <w:rPr>
                <w:rFonts w:ascii="Arial" w:cs="Arial" w:eastAsia="Arial" w:hAnsi="Arial"/>
                <w:sz w:val="14"/>
                <w:szCs w:val="14"/>
                <w:b w:val="1"/>
                <w:bCs w:val="1"/>
                <w:color w:val="auto"/>
                <w:w w:val="88"/>
              </w:rPr>
              <w:t>Value of</w:t>
            </w:r>
          </w:p>
        </w:tc>
        <w:tc>
          <w:tcPr>
            <w:tcW w:w="1040" w:type="dxa"/>
            <w:vAlign w:val="bottom"/>
            <w:tcBorders>
              <w:right w:val="single" w:sz="8" w:color="auto"/>
            </w:tcBorders>
          </w:tcPr>
          <w:p>
            <w:pPr>
              <w:jc w:val="center"/>
              <w:ind w:left="154"/>
              <w:spacing w:after="0" w:line="141" w:lineRule="exact"/>
              <w:rPr>
                <w:sz w:val="20"/>
                <w:szCs w:val="20"/>
                <w:color w:val="auto"/>
              </w:rPr>
            </w:pPr>
            <w:r>
              <w:rPr>
                <w:rFonts w:ascii="Arial" w:cs="Arial" w:eastAsia="Arial" w:hAnsi="Arial"/>
                <w:sz w:val="14"/>
                <w:szCs w:val="14"/>
                <w:b w:val="1"/>
                <w:bCs w:val="1"/>
                <w:color w:val="auto"/>
                <w:w w:val="87"/>
              </w:rPr>
              <w:t>Payments</w:t>
            </w: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54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194"/>
              <w:spacing w:after="0" w:line="141" w:lineRule="exact"/>
              <w:rPr>
                <w:sz w:val="20"/>
                <w:szCs w:val="20"/>
                <w:color w:val="auto"/>
              </w:rPr>
            </w:pPr>
            <w:r>
              <w:rPr>
                <w:rFonts w:ascii="Arial" w:cs="Arial" w:eastAsia="Arial" w:hAnsi="Arial"/>
                <w:sz w:val="14"/>
                <w:szCs w:val="14"/>
                <w:b w:val="1"/>
                <w:bCs w:val="1"/>
                <w:color w:val="auto"/>
                <w:w w:val="87"/>
              </w:rPr>
              <w:t>Credited</w:t>
            </w:r>
          </w:p>
        </w:tc>
        <w:tc>
          <w:tcPr>
            <w:tcW w:w="1140" w:type="dxa"/>
            <w:vAlign w:val="bottom"/>
            <w:tcBorders>
              <w:right w:val="single" w:sz="8" w:color="auto"/>
            </w:tcBorders>
          </w:tcPr>
          <w:p>
            <w:pPr>
              <w:jc w:val="center"/>
              <w:ind w:left="174"/>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040" w:type="dxa"/>
            <w:vAlign w:val="bottom"/>
            <w:tcBorders>
              <w:right w:val="single" w:sz="8" w:color="auto"/>
            </w:tcBorders>
          </w:tcPr>
          <w:p>
            <w:pPr>
              <w:jc w:val="center"/>
              <w:ind w:left="154"/>
              <w:spacing w:after="0" w:line="141" w:lineRule="exact"/>
              <w:rPr>
                <w:sz w:val="20"/>
                <w:szCs w:val="20"/>
                <w:color w:val="auto"/>
              </w:rPr>
            </w:pPr>
            <w:r>
              <w:rPr>
                <w:rFonts w:ascii="Arial" w:cs="Arial" w:eastAsia="Arial" w:hAnsi="Arial"/>
                <w:sz w:val="14"/>
                <w:szCs w:val="14"/>
                <w:b w:val="1"/>
                <w:bCs w:val="1"/>
                <w:color w:val="auto"/>
                <w:w w:val="89"/>
              </w:rPr>
              <w:t>During Last</w:t>
            </w:r>
          </w:p>
        </w:tc>
      </w:tr>
      <w:tr>
        <w:trPr>
          <w:trHeight w:val="140"/>
        </w:trPr>
        <w:tc>
          <w:tcPr>
            <w:tcW w:w="1820" w:type="dxa"/>
            <w:vAlign w:val="bottom"/>
            <w:tcBorders>
              <w:left w:val="single" w:sz="8" w:color="auto"/>
              <w:right w:val="single" w:sz="8" w:color="auto"/>
            </w:tcBorders>
          </w:tcPr>
          <w:p>
            <w:pPr>
              <w:ind w:left="800"/>
              <w:spacing w:after="0" w:line="141" w:lineRule="exact"/>
              <w:rPr>
                <w:sz w:val="20"/>
                <w:szCs w:val="20"/>
                <w:color w:val="auto"/>
              </w:rPr>
            </w:pPr>
            <w:r>
              <w:rPr>
                <w:rFonts w:ascii="Arial" w:cs="Arial" w:eastAsia="Arial" w:hAnsi="Arial"/>
                <w:sz w:val="14"/>
                <w:szCs w:val="14"/>
                <w:b w:val="1"/>
                <w:bCs w:val="1"/>
                <w:color w:val="auto"/>
              </w:rPr>
              <w:t>Name</w:t>
            </w:r>
          </w:p>
        </w:tc>
        <w:tc>
          <w:tcPr>
            <w:tcW w:w="5420" w:type="dxa"/>
            <w:vAlign w:val="bottom"/>
            <w:tcBorders>
              <w:right w:val="single" w:sz="8" w:color="auto"/>
            </w:tcBorders>
          </w:tcPr>
          <w:p>
            <w:pPr>
              <w:ind w:left="2660"/>
              <w:spacing w:after="0" w:line="141" w:lineRule="exact"/>
              <w:rPr>
                <w:sz w:val="20"/>
                <w:szCs w:val="20"/>
                <w:color w:val="auto"/>
              </w:rPr>
            </w:pPr>
            <w:r>
              <w:rPr>
                <w:rFonts w:ascii="Arial" w:cs="Arial" w:eastAsia="Arial" w:hAnsi="Arial"/>
                <w:sz w:val="14"/>
                <w:szCs w:val="14"/>
                <w:b w:val="1"/>
                <w:bCs w:val="1"/>
                <w:color w:val="auto"/>
              </w:rPr>
              <w:t>Plan Name</w:t>
            </w:r>
          </w:p>
        </w:tc>
        <w:tc>
          <w:tcPr>
            <w:tcW w:w="1000" w:type="dxa"/>
            <w:vAlign w:val="bottom"/>
            <w:tcBorders>
              <w:right w:val="single" w:sz="8" w:color="auto"/>
            </w:tcBorders>
          </w:tcPr>
          <w:p>
            <w:pPr>
              <w:jc w:val="center"/>
              <w:ind w:left="194"/>
              <w:spacing w:after="0" w:line="141" w:lineRule="exact"/>
              <w:rPr>
                <w:sz w:val="20"/>
                <w:szCs w:val="20"/>
                <w:color w:val="auto"/>
              </w:rPr>
            </w:pPr>
            <w:r>
              <w:rPr>
                <w:rFonts w:ascii="Arial" w:cs="Arial" w:eastAsia="Arial" w:hAnsi="Arial"/>
                <w:sz w:val="14"/>
                <w:szCs w:val="14"/>
                <w:b w:val="1"/>
                <w:bCs w:val="1"/>
                <w:color w:val="auto"/>
                <w:w w:val="84"/>
              </w:rPr>
              <w:t>Service</w:t>
            </w:r>
          </w:p>
        </w:tc>
        <w:tc>
          <w:tcPr>
            <w:tcW w:w="1140" w:type="dxa"/>
            <w:vAlign w:val="bottom"/>
            <w:tcBorders>
              <w:right w:val="single" w:sz="8" w:color="auto"/>
            </w:tcBorders>
          </w:tcPr>
          <w:p>
            <w:pPr>
              <w:jc w:val="center"/>
              <w:ind w:left="174"/>
              <w:spacing w:after="0" w:line="141" w:lineRule="exact"/>
              <w:rPr>
                <w:sz w:val="20"/>
                <w:szCs w:val="20"/>
                <w:color w:val="auto"/>
              </w:rPr>
            </w:pPr>
            <w:r>
              <w:rPr>
                <w:rFonts w:ascii="Arial" w:cs="Arial" w:eastAsia="Arial" w:hAnsi="Arial"/>
                <w:sz w:val="14"/>
                <w:szCs w:val="14"/>
                <w:b w:val="1"/>
                <w:bCs w:val="1"/>
                <w:color w:val="auto"/>
                <w:w w:val="90"/>
              </w:rPr>
              <w:t>Benefit ($)</w:t>
            </w:r>
          </w:p>
        </w:tc>
        <w:tc>
          <w:tcPr>
            <w:tcW w:w="1040" w:type="dxa"/>
            <w:vAlign w:val="bottom"/>
            <w:tcBorders>
              <w:right w:val="single" w:sz="8" w:color="auto"/>
            </w:tcBorders>
          </w:tcPr>
          <w:p>
            <w:pPr>
              <w:jc w:val="center"/>
              <w:ind w:left="154"/>
              <w:spacing w:after="0" w:line="141" w:lineRule="exact"/>
              <w:rPr>
                <w:sz w:val="20"/>
                <w:szCs w:val="20"/>
                <w:color w:val="auto"/>
              </w:rPr>
            </w:pPr>
            <w:r>
              <w:rPr>
                <w:rFonts w:ascii="Arial" w:cs="Arial" w:eastAsia="Arial" w:hAnsi="Arial"/>
                <w:sz w:val="14"/>
                <w:szCs w:val="14"/>
                <w:b w:val="1"/>
                <w:bCs w:val="1"/>
                <w:color w:val="auto"/>
                <w:w w:val="97"/>
              </w:rPr>
              <w:t>FY ($)</w:t>
            </w:r>
          </w:p>
        </w:tc>
      </w:tr>
      <w:tr>
        <w:trPr>
          <w:trHeight w:val="174"/>
        </w:trPr>
        <w:tc>
          <w:tcPr>
            <w:tcW w:w="182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4"/>
                <w:szCs w:val="14"/>
                <w:b w:val="1"/>
                <w:bCs w:val="1"/>
                <w:color w:val="auto"/>
              </w:rPr>
              <w:t>(a)</w:t>
            </w:r>
          </w:p>
        </w:tc>
        <w:tc>
          <w:tcPr>
            <w:tcW w:w="5420" w:type="dxa"/>
            <w:vAlign w:val="bottom"/>
            <w:tcBorders>
              <w:bottom w:val="single" w:sz="8" w:color="auto"/>
              <w:right w:val="single" w:sz="8" w:color="auto"/>
            </w:tcBorders>
          </w:tcPr>
          <w:p>
            <w:pPr>
              <w:ind w:left="2880"/>
              <w:spacing w:after="0"/>
              <w:rPr>
                <w:sz w:val="20"/>
                <w:szCs w:val="20"/>
                <w:color w:val="auto"/>
              </w:rPr>
            </w:pPr>
            <w:r>
              <w:rPr>
                <w:rFonts w:ascii="Arial" w:cs="Arial" w:eastAsia="Arial" w:hAnsi="Arial"/>
                <w:sz w:val="14"/>
                <w:szCs w:val="14"/>
                <w:b w:val="1"/>
                <w:bCs w:val="1"/>
                <w:color w:val="auto"/>
              </w:rPr>
              <w:t>(b)</w:t>
            </w:r>
          </w:p>
        </w:tc>
        <w:tc>
          <w:tcPr>
            <w:tcW w:w="1000" w:type="dxa"/>
            <w:vAlign w:val="bottom"/>
            <w:tcBorders>
              <w:bottom w:val="single" w:sz="8" w:color="auto"/>
              <w:right w:val="single" w:sz="8" w:color="auto"/>
            </w:tcBorders>
          </w:tcPr>
          <w:p>
            <w:pPr>
              <w:jc w:val="center"/>
              <w:ind w:left="194"/>
              <w:spacing w:after="0"/>
              <w:rPr>
                <w:sz w:val="20"/>
                <w:szCs w:val="20"/>
                <w:color w:val="auto"/>
              </w:rPr>
            </w:pPr>
            <w:r>
              <w:rPr>
                <w:rFonts w:ascii="Arial" w:cs="Arial" w:eastAsia="Arial" w:hAnsi="Arial"/>
                <w:sz w:val="14"/>
                <w:szCs w:val="14"/>
                <w:b w:val="1"/>
                <w:bCs w:val="1"/>
                <w:color w:val="auto"/>
                <w:w w:val="94"/>
              </w:rPr>
              <w:t>(c)</w:t>
            </w:r>
            <w:r>
              <w:rPr>
                <w:rFonts w:ascii="Arial" w:cs="Arial" w:eastAsia="Arial" w:hAnsi="Arial"/>
                <w:sz w:val="11"/>
                <w:szCs w:val="11"/>
                <w:b w:val="1"/>
                <w:bCs w:val="1"/>
                <w:color w:val="auto"/>
                <w:w w:val="94"/>
              </w:rPr>
              <w:t>1</w:t>
            </w:r>
          </w:p>
        </w:tc>
        <w:tc>
          <w:tcPr>
            <w:tcW w:w="1140" w:type="dxa"/>
            <w:vAlign w:val="bottom"/>
            <w:tcBorders>
              <w:bottom w:val="single" w:sz="8" w:color="auto"/>
              <w:right w:val="single" w:sz="8" w:color="auto"/>
            </w:tcBorders>
          </w:tcPr>
          <w:p>
            <w:pPr>
              <w:jc w:val="center"/>
              <w:ind w:left="174"/>
              <w:spacing w:after="0"/>
              <w:rPr>
                <w:sz w:val="20"/>
                <w:szCs w:val="20"/>
                <w:color w:val="auto"/>
              </w:rPr>
            </w:pPr>
            <w:r>
              <w:rPr>
                <w:rFonts w:ascii="Arial" w:cs="Arial" w:eastAsia="Arial" w:hAnsi="Arial"/>
                <w:sz w:val="14"/>
                <w:szCs w:val="14"/>
                <w:b w:val="1"/>
                <w:bCs w:val="1"/>
                <w:color w:val="auto"/>
                <w:w w:val="91"/>
              </w:rPr>
              <w:t>(d)</w:t>
            </w:r>
            <w:r>
              <w:rPr>
                <w:rFonts w:ascii="Arial" w:cs="Arial" w:eastAsia="Arial" w:hAnsi="Arial"/>
                <w:sz w:val="11"/>
                <w:szCs w:val="11"/>
                <w:b w:val="1"/>
                <w:bCs w:val="1"/>
                <w:color w:val="auto"/>
                <w:w w:val="91"/>
              </w:rPr>
              <w:t>2</w:t>
            </w:r>
          </w:p>
        </w:tc>
        <w:tc>
          <w:tcPr>
            <w:tcW w:w="1040" w:type="dxa"/>
            <w:vAlign w:val="bottom"/>
            <w:tcBorders>
              <w:bottom w:val="single" w:sz="8" w:color="auto"/>
              <w:right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81"/>
              </w:rPr>
              <w:t>(e)</w:t>
            </w:r>
          </w:p>
        </w:tc>
      </w:tr>
      <w:tr>
        <w:trPr>
          <w:trHeight w:val="115"/>
        </w:trPr>
        <w:tc>
          <w:tcPr>
            <w:tcW w:w="182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Timothy J. O’Shaughnessy</w:t>
            </w:r>
          </w:p>
        </w:tc>
        <w:tc>
          <w:tcPr>
            <w:tcW w:w="5420" w:type="dxa"/>
            <w:vAlign w:val="bottom"/>
            <w:tcBorders>
              <w:right w:val="single" w:sz="8" w:color="auto"/>
            </w:tcBorders>
            <w:shd w:val="clear" w:color="auto" w:fill="CCEEFF"/>
          </w:tcPr>
          <w:p>
            <w:pPr>
              <w:ind w:left="540"/>
              <w:spacing w:after="0" w:line="115" w:lineRule="exact"/>
              <w:rPr>
                <w:sz w:val="20"/>
                <w:szCs w:val="20"/>
                <w:color w:val="auto"/>
              </w:rPr>
            </w:pPr>
            <w:r>
              <w:rPr>
                <w:rFonts w:ascii="Arial" w:cs="Arial" w:eastAsia="Arial" w:hAnsi="Arial"/>
                <w:sz w:val="12"/>
                <w:szCs w:val="12"/>
                <w:color w:val="auto"/>
              </w:rPr>
              <w:t>The Retirement Plan for Graham Holdings Company</w:t>
            </w:r>
          </w:p>
        </w:tc>
        <w:tc>
          <w:tcPr>
            <w:tcW w:w="100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w w:val="89"/>
              </w:rPr>
              <w:t>4</w:t>
            </w:r>
          </w:p>
        </w:tc>
        <w:tc>
          <w:tcPr>
            <w:tcW w:w="1140" w:type="dxa"/>
            <w:vAlign w:val="bottom"/>
            <w:tcBorders>
              <w:right w:val="single" w:sz="8" w:color="auto"/>
            </w:tcBorders>
            <w:shd w:val="clear" w:color="auto" w:fill="CCEEFF"/>
          </w:tcPr>
          <w:p>
            <w:pPr>
              <w:jc w:val="center"/>
              <w:ind w:left="174"/>
              <w:spacing w:after="0" w:line="115" w:lineRule="exact"/>
              <w:rPr>
                <w:sz w:val="20"/>
                <w:szCs w:val="20"/>
                <w:color w:val="auto"/>
              </w:rPr>
            </w:pPr>
            <w:r>
              <w:rPr>
                <w:rFonts w:ascii="Arial" w:cs="Arial" w:eastAsia="Arial" w:hAnsi="Arial"/>
                <w:sz w:val="12"/>
                <w:szCs w:val="12"/>
                <w:color w:val="auto"/>
              </w:rPr>
              <w:t>49,537</w:t>
            </w:r>
          </w:p>
        </w:tc>
        <w:tc>
          <w:tcPr>
            <w:tcW w:w="104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rPr>
              <w:t>—</w:t>
            </w:r>
          </w:p>
        </w:tc>
      </w:tr>
      <w:tr>
        <w:trPr>
          <w:trHeight w:val="159"/>
        </w:trPr>
        <w:tc>
          <w:tcPr>
            <w:tcW w:w="18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420" w:type="dxa"/>
            <w:vAlign w:val="bottom"/>
            <w:tcBorders>
              <w:bottom w:val="single" w:sz="8" w:color="auto"/>
              <w:right w:val="single" w:sz="8" w:color="auto"/>
            </w:tcBorders>
            <w:shd w:val="clear" w:color="auto" w:fill="CCEEFF"/>
          </w:tcPr>
          <w:p>
            <w:pPr>
              <w:ind w:left="540"/>
              <w:spacing w:after="0" w:line="159" w:lineRule="exact"/>
              <w:rPr>
                <w:sz w:val="20"/>
                <w:szCs w:val="20"/>
                <w:color w:val="auto"/>
              </w:rPr>
            </w:pPr>
            <w:r>
              <w:rPr>
                <w:rFonts w:ascii="Arial" w:cs="Arial" w:eastAsia="Arial" w:hAnsi="Arial"/>
                <w:sz w:val="14"/>
                <w:szCs w:val="14"/>
                <w:color w:val="auto"/>
              </w:rPr>
              <w:t>Total Pension Plan Benefits</w:t>
            </w:r>
          </w:p>
        </w:tc>
        <w:tc>
          <w:tcPr>
            <w:tcW w:w="100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76"/>
              </w:rPr>
              <w:t>4</w:t>
            </w:r>
          </w:p>
        </w:tc>
        <w:tc>
          <w:tcPr>
            <w:tcW w:w="1140" w:type="dxa"/>
            <w:vAlign w:val="bottom"/>
            <w:tcBorders>
              <w:bottom w:val="single" w:sz="8" w:color="auto"/>
              <w:right w:val="single" w:sz="8" w:color="auto"/>
            </w:tcBorders>
            <w:shd w:val="clear" w:color="auto" w:fill="CCEEFF"/>
          </w:tcPr>
          <w:p>
            <w:pPr>
              <w:jc w:val="center"/>
              <w:ind w:left="174"/>
              <w:spacing w:after="0" w:line="159" w:lineRule="exact"/>
              <w:rPr>
                <w:sz w:val="20"/>
                <w:szCs w:val="20"/>
                <w:color w:val="auto"/>
              </w:rPr>
            </w:pPr>
            <w:r>
              <w:rPr>
                <w:rFonts w:ascii="Arial" w:cs="Arial" w:eastAsia="Arial" w:hAnsi="Arial"/>
                <w:sz w:val="14"/>
                <w:szCs w:val="14"/>
                <w:color w:val="auto"/>
                <w:w w:val="88"/>
              </w:rPr>
              <w:t>49,537</w:t>
            </w:r>
          </w:p>
        </w:tc>
        <w:tc>
          <w:tcPr>
            <w:tcW w:w="104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99"/>
              </w:rPr>
              <w:t>—</w:t>
            </w:r>
          </w:p>
        </w:tc>
      </w:tr>
      <w:tr>
        <w:trPr>
          <w:trHeight w:val="115"/>
        </w:trPr>
        <w:tc>
          <w:tcPr>
            <w:tcW w:w="182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Wallace R. Cooney</w:t>
            </w:r>
          </w:p>
        </w:tc>
        <w:tc>
          <w:tcPr>
            <w:tcW w:w="5420" w:type="dxa"/>
            <w:vAlign w:val="bottom"/>
            <w:tcBorders>
              <w:right w:val="single" w:sz="8" w:color="auto"/>
            </w:tcBorders>
          </w:tcPr>
          <w:p>
            <w:pPr>
              <w:ind w:left="540"/>
              <w:spacing w:after="0" w:line="115" w:lineRule="exact"/>
              <w:rPr>
                <w:sz w:val="20"/>
                <w:szCs w:val="20"/>
                <w:color w:val="auto"/>
              </w:rPr>
            </w:pPr>
            <w:r>
              <w:rPr>
                <w:rFonts w:ascii="Arial" w:cs="Arial" w:eastAsia="Arial" w:hAnsi="Arial"/>
                <w:sz w:val="12"/>
                <w:szCs w:val="12"/>
                <w:color w:val="auto"/>
              </w:rPr>
              <w:t>The Retirement Plan for Graham Holdings Company</w:t>
            </w:r>
          </w:p>
        </w:tc>
        <w:tc>
          <w:tcPr>
            <w:tcW w:w="100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17</w:t>
            </w:r>
          </w:p>
        </w:tc>
        <w:tc>
          <w:tcPr>
            <w:tcW w:w="114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828,789</w:t>
            </w:r>
          </w:p>
        </w:tc>
        <w:tc>
          <w:tcPr>
            <w:tcW w:w="104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w:t>
            </w:r>
          </w:p>
        </w:tc>
      </w:tr>
      <w:tr>
        <w:trPr>
          <w:trHeight w:val="159"/>
        </w:trPr>
        <w:tc>
          <w:tcPr>
            <w:tcW w:w="1820" w:type="dxa"/>
            <w:vAlign w:val="bottom"/>
            <w:tcBorders>
              <w:left w:val="single" w:sz="8" w:color="auto"/>
              <w:bottom w:val="single" w:sz="8" w:color="auto"/>
              <w:right w:val="single" w:sz="8" w:color="auto"/>
            </w:tcBorders>
          </w:tcPr>
          <w:p>
            <w:pPr>
              <w:spacing w:after="0"/>
              <w:rPr>
                <w:sz w:val="13"/>
                <w:szCs w:val="13"/>
                <w:color w:val="auto"/>
              </w:rPr>
            </w:pPr>
          </w:p>
        </w:tc>
        <w:tc>
          <w:tcPr>
            <w:tcW w:w="5420" w:type="dxa"/>
            <w:vAlign w:val="bottom"/>
            <w:tcBorders>
              <w:bottom w:val="single" w:sz="8" w:color="auto"/>
              <w:right w:val="single" w:sz="8" w:color="auto"/>
            </w:tcBorders>
          </w:tcPr>
          <w:p>
            <w:pPr>
              <w:ind w:left="540"/>
              <w:spacing w:after="0" w:line="159" w:lineRule="exact"/>
              <w:rPr>
                <w:sz w:val="20"/>
                <w:szCs w:val="20"/>
                <w:color w:val="auto"/>
              </w:rPr>
            </w:pPr>
            <w:r>
              <w:rPr>
                <w:rFonts w:ascii="Arial" w:cs="Arial" w:eastAsia="Arial" w:hAnsi="Arial"/>
                <w:sz w:val="14"/>
                <w:szCs w:val="14"/>
                <w:color w:val="auto"/>
              </w:rPr>
              <w:t>Total Pension Plan Benefits</w:t>
            </w:r>
          </w:p>
        </w:tc>
        <w:tc>
          <w:tcPr>
            <w:tcW w:w="100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89"/>
              </w:rPr>
              <w:t>17</w:t>
            </w:r>
          </w:p>
        </w:tc>
        <w:tc>
          <w:tcPr>
            <w:tcW w:w="114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86"/>
              </w:rPr>
              <w:t>828,789</w:t>
            </w:r>
          </w:p>
        </w:tc>
        <w:tc>
          <w:tcPr>
            <w:tcW w:w="104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99"/>
              </w:rPr>
              <w:t>—</w:t>
            </w:r>
          </w:p>
        </w:tc>
      </w:tr>
      <w:tr>
        <w:trPr>
          <w:trHeight w:val="115"/>
        </w:trPr>
        <w:tc>
          <w:tcPr>
            <w:tcW w:w="182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Andrew S. Rosen</w:t>
            </w:r>
          </w:p>
        </w:tc>
        <w:tc>
          <w:tcPr>
            <w:tcW w:w="5420" w:type="dxa"/>
            <w:vAlign w:val="bottom"/>
            <w:tcBorders>
              <w:right w:val="single" w:sz="8" w:color="auto"/>
            </w:tcBorders>
            <w:shd w:val="clear" w:color="auto" w:fill="CCEEFF"/>
          </w:tcPr>
          <w:p>
            <w:pPr>
              <w:ind w:left="540"/>
              <w:spacing w:after="0" w:line="115" w:lineRule="exact"/>
              <w:rPr>
                <w:sz w:val="20"/>
                <w:szCs w:val="20"/>
                <w:color w:val="auto"/>
              </w:rPr>
            </w:pPr>
            <w:r>
              <w:rPr>
                <w:rFonts w:ascii="Arial" w:cs="Arial" w:eastAsia="Arial" w:hAnsi="Arial"/>
                <w:sz w:val="12"/>
                <w:szCs w:val="12"/>
                <w:color w:val="auto"/>
              </w:rPr>
              <w:t>The Retirement Plan for Graham Holdings Company</w:t>
            </w:r>
          </w:p>
        </w:tc>
        <w:tc>
          <w:tcPr>
            <w:tcW w:w="100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rPr>
              <w:t>32</w:t>
            </w:r>
          </w:p>
        </w:tc>
        <w:tc>
          <w:tcPr>
            <w:tcW w:w="114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rPr>
              <w:t>503,778</w:t>
            </w:r>
          </w:p>
        </w:tc>
        <w:tc>
          <w:tcPr>
            <w:tcW w:w="104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rPr>
              <w:t>—</w:t>
            </w:r>
          </w:p>
        </w:tc>
      </w:tr>
      <w:tr>
        <w:trPr>
          <w:trHeight w:val="140"/>
        </w:trPr>
        <w:tc>
          <w:tcPr>
            <w:tcW w:w="1820" w:type="dxa"/>
            <w:vAlign w:val="bottom"/>
            <w:tcBorders>
              <w:left w:val="single" w:sz="8" w:color="auto"/>
              <w:right w:val="single" w:sz="8" w:color="auto"/>
            </w:tcBorders>
            <w:shd w:val="clear" w:color="auto" w:fill="CCEEFF"/>
          </w:tcPr>
          <w:p>
            <w:pPr>
              <w:spacing w:after="0"/>
              <w:rPr>
                <w:sz w:val="12"/>
                <w:szCs w:val="12"/>
                <w:color w:val="auto"/>
              </w:rPr>
            </w:pPr>
          </w:p>
        </w:tc>
        <w:tc>
          <w:tcPr>
            <w:tcW w:w="5420" w:type="dxa"/>
            <w:vAlign w:val="bottom"/>
            <w:tcBorders>
              <w:right w:val="single" w:sz="8" w:color="auto"/>
            </w:tcBorders>
            <w:shd w:val="clear" w:color="auto" w:fill="CCEEFF"/>
          </w:tcPr>
          <w:p>
            <w:pPr>
              <w:ind w:left="540"/>
              <w:spacing w:after="0" w:line="141" w:lineRule="exact"/>
              <w:rPr>
                <w:sz w:val="20"/>
                <w:szCs w:val="20"/>
                <w:color w:val="auto"/>
              </w:rPr>
            </w:pPr>
            <w:r>
              <w:rPr>
                <w:rFonts w:ascii="Arial" w:cs="Arial" w:eastAsia="Arial" w:hAnsi="Arial"/>
                <w:sz w:val="14"/>
                <w:szCs w:val="14"/>
                <w:color w:val="auto"/>
              </w:rPr>
              <w:t>Graham Holdings Company Supplemental Executive Retirement Plan</w:t>
            </w:r>
          </w:p>
        </w:tc>
        <w:tc>
          <w:tcPr>
            <w:tcW w:w="1000" w:type="dxa"/>
            <w:vAlign w:val="bottom"/>
            <w:tcBorders>
              <w:right w:val="single" w:sz="8" w:color="auto"/>
            </w:tcBorders>
            <w:shd w:val="clear" w:color="auto" w:fill="CCEEFF"/>
          </w:tcPr>
          <w:p>
            <w:pPr>
              <w:jc w:val="center"/>
              <w:ind w:left="194"/>
              <w:spacing w:after="0" w:line="141" w:lineRule="exact"/>
              <w:rPr>
                <w:sz w:val="20"/>
                <w:szCs w:val="20"/>
                <w:color w:val="auto"/>
              </w:rPr>
            </w:pPr>
            <w:r>
              <w:rPr>
                <w:rFonts w:ascii="Arial" w:cs="Arial" w:eastAsia="Arial" w:hAnsi="Arial"/>
                <w:sz w:val="14"/>
                <w:szCs w:val="14"/>
                <w:color w:val="auto"/>
                <w:w w:val="89"/>
              </w:rPr>
              <w:t>32</w:t>
            </w:r>
          </w:p>
        </w:tc>
        <w:tc>
          <w:tcPr>
            <w:tcW w:w="1140" w:type="dxa"/>
            <w:vAlign w:val="bottom"/>
            <w:tcBorders>
              <w:right w:val="single" w:sz="8" w:color="auto"/>
            </w:tcBorders>
            <w:shd w:val="clear" w:color="auto" w:fill="CCEEFF"/>
          </w:tcPr>
          <w:p>
            <w:pPr>
              <w:jc w:val="center"/>
              <w:ind w:left="174"/>
              <w:spacing w:after="0" w:line="141" w:lineRule="exact"/>
              <w:rPr>
                <w:sz w:val="20"/>
                <w:szCs w:val="20"/>
                <w:color w:val="auto"/>
              </w:rPr>
            </w:pPr>
            <w:r>
              <w:rPr>
                <w:rFonts w:ascii="Arial" w:cs="Arial" w:eastAsia="Arial" w:hAnsi="Arial"/>
                <w:sz w:val="14"/>
                <w:szCs w:val="14"/>
                <w:color w:val="auto"/>
                <w:w w:val="88"/>
              </w:rPr>
              <w:t>24,598,050</w:t>
            </w:r>
          </w:p>
        </w:tc>
        <w:tc>
          <w:tcPr>
            <w:tcW w:w="1040" w:type="dxa"/>
            <w:vAlign w:val="bottom"/>
            <w:tcBorders>
              <w:right w:val="single" w:sz="8" w:color="auto"/>
            </w:tcBorders>
            <w:shd w:val="clear" w:color="auto" w:fill="CCEEFF"/>
          </w:tcPr>
          <w:p>
            <w:pPr>
              <w:jc w:val="center"/>
              <w:ind w:left="194"/>
              <w:spacing w:after="0" w:line="141" w:lineRule="exact"/>
              <w:rPr>
                <w:sz w:val="20"/>
                <w:szCs w:val="20"/>
                <w:color w:val="auto"/>
              </w:rPr>
            </w:pPr>
            <w:r>
              <w:rPr>
                <w:rFonts w:ascii="Arial" w:cs="Arial" w:eastAsia="Arial" w:hAnsi="Arial"/>
                <w:sz w:val="14"/>
                <w:szCs w:val="14"/>
                <w:color w:val="auto"/>
                <w:w w:val="99"/>
              </w:rPr>
              <w:t>—</w:t>
            </w:r>
          </w:p>
        </w:tc>
      </w:tr>
      <w:tr>
        <w:trPr>
          <w:trHeight w:val="159"/>
        </w:trPr>
        <w:tc>
          <w:tcPr>
            <w:tcW w:w="18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420" w:type="dxa"/>
            <w:vAlign w:val="bottom"/>
            <w:tcBorders>
              <w:bottom w:val="single" w:sz="8" w:color="auto"/>
              <w:right w:val="single" w:sz="8" w:color="auto"/>
            </w:tcBorders>
            <w:shd w:val="clear" w:color="auto" w:fill="CCEEFF"/>
          </w:tcPr>
          <w:p>
            <w:pPr>
              <w:ind w:left="540"/>
              <w:spacing w:after="0" w:line="159" w:lineRule="exact"/>
              <w:rPr>
                <w:sz w:val="20"/>
                <w:szCs w:val="20"/>
                <w:color w:val="auto"/>
              </w:rPr>
            </w:pPr>
            <w:r>
              <w:rPr>
                <w:rFonts w:ascii="Arial" w:cs="Arial" w:eastAsia="Arial" w:hAnsi="Arial"/>
                <w:sz w:val="14"/>
                <w:szCs w:val="14"/>
                <w:color w:val="auto"/>
              </w:rPr>
              <w:t>Total Pension Plan Benefits</w:t>
            </w:r>
          </w:p>
        </w:tc>
        <w:tc>
          <w:tcPr>
            <w:tcW w:w="100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89"/>
              </w:rPr>
              <w:t>32</w:t>
            </w:r>
          </w:p>
        </w:tc>
        <w:tc>
          <w:tcPr>
            <w:tcW w:w="1140" w:type="dxa"/>
            <w:vAlign w:val="bottom"/>
            <w:tcBorders>
              <w:bottom w:val="single" w:sz="8" w:color="auto"/>
              <w:right w:val="single" w:sz="8" w:color="auto"/>
            </w:tcBorders>
            <w:shd w:val="clear" w:color="auto" w:fill="CCEEFF"/>
          </w:tcPr>
          <w:p>
            <w:pPr>
              <w:jc w:val="center"/>
              <w:ind w:left="174"/>
              <w:spacing w:after="0" w:line="159" w:lineRule="exact"/>
              <w:rPr>
                <w:sz w:val="20"/>
                <w:szCs w:val="20"/>
                <w:color w:val="auto"/>
              </w:rPr>
            </w:pPr>
            <w:r>
              <w:rPr>
                <w:rFonts w:ascii="Arial" w:cs="Arial" w:eastAsia="Arial" w:hAnsi="Arial"/>
                <w:sz w:val="14"/>
                <w:szCs w:val="14"/>
                <w:color w:val="auto"/>
                <w:w w:val="88"/>
              </w:rPr>
              <w:t>25,101,828</w:t>
            </w:r>
          </w:p>
        </w:tc>
        <w:tc>
          <w:tcPr>
            <w:tcW w:w="104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99"/>
              </w:rPr>
              <w:t>—</w:t>
            </w:r>
          </w:p>
        </w:tc>
      </w:tr>
      <w:tr>
        <w:trPr>
          <w:trHeight w:val="115"/>
        </w:trPr>
        <w:tc>
          <w:tcPr>
            <w:tcW w:w="1820" w:type="dxa"/>
            <w:vAlign w:val="bottom"/>
            <w:tcBorders>
              <w:left w:val="single" w:sz="8" w:color="auto"/>
              <w:right w:val="single" w:sz="8" w:color="auto"/>
            </w:tcBorders>
          </w:tcPr>
          <w:p>
            <w:pPr>
              <w:ind w:left="140"/>
              <w:spacing w:after="0" w:line="115" w:lineRule="exact"/>
              <w:rPr>
                <w:sz w:val="20"/>
                <w:szCs w:val="20"/>
                <w:color w:val="auto"/>
              </w:rPr>
            </w:pPr>
            <w:r>
              <w:rPr>
                <w:rFonts w:ascii="Arial" w:cs="Arial" w:eastAsia="Arial" w:hAnsi="Arial"/>
                <w:sz w:val="12"/>
                <w:szCs w:val="12"/>
                <w:color w:val="auto"/>
              </w:rPr>
              <w:t>Nicole M. Maddrey</w:t>
            </w:r>
          </w:p>
        </w:tc>
        <w:tc>
          <w:tcPr>
            <w:tcW w:w="5420" w:type="dxa"/>
            <w:vAlign w:val="bottom"/>
            <w:tcBorders>
              <w:right w:val="single" w:sz="8" w:color="auto"/>
            </w:tcBorders>
          </w:tcPr>
          <w:p>
            <w:pPr>
              <w:ind w:left="540"/>
              <w:spacing w:after="0" w:line="115" w:lineRule="exact"/>
              <w:rPr>
                <w:sz w:val="20"/>
                <w:szCs w:val="20"/>
                <w:color w:val="auto"/>
              </w:rPr>
            </w:pPr>
            <w:r>
              <w:rPr>
                <w:rFonts w:ascii="Arial" w:cs="Arial" w:eastAsia="Arial" w:hAnsi="Arial"/>
                <w:sz w:val="12"/>
                <w:szCs w:val="12"/>
                <w:color w:val="auto"/>
              </w:rPr>
              <w:t>The Retirement Plan for Graham Holdings Company</w:t>
            </w:r>
          </w:p>
        </w:tc>
        <w:tc>
          <w:tcPr>
            <w:tcW w:w="100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12</w:t>
            </w:r>
          </w:p>
        </w:tc>
        <w:tc>
          <w:tcPr>
            <w:tcW w:w="114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518,243</w:t>
            </w:r>
          </w:p>
        </w:tc>
        <w:tc>
          <w:tcPr>
            <w:tcW w:w="1040" w:type="dxa"/>
            <w:vAlign w:val="bottom"/>
            <w:tcBorders>
              <w:right w:val="single" w:sz="8" w:color="auto"/>
            </w:tcBorders>
          </w:tcPr>
          <w:p>
            <w:pPr>
              <w:jc w:val="center"/>
              <w:ind w:left="194"/>
              <w:spacing w:after="0" w:line="115" w:lineRule="exact"/>
              <w:rPr>
                <w:sz w:val="20"/>
                <w:szCs w:val="20"/>
                <w:color w:val="auto"/>
              </w:rPr>
            </w:pPr>
            <w:r>
              <w:rPr>
                <w:rFonts w:ascii="Arial" w:cs="Arial" w:eastAsia="Arial" w:hAnsi="Arial"/>
                <w:sz w:val="12"/>
                <w:szCs w:val="12"/>
                <w:color w:val="auto"/>
              </w:rPr>
              <w:t>—</w:t>
            </w:r>
          </w:p>
        </w:tc>
      </w:tr>
      <w:tr>
        <w:trPr>
          <w:trHeight w:val="159"/>
        </w:trPr>
        <w:tc>
          <w:tcPr>
            <w:tcW w:w="1820" w:type="dxa"/>
            <w:vAlign w:val="bottom"/>
            <w:tcBorders>
              <w:left w:val="single" w:sz="8" w:color="auto"/>
              <w:bottom w:val="single" w:sz="8" w:color="auto"/>
              <w:right w:val="single" w:sz="8" w:color="auto"/>
            </w:tcBorders>
          </w:tcPr>
          <w:p>
            <w:pPr>
              <w:spacing w:after="0"/>
              <w:rPr>
                <w:sz w:val="13"/>
                <w:szCs w:val="13"/>
                <w:color w:val="auto"/>
              </w:rPr>
            </w:pPr>
          </w:p>
        </w:tc>
        <w:tc>
          <w:tcPr>
            <w:tcW w:w="5420" w:type="dxa"/>
            <w:vAlign w:val="bottom"/>
            <w:tcBorders>
              <w:bottom w:val="single" w:sz="8" w:color="auto"/>
              <w:right w:val="single" w:sz="8" w:color="auto"/>
            </w:tcBorders>
          </w:tcPr>
          <w:p>
            <w:pPr>
              <w:ind w:left="540"/>
              <w:spacing w:after="0" w:line="159" w:lineRule="exact"/>
              <w:rPr>
                <w:sz w:val="20"/>
                <w:szCs w:val="20"/>
                <w:color w:val="auto"/>
              </w:rPr>
            </w:pPr>
            <w:r>
              <w:rPr>
                <w:rFonts w:ascii="Arial" w:cs="Arial" w:eastAsia="Arial" w:hAnsi="Arial"/>
                <w:sz w:val="14"/>
                <w:szCs w:val="14"/>
                <w:color w:val="auto"/>
              </w:rPr>
              <w:t>Total Pension Plan Benefits</w:t>
            </w:r>
          </w:p>
        </w:tc>
        <w:tc>
          <w:tcPr>
            <w:tcW w:w="100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89"/>
              </w:rPr>
              <w:t>12</w:t>
            </w:r>
          </w:p>
        </w:tc>
        <w:tc>
          <w:tcPr>
            <w:tcW w:w="114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86"/>
              </w:rPr>
              <w:t>518,243</w:t>
            </w:r>
          </w:p>
        </w:tc>
        <w:tc>
          <w:tcPr>
            <w:tcW w:w="1040" w:type="dxa"/>
            <w:vAlign w:val="bottom"/>
            <w:tcBorders>
              <w:bottom w:val="single" w:sz="8" w:color="auto"/>
              <w:right w:val="single" w:sz="8" w:color="auto"/>
            </w:tcBorders>
          </w:tcPr>
          <w:p>
            <w:pPr>
              <w:jc w:val="center"/>
              <w:ind w:left="194"/>
              <w:spacing w:after="0" w:line="159" w:lineRule="exact"/>
              <w:rPr>
                <w:sz w:val="20"/>
                <w:szCs w:val="20"/>
                <w:color w:val="auto"/>
              </w:rPr>
            </w:pPr>
            <w:r>
              <w:rPr>
                <w:rFonts w:ascii="Arial" w:cs="Arial" w:eastAsia="Arial" w:hAnsi="Arial"/>
                <w:sz w:val="14"/>
                <w:szCs w:val="14"/>
                <w:color w:val="auto"/>
                <w:w w:val="99"/>
              </w:rPr>
              <w:t>—</w:t>
            </w:r>
          </w:p>
        </w:tc>
      </w:tr>
      <w:tr>
        <w:trPr>
          <w:trHeight w:val="115"/>
        </w:trPr>
        <w:tc>
          <w:tcPr>
            <w:tcW w:w="1820" w:type="dxa"/>
            <w:vAlign w:val="bottom"/>
            <w:tcBorders>
              <w:left w:val="single" w:sz="8" w:color="auto"/>
              <w:right w:val="single" w:sz="8" w:color="auto"/>
            </w:tcBorders>
            <w:shd w:val="clear" w:color="auto" w:fill="CCEEFF"/>
          </w:tcPr>
          <w:p>
            <w:pPr>
              <w:ind w:left="140"/>
              <w:spacing w:after="0" w:line="115" w:lineRule="exact"/>
              <w:rPr>
                <w:sz w:val="20"/>
                <w:szCs w:val="20"/>
                <w:color w:val="auto"/>
              </w:rPr>
            </w:pPr>
            <w:r>
              <w:rPr>
                <w:rFonts w:ascii="Arial" w:cs="Arial" w:eastAsia="Arial" w:hAnsi="Arial"/>
                <w:sz w:val="12"/>
                <w:szCs w:val="12"/>
                <w:color w:val="auto"/>
              </w:rPr>
              <w:t>Jacob M. Maas</w:t>
            </w:r>
          </w:p>
        </w:tc>
        <w:tc>
          <w:tcPr>
            <w:tcW w:w="5420" w:type="dxa"/>
            <w:vAlign w:val="bottom"/>
            <w:tcBorders>
              <w:right w:val="single" w:sz="8" w:color="auto"/>
            </w:tcBorders>
            <w:shd w:val="clear" w:color="auto" w:fill="CCEEFF"/>
          </w:tcPr>
          <w:p>
            <w:pPr>
              <w:ind w:left="540"/>
              <w:spacing w:after="0" w:line="115" w:lineRule="exact"/>
              <w:rPr>
                <w:sz w:val="20"/>
                <w:szCs w:val="20"/>
                <w:color w:val="auto"/>
              </w:rPr>
            </w:pPr>
            <w:r>
              <w:rPr>
                <w:rFonts w:ascii="Arial" w:cs="Arial" w:eastAsia="Arial" w:hAnsi="Arial"/>
                <w:sz w:val="12"/>
                <w:szCs w:val="12"/>
                <w:color w:val="auto"/>
              </w:rPr>
              <w:t>The Retirement Plan for Graham Holdings Company</w:t>
            </w:r>
          </w:p>
        </w:tc>
        <w:tc>
          <w:tcPr>
            <w:tcW w:w="100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w w:val="89"/>
              </w:rPr>
              <w:t>3</w:t>
            </w:r>
          </w:p>
        </w:tc>
        <w:tc>
          <w:tcPr>
            <w:tcW w:w="1140" w:type="dxa"/>
            <w:vAlign w:val="bottom"/>
            <w:tcBorders>
              <w:right w:val="single" w:sz="8" w:color="auto"/>
            </w:tcBorders>
            <w:shd w:val="clear" w:color="auto" w:fill="CCEEFF"/>
          </w:tcPr>
          <w:p>
            <w:pPr>
              <w:jc w:val="center"/>
              <w:ind w:left="174"/>
              <w:spacing w:after="0" w:line="115" w:lineRule="exact"/>
              <w:rPr>
                <w:sz w:val="20"/>
                <w:szCs w:val="20"/>
                <w:color w:val="auto"/>
              </w:rPr>
            </w:pPr>
            <w:r>
              <w:rPr>
                <w:rFonts w:ascii="Arial" w:cs="Arial" w:eastAsia="Arial" w:hAnsi="Arial"/>
                <w:sz w:val="12"/>
                <w:szCs w:val="12"/>
                <w:color w:val="auto"/>
              </w:rPr>
              <w:t>37,361</w:t>
            </w:r>
          </w:p>
        </w:tc>
        <w:tc>
          <w:tcPr>
            <w:tcW w:w="1040" w:type="dxa"/>
            <w:vAlign w:val="bottom"/>
            <w:tcBorders>
              <w:right w:val="single" w:sz="8" w:color="auto"/>
            </w:tcBorders>
            <w:shd w:val="clear" w:color="auto" w:fill="CCEEFF"/>
          </w:tcPr>
          <w:p>
            <w:pPr>
              <w:jc w:val="center"/>
              <w:ind w:left="194"/>
              <w:spacing w:after="0" w:line="115" w:lineRule="exact"/>
              <w:rPr>
                <w:sz w:val="20"/>
                <w:szCs w:val="20"/>
                <w:color w:val="auto"/>
              </w:rPr>
            </w:pPr>
            <w:r>
              <w:rPr>
                <w:rFonts w:ascii="Arial" w:cs="Arial" w:eastAsia="Arial" w:hAnsi="Arial"/>
                <w:sz w:val="12"/>
                <w:szCs w:val="12"/>
                <w:color w:val="auto"/>
              </w:rPr>
              <w:t>—</w:t>
            </w:r>
          </w:p>
        </w:tc>
      </w:tr>
      <w:tr>
        <w:trPr>
          <w:trHeight w:val="159"/>
        </w:trPr>
        <w:tc>
          <w:tcPr>
            <w:tcW w:w="18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420" w:type="dxa"/>
            <w:vAlign w:val="bottom"/>
            <w:tcBorders>
              <w:bottom w:val="single" w:sz="8" w:color="auto"/>
              <w:right w:val="single" w:sz="8" w:color="auto"/>
            </w:tcBorders>
            <w:shd w:val="clear" w:color="auto" w:fill="CCEEFF"/>
          </w:tcPr>
          <w:p>
            <w:pPr>
              <w:ind w:left="540"/>
              <w:spacing w:after="0" w:line="159" w:lineRule="exact"/>
              <w:rPr>
                <w:sz w:val="20"/>
                <w:szCs w:val="20"/>
                <w:color w:val="auto"/>
              </w:rPr>
            </w:pPr>
            <w:r>
              <w:rPr>
                <w:rFonts w:ascii="Arial" w:cs="Arial" w:eastAsia="Arial" w:hAnsi="Arial"/>
                <w:sz w:val="14"/>
                <w:szCs w:val="14"/>
                <w:color w:val="auto"/>
              </w:rPr>
              <w:t>Total Pension Plan Benefits</w:t>
            </w:r>
          </w:p>
        </w:tc>
        <w:tc>
          <w:tcPr>
            <w:tcW w:w="100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76"/>
              </w:rPr>
              <w:t>3</w:t>
            </w:r>
          </w:p>
        </w:tc>
        <w:tc>
          <w:tcPr>
            <w:tcW w:w="1140" w:type="dxa"/>
            <w:vAlign w:val="bottom"/>
            <w:tcBorders>
              <w:bottom w:val="single" w:sz="8" w:color="auto"/>
              <w:right w:val="single" w:sz="8" w:color="auto"/>
            </w:tcBorders>
            <w:shd w:val="clear" w:color="auto" w:fill="CCEEFF"/>
          </w:tcPr>
          <w:p>
            <w:pPr>
              <w:jc w:val="center"/>
              <w:ind w:left="174"/>
              <w:spacing w:after="0" w:line="159" w:lineRule="exact"/>
              <w:rPr>
                <w:sz w:val="20"/>
                <w:szCs w:val="20"/>
                <w:color w:val="auto"/>
              </w:rPr>
            </w:pPr>
            <w:r>
              <w:rPr>
                <w:rFonts w:ascii="Arial" w:cs="Arial" w:eastAsia="Arial" w:hAnsi="Arial"/>
                <w:sz w:val="14"/>
                <w:szCs w:val="14"/>
                <w:color w:val="auto"/>
                <w:w w:val="88"/>
              </w:rPr>
              <w:t>37,361</w:t>
            </w:r>
          </w:p>
        </w:tc>
        <w:tc>
          <w:tcPr>
            <w:tcW w:w="1040" w:type="dxa"/>
            <w:vAlign w:val="bottom"/>
            <w:tcBorders>
              <w:bottom w:val="single" w:sz="8" w:color="auto"/>
              <w:right w:val="single" w:sz="8" w:color="auto"/>
            </w:tcBorders>
            <w:shd w:val="clear" w:color="auto" w:fill="CCEEFF"/>
          </w:tcPr>
          <w:p>
            <w:pPr>
              <w:jc w:val="center"/>
              <w:ind w:left="194"/>
              <w:spacing w:after="0" w:line="159" w:lineRule="exact"/>
              <w:rPr>
                <w:sz w:val="20"/>
                <w:szCs w:val="20"/>
                <w:color w:val="auto"/>
              </w:rPr>
            </w:pPr>
            <w:r>
              <w:rPr>
                <w:rFonts w:ascii="Arial" w:cs="Arial" w:eastAsia="Arial" w:hAnsi="Arial"/>
                <w:sz w:val="14"/>
                <w:szCs w:val="14"/>
                <w:color w:val="auto"/>
                <w:w w:val="99"/>
              </w:rPr>
              <w:t>—</w:t>
            </w:r>
          </w:p>
        </w:tc>
      </w:tr>
    </w:tbl>
    <w:p>
      <w:pPr>
        <w:spacing w:after="0" w:line="45" w:lineRule="exact"/>
        <w:rPr>
          <w:sz w:val="20"/>
          <w:szCs w:val="20"/>
          <w:color w:val="auto"/>
        </w:rPr>
      </w:pPr>
    </w:p>
    <w:p>
      <w:pPr>
        <w:ind w:left="220" w:right="20" w:hanging="214"/>
        <w:spacing w:after="0" w:line="233"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2018. Mr. Rosen has prior service with Kaplan, Newsweek and Graham Holdings Company. All are included in this column.</w:t>
      </w:r>
    </w:p>
    <w:p>
      <w:pPr>
        <w:spacing w:after="0" w:line="32" w:lineRule="exact"/>
        <w:rPr>
          <w:rFonts w:ascii="Arial" w:cs="Arial" w:eastAsia="Arial" w:hAnsi="Arial"/>
          <w:sz w:val="14"/>
          <w:szCs w:val="14"/>
          <w:color w:val="auto"/>
        </w:rPr>
      </w:pPr>
    </w:p>
    <w:p>
      <w:pPr>
        <w:ind w:left="220" w:hanging="214"/>
        <w:spacing w:after="0"/>
        <w:tabs>
          <w:tab w:leader="none" w:pos="2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Amounts in this column represent the actuarial present value of the named executive officer’s accumulated benefits under the plan as of December 31, 2018. The benefits valued for</w:t>
      </w:r>
    </w:p>
    <w:p>
      <w:pPr>
        <w:spacing w:after="0" w:line="14" w:lineRule="exact"/>
        <w:rPr>
          <w:rFonts w:ascii="Arial" w:cs="Arial" w:eastAsia="Arial" w:hAnsi="Arial"/>
          <w:sz w:val="12"/>
          <w:szCs w:val="12"/>
          <w:color w:val="auto"/>
        </w:rPr>
      </w:pPr>
    </w:p>
    <w:p>
      <w:pPr>
        <w:ind w:left="220" w:right="140"/>
        <w:spacing w:after="0" w:line="284" w:lineRule="auto"/>
        <w:rPr>
          <w:rFonts w:ascii="Arial" w:cs="Arial" w:eastAsia="Arial" w:hAnsi="Arial"/>
          <w:sz w:val="12"/>
          <w:szCs w:val="12"/>
          <w:color w:val="auto"/>
        </w:rPr>
      </w:pPr>
      <w:r>
        <w:rPr>
          <w:rFonts w:ascii="Arial" w:cs="Arial" w:eastAsia="Arial" w:hAnsi="Arial"/>
          <w:sz w:val="12"/>
          <w:szCs w:val="12"/>
          <w:color w:val="auto"/>
        </w:rPr>
        <w:t>Mr. O’Shaughnessy and Mr. Maas include benefits under the SRA Schedule and CBRP Schedule. The benefits valued for Mr. Rosen include the Graham Schedule, Newsweek Schedule, Kaplan Schedule, SRA Schedule and SERP amount. The benefits valued for Mr. Cooney and Ms. Maddrey include the Graham Schedule and SRA Schedule.</w:t>
      </w:r>
    </w:p>
    <w:p>
      <w:pPr>
        <w:spacing w:after="0" w:line="6" w:lineRule="exact"/>
        <w:rPr>
          <w:rFonts w:ascii="Arial" w:cs="Arial" w:eastAsia="Arial" w:hAnsi="Arial"/>
          <w:sz w:val="12"/>
          <w:szCs w:val="12"/>
          <w:color w:val="auto"/>
        </w:rPr>
      </w:pPr>
    </w:p>
    <w:p>
      <w:pPr>
        <w:ind w:left="220" w:right="80"/>
        <w:spacing w:after="0" w:line="254" w:lineRule="auto"/>
        <w:rPr>
          <w:rFonts w:ascii="Arial" w:cs="Arial" w:eastAsia="Arial" w:hAnsi="Arial"/>
          <w:sz w:val="12"/>
          <w:szCs w:val="12"/>
          <w:color w:val="auto"/>
        </w:rPr>
      </w:pPr>
      <w:r>
        <w:rPr>
          <w:rFonts w:ascii="Arial" w:cs="Arial" w:eastAsia="Arial" w:hAnsi="Arial"/>
          <w:sz w:val="12"/>
          <w:szCs w:val="12"/>
          <w:color w:val="auto"/>
        </w:rPr>
        <w:t>The assumptions used in determining the present value of accumulated benefits are the RP-2018 Fully Generational Mortality Table for males and females and a 4.30% discount rate. The benefits valued reflect service and earnings through December 31, 2018,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as of December 31, 2018, 50% of the benefits under the qualified Graham Schedule is valued as a lump sum and 50% as an annuity payable for life. It is also assumed that benefits under the Cash Balance and Secure Retirement Account Schedules will be taken as a lump sum with a 90% probability and an annuity with a 10% probability. The annuity was converted to a lump-sum value using the 2019 PPA combined unisex mortality for single-sum payments and interest rates of 3.10% for payments in the first five years, 4.15% for payments in years five through 20 and 4.46% for years thereafter.</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40"/>
          </w:cols>
          <w:pgMar w:left="740" w:top="267" w:right="7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NON-QUALIFIED DEFERRED COMPENSATION</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The following table includes information related to the SERP and the Deferred Compensation Plan. Among the benefits provided under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SERP, closed to new participants, is a supplemental defined contribution plan benefit wherein the Company provides a matching contribution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percentage up to 4% of the participating executive’s base salary in excess of the annual covered compensation limit applied to qualified plan benefits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($275,000 in 2018). The executive is required to make contributions to the SERP in order to receive the applicable matching Company credit each year.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Deferred Compensation Plan, closed to new and existing participants, provided an opportunity for participants to voluntarily defer the receipt of 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 a portion of annual bonus and/or certain long-term cash awards made under the 2012 ICP. Elections to defer had to be filed in advance of earning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such awards. Deferred amounts under both plans will earn investment credits in accordance with the participant’s elections from a choice of investment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indexes. Amounts deferred under the SERP are payable on the first day of the seventh month following termination of service. Amounts deferred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Deferred Compensation Plan are payable on the first business day of the seventh month following the date of separation from service or such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future date as specified by the participant at the time of election. Effective for deferrals made on or after January 1, 2014, amounts deferred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Compensation Plan are payable no later than the first business day of the seventh month following the date of separation of service.</w:t>
      </w:r>
    </w:p>
    <w:p>
      <w:pPr>
        <w:spacing w:after="0" w:line="231"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3260" w:type="dxa"/>
            <w:vAlign w:val="bottom"/>
            <w:tcBorders>
              <w:top w:val="single" w:sz="8" w:color="auto"/>
              <w:left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8"/>
              </w:rPr>
              <w:t>Executive Contributions</w:t>
            </w:r>
          </w:p>
        </w:tc>
        <w:tc>
          <w:tcPr>
            <w:tcW w:w="158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8"/>
              </w:rPr>
              <w:t>Registrant Contributions</w:t>
            </w:r>
          </w:p>
        </w:tc>
        <w:tc>
          <w:tcPr>
            <w:tcW w:w="128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Aggregate Earnings</w:t>
            </w:r>
          </w:p>
        </w:tc>
        <w:tc>
          <w:tcPr>
            <w:tcW w:w="15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Aggregate Withdrawals/</w:t>
            </w:r>
          </w:p>
        </w:tc>
        <w:tc>
          <w:tcPr>
            <w:tcW w:w="124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6"/>
              </w:rPr>
              <w:t>Aggregate Balance</w:t>
            </w:r>
          </w:p>
        </w:tc>
      </w:tr>
      <w:tr>
        <w:trPr>
          <w:trHeight w:val="140"/>
        </w:trPr>
        <w:tc>
          <w:tcPr>
            <w:tcW w:w="326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in Last FY ($)</w:t>
            </w:r>
          </w:p>
        </w:tc>
        <w:tc>
          <w:tcPr>
            <w:tcW w:w="1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3"/>
              </w:rPr>
              <w:t>in Last FY ($)</w:t>
            </w:r>
          </w:p>
        </w:tc>
        <w:tc>
          <w:tcPr>
            <w:tcW w:w="12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in Last FY ($)</w:t>
            </w:r>
          </w:p>
        </w:tc>
        <w:tc>
          <w:tcPr>
            <w:tcW w:w="15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Distributions ($)</w:t>
            </w:r>
          </w:p>
        </w:tc>
        <w:tc>
          <w:tcPr>
            <w:tcW w:w="12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at Last FYE ($)</w:t>
            </w:r>
          </w:p>
        </w:tc>
      </w:tr>
      <w:tr>
        <w:trPr>
          <w:trHeight w:val="174"/>
        </w:trPr>
        <w:tc>
          <w:tcPr>
            <w:tcW w:w="3260" w:type="dxa"/>
            <w:vAlign w:val="bottom"/>
            <w:tcBorders>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Name (a)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r>
              <w:rPr>
                <w:rFonts w:ascii="Arial" w:cs="Arial" w:eastAsia="Arial" w:hAnsi="Arial"/>
                <w:sz w:val="11"/>
                <w:szCs w:val="11"/>
                <w:b w:val="1"/>
                <w:bCs w:val="1"/>
                <w:color w:val="auto"/>
                <w:w w:val="91"/>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w:t>
            </w:r>
            <w:r>
              <w:rPr>
                <w:rFonts w:ascii="Arial" w:cs="Arial" w:eastAsia="Arial" w:hAnsi="Arial"/>
                <w:sz w:val="11"/>
                <w:szCs w:val="11"/>
                <w:b w:val="1"/>
                <w:bCs w:val="1"/>
                <w:color w:val="auto"/>
                <w:w w:val="94"/>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w:t>
            </w:r>
            <w:r>
              <w:rPr>
                <w:rFonts w:ascii="Arial" w:cs="Arial" w:eastAsia="Arial" w:hAnsi="Arial"/>
                <w:sz w:val="11"/>
                <w:szCs w:val="11"/>
                <w:b w:val="1"/>
                <w:bCs w:val="1"/>
                <w:color w:val="auto"/>
                <w:w w:val="99"/>
              </w:rPr>
              <w:t>3</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w:t>
            </w:r>
            <w:r>
              <w:rPr>
                <w:rFonts w:ascii="Arial" w:cs="Arial" w:eastAsia="Arial" w:hAnsi="Arial"/>
                <w:sz w:val="11"/>
                <w:szCs w:val="11"/>
                <w:b w:val="1"/>
                <w:bCs w:val="1"/>
                <w:color w:val="auto"/>
                <w:w w:val="89"/>
              </w:rPr>
              <w:t>4</w:t>
            </w:r>
          </w:p>
        </w:tc>
      </w:tr>
      <w:tr>
        <w:trPr>
          <w:trHeight w:val="133"/>
        </w:trPr>
        <w:tc>
          <w:tcPr>
            <w:tcW w:w="32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Timothy J. O’Shaughnessy</w:t>
            </w:r>
          </w:p>
        </w:tc>
        <w:tc>
          <w:tcPr>
            <w:tcW w:w="15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5"/>
              </w:rPr>
              <w:t>—</w:t>
            </w:r>
          </w:p>
        </w:tc>
        <w:tc>
          <w:tcPr>
            <w:tcW w:w="15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r>
      <w:tr>
        <w:trPr>
          <w:trHeight w:val="133"/>
        </w:trPr>
        <w:tc>
          <w:tcPr>
            <w:tcW w:w="326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Wallace R. Cooney</w:t>
            </w:r>
          </w:p>
        </w:tc>
        <w:tc>
          <w:tcPr>
            <w:tcW w:w="15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85"/>
              </w:rPr>
              <w:t>—</w:t>
            </w:r>
          </w:p>
        </w:tc>
        <w:tc>
          <w:tcPr>
            <w:tcW w:w="15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r>
      <w:tr>
        <w:trPr>
          <w:trHeight w:val="133"/>
        </w:trPr>
        <w:tc>
          <w:tcPr>
            <w:tcW w:w="32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Andrew S. Rosen</w:t>
            </w:r>
          </w:p>
        </w:tc>
        <w:tc>
          <w:tcPr>
            <w:tcW w:w="15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8"/>
              </w:rPr>
              <w:t>40,500</w:t>
            </w:r>
          </w:p>
        </w:tc>
        <w:tc>
          <w:tcPr>
            <w:tcW w:w="15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8"/>
              </w:rPr>
              <w:t>40,500</w:t>
            </w:r>
          </w:p>
        </w:tc>
        <w:tc>
          <w:tcPr>
            <w:tcW w:w="12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6"/>
              </w:rPr>
              <w:t>(248,613)</w:t>
            </w:r>
          </w:p>
        </w:tc>
        <w:tc>
          <w:tcPr>
            <w:tcW w:w="15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6"/>
              </w:rPr>
              <w:t>4,723,758</w:t>
            </w:r>
          </w:p>
        </w:tc>
      </w:tr>
      <w:tr>
        <w:trPr>
          <w:trHeight w:val="133"/>
        </w:trPr>
        <w:tc>
          <w:tcPr>
            <w:tcW w:w="3260" w:type="dxa"/>
            <w:vAlign w:val="bottom"/>
            <w:tcBorders>
              <w:left w:val="single" w:sz="8" w:color="auto"/>
              <w:bottom w:val="single" w:sz="8" w:color="auto"/>
              <w:right w:val="single" w:sz="8" w:color="auto"/>
            </w:tcBorders>
          </w:tcPr>
          <w:p>
            <w:pPr>
              <w:ind w:left="140"/>
              <w:spacing w:after="0" w:line="133" w:lineRule="exact"/>
              <w:rPr>
                <w:sz w:val="20"/>
                <w:szCs w:val="20"/>
                <w:color w:val="auto"/>
              </w:rPr>
            </w:pPr>
            <w:r>
              <w:rPr>
                <w:rFonts w:ascii="Arial" w:cs="Arial" w:eastAsia="Arial" w:hAnsi="Arial"/>
                <w:sz w:val="14"/>
                <w:szCs w:val="14"/>
                <w:color w:val="auto"/>
              </w:rPr>
              <w:t>Nicole M. Maddrey</w:t>
            </w:r>
          </w:p>
        </w:tc>
        <w:tc>
          <w:tcPr>
            <w:tcW w:w="15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85"/>
              </w:rPr>
              <w:t>—</w:t>
            </w:r>
          </w:p>
        </w:tc>
        <w:tc>
          <w:tcPr>
            <w:tcW w:w="15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w:t>
            </w:r>
          </w:p>
        </w:tc>
      </w:tr>
      <w:tr>
        <w:trPr>
          <w:trHeight w:val="133"/>
        </w:trPr>
        <w:tc>
          <w:tcPr>
            <w:tcW w:w="3260" w:type="dxa"/>
            <w:vAlign w:val="bottom"/>
            <w:tcBorders>
              <w:left w:val="single" w:sz="8" w:color="auto"/>
              <w:bottom w:val="single" w:sz="8" w:color="auto"/>
              <w:right w:val="single" w:sz="8" w:color="auto"/>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Jacob M. Maas</w:t>
            </w:r>
          </w:p>
        </w:tc>
        <w:tc>
          <w:tcPr>
            <w:tcW w:w="15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85"/>
              </w:rPr>
              <w:t>—</w:t>
            </w:r>
          </w:p>
        </w:tc>
        <w:tc>
          <w:tcPr>
            <w:tcW w:w="15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w:t>
            </w:r>
          </w:p>
        </w:tc>
      </w:tr>
    </w:tbl>
    <w:p>
      <w:pPr>
        <w:spacing w:after="0" w:line="97" w:lineRule="exact"/>
        <w:rPr>
          <w:sz w:val="20"/>
          <w:szCs w:val="20"/>
          <w:color w:val="auto"/>
        </w:rPr>
      </w:pPr>
    </w:p>
    <w:p>
      <w:pPr>
        <w:ind w:left="220" w:hanging="214"/>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 in this column represents a contribution by Mr. Rosen of $40,500 to the SERP. It is included in the Salary column of the Summary Compensation Table.</w:t>
      </w:r>
    </w:p>
    <w:p>
      <w:pPr>
        <w:spacing w:after="0" w:line="94" w:lineRule="exact"/>
        <w:rPr>
          <w:rFonts w:ascii="Arial" w:cs="Arial" w:eastAsia="Arial" w:hAnsi="Arial"/>
          <w:sz w:val="14"/>
          <w:szCs w:val="14"/>
          <w:color w:val="auto"/>
        </w:rPr>
      </w:pPr>
    </w:p>
    <w:p>
      <w:pPr>
        <w:ind w:left="220" w:right="40" w:hanging="214"/>
        <w:spacing w:after="0" w:line="233" w:lineRule="auto"/>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 in this column represents a Company contribution of $40,500 to the SERP for Mr. Rosen. It is included in the All Other Compensation column of the Summary Compensation Table.</w:t>
      </w:r>
    </w:p>
    <w:p>
      <w:pPr>
        <w:spacing w:after="0" w:line="83" w:lineRule="exact"/>
        <w:rPr>
          <w:rFonts w:ascii="Arial" w:cs="Arial" w:eastAsia="Arial" w:hAnsi="Arial"/>
          <w:sz w:val="14"/>
          <w:szCs w:val="14"/>
          <w:color w:val="auto"/>
        </w:rPr>
      </w:pPr>
    </w:p>
    <w:p>
      <w:pPr>
        <w:ind w:left="220" w:right="240" w:hanging="214"/>
        <w:spacing w:after="0" w:line="225" w:lineRule="auto"/>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in this column represent investment losses to the SERP and to the Deferred Compensation Plan, based on Mr. Rosen’s investment elections as follows: $(89,987) to the SERP and $(158,626) to the Deferred Compensation Plan. These losses are not included in the Summary Compensation Table; the losses reflect market performance of investment indexes selected by Mr. Rosen.</w:t>
      </w:r>
    </w:p>
    <w:p>
      <w:pPr>
        <w:spacing w:after="0" w:line="83" w:lineRule="exact"/>
        <w:rPr>
          <w:rFonts w:ascii="Arial" w:cs="Arial" w:eastAsia="Arial" w:hAnsi="Arial"/>
          <w:sz w:val="14"/>
          <w:szCs w:val="14"/>
          <w:color w:val="auto"/>
        </w:rPr>
      </w:pPr>
    </w:p>
    <w:p>
      <w:pPr>
        <w:ind w:left="220" w:right="120" w:hanging="214"/>
        <w:spacing w:after="0" w:line="305" w:lineRule="auto"/>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amount in this column represent Mr. Rosen’s balances at December 31, 2018, for the SERP and the Deferred Compensation Plan as follows: $1,733,828 in the SERP and $2,989,930 in the Deferred Compensation Plan. An amount of $326,400 was reported as compensation in the Summary Compensation Table for years beginning 2014 (excluding 2018).</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13" w:lineRule="exact"/>
        <w:rPr>
          <w:sz w:val="20"/>
          <w:szCs w:val="20"/>
          <w:color w:val="auto"/>
        </w:rPr>
      </w:pPr>
    </w:p>
    <w:p>
      <w:pPr>
        <w:ind w:right="60" w:firstLine="937"/>
        <w:spacing w:after="0" w:line="254" w:lineRule="auto"/>
        <w:rPr>
          <w:sz w:val="20"/>
          <w:szCs w:val="20"/>
          <w:color w:val="auto"/>
        </w:rPr>
      </w:pPr>
      <w:r>
        <w:rPr>
          <w:rFonts w:ascii="Arial" w:cs="Arial" w:eastAsia="Arial" w:hAnsi="Arial"/>
          <w:sz w:val="17"/>
          <w:szCs w:val="17"/>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2018. For purposes of the valuations below, the price of Class B Common Stock (to which all applicable equity awards relate) is assumed to be $640.58, which was the closing share price on December 31, 2018.</w:t>
      </w:r>
    </w:p>
    <w:p>
      <w:pPr>
        <w:spacing w:after="0" w:line="186" w:lineRule="exact"/>
        <w:rPr>
          <w:sz w:val="20"/>
          <w:szCs w:val="20"/>
          <w:color w:val="auto"/>
        </w:rPr>
      </w:pPr>
    </w:p>
    <w:p>
      <w:pPr>
        <w:ind w:right="60" w:firstLine="937"/>
        <w:spacing w:after="0" w:line="314" w:lineRule="auto"/>
        <w:rPr>
          <w:sz w:val="20"/>
          <w:szCs w:val="20"/>
          <w:color w:val="auto"/>
        </w:rPr>
      </w:pPr>
      <w:r>
        <w:rPr>
          <w:rFonts w:ascii="Arial" w:cs="Arial" w:eastAsia="Arial" w:hAnsi="Arial"/>
          <w:sz w:val="15"/>
          <w:szCs w:val="15"/>
          <w:color w:val="auto"/>
        </w:rPr>
        <w:t>Upon a termination of employment, each of Messrs. O’Shaughnessy, Cooney, Rosen,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40" w:lineRule="exact"/>
        <w:rPr>
          <w:sz w:val="20"/>
          <w:szCs w:val="20"/>
          <w:color w:val="auto"/>
        </w:rPr>
      </w:pPr>
    </w:p>
    <w:p>
      <w:pPr>
        <w:ind w:right="100" w:firstLine="937"/>
        <w:spacing w:after="0" w:line="258" w:lineRule="auto"/>
        <w:rPr>
          <w:sz w:val="20"/>
          <w:szCs w:val="20"/>
          <w:color w:val="auto"/>
        </w:rPr>
      </w:pPr>
      <w:r>
        <w:rPr>
          <w:rFonts w:ascii="Arial" w:cs="Arial" w:eastAsia="Arial" w:hAnsi="Arial"/>
          <w:sz w:val="17"/>
          <w:szCs w:val="17"/>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2018, Mr. O’Shaughnessy would be entitled to accelerated vesting of 12,877 stock options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440"/>
          </w:cols>
          <w:pgMar w:left="740" w:top="263" w:right="719" w:bottom="1440" w:gutter="0" w:footer="0" w:header="0"/>
        </w:sectPr>
      </w:pPr>
    </w:p>
    <w:bookmarkStart w:id="34" w:name="page35"/>
    <w:bookmarkEnd w:id="34"/>
    <w:p>
      <w:pPr>
        <w:ind w:right="420"/>
        <w:spacing w:after="0" w:line="34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(representing a value of $0, based on their exercise price of $719.15 per share) and 3,790 stock options (representing a value of $0, based on their exercise price of $872.01 per share), subject to his signing of a release of claims in favor of the Company that has become irrevocable.</w:t>
      </w:r>
    </w:p>
    <w:p>
      <w:pPr>
        <w:spacing w:after="0" w:line="118" w:lineRule="exact"/>
        <w:rPr>
          <w:sz w:val="20"/>
          <w:szCs w:val="20"/>
          <w:color w:val="auto"/>
        </w:rPr>
      </w:pPr>
    </w:p>
    <w:p>
      <w:pPr>
        <w:ind w:right="120" w:firstLine="937"/>
        <w:spacing w:after="0" w:line="304" w:lineRule="auto"/>
        <w:rPr>
          <w:sz w:val="20"/>
          <w:szCs w:val="20"/>
          <w:color w:val="auto"/>
        </w:rPr>
      </w:pPr>
      <w:r>
        <w:rPr>
          <w:rFonts w:ascii="Arial" w:cs="Arial" w:eastAsia="Arial" w:hAnsi="Arial"/>
          <w:sz w:val="15"/>
          <w:szCs w:val="15"/>
          <w:color w:val="auto"/>
        </w:rPr>
        <w:t>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2018, Mr. Cooney would be entitled to accelerated vesting of 333 stock options (representing a value of $0, based on their exercise price of $845.72 per share), subject to his signing of a release of claims in favor of the Company that has become irrevocable.</w:t>
      </w:r>
    </w:p>
    <w:p>
      <w:pPr>
        <w:spacing w:after="0" w:line="147" w:lineRule="exact"/>
        <w:rPr>
          <w:sz w:val="20"/>
          <w:szCs w:val="20"/>
          <w:color w:val="auto"/>
        </w:rPr>
      </w:pPr>
    </w:p>
    <w:p>
      <w:pPr>
        <w:ind w:right="140" w:firstLine="937"/>
        <w:spacing w:after="0" w:line="296" w:lineRule="auto"/>
        <w:rPr>
          <w:sz w:val="20"/>
          <w:szCs w:val="20"/>
          <w:color w:val="auto"/>
        </w:rPr>
      </w:pPr>
      <w:r>
        <w:rPr>
          <w:rFonts w:ascii="Arial" w:cs="Arial" w:eastAsia="Arial" w:hAnsi="Arial"/>
          <w:sz w:val="15"/>
          <w:szCs w:val="15"/>
          <w:color w:val="auto"/>
        </w:rPr>
        <w:t>In the case of a termination by the Company other than for cause, Mr. Rosen would be entitled to (1) accelerated vesting of a pro rata portion of his outstanding and unvested stock options and restricted stock, which, assuming a termination of employment as of December 31, 2018, would result in accelerated vesting of 1,500 shares of Company restricted stock (representing a value of $960,870) and 1,000 shares of Cable ONE restricted stock (representing a value of $820,100)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53" w:lineRule="exact"/>
        <w:rPr>
          <w:sz w:val="20"/>
          <w:szCs w:val="20"/>
          <w:color w:val="auto"/>
        </w:rPr>
      </w:pPr>
    </w:p>
    <w:p>
      <w:pPr>
        <w:ind w:right="20" w:firstLine="937"/>
        <w:spacing w:after="0" w:line="280" w:lineRule="auto"/>
        <w:rPr>
          <w:sz w:val="20"/>
          <w:szCs w:val="20"/>
          <w:color w:val="auto"/>
        </w:rPr>
      </w:pPr>
      <w:r>
        <w:rPr>
          <w:rFonts w:ascii="Arial" w:cs="Arial" w:eastAsia="Arial" w:hAnsi="Arial"/>
          <w:sz w:val="16"/>
          <w:szCs w:val="16"/>
          <w:color w:val="auto"/>
        </w:rPr>
        <w:t>Under the terms of his letter agreement, in the case of a termination by the Company other than for cause, Mr. Maas would be entitled to accelerated vesting of the next tranche of options that is scheduled to vest following such termination. Assuming a termination of employment as of December 31, 2018, Mr. Maas would be entitled to accelerated vesting of 333 stock options (representing a value of $0, based on their exercise price of $804.80 per share), subject to his signing of a release of claims in favor of the Company that has become irrevocable.</w:t>
      </w:r>
    </w:p>
    <w:p>
      <w:pPr>
        <w:spacing w:after="0" w:line="163" w:lineRule="exact"/>
        <w:rPr>
          <w:sz w:val="20"/>
          <w:szCs w:val="20"/>
          <w:color w:val="auto"/>
        </w:rPr>
      </w:pPr>
    </w:p>
    <w:p>
      <w:pPr>
        <w:ind w:right="100" w:firstLine="937"/>
        <w:spacing w:after="0" w:line="275" w:lineRule="auto"/>
        <w:rPr>
          <w:sz w:val="20"/>
          <w:szCs w:val="20"/>
          <w:color w:val="auto"/>
        </w:rPr>
      </w:pPr>
      <w:r>
        <w:rPr>
          <w:rFonts w:ascii="Arial" w:cs="Arial" w:eastAsia="Arial" w:hAnsi="Arial"/>
          <w:sz w:val="17"/>
          <w:szCs w:val="17"/>
          <w:color w:val="auto"/>
        </w:rPr>
        <w:t>Each of Messrs. O’Shaughnessy, Maas and Rosen are subject to restrictive covenants that apply following termination for any reason, as described above in “Executive Compensation: Employment Agreements and Severance Packages.”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Ratio of CEO Pay to Median Employee Pay</w:t>
      </w:r>
    </w:p>
    <w:p>
      <w:pPr>
        <w:spacing w:after="0" w:line="217" w:lineRule="exact"/>
        <w:rPr>
          <w:sz w:val="20"/>
          <w:szCs w:val="20"/>
          <w:color w:val="auto"/>
        </w:rPr>
      </w:pPr>
    </w:p>
    <w:p>
      <w:pPr>
        <w:ind w:right="20" w:firstLine="937"/>
        <w:spacing w:after="0" w:line="255" w:lineRule="auto"/>
        <w:rPr>
          <w:sz w:val="20"/>
          <w:szCs w:val="20"/>
          <w:color w:val="auto"/>
        </w:rPr>
      </w:pPr>
      <w:r>
        <w:rPr>
          <w:rFonts w:ascii="Arial" w:cs="Arial" w:eastAsia="Arial" w:hAnsi="Arial"/>
          <w:sz w:val="17"/>
          <w:szCs w:val="17"/>
          <w:color w:val="auto"/>
        </w:rPr>
        <w:t>In the Company’s 2018 proxy statement, filed on March 22, 2018, the Company described the methodology it used to identify the median employee for 2017. In light of the fact that the size of the Company’s employee population and the levels and categories of employee compensation practices remain consistent with 2017, the Company determined that there have been no changes in its employee population or employee compensation arrangements that would result in a significant change to its pay ratio disclosure. Accordingly, in accordance with SEC regulation, for purposes of calculating the pay ratio in this proxy statement, the Company elected to use the same median employee that was used for purposes of determining its pay ratio in its 2018 proxy statement.</w:t>
      </w:r>
    </w:p>
    <w:p>
      <w:pPr>
        <w:spacing w:after="0" w:line="183" w:lineRule="exact"/>
        <w:rPr>
          <w:sz w:val="20"/>
          <w:szCs w:val="20"/>
          <w:color w:val="auto"/>
        </w:rPr>
      </w:pPr>
    </w:p>
    <w:p>
      <w:pPr>
        <w:ind w:firstLine="937"/>
        <w:spacing w:after="0" w:line="263" w:lineRule="auto"/>
        <w:rPr>
          <w:sz w:val="20"/>
          <w:szCs w:val="20"/>
          <w:color w:val="auto"/>
        </w:rPr>
      </w:pPr>
      <w:r>
        <w:rPr>
          <w:rFonts w:ascii="Arial" w:cs="Arial" w:eastAsia="Arial" w:hAnsi="Arial"/>
          <w:sz w:val="17"/>
          <w:szCs w:val="17"/>
          <w:color w:val="auto"/>
        </w:rPr>
        <w:t>For 2018, the Company estimates that the ratio of CEO pay to median employee pay was 77:1. The median employee’s annual compensation in 2018 was $38,692. As reflected in the Summary Compensation Table, the 2018 annual total compensation of the Company’s CEO was $2,983,209. This ratio represents a reasonable estimate calculated in a manner consistent with SEC regulations.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340"/>
          </w:cols>
          <w:pgMar w:left="740" w:top="267" w:right="8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AUDIT COMMITTEE REPORT</w:t>
      </w:r>
    </w:p>
    <w:p>
      <w:pPr>
        <w:spacing w:after="0" w:line="217" w:lineRule="exact"/>
        <w:rPr>
          <w:sz w:val="20"/>
          <w:szCs w:val="20"/>
          <w:color w:val="auto"/>
        </w:rPr>
      </w:pPr>
    </w:p>
    <w:p>
      <w:pPr>
        <w:ind w:right="20" w:firstLine="937"/>
        <w:spacing w:after="0" w:line="253" w:lineRule="auto"/>
        <w:rPr>
          <w:sz w:val="20"/>
          <w:szCs w:val="20"/>
          <w:color w:val="auto"/>
        </w:rPr>
      </w:pPr>
      <w:r>
        <w:rPr>
          <w:rFonts w:ascii="Arial" w:cs="Arial" w:eastAsia="Arial" w:hAnsi="Arial"/>
          <w:sz w:val="17"/>
          <w:szCs w:val="17"/>
          <w:color w:val="auto"/>
        </w:rPr>
        <w:t>One of the standing committees of the Board of Directors of the Company is the Audit Committee. Currently, there are four non-employee members of the Board on the Audit Committee: Christopher C. Davis; Thomas S. Gayner, who serves as Chairman of the Audit Committee; Jack A. Markell (who was appointed to the Audit Committee in January 2019)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8" w:lineRule="exact"/>
        <w:rPr>
          <w:sz w:val="20"/>
          <w:szCs w:val="20"/>
          <w:color w:val="auto"/>
        </w:rPr>
      </w:pPr>
    </w:p>
    <w:p>
      <w:pPr>
        <w:ind w:firstLine="937"/>
        <w:spacing w:after="0" w:line="272" w:lineRule="auto"/>
        <w:rPr>
          <w:sz w:val="20"/>
          <w:szCs w:val="20"/>
          <w:color w:val="auto"/>
        </w:rPr>
      </w:pPr>
      <w:r>
        <w:rPr>
          <w:rFonts w:ascii="Arial" w:cs="Arial" w:eastAsia="Arial" w:hAnsi="Arial"/>
          <w:sz w:val="16"/>
          <w:szCs w:val="16"/>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70" w:lineRule="exact"/>
        <w:rPr>
          <w:sz w:val="20"/>
          <w:szCs w:val="20"/>
          <w:color w:val="auto"/>
        </w:rPr>
      </w:pPr>
    </w:p>
    <w:p>
      <w:pPr>
        <w:ind w:firstLine="937"/>
        <w:spacing w:after="0" w:line="296" w:lineRule="auto"/>
        <w:rPr>
          <w:sz w:val="20"/>
          <w:szCs w:val="20"/>
          <w:color w:val="auto"/>
        </w:rPr>
      </w:pPr>
      <w:r>
        <w:rPr>
          <w:rFonts w:ascii="Arial" w:cs="Arial" w:eastAsia="Arial" w:hAnsi="Arial"/>
          <w:sz w:val="15"/>
          <w:szCs w:val="15"/>
          <w:color w:val="auto"/>
        </w:rPr>
        <w:t>The Audit Committee has reviewed and discussed the audited fiscal year 2018 financial statements with the Company’s management. In addition, the Audit Committee has discussed with PricewaterhouseCoopers LLP the matters required to be discussed by PCAOB Auditing Standard No. 1301.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5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Audit Committee also reviewed matters relating to the Company’s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Preapproval policy</w:t>
      </w:r>
    </w:p>
    <w:p>
      <w:pPr>
        <w:spacing w:after="0" w:line="213" w:lineRule="exact"/>
        <w:rPr>
          <w:sz w:val="20"/>
          <w:szCs w:val="20"/>
          <w:color w:val="auto"/>
        </w:rPr>
      </w:pPr>
    </w:p>
    <w:p>
      <w:pPr>
        <w:ind w:right="60" w:firstLine="937"/>
        <w:spacing w:after="0" w:line="272" w:lineRule="auto"/>
        <w:rPr>
          <w:sz w:val="20"/>
          <w:szCs w:val="20"/>
          <w:color w:val="auto"/>
        </w:rPr>
      </w:pPr>
      <w:r>
        <w:rPr>
          <w:rFonts w:ascii="Arial" w:cs="Arial" w:eastAsia="Arial" w:hAnsi="Arial"/>
          <w:sz w:val="16"/>
          <w:szCs w:val="16"/>
          <w:color w:val="auto"/>
        </w:rPr>
        <w:t>In 2018,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70" w:lineRule="exact"/>
        <w:rPr>
          <w:sz w:val="20"/>
          <w:szCs w:val="20"/>
          <w:color w:val="auto"/>
        </w:rPr>
      </w:pPr>
    </w:p>
    <w:p>
      <w:pPr>
        <w:ind w:right="40" w:firstLine="937"/>
        <w:spacing w:after="0" w:line="255" w:lineRule="auto"/>
        <w:rPr>
          <w:sz w:val="20"/>
          <w:szCs w:val="20"/>
          <w:color w:val="auto"/>
        </w:rPr>
      </w:pPr>
      <w:r>
        <w:rPr>
          <w:rFonts w:ascii="Arial" w:cs="Arial" w:eastAsia="Arial" w:hAnsi="Arial"/>
          <w:sz w:val="17"/>
          <w:szCs w:val="17"/>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3" w:lineRule="exact"/>
        <w:rPr>
          <w:sz w:val="20"/>
          <w:szCs w:val="20"/>
          <w:color w:val="auto"/>
        </w:rPr>
      </w:pPr>
    </w:p>
    <w:p>
      <w:pPr>
        <w:ind w:right="420" w:firstLine="937"/>
        <w:spacing w:after="0" w:line="263" w:lineRule="auto"/>
        <w:rPr>
          <w:sz w:val="20"/>
          <w:szCs w:val="20"/>
          <w:color w:val="auto"/>
        </w:rPr>
      </w:pPr>
      <w:r>
        <w:rPr>
          <w:rFonts w:ascii="Arial" w:cs="Arial" w:eastAsia="Arial" w:hAnsi="Arial"/>
          <w:sz w:val="17"/>
          <w:szCs w:val="17"/>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400"/>
          </w:cols>
          <w:pgMar w:left="740" w:top="263" w:right="759" w:bottom="1440" w:gutter="0" w:footer="0" w:header="0"/>
        </w:sectPr>
      </w:pPr>
    </w:p>
    <w:bookmarkStart w:id="36" w:name="page37"/>
    <w:bookmarkEnd w:id="36"/>
    <w:p>
      <w:pPr>
        <w:ind w:right="20" w:firstLine="937"/>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Code and related regulations.</w:t>
      </w:r>
    </w:p>
    <w:p>
      <w:pPr>
        <w:spacing w:after="0" w:line="181" w:lineRule="exact"/>
        <w:rPr>
          <w:sz w:val="20"/>
          <w:szCs w:val="20"/>
          <w:color w:val="auto"/>
        </w:rPr>
      </w:pPr>
    </w:p>
    <w:p>
      <w:pPr>
        <w:ind w:right="100" w:firstLine="937"/>
        <w:spacing w:after="0" w:line="258" w:lineRule="auto"/>
        <w:rPr>
          <w:sz w:val="20"/>
          <w:szCs w:val="20"/>
          <w:color w:val="auto"/>
        </w:rPr>
      </w:pPr>
      <w:r>
        <w:rPr>
          <w:rFonts w:ascii="Arial" w:cs="Arial" w:eastAsia="Arial" w:hAnsi="Arial"/>
          <w:sz w:val="17"/>
          <w:szCs w:val="17"/>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1" w:lineRule="exact"/>
        <w:rPr>
          <w:sz w:val="20"/>
          <w:szCs w:val="20"/>
          <w:color w:val="auto"/>
        </w:rPr>
      </w:pPr>
    </w:p>
    <w:p>
      <w:pPr>
        <w:ind w:right="20" w:firstLine="937"/>
        <w:spacing w:after="0" w:line="314" w:lineRule="auto"/>
        <w:rPr>
          <w:sz w:val="20"/>
          <w:szCs w:val="20"/>
          <w:color w:val="auto"/>
        </w:rPr>
      </w:pPr>
      <w:r>
        <w:rPr>
          <w:rFonts w:ascii="Arial" w:cs="Arial" w:eastAsia="Arial" w:hAnsi="Arial"/>
          <w:sz w:val="15"/>
          <w:szCs w:val="15"/>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40" w:lineRule="exact"/>
        <w:rPr>
          <w:sz w:val="20"/>
          <w:szCs w:val="20"/>
          <w:color w:val="auto"/>
        </w:rPr>
      </w:pPr>
    </w:p>
    <w:p>
      <w:pPr>
        <w:ind w:firstLine="937"/>
        <w:spacing w:after="0" w:line="258" w:lineRule="auto"/>
        <w:rPr>
          <w:sz w:val="20"/>
          <w:szCs w:val="20"/>
          <w:color w:val="auto"/>
        </w:rPr>
      </w:pPr>
      <w:r>
        <w:rPr>
          <w:rFonts w:ascii="Arial" w:cs="Arial" w:eastAsia="Arial" w:hAnsi="Arial"/>
          <w:sz w:val="17"/>
          <w:szCs w:val="17"/>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213" w:lineRule="exact"/>
        <w:rPr>
          <w:sz w:val="20"/>
          <w:szCs w:val="20"/>
          <w:color w:val="auto"/>
        </w:rPr>
      </w:pPr>
    </w:p>
    <w:p>
      <w:pPr>
        <w:ind w:right="180" w:firstLine="937"/>
        <w:spacing w:after="0" w:line="263" w:lineRule="auto"/>
        <w:rPr>
          <w:sz w:val="20"/>
          <w:szCs w:val="20"/>
          <w:color w:val="auto"/>
        </w:rPr>
      </w:pPr>
      <w:r>
        <w:rPr>
          <w:rFonts w:ascii="Arial" w:cs="Arial" w:eastAsia="Arial" w:hAnsi="Arial"/>
          <w:sz w:val="17"/>
          <w:szCs w:val="17"/>
          <w:color w:val="auto"/>
        </w:rPr>
        <w:t>PricewaterhouseCoopers LLP’s fees for the annual audit, statutory audits and reviews of financial statements included in the Company’s quarterly filings, including reimbursable expenses, were $5,439,000 in 2018 and $5,394,700 in 2017, which fees were reviewed and approved by the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Audit-Related Fees</w:t>
      </w:r>
    </w:p>
    <w:p>
      <w:pPr>
        <w:spacing w:after="0" w:line="213" w:lineRule="exact"/>
        <w:rPr>
          <w:sz w:val="20"/>
          <w:szCs w:val="20"/>
          <w:color w:val="auto"/>
        </w:rPr>
      </w:pPr>
    </w:p>
    <w:p>
      <w:pPr>
        <w:ind w:right="20" w:firstLine="937"/>
        <w:spacing w:after="0" w:line="258" w:lineRule="auto"/>
        <w:rPr>
          <w:sz w:val="20"/>
          <w:szCs w:val="20"/>
          <w:color w:val="auto"/>
        </w:rPr>
      </w:pPr>
      <w:r>
        <w:rPr>
          <w:rFonts w:ascii="Arial" w:cs="Arial" w:eastAsia="Arial" w:hAnsi="Arial"/>
          <w:sz w:val="17"/>
          <w:szCs w:val="17"/>
          <w:color w:val="auto"/>
        </w:rPr>
        <w:t>PricewaterhouseCoopers LLP’s fees for assurance and related services reasonably related to the performance of the audit or reviews of financial statements and not included under “Audit Fees” above, including reimbursable expenses, were $225,000 in 2018 and $550,000 in 2017, which fees were reviewed and approved by the Audit Committee. These fees were primarily audit-related work associated with the Company’s implementation of the new revenue recognition and leasing standards and the Company’s debt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Fees</w:t>
      </w:r>
    </w:p>
    <w:p>
      <w:pPr>
        <w:spacing w:after="0" w:line="213" w:lineRule="exact"/>
        <w:rPr>
          <w:sz w:val="20"/>
          <w:szCs w:val="20"/>
          <w:color w:val="auto"/>
        </w:rPr>
      </w:pPr>
    </w:p>
    <w:p>
      <w:pPr>
        <w:ind w:right="140" w:firstLine="937"/>
        <w:spacing w:after="0" w:line="263" w:lineRule="auto"/>
        <w:rPr>
          <w:sz w:val="20"/>
          <w:szCs w:val="20"/>
          <w:color w:val="auto"/>
        </w:rPr>
      </w:pPr>
      <w:r>
        <w:rPr>
          <w:rFonts w:ascii="Arial" w:cs="Arial" w:eastAsia="Arial" w:hAnsi="Arial"/>
          <w:sz w:val="17"/>
          <w:szCs w:val="17"/>
          <w:color w:val="auto"/>
        </w:rPr>
        <w:t>PricewaterhouseCoopers LLP’s fees for tax compliance, tax advice and tax planning, including reimbursable expenses, were $227,266 in 2018 and $430,852 in 2017, which fees were reviewed and approved by the Audit Committee. These fees were primarily for federal, multi-state and international tax consulting, as well as tax due diligence and transaction analysis.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Other Fees</w:t>
      </w:r>
    </w:p>
    <w:p>
      <w:pPr>
        <w:spacing w:after="0" w:line="213" w:lineRule="exact"/>
        <w:rPr>
          <w:sz w:val="20"/>
          <w:szCs w:val="20"/>
          <w:color w:val="auto"/>
        </w:rPr>
      </w:pPr>
    </w:p>
    <w:p>
      <w:pPr>
        <w:ind w:right="820" w:firstLine="937"/>
        <w:spacing w:after="0" w:line="344" w:lineRule="auto"/>
        <w:rPr>
          <w:sz w:val="20"/>
          <w:szCs w:val="20"/>
          <w:color w:val="auto"/>
        </w:rPr>
      </w:pPr>
      <w:r>
        <w:rPr>
          <w:rFonts w:ascii="Arial" w:cs="Arial" w:eastAsia="Arial" w:hAnsi="Arial"/>
          <w:sz w:val="15"/>
          <w:szCs w:val="15"/>
          <w:color w:val="auto"/>
        </w:rPr>
        <w:t>PricewaterhouseCoopers LLP’s fees for other services, including a finance and accounting research tool provided by PricewaterhouseCoopers LLP, were $10,710 in 2018 and $10,710 in 2017, which fees were reviewed and approved by the Audit Committee.</w:t>
      </w:r>
    </w:p>
    <w:p>
      <w:pPr>
        <w:spacing w:after="0" w:line="118" w:lineRule="exact"/>
        <w:rPr>
          <w:sz w:val="20"/>
          <w:szCs w:val="20"/>
          <w:color w:val="auto"/>
        </w:rPr>
      </w:pPr>
    </w:p>
    <w:p>
      <w:pPr>
        <w:ind w:right="20" w:firstLine="937"/>
        <w:spacing w:after="0" w:line="263" w:lineRule="auto"/>
        <w:rPr>
          <w:sz w:val="20"/>
          <w:szCs w:val="20"/>
          <w:color w:val="auto"/>
        </w:rPr>
      </w:pPr>
      <w:r>
        <w:rPr>
          <w:rFonts w:ascii="Arial" w:cs="Arial" w:eastAsia="Arial" w:hAnsi="Arial"/>
          <w:sz w:val="17"/>
          <w:szCs w:val="17"/>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2018, for filing with the Securities and Exchange Commission.</w:t>
      </w:r>
    </w:p>
    <w:p>
      <w:pPr>
        <w:spacing w:after="0" w:line="72"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Thomas S. Gayner, Chairman</w:t>
      </w:r>
    </w:p>
    <w:p>
      <w:pPr>
        <w:spacing w:after="0" w:line="2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Christopher C. Davis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G. Richard Wagoner, Jr.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400"/>
          </w:cols>
          <w:pgMar w:left="740" w:top="267" w:right="7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Transactions With Related Persons, Promoters and Certain Control Persons</w:t>
      </w:r>
    </w:p>
    <w:p>
      <w:pPr>
        <w:spacing w:after="0" w:line="217" w:lineRule="exact"/>
        <w:rPr>
          <w:sz w:val="20"/>
          <w:szCs w:val="20"/>
          <w:color w:val="auto"/>
        </w:rPr>
      </w:pPr>
    </w:p>
    <w:p>
      <w:pPr>
        <w:ind w:right="80" w:firstLine="937"/>
        <w:spacing w:after="0" w:line="263" w:lineRule="auto"/>
        <w:rPr>
          <w:sz w:val="20"/>
          <w:szCs w:val="20"/>
          <w:color w:val="auto"/>
        </w:rPr>
      </w:pPr>
      <w:r>
        <w:rPr>
          <w:rFonts w:ascii="Arial" w:cs="Arial" w:eastAsia="Arial" w:hAnsi="Arial"/>
          <w:sz w:val="17"/>
          <w:szCs w:val="17"/>
          <w:color w:val="auto"/>
        </w:rPr>
        <w:t>Mrs. Elizabeth G. Weymouth, the daughter of the late Mrs. Katharine Graham, the sister of Mr. Donald E. Graham and the mother of Katharine Weymouth, is employed as an Editor-at-Large of the Company’s publications and websites. In 2018, she received $300,000 in compensation. Mrs. Weymouth’s base salary for 2019 is $300,000.</w:t>
      </w:r>
    </w:p>
    <w:p>
      <w:pPr>
        <w:spacing w:after="0" w:line="174" w:lineRule="exact"/>
        <w:rPr>
          <w:sz w:val="20"/>
          <w:szCs w:val="20"/>
          <w:color w:val="auto"/>
        </w:rPr>
      </w:pPr>
    </w:p>
    <w:p>
      <w:pPr>
        <w:ind w:firstLine="937"/>
        <w:spacing w:after="0" w:line="294" w:lineRule="auto"/>
        <w:rPr>
          <w:sz w:val="20"/>
          <w:szCs w:val="20"/>
          <w:color w:val="auto"/>
        </w:rPr>
      </w:pPr>
      <w:r>
        <w:rPr>
          <w:rFonts w:ascii="Arial" w:cs="Arial" w:eastAsia="Arial" w:hAnsi="Arial"/>
          <w:sz w:val="15"/>
          <w:szCs w:val="15"/>
          <w:color w:val="auto"/>
        </w:rPr>
        <w:t>Laura O’Shaughnessy, a daughter of Mr. Donald E. Graham and the wife of Mr. Timothy J. O’Shaughnessy, is employed full time as the Chief Executive Officer of Social Code LLC, a subsidiary of the Company. In 2018, Mrs. O’Shaughnessy’s base salary was $400,000 and she received a bonus of $323,439. Mrs. O’Shaughnessy’s base salary for 2019 is $400,000. She held 1,000 shares of restricted stock of the Company and 1,000 shares of restricted stock of Cable ONE in the 2015–2018 cycle that vested in January 2019 (representing a total value of $1,453,560) and holds 600 shares of restricted stock in the 2019–2022 cycle that will vest in 2023. Mrs. O’Shaughnessy also participates in SocialCode’s long-term incentive plans under which she received payment in the amount of $2,152,800 in October 2018 and holds certain units with expected payments in the beginning of 2020. The value of the units in SocialCode’s long-term incentive plans is tied to an increase in the equity value of Social Code LLC.</w:t>
      </w:r>
    </w:p>
    <w:p>
      <w:pPr>
        <w:spacing w:after="0" w:line="155" w:lineRule="exact"/>
        <w:rPr>
          <w:sz w:val="20"/>
          <w:szCs w:val="20"/>
          <w:color w:val="auto"/>
        </w:rPr>
      </w:pPr>
    </w:p>
    <w:p>
      <w:pPr>
        <w:ind w:right="100" w:firstLine="937"/>
        <w:spacing w:after="0" w:line="256" w:lineRule="auto"/>
        <w:rPr>
          <w:sz w:val="20"/>
          <w:szCs w:val="20"/>
          <w:color w:val="auto"/>
        </w:rPr>
      </w:pPr>
      <w:r>
        <w:rPr>
          <w:rFonts w:ascii="Arial" w:cs="Arial" w:eastAsia="Arial" w:hAnsi="Arial"/>
          <w:sz w:val="17"/>
          <w:szCs w:val="17"/>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reviews transactions subject to the policy and determines whether or not to approve or ratify these transactions.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OTHER MATTERS THAT MAY COME BEFORE THE MEETING</w:t>
      </w:r>
    </w:p>
    <w:p>
      <w:pPr>
        <w:spacing w:after="0" w:line="217" w:lineRule="exact"/>
        <w:rPr>
          <w:sz w:val="20"/>
          <w:szCs w:val="20"/>
          <w:color w:val="auto"/>
        </w:rPr>
      </w:pPr>
    </w:p>
    <w:p>
      <w:pPr>
        <w:ind w:right="60" w:firstLine="937"/>
        <w:spacing w:after="0" w:line="263" w:lineRule="auto"/>
        <w:rPr>
          <w:sz w:val="20"/>
          <w:szCs w:val="20"/>
          <w:color w:val="auto"/>
        </w:rPr>
      </w:pPr>
      <w:r>
        <w:rPr>
          <w:rFonts w:ascii="Arial" w:cs="Arial" w:eastAsia="Arial" w:hAnsi="Arial"/>
          <w:sz w:val="17"/>
          <w:szCs w:val="17"/>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74" w:lineRule="exact"/>
        <w:rPr>
          <w:sz w:val="20"/>
          <w:szCs w:val="20"/>
          <w:color w:val="auto"/>
        </w:rPr>
      </w:pPr>
    </w:p>
    <w:p>
      <w:pPr>
        <w:ind w:right="40" w:firstLine="937"/>
        <w:spacing w:after="0" w:line="299" w:lineRule="auto"/>
        <w:rPr>
          <w:sz w:val="20"/>
          <w:szCs w:val="20"/>
          <w:color w:val="auto"/>
        </w:rPr>
      </w:pPr>
      <w:r>
        <w:rPr>
          <w:rFonts w:ascii="Arial" w:cs="Arial" w:eastAsia="Arial" w:hAnsi="Arial"/>
          <w:sz w:val="15"/>
          <w:szCs w:val="15"/>
          <w:color w:val="auto"/>
        </w:rPr>
        <w:t>Upon the recommendation of the Audit Committee, the Board of Directors has selected PricewaterhouseCoopers LLP as the Company’s independent registered accountant to audit and report on its financial statements for the fiscal year 2019.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2018 and the firm’s relationship with the Company and will be available to respond to appropriate questions from shareholders.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400"/>
          </w:cols>
          <w:pgMar w:left="740" w:top="263" w:right="759" w:bottom="1440" w:gutter="0" w:footer="0" w:header="0"/>
        </w:sectPr>
      </w:pPr>
    </w:p>
    <w:bookmarkStart w:id="38" w:name="page39"/>
    <w:bookmarkEnd w:id="38"/>
    <w:p>
      <w:pPr>
        <w:jc w:val="center"/>
        <w:spacing w:after="0"/>
        <w:rPr>
          <w:sz w:val="20"/>
          <w:szCs w:val="20"/>
          <w:color w:val="auto"/>
        </w:rPr>
      </w:pPr>
      <w:r>
        <w:rPr>
          <w:rFonts w:ascii="Arial" w:cs="Arial" w:eastAsia="Arial" w:hAnsi="Arial"/>
          <w:sz w:val="41"/>
          <w:szCs w:val="41"/>
          <w:b w:val="1"/>
          <w:bCs w:val="1"/>
          <w:color w:val="106280"/>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Notice of</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106280"/>
        </w:rPr>
        <w:t>Annual Meeting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106280"/>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106280"/>
        </w:rPr>
        <w:t>Proxy Statement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10628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2995295</wp:posOffset>
            </wp:positionV>
            <wp:extent cx="3906520" cy="551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06520" cy="55118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210820</wp:posOffset>
            </wp:positionV>
            <wp:extent cx="2739390" cy="704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73939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r>
              <w:rPr>
                <w:rFonts w:ascii="Arial" w:cs="Arial" w:eastAsia="Arial" w:hAnsi="Arial"/>
                <w:sz w:val="14"/>
                <w:szCs w:val="14"/>
                <w:color w:val="auto"/>
                <w:w w:val="98"/>
              </w:rPr>
              <w:t xml:space="preserve">Using a </w:t>
            </w:r>
            <w:r>
              <w:rPr>
                <w:rFonts w:ascii="Arial" w:cs="Arial" w:eastAsia="Arial" w:hAnsi="Arial"/>
                <w:sz w:val="14"/>
                <w:szCs w:val="14"/>
                <w:b w:val="1"/>
                <w:bCs w:val="1"/>
                <w:u w:val="single" w:color="auto"/>
                <w:color w:val="auto"/>
                <w:w w:val="98"/>
              </w:rPr>
              <w:t>black ink</w:t>
            </w:r>
            <w:r>
              <w:rPr>
                <w:rFonts w:ascii="Arial" w:cs="Arial" w:eastAsia="Arial" w:hAnsi="Arial"/>
                <w:sz w:val="14"/>
                <w:szCs w:val="14"/>
                <w:color w:val="auto"/>
                <w:w w:val="98"/>
              </w:rPr>
              <w:t xml:space="preserve"> pen, mark your votes with an </w:t>
            </w:r>
            <w:r>
              <w:rPr>
                <w:rFonts w:ascii="Arial" w:cs="Arial" w:eastAsia="Arial" w:hAnsi="Arial"/>
                <w:sz w:val="14"/>
                <w:szCs w:val="14"/>
                <w:b w:val="1"/>
                <w:bCs w:val="1"/>
                <w:color w:val="auto"/>
                <w:w w:val="98"/>
              </w:rPr>
              <w:t>X</w:t>
            </w:r>
            <w:r>
              <w:rPr>
                <w:rFonts w:ascii="Arial" w:cs="Arial" w:eastAsia="Arial" w:hAnsi="Arial"/>
                <w:sz w:val="14"/>
                <w:szCs w:val="14"/>
                <w:color w:val="auto"/>
                <w:w w:val="98"/>
              </w:rPr>
              <w:t xml:space="preserve"> as shown in this</w:t>
            </w:r>
          </w:p>
        </w:tc>
        <w:tc>
          <w:tcPr>
            <w:tcW w:w="400" w:type="dxa"/>
            <w:vAlign w:val="bottom"/>
            <w:vMerge w:val="restart"/>
          </w:tcPr>
          <w:p>
            <w:pPr>
              <w:ind w:left="80"/>
              <w:spacing w:after="0" w:line="361" w:lineRule="exact"/>
              <w:rPr>
                <w:sz w:val="20"/>
                <w:szCs w:val="20"/>
                <w:color w:val="auto"/>
              </w:rPr>
            </w:pPr>
            <w:r>
              <w:rPr>
                <w:rFonts w:ascii="MS PGothic" w:cs="MS PGothic" w:eastAsia="MS PGothic" w:hAnsi="MS PGothic"/>
                <w:sz w:val="36"/>
                <w:szCs w:val="36"/>
                <w:color w:val="auto"/>
                <w:w w:val="83"/>
              </w:rPr>
              <w:t>☒</w:t>
            </w:r>
          </w:p>
        </w:tc>
        <w:tc>
          <w:tcPr>
            <w:tcW w:w="0" w:type="dxa"/>
            <w:vAlign w:val="bottom"/>
          </w:tcPr>
          <w:p>
            <w:pPr>
              <w:spacing w:after="0"/>
              <w:rPr>
                <w:sz w:val="1"/>
                <w:szCs w:val="1"/>
                <w:color w:val="auto"/>
              </w:rPr>
            </w:pPr>
          </w:p>
        </w:tc>
      </w:tr>
      <w:tr>
        <w:trPr>
          <w:trHeight w:val="153"/>
        </w:trPr>
        <w:tc>
          <w:tcPr>
            <w:tcW w:w="4060" w:type="dxa"/>
            <w:vAlign w:val="bottom"/>
          </w:tcPr>
          <w:p>
            <w:pPr>
              <w:spacing w:after="0" w:line="153" w:lineRule="exact"/>
              <w:rPr>
                <w:sz w:val="20"/>
                <w:szCs w:val="20"/>
                <w:color w:val="auto"/>
              </w:rPr>
            </w:pPr>
            <w:r>
              <w:rPr>
                <w:rFonts w:ascii="Arial" w:cs="Arial" w:eastAsia="Arial" w:hAnsi="Arial"/>
                <w:sz w:val="14"/>
                <w:szCs w:val="14"/>
                <w:color w:val="auto"/>
              </w:rPr>
              <w:t>example.</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Please do not write outside the designated areas.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6618605" cy="302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8605" cy="30226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2019 Annual Meeting Proxy Card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66135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3525" cy="24130"/>
                    </a:xfrm>
                    <a:prstGeom prst="rect">
                      <a:avLst/>
                    </a:prstGeom>
                    <a:noFill/>
                  </pic:spPr>
                </pic:pic>
              </a:graphicData>
            </a:graphic>
          </wp:anchor>
        </w:drawing>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VOTING BY MAIL, SIGN, DETACH AND RETURN THE BOTTOM PORTION IN THE ENCLOSED ENVELOPE.</w:t>
      </w:r>
      <w:r>
        <w:rPr>
          <w:rFonts w:ascii="Arial" w:cs="Arial" w:eastAsia="Arial" w:hAnsi="Arial"/>
          <w:sz w:val="12"/>
          <w:szCs w:val="12"/>
          <w:color w:val="auto"/>
        </w:rPr>
        <w:t xml:space="preserve"> q</w:t>
      </w:r>
    </w:p>
    <w:p>
      <w:pPr>
        <w:spacing w:after="0" w:line="134" w:lineRule="exact"/>
        <w:rPr>
          <w:sz w:val="20"/>
          <w:szCs w:val="20"/>
          <w:color w:val="auto"/>
        </w:rPr>
      </w:pPr>
    </w:p>
    <w:p>
      <w:pPr>
        <w:ind w:left="460" w:hanging="365"/>
        <w:spacing w:after="0"/>
        <w:tabs>
          <w:tab w:leader="none" w:pos="460" w:val="left"/>
        </w:tabs>
        <w:numPr>
          <w:ilvl w:val="0"/>
          <w:numId w:val="49"/>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nominees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-110490</wp:posOffset>
            </wp:positionV>
            <wp:extent cx="6078855"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8855" cy="121285"/>
                    </a:xfrm>
                    <a:prstGeom prst="rect">
                      <a:avLst/>
                    </a:prstGeom>
                    <a:noFill/>
                  </pic:spPr>
                </pic:pic>
              </a:graphicData>
            </a:graphic>
          </wp:anchor>
        </w:drawing>
      </w:r>
    </w:p>
    <w:p>
      <w:pPr>
        <w:sectPr>
          <w:pgSz w:w="11900" w:h="16838" w:orient="portrait"/>
          <w:cols w:equalWidth="0" w:num="1">
            <w:col w:w="10540"/>
          </w:cols>
          <w:pgMar w:left="740" w:top="1440" w:right="619" w:bottom="1440" w:gutter="0" w:footer="0" w:header="0"/>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6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ind w:left="14"/>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188"/>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 Lee C. Bollinger</w:t>
            </w:r>
          </w:p>
        </w:tc>
        <w:tc>
          <w:tcPr>
            <w:tcW w:w="600" w:type="dxa"/>
            <w:vAlign w:val="bottom"/>
          </w:tcPr>
          <w:p>
            <w:pPr>
              <w:jc w:val="right"/>
              <w:ind w:right="18"/>
              <w:spacing w:after="0" w:line="188" w:lineRule="exact"/>
              <w:rPr>
                <w:sz w:val="20"/>
                <w:szCs w:val="20"/>
                <w:color w:val="auto"/>
              </w:rPr>
            </w:pPr>
            <w:r>
              <w:rPr>
                <w:rFonts w:ascii="MS PGothic" w:cs="MS PGothic" w:eastAsia="MS PGothic" w:hAnsi="MS PGothic"/>
                <w:sz w:val="24"/>
                <w:szCs w:val="24"/>
                <w:color w:val="auto"/>
              </w:rPr>
              <w:t>☐</w:t>
            </w:r>
          </w:p>
        </w:tc>
        <w:tc>
          <w:tcPr>
            <w:tcW w:w="700" w:type="dxa"/>
            <w:vAlign w:val="bottom"/>
          </w:tcPr>
          <w:p>
            <w:pPr>
              <w:jc w:val="center"/>
              <w:ind w:left="14"/>
              <w:spacing w:after="0" w:line="188"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40"/>
        </w:trPr>
        <w:tc>
          <w:tcPr>
            <w:tcW w:w="3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600" w:type="dxa"/>
            <w:vAlign w:val="bottom"/>
            <w:vMerge w:val="restart"/>
          </w:tcPr>
          <w:p>
            <w:pPr>
              <w:jc w:val="right"/>
              <w:ind w:right="18"/>
              <w:spacing w:after="0" w:line="241" w:lineRule="exact"/>
              <w:rPr>
                <w:sz w:val="20"/>
                <w:szCs w:val="20"/>
                <w:color w:val="auto"/>
              </w:rPr>
            </w:pPr>
            <w:r>
              <w:rPr>
                <w:rFonts w:ascii="MS PGothic" w:cs="MS PGothic" w:eastAsia="MS PGothic" w:hAnsi="MS PGothic"/>
                <w:sz w:val="24"/>
                <w:szCs w:val="24"/>
                <w:color w:val="auto"/>
              </w:rPr>
              <w:t>☐</w:t>
            </w:r>
          </w:p>
        </w:tc>
        <w:tc>
          <w:tcPr>
            <w:tcW w:w="700" w:type="dxa"/>
            <w:vAlign w:val="bottom"/>
            <w:vMerge w:val="restart"/>
          </w:tcPr>
          <w:p>
            <w:pPr>
              <w:jc w:val="center"/>
              <w:ind w:left="14"/>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line="20" w:lineRule="exact"/>
              <w:rPr>
                <w:sz w:val="1"/>
                <w:szCs w:val="1"/>
                <w:color w:val="auto"/>
              </w:rPr>
            </w:pPr>
          </w:p>
        </w:tc>
      </w:tr>
      <w:tr>
        <w:trPr>
          <w:trHeight w:val="305"/>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 Jack A. Markell</w:t>
            </w:r>
          </w:p>
        </w:tc>
        <w:tc>
          <w:tcPr>
            <w:tcW w:w="6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5"/>
        </w:trPr>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960" w:type="dxa"/>
            <w:vAlign w:val="bottom"/>
            <w:gridSpan w:val="2"/>
          </w:tcPr>
          <w:p>
            <w:pPr>
              <w:jc w:val="right"/>
              <w:ind w:right="18"/>
              <w:spacing w:after="0" w:line="541" w:lineRule="exact"/>
              <w:rPr>
                <w:sz w:val="20"/>
                <w:szCs w:val="20"/>
                <w:color w:val="auto"/>
              </w:rPr>
            </w:pPr>
            <w:r>
              <w:rPr>
                <w:rFonts w:ascii="Arial" w:cs="Arial" w:eastAsia="Arial" w:hAnsi="Arial"/>
                <w:sz w:val="14"/>
                <w:szCs w:val="14"/>
                <w:color w:val="auto"/>
                <w:w w:val="97"/>
              </w:rPr>
              <w:t xml:space="preserve">- Katharine Weymouth    </w:t>
            </w:r>
            <w:r>
              <w:rPr>
                <w:rFonts w:ascii="MS PGothic" w:cs="MS PGothic" w:eastAsia="MS PGothic" w:hAnsi="MS PGothic"/>
                <w:sz w:val="47"/>
                <w:szCs w:val="47"/>
                <w:color w:val="auto"/>
                <w:w w:val="97"/>
                <w:vertAlign w:val="subscript"/>
              </w:rPr>
              <w:t>☐</w:t>
            </w:r>
          </w:p>
        </w:tc>
        <w:tc>
          <w:tcPr>
            <w:tcW w:w="700" w:type="dxa"/>
            <w:vAlign w:val="bottom"/>
          </w:tcPr>
          <w:p>
            <w:pPr>
              <w:jc w:val="center"/>
              <w:ind w:left="14"/>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bl>
    <w:p>
      <w:pPr>
        <w:ind w:left="220" w:right="340" w:hanging="214"/>
        <w:spacing w:after="0" w:line="235" w:lineRule="auto"/>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Advisory Approval of the Company’s Executive Compensation.</w:t>
      </w:r>
    </w:p>
    <w:p>
      <w:pPr>
        <w:spacing w:after="0" w:line="195" w:lineRule="exact"/>
        <w:rPr>
          <w:sz w:val="20"/>
          <w:szCs w:val="20"/>
          <w:color w:val="auto"/>
        </w:rPr>
      </w:pPr>
    </w:p>
    <w:p>
      <w:pPr>
        <w:ind w:left="420" w:hanging="319"/>
        <w:spacing w:after="0"/>
        <w:tabs>
          <w:tab w:leader="none" w:pos="420" w:val="left"/>
        </w:tabs>
        <w:numPr>
          <w:ilvl w:val="0"/>
          <w:numId w:val="51"/>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Non-Voting Items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 </w:t>
      </w:r>
      <w:r>
        <w:rPr>
          <w:rFonts w:ascii="Arial" w:cs="Arial" w:eastAsia="Arial" w:hAnsi="Arial"/>
          <w:sz w:val="12"/>
          <w:szCs w:val="12"/>
          <w:color w:val="auto"/>
        </w:rPr>
        <w:t>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399030" cy="316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9030" cy="31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rPr>
              <w:t>For</w:t>
            </w:r>
          </w:p>
        </w:tc>
        <w:tc>
          <w:tcPr>
            <w:tcW w:w="1140" w:type="dxa"/>
            <w:vAlign w:val="bottom"/>
          </w:tcPr>
          <w:p>
            <w:pPr>
              <w:jc w:val="center"/>
              <w:ind w:right="218"/>
              <w:spacing w:after="0"/>
              <w:rPr>
                <w:sz w:val="20"/>
                <w:szCs w:val="20"/>
                <w:color w:val="auto"/>
              </w:rPr>
            </w:pPr>
            <w:r>
              <w:rPr>
                <w:rFonts w:ascii="Arial" w:cs="Arial" w:eastAsia="Arial" w:hAnsi="Arial"/>
                <w:sz w:val="14"/>
                <w:szCs w:val="14"/>
                <w:b w:val="1"/>
                <w:bCs w:val="1"/>
                <w:color w:val="auto"/>
                <w:w w:val="96"/>
              </w:rPr>
              <w:t>Withhold</w:t>
            </w: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jc w:val="right"/>
              <w:ind w:right="26"/>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ind w:left="14"/>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188"/>
        </w:trPr>
        <w:tc>
          <w:tcPr>
            <w:tcW w:w="1920" w:type="dxa"/>
            <w:vAlign w:val="bottom"/>
            <w:gridSpan w:val="4"/>
            <w:vMerge w:val="restart"/>
          </w:tcPr>
          <w:p>
            <w:pPr>
              <w:ind w:left="120"/>
              <w:spacing w:after="0"/>
              <w:rPr>
                <w:sz w:val="20"/>
                <w:szCs w:val="20"/>
                <w:color w:val="auto"/>
              </w:rPr>
            </w:pPr>
            <w:r>
              <w:rPr>
                <w:rFonts w:ascii="Arial" w:cs="Arial" w:eastAsia="Arial" w:hAnsi="Arial"/>
                <w:sz w:val="14"/>
                <w:szCs w:val="14"/>
                <w:color w:val="auto"/>
              </w:rPr>
              <w:t>02 - Thomas S. Gayner</w:t>
            </w:r>
          </w:p>
        </w:tc>
        <w:tc>
          <w:tcPr>
            <w:tcW w:w="680" w:type="dxa"/>
            <w:vAlign w:val="bottom"/>
          </w:tcPr>
          <w:p>
            <w:pPr>
              <w:jc w:val="right"/>
              <w:ind w:right="26"/>
              <w:spacing w:after="0" w:line="188" w:lineRule="exact"/>
              <w:rPr>
                <w:sz w:val="20"/>
                <w:szCs w:val="20"/>
                <w:color w:val="auto"/>
              </w:rPr>
            </w:pPr>
            <w:r>
              <w:rPr>
                <w:rFonts w:ascii="MS PGothic" w:cs="MS PGothic" w:eastAsia="MS PGothic" w:hAnsi="MS PGothic"/>
                <w:sz w:val="24"/>
                <w:szCs w:val="24"/>
                <w:color w:val="auto"/>
              </w:rPr>
              <w:t>☐</w:t>
            </w:r>
          </w:p>
        </w:tc>
        <w:tc>
          <w:tcPr>
            <w:tcW w:w="1140" w:type="dxa"/>
            <w:vAlign w:val="bottom"/>
          </w:tcPr>
          <w:p>
            <w:pPr>
              <w:jc w:val="center"/>
              <w:ind w:right="218"/>
              <w:spacing w:after="0" w:line="188" w:lineRule="exact"/>
              <w:rPr>
                <w:sz w:val="20"/>
                <w:szCs w:val="20"/>
                <w:color w:val="auto"/>
              </w:rPr>
            </w:pPr>
            <w:r>
              <w:rPr>
                <w:rFonts w:ascii="MS PGothic" w:cs="MS PGothic" w:eastAsia="MS PGothic" w:hAnsi="MS PGothic"/>
                <w:sz w:val="24"/>
                <w:szCs w:val="24"/>
                <w:color w:val="auto"/>
                <w:w w:val="91"/>
              </w:rPr>
              <w:t>☐</w:t>
            </w:r>
          </w:p>
        </w:tc>
        <w:tc>
          <w:tcPr>
            <w:tcW w:w="2200" w:type="dxa"/>
            <w:vAlign w:val="bottom"/>
            <w:gridSpan w:val="2"/>
            <w:vMerge w:val="restart"/>
          </w:tcPr>
          <w:p>
            <w:pPr>
              <w:ind w:left="260"/>
              <w:spacing w:after="0"/>
              <w:rPr>
                <w:sz w:val="20"/>
                <w:szCs w:val="20"/>
                <w:color w:val="auto"/>
              </w:rPr>
            </w:pPr>
            <w:r>
              <w:rPr>
                <w:rFonts w:ascii="Arial" w:cs="Arial" w:eastAsia="Arial" w:hAnsi="Arial"/>
                <w:sz w:val="14"/>
                <w:szCs w:val="14"/>
                <w:color w:val="auto"/>
              </w:rPr>
              <w:t>03 - Donald E. Graham</w:t>
            </w:r>
          </w:p>
        </w:tc>
        <w:tc>
          <w:tcPr>
            <w:tcW w:w="360" w:type="dxa"/>
            <w:vAlign w:val="bottom"/>
          </w:tcPr>
          <w:p>
            <w:pPr>
              <w:jc w:val="right"/>
              <w:ind w:right="46"/>
              <w:spacing w:after="0" w:line="188" w:lineRule="exact"/>
              <w:rPr>
                <w:sz w:val="20"/>
                <w:szCs w:val="20"/>
                <w:color w:val="auto"/>
              </w:rPr>
            </w:pPr>
            <w:r>
              <w:rPr>
                <w:rFonts w:ascii="MS PGothic" w:cs="MS PGothic" w:eastAsia="MS PGothic" w:hAnsi="MS PGothic"/>
                <w:sz w:val="24"/>
                <w:szCs w:val="24"/>
                <w:color w:val="auto"/>
                <w:w w:val="83"/>
              </w:rPr>
              <w:t>☐</w:t>
            </w:r>
          </w:p>
        </w:tc>
        <w:tc>
          <w:tcPr>
            <w:tcW w:w="700" w:type="dxa"/>
            <w:vAlign w:val="bottom"/>
          </w:tcPr>
          <w:p>
            <w:pPr>
              <w:jc w:val="center"/>
              <w:spacing w:after="0" w:line="188" w:lineRule="exact"/>
              <w:rPr>
                <w:sz w:val="20"/>
                <w:szCs w:val="20"/>
                <w:color w:val="auto"/>
              </w:rPr>
            </w:pPr>
            <w:r>
              <w:rPr>
                <w:rFonts w:ascii="MS PGothic" w:cs="MS PGothic" w:eastAsia="MS PGothic" w:hAnsi="MS PGothic"/>
                <w:sz w:val="24"/>
                <w:szCs w:val="24"/>
                <w:color w:val="auto"/>
                <w:w w:val="83"/>
              </w:rPr>
              <w:t>☐</w:t>
            </w:r>
          </w:p>
        </w:tc>
        <w:tc>
          <w:tcPr>
            <w:tcW w:w="0" w:type="dxa"/>
            <w:vAlign w:val="bottom"/>
          </w:tcPr>
          <w:p>
            <w:pPr>
              <w:spacing w:after="0"/>
              <w:rPr>
                <w:sz w:val="1"/>
                <w:szCs w:val="1"/>
                <w:color w:val="auto"/>
              </w:rPr>
            </w:pPr>
          </w:p>
        </w:tc>
      </w:tr>
      <w:tr>
        <w:trPr>
          <w:trHeight w:val="40"/>
        </w:trPr>
        <w:tc>
          <w:tcPr>
            <w:tcW w:w="1920" w:type="dxa"/>
            <w:vAlign w:val="bottom"/>
            <w:gridSpan w:val="4"/>
            <w:vMerge w:val="continue"/>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7"/>
        </w:trPr>
        <w:tc>
          <w:tcPr>
            <w:tcW w:w="2600" w:type="dxa"/>
            <w:vAlign w:val="bottom"/>
            <w:gridSpan w:val="5"/>
          </w:tcPr>
          <w:p>
            <w:pPr>
              <w:jc w:val="right"/>
              <w:ind w:right="26"/>
              <w:spacing w:after="0" w:line="541" w:lineRule="exact"/>
              <w:rPr>
                <w:sz w:val="20"/>
                <w:szCs w:val="20"/>
                <w:color w:val="auto"/>
              </w:rPr>
            </w:pPr>
            <w:r>
              <w:rPr>
                <w:rFonts w:ascii="Arial" w:cs="Arial" w:eastAsia="Arial" w:hAnsi="Arial"/>
                <w:sz w:val="14"/>
                <w:szCs w:val="14"/>
                <w:color w:val="auto"/>
              </w:rPr>
              <w:t xml:space="preserve">05 - Timothy J. O’Shaughnessy    </w:t>
            </w:r>
            <w:r>
              <w:rPr>
                <w:rFonts w:ascii="MS PGothic" w:cs="MS PGothic" w:eastAsia="MS PGothic" w:hAnsi="MS PGothic"/>
                <w:sz w:val="47"/>
                <w:szCs w:val="47"/>
                <w:color w:val="auto"/>
                <w:vertAlign w:val="subscript"/>
              </w:rPr>
              <w:t>☐</w:t>
            </w:r>
          </w:p>
        </w:tc>
        <w:tc>
          <w:tcPr>
            <w:tcW w:w="1140" w:type="dxa"/>
            <w:vAlign w:val="bottom"/>
          </w:tcPr>
          <w:p>
            <w:pPr>
              <w:jc w:val="center"/>
              <w:ind w:right="218"/>
              <w:spacing w:after="0" w:line="241" w:lineRule="exact"/>
              <w:rPr>
                <w:sz w:val="20"/>
                <w:szCs w:val="20"/>
                <w:color w:val="auto"/>
              </w:rPr>
            </w:pPr>
            <w:r>
              <w:rPr>
                <w:rFonts w:ascii="MS PGothic" w:cs="MS PGothic" w:eastAsia="MS PGothic" w:hAnsi="MS PGothic"/>
                <w:sz w:val="24"/>
                <w:szCs w:val="24"/>
                <w:color w:val="auto"/>
                <w:w w:val="91"/>
              </w:rPr>
              <w:t>☐</w:t>
            </w:r>
          </w:p>
        </w:tc>
        <w:tc>
          <w:tcPr>
            <w:tcW w:w="2560" w:type="dxa"/>
            <w:vAlign w:val="bottom"/>
            <w:gridSpan w:val="3"/>
          </w:tcPr>
          <w:p>
            <w:pPr>
              <w:jc w:val="right"/>
              <w:ind w:right="46"/>
              <w:spacing w:after="0" w:line="541" w:lineRule="exact"/>
              <w:rPr>
                <w:sz w:val="20"/>
                <w:szCs w:val="20"/>
                <w:color w:val="auto"/>
              </w:rPr>
            </w:pPr>
            <w:r>
              <w:rPr>
                <w:rFonts w:ascii="Arial" w:cs="Arial" w:eastAsia="Arial" w:hAnsi="Arial"/>
                <w:sz w:val="14"/>
                <w:szCs w:val="14"/>
                <w:color w:val="auto"/>
              </w:rPr>
              <w:t xml:space="preserve">06 - G. Richard Wagoner, Jr.    </w:t>
            </w:r>
            <w:r>
              <w:rPr>
                <w:rFonts w:ascii="MS PGothic" w:cs="MS PGothic" w:eastAsia="MS PGothic" w:hAnsi="MS PGothic"/>
                <w:sz w:val="47"/>
                <w:szCs w:val="47"/>
                <w:color w:val="auto"/>
                <w:vertAlign w:val="subscript"/>
              </w:rPr>
              <w:t>☐</w:t>
            </w:r>
          </w:p>
        </w:tc>
        <w:tc>
          <w:tcPr>
            <w:tcW w:w="70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Against</w:t>
            </w:r>
          </w:p>
        </w:tc>
        <w:tc>
          <w:tcPr>
            <w:tcW w:w="940" w:type="dxa"/>
            <w:vAlign w:val="bottom"/>
          </w:tcPr>
          <w:p>
            <w:pPr>
              <w:jc w:val="center"/>
              <w:ind w:right="106"/>
              <w:spacing w:after="0"/>
              <w:rPr>
                <w:sz w:val="20"/>
                <w:szCs w:val="20"/>
                <w:color w:val="auto"/>
              </w:rPr>
            </w:pPr>
            <w:r>
              <w:rPr>
                <w:rFonts w:ascii="Arial" w:cs="Arial" w:eastAsia="Arial" w:hAnsi="Arial"/>
                <w:sz w:val="14"/>
                <w:szCs w:val="14"/>
                <w:b w:val="1"/>
                <w:bCs w:val="1"/>
                <w:color w:val="auto"/>
                <w:w w:val="97"/>
              </w:rPr>
              <w:t>Abstain</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60" w:type="dxa"/>
            <w:vAlign w:val="bottom"/>
          </w:tcPr>
          <w:p>
            <w:pPr>
              <w:spacing w:after="0" w:line="241" w:lineRule="exact"/>
              <w:rPr>
                <w:sz w:val="20"/>
                <w:szCs w:val="20"/>
                <w:color w:val="auto"/>
              </w:rPr>
            </w:pPr>
            <w:r>
              <w:rPr>
                <w:rFonts w:ascii="MS PGothic" w:cs="MS PGothic" w:eastAsia="MS PGothic" w:hAnsi="MS PGothic"/>
                <w:sz w:val="24"/>
                <w:szCs w:val="24"/>
                <w:color w:val="auto"/>
                <w:w w:val="91"/>
              </w:rPr>
              <w:t>☐</w:t>
            </w:r>
          </w:p>
        </w:tc>
        <w:tc>
          <w:tcPr>
            <w:tcW w:w="200" w:type="dxa"/>
            <w:vAlign w:val="bottom"/>
          </w:tcPr>
          <w:p>
            <w:pPr>
              <w:spacing w:after="0"/>
              <w:rPr>
                <w:sz w:val="24"/>
                <w:szCs w:val="24"/>
                <w:color w:val="auto"/>
              </w:rPr>
            </w:pPr>
          </w:p>
        </w:tc>
        <w:tc>
          <w:tcPr>
            <w:tcW w:w="520" w:type="dxa"/>
            <w:vAlign w:val="bottom"/>
          </w:tcPr>
          <w:p>
            <w:pPr>
              <w:ind w:left="60"/>
              <w:spacing w:after="0" w:line="241" w:lineRule="exact"/>
              <w:rPr>
                <w:sz w:val="20"/>
                <w:szCs w:val="20"/>
                <w:color w:val="auto"/>
              </w:rPr>
            </w:pPr>
            <w:r>
              <w:rPr>
                <w:rFonts w:ascii="MS PGothic" w:cs="MS PGothic" w:eastAsia="MS PGothic" w:hAnsi="MS PGothic"/>
                <w:sz w:val="24"/>
                <w:szCs w:val="24"/>
                <w:color w:val="auto"/>
              </w:rPr>
              <w:t>☐</w:t>
            </w:r>
          </w:p>
        </w:tc>
        <w:tc>
          <w:tcPr>
            <w:tcW w:w="940" w:type="dxa"/>
            <w:vAlign w:val="bottom"/>
          </w:tcPr>
          <w:p>
            <w:pPr>
              <w:jc w:val="center"/>
              <w:ind w:right="126"/>
              <w:spacing w:after="0" w:line="241" w:lineRule="exact"/>
              <w:rPr>
                <w:sz w:val="20"/>
                <w:szCs w:val="20"/>
                <w:color w:val="auto"/>
              </w:rPr>
            </w:pPr>
            <w:r>
              <w:rPr>
                <w:rFonts w:ascii="MS PGothic" w:cs="MS PGothic" w:eastAsia="MS PGothic" w:hAnsi="MS PGothic"/>
                <w:sz w:val="24"/>
                <w:szCs w:val="24"/>
                <w:color w:val="auto"/>
                <w:w w:val="83"/>
              </w:rPr>
              <w:t>☐</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 xml:space="preserve">Comments – </w:t>
            </w:r>
            <w:r>
              <w:rPr>
                <w:rFonts w:ascii="Arial" w:cs="Arial" w:eastAsia="Arial" w:hAnsi="Arial"/>
                <w:sz w:val="14"/>
                <w:szCs w:val="14"/>
                <w:color w:val="auto"/>
              </w:rPr>
              <w:t>Please print your comments below.</w:t>
            </w:r>
          </w:p>
        </w:tc>
        <w:tc>
          <w:tcPr>
            <w:tcW w:w="600" w:type="dxa"/>
            <w:vAlign w:val="bottom"/>
            <w:tcBorders>
              <w:bottom w:val="single" w:sz="8" w:color="auto"/>
            </w:tcBorders>
          </w:tcPr>
          <w:p>
            <w:pPr>
              <w:spacing w:after="0"/>
              <w:rPr>
                <w:sz w:val="24"/>
                <w:szCs w:val="24"/>
                <w:color w:val="auto"/>
              </w:rPr>
            </w:pP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w w:val="97"/>
              </w:rPr>
              <w:t>Meeting Attendance</w:t>
            </w:r>
          </w:p>
        </w:tc>
        <w:tc>
          <w:tcPr>
            <w:tcW w:w="360" w:type="dxa"/>
            <w:vAlign w:val="bottom"/>
          </w:tcPr>
          <w:p>
            <w:pPr>
              <w:spacing w:after="0"/>
              <w:rPr>
                <w:sz w:val="24"/>
                <w:szCs w:val="24"/>
                <w:color w:val="auto"/>
              </w:rPr>
            </w:pPr>
          </w:p>
        </w:tc>
        <w:tc>
          <w:tcPr>
            <w:tcW w:w="700" w:type="dxa"/>
            <w:vAlign w:val="bottom"/>
            <w:vMerge w:val="restart"/>
          </w:tcPr>
          <w:p>
            <w:pPr>
              <w:ind w:left="360"/>
              <w:spacing w:after="0" w:line="241"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150"/>
        </w:trPr>
        <w:tc>
          <w:tcPr>
            <w:tcW w:w="2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960" w:type="dxa"/>
            <w:vAlign w:val="bottom"/>
            <w:gridSpan w:val="2"/>
          </w:tcPr>
          <w:p>
            <w:pPr>
              <w:ind w:left="280"/>
              <w:spacing w:after="0" w:line="151" w:lineRule="exact"/>
              <w:rPr>
                <w:sz w:val="20"/>
                <w:szCs w:val="20"/>
                <w:color w:val="auto"/>
              </w:rPr>
            </w:pPr>
            <w:r>
              <w:rPr>
                <w:rFonts w:ascii="Arial" w:cs="Arial" w:eastAsia="Arial" w:hAnsi="Arial"/>
                <w:sz w:val="14"/>
                <w:szCs w:val="14"/>
                <w:color w:val="auto"/>
              </w:rPr>
              <w:t>Mark box to the right if</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color w:val="auto"/>
                <w:w w:val="96"/>
              </w:rPr>
              <w:t>you plan to attend the</w:t>
            </w: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Annual Meeting.</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-582930</wp:posOffset>
            </wp:positionV>
            <wp:extent cx="6443345"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43345" cy="12128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360" w:space="180"/>
            <w:col w:w="7000"/>
          </w:cols>
          <w:pgMar w:left="740" w:top="1440" w:right="619" w:bottom="1440" w:gutter="0" w:footer="0" w:header="0"/>
          <w:type w:val="continuous"/>
        </w:sectPr>
      </w:pPr>
    </w:p>
    <w:p>
      <w:pPr>
        <w:ind w:left="420" w:hanging="319"/>
        <w:spacing w:after="0"/>
        <w:tabs>
          <w:tab w:leader="none" w:pos="420" w:val="left"/>
        </w:tabs>
        <w:numPr>
          <w:ilvl w:val="0"/>
          <w:numId w:val="52"/>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-110490</wp:posOffset>
            </wp:positionV>
            <wp:extent cx="6443345"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43345" cy="137795"/>
                    </a:xfrm>
                    <a:prstGeom prst="rect">
                      <a:avLst/>
                    </a:prstGeom>
                    <a:noFill/>
                  </pic:spPr>
                </pic:pic>
              </a:graphicData>
            </a:graphic>
          </wp:anchor>
        </w:drawing>
      </w:r>
    </w:p>
    <w:p>
      <w:pPr>
        <w:spacing w:after="0" w:line="91" w:lineRule="exact"/>
        <w:rPr>
          <w:sz w:val="20"/>
          <w:szCs w:val="20"/>
          <w:color w:val="auto"/>
        </w:rPr>
      </w:pPr>
    </w:p>
    <w:p>
      <w:pPr>
        <w:ind w:right="420"/>
        <w:spacing w:after="0" w:line="235"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217" w:lineRule="exact"/>
        <w:rPr>
          <w:sz w:val="20"/>
          <w:szCs w:val="20"/>
          <w:color w:val="auto"/>
        </w:rPr>
      </w:pPr>
    </w:p>
    <w:p>
      <w:pPr>
        <w:spacing w:after="0"/>
        <w:tabs>
          <w:tab w:leader="none" w:pos="3480" w:val="left"/>
          <w:tab w:leader="none" w:pos="70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6621780" cy="219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1780" cy="219075"/>
                    </a:xfrm>
                    <a:prstGeom prst="rect">
                      <a:avLst/>
                    </a:prstGeom>
                    <a:noFill/>
                  </pic:spPr>
                </pic:pic>
              </a:graphicData>
            </a:graphic>
          </wp:anchor>
        </w:drawing>
      </w:r>
    </w:p>
    <w:p>
      <w:pPr>
        <w:ind w:left="1080"/>
        <w:spacing w:after="0"/>
        <w:tabs>
          <w:tab w:leader="none" w:pos="234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161925</wp:posOffset>
            </wp:positionV>
            <wp:extent cx="5900420" cy="41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00420" cy="413385"/>
                    </a:xfrm>
                    <a:prstGeom prst="rect">
                      <a:avLst/>
                    </a:prstGeom>
                    <a:noFill/>
                  </pic:spPr>
                </pic:pic>
              </a:graphicData>
            </a:graphic>
          </wp:anchor>
        </w:drawing>
      </w:r>
    </w:p>
    <w:p>
      <w:pPr>
        <w:sectPr>
          <w:pgSz w:w="11900" w:h="16838" w:orient="portrait"/>
          <w:cols w:equalWidth="0" w:num="1">
            <w:col w:w="10540"/>
          </w:cols>
          <w:pgMar w:left="740" w:top="1440" w:right="61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475615</wp:posOffset>
            </wp:positionH>
            <wp:positionV relativeFrom="page">
              <wp:posOffset>1974850</wp:posOffset>
            </wp:positionV>
            <wp:extent cx="6618605" cy="774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8605" cy="77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82"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of Shareholders to be held on May 2, 2019.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147955</wp:posOffset>
            </wp:positionV>
            <wp:extent cx="6208395" cy="316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08395" cy="31623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Graham Holdings Company</w:t>
      </w: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Graham Holdings Company</w:t>
      </w:r>
    </w:p>
    <w:p>
      <w:pPr>
        <w:spacing w:after="0" w:line="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Class A Common Stock</w:t>
      </w:r>
    </w:p>
    <w:p>
      <w:pPr>
        <w:spacing w:after="0" w:line="179" w:lineRule="exact"/>
        <w:rPr>
          <w:sz w:val="20"/>
          <w:szCs w:val="20"/>
          <w:color w:val="auto"/>
        </w:rPr>
      </w:pPr>
    </w:p>
    <w:p>
      <w:pPr>
        <w:ind w:right="4700"/>
        <w:spacing w:after="0" w:line="301" w:lineRule="auto"/>
        <w:rPr>
          <w:sz w:val="20"/>
          <w:szCs w:val="20"/>
          <w:color w:val="auto"/>
        </w:rPr>
      </w:pPr>
      <w:r>
        <w:rPr>
          <w:rFonts w:ascii="Arial" w:cs="Arial" w:eastAsia="Arial" w:hAnsi="Arial"/>
          <w:sz w:val="23"/>
          <w:szCs w:val="23"/>
          <w:b w:val="1"/>
          <w:bCs w:val="1"/>
          <w:color w:val="auto"/>
        </w:rPr>
        <w:t>Annual Meeting of Shareholders – May 2, 2019 Proxy Solicited on behalf of the Board of Directors</w:t>
      </w:r>
    </w:p>
    <w:p>
      <w:pPr>
        <w:spacing w:after="0" w:line="2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undersigned hereby appoints Timothy J. O’Shaughnessy, Wallace R. Cooney, Jacob M. Maas, and Nicole M. Maddrey, and each of them, his/her true and lawful agents and proxies, with full power of substitution in each, to vote as indicated on the reverse of the Proxy all shares of Class A Common Stock which the undersigned is entitled to vote at the Annual Meeting of Shareholders of GRAHAM HOLDINGS COMPANY to be held on May 2, 2019, and at any adjournment thereof, and to vote on all other matters properly coming before said meeting.</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vote, date and sign this proxy on the other side and return it promptly in the enclosed envelope.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(Continued and to be voted on reverse side.)</w:t>
      </w:r>
    </w:p>
    <w:p>
      <w:pPr>
        <w:sectPr>
          <w:pgSz w:w="11900" w:h="16838" w:orient="portrait"/>
          <w:cols w:equalWidth="0" w:num="1">
            <w:col w:w="10420"/>
          </w:cols>
          <w:pgMar w:left="740" w:top="1440" w:right="7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210820</wp:posOffset>
            </wp:positionV>
            <wp:extent cx="2739390" cy="704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73939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403" w:lineRule="exact"/>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w:t>
      </w:r>
      <w:r>
        <w:rPr>
          <w:rFonts w:ascii="MS PGothic" w:cs="MS PGothic" w:eastAsia="MS PGothic" w:hAnsi="MS PGothic"/>
          <w:sz w:val="35"/>
          <w:szCs w:val="35"/>
          <w:color w:val="auto"/>
        </w:rPr>
        <w:t>☒</w:t>
      </w: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618605" cy="302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8605" cy="30226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2019 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66135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3525" cy="24130"/>
                    </a:xfrm>
                    <a:prstGeom prst="rect">
                      <a:avLst/>
                    </a:prstGeom>
                    <a:noFill/>
                  </pic:spPr>
                </pic:pic>
              </a:graphicData>
            </a:graphic>
          </wp:anchor>
        </w:drawing>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187" w:lineRule="exact"/>
        <w:rPr>
          <w:sz w:val="20"/>
          <w:szCs w:val="20"/>
          <w:color w:val="auto"/>
        </w:rPr>
      </w:pPr>
    </w:p>
    <w:p>
      <w:pPr>
        <w:ind w:left="460" w:hanging="365"/>
        <w:spacing w:after="0"/>
        <w:tabs>
          <w:tab w:leader="none" w:pos="460" w:val="left"/>
        </w:tabs>
        <w:numPr>
          <w:ilvl w:val="0"/>
          <w:numId w:val="53"/>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 xml:space="preserve">Election of Directors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-110490</wp:posOffset>
            </wp:positionV>
            <wp:extent cx="6078855" cy="121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8855" cy="12128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80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41"/>
                <w:szCs w:val="41"/>
                <w:b w:val="1"/>
                <w:bCs w:val="1"/>
                <w:color w:val="auto"/>
              </w:rPr>
              <w:t>+</w:t>
            </w:r>
          </w:p>
        </w:tc>
        <w:tc>
          <w:tcPr>
            <w:tcW w:w="0" w:type="dxa"/>
            <w:vAlign w:val="bottom"/>
          </w:tcPr>
          <w:p>
            <w:pPr>
              <w:spacing w:after="0"/>
              <w:rPr>
                <w:sz w:val="1"/>
                <w:szCs w:val="1"/>
                <w:color w:val="auto"/>
              </w:rPr>
            </w:pPr>
          </w:p>
        </w:tc>
      </w:tr>
      <w:tr>
        <w:trPr>
          <w:trHeight w:val="449"/>
        </w:trPr>
        <w:tc>
          <w:tcPr>
            <w:tcW w:w="180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1060" w:type="dxa"/>
            <w:vAlign w:val="bottom"/>
          </w:tcPr>
          <w:p>
            <w:pPr>
              <w:jc w:val="center"/>
              <w:ind w:right="146"/>
              <w:spacing w:after="0"/>
              <w:rPr>
                <w:sz w:val="20"/>
                <w:szCs w:val="20"/>
                <w:color w:val="auto"/>
              </w:rPr>
            </w:pPr>
            <w:r>
              <w:rPr>
                <w:rFonts w:ascii="Arial" w:cs="Arial" w:eastAsia="Arial" w:hAnsi="Arial"/>
                <w:sz w:val="14"/>
                <w:szCs w:val="14"/>
                <w:b w:val="1"/>
                <w:bCs w:val="1"/>
                <w:color w:val="auto"/>
                <w:w w:val="96"/>
              </w:rPr>
              <w:t>Withhold</w:t>
            </w:r>
          </w:p>
        </w:tc>
        <w:tc>
          <w:tcPr>
            <w:tcW w:w="178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1040" w:type="dxa"/>
            <w:vAlign w:val="bottom"/>
          </w:tcPr>
          <w:p>
            <w:pPr>
              <w:jc w:val="center"/>
              <w:ind w:right="126"/>
              <w:spacing w:after="0"/>
              <w:rPr>
                <w:sz w:val="20"/>
                <w:szCs w:val="20"/>
                <w:color w:val="auto"/>
              </w:rPr>
            </w:pPr>
            <w:r>
              <w:rPr>
                <w:rFonts w:ascii="Arial" w:cs="Arial" w:eastAsia="Arial" w:hAnsi="Arial"/>
                <w:sz w:val="14"/>
                <w:szCs w:val="14"/>
                <w:b w:val="1"/>
                <w:bCs w:val="1"/>
                <w:color w:val="auto"/>
                <w:w w:val="96"/>
              </w:rPr>
              <w:t>Withhold</w:t>
            </w:r>
          </w:p>
        </w:tc>
        <w:tc>
          <w:tcPr>
            <w:tcW w:w="190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6"/>
              </w:rPr>
              <w:t>Withhold</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800" w:type="dxa"/>
            <w:vAlign w:val="bottom"/>
          </w:tcPr>
          <w:p>
            <w:pPr>
              <w:ind w:left="160"/>
              <w:spacing w:after="0"/>
              <w:rPr>
                <w:sz w:val="20"/>
                <w:szCs w:val="20"/>
                <w:color w:val="auto"/>
              </w:rPr>
            </w:pPr>
            <w:r>
              <w:rPr>
                <w:rFonts w:ascii="Arial" w:cs="Arial" w:eastAsia="Arial" w:hAnsi="Arial"/>
                <w:sz w:val="14"/>
                <w:szCs w:val="14"/>
                <w:color w:val="auto"/>
              </w:rPr>
              <w:t>01 - Christopher C. Davis</w:t>
            </w:r>
          </w:p>
        </w:tc>
        <w:tc>
          <w:tcPr>
            <w:tcW w:w="460" w:type="dxa"/>
            <w:vAlign w:val="bottom"/>
          </w:tcPr>
          <w:p>
            <w:pPr>
              <w:ind w:left="120"/>
              <w:spacing w:after="0" w:line="241" w:lineRule="exact"/>
              <w:rPr>
                <w:sz w:val="20"/>
                <w:szCs w:val="20"/>
                <w:color w:val="auto"/>
              </w:rPr>
            </w:pPr>
            <w:r>
              <w:rPr>
                <w:rFonts w:ascii="MS PGothic" w:cs="MS PGothic" w:eastAsia="MS PGothic" w:hAnsi="MS PGothic"/>
                <w:sz w:val="24"/>
                <w:szCs w:val="24"/>
                <w:color w:val="auto"/>
              </w:rPr>
              <w:t>☐</w:t>
            </w:r>
          </w:p>
        </w:tc>
        <w:tc>
          <w:tcPr>
            <w:tcW w:w="1060" w:type="dxa"/>
            <w:vAlign w:val="bottom"/>
          </w:tcPr>
          <w:p>
            <w:pPr>
              <w:jc w:val="center"/>
              <w:ind w:right="146"/>
              <w:spacing w:after="0" w:line="241" w:lineRule="exact"/>
              <w:rPr>
                <w:sz w:val="20"/>
                <w:szCs w:val="20"/>
                <w:color w:val="auto"/>
              </w:rPr>
            </w:pPr>
            <w:r>
              <w:rPr>
                <w:rFonts w:ascii="MS PGothic" w:cs="MS PGothic" w:eastAsia="MS PGothic" w:hAnsi="MS PGothic"/>
                <w:sz w:val="24"/>
                <w:szCs w:val="24"/>
                <w:color w:val="auto"/>
                <w:w w:val="91"/>
              </w:rPr>
              <w:t>☐</w:t>
            </w:r>
          </w:p>
        </w:tc>
        <w:tc>
          <w:tcPr>
            <w:tcW w:w="1780" w:type="dxa"/>
            <w:vAlign w:val="bottom"/>
          </w:tcPr>
          <w:p>
            <w:pPr>
              <w:ind w:left="340"/>
              <w:spacing w:after="0"/>
              <w:rPr>
                <w:sz w:val="20"/>
                <w:szCs w:val="20"/>
                <w:color w:val="auto"/>
              </w:rPr>
            </w:pPr>
            <w:r>
              <w:rPr>
                <w:rFonts w:ascii="Arial" w:cs="Arial" w:eastAsia="Arial" w:hAnsi="Arial"/>
                <w:sz w:val="14"/>
                <w:szCs w:val="14"/>
                <w:color w:val="auto"/>
              </w:rPr>
              <w:t>02 - Anne M. Mulcahy</w:t>
            </w:r>
          </w:p>
        </w:tc>
        <w:tc>
          <w:tcPr>
            <w:tcW w:w="460" w:type="dxa"/>
            <w:vAlign w:val="bottom"/>
          </w:tcPr>
          <w:p>
            <w:pPr>
              <w:ind w:left="120"/>
              <w:spacing w:after="0" w:line="241" w:lineRule="exact"/>
              <w:rPr>
                <w:sz w:val="20"/>
                <w:szCs w:val="20"/>
                <w:color w:val="auto"/>
              </w:rPr>
            </w:pPr>
            <w:r>
              <w:rPr>
                <w:rFonts w:ascii="MS PGothic" w:cs="MS PGothic" w:eastAsia="MS PGothic" w:hAnsi="MS PGothic"/>
                <w:sz w:val="24"/>
                <w:szCs w:val="24"/>
                <w:color w:val="auto"/>
              </w:rPr>
              <w:t>☐</w:t>
            </w:r>
          </w:p>
        </w:tc>
        <w:tc>
          <w:tcPr>
            <w:tcW w:w="1040" w:type="dxa"/>
            <w:vAlign w:val="bottom"/>
          </w:tcPr>
          <w:p>
            <w:pPr>
              <w:jc w:val="center"/>
              <w:ind w:right="126"/>
              <w:spacing w:after="0" w:line="241" w:lineRule="exact"/>
              <w:rPr>
                <w:sz w:val="20"/>
                <w:szCs w:val="20"/>
                <w:color w:val="auto"/>
              </w:rPr>
            </w:pPr>
            <w:r>
              <w:rPr>
                <w:rFonts w:ascii="MS PGothic" w:cs="MS PGothic" w:eastAsia="MS PGothic" w:hAnsi="MS PGothic"/>
                <w:sz w:val="24"/>
                <w:szCs w:val="24"/>
                <w:color w:val="auto"/>
                <w:w w:val="91"/>
              </w:rPr>
              <w:t>☐</w:t>
            </w:r>
          </w:p>
        </w:tc>
        <w:tc>
          <w:tcPr>
            <w:tcW w:w="1900" w:type="dxa"/>
            <w:vAlign w:val="bottom"/>
          </w:tcPr>
          <w:p>
            <w:pPr>
              <w:ind w:left="360"/>
              <w:spacing w:after="0"/>
              <w:rPr>
                <w:sz w:val="20"/>
                <w:szCs w:val="20"/>
                <w:color w:val="auto"/>
              </w:rPr>
            </w:pPr>
            <w:r>
              <w:rPr>
                <w:rFonts w:ascii="Arial" w:cs="Arial" w:eastAsia="Arial" w:hAnsi="Arial"/>
                <w:sz w:val="14"/>
                <w:szCs w:val="14"/>
                <w:color w:val="auto"/>
              </w:rPr>
              <w:t>03 - Larry D. Thompson</w:t>
            </w:r>
          </w:p>
        </w:tc>
        <w:tc>
          <w:tcPr>
            <w:tcW w:w="460" w:type="dxa"/>
            <w:vAlign w:val="bottom"/>
          </w:tcPr>
          <w:p>
            <w:pPr>
              <w:ind w:left="120"/>
              <w:spacing w:after="0" w:line="241" w:lineRule="exact"/>
              <w:rPr>
                <w:sz w:val="20"/>
                <w:szCs w:val="20"/>
                <w:color w:val="auto"/>
              </w:rPr>
            </w:pPr>
            <w:r>
              <w:rPr>
                <w:rFonts w:ascii="MS PGothic" w:cs="MS PGothic" w:eastAsia="MS PGothic" w:hAnsi="MS PGothic"/>
                <w:sz w:val="24"/>
                <w:szCs w:val="24"/>
                <w:color w:val="auto"/>
              </w:rPr>
              <w:t>☐</w:t>
            </w:r>
          </w:p>
        </w:tc>
        <w:tc>
          <w:tcPr>
            <w:tcW w:w="1000" w:type="dxa"/>
            <w:vAlign w:val="bottom"/>
          </w:tcPr>
          <w:p>
            <w:pPr>
              <w:jc w:val="center"/>
              <w:ind w:right="86"/>
              <w:spacing w:after="0" w:line="241" w:lineRule="exact"/>
              <w:rPr>
                <w:sz w:val="20"/>
                <w:szCs w:val="20"/>
                <w:color w:val="auto"/>
              </w:rPr>
            </w:pPr>
            <w:r>
              <w:rPr>
                <w:rFonts w:ascii="MS PGothic" w:cs="MS PGothic" w:eastAsia="MS PGothic" w:hAnsi="MS PGothic"/>
                <w:sz w:val="24"/>
                <w:szCs w:val="24"/>
                <w:color w:val="auto"/>
                <w:w w:val="91"/>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hanging="319"/>
        <w:spacing w:after="0"/>
        <w:tabs>
          <w:tab w:leader="none" w:pos="420" w:val="left"/>
        </w:tabs>
        <w:numPr>
          <w:ilvl w:val="0"/>
          <w:numId w:val="54"/>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-110490</wp:posOffset>
            </wp:positionV>
            <wp:extent cx="6111240" cy="121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1240" cy="121285"/>
                    </a:xfrm>
                    <a:prstGeom prst="rect">
                      <a:avLst/>
                    </a:prstGeom>
                    <a:noFill/>
                  </pic:spPr>
                </pic:pic>
              </a:graphicData>
            </a:graphic>
          </wp:anchor>
        </w:drawing>
      </w:r>
    </w:p>
    <w:p>
      <w:pPr>
        <w:spacing w:after="0" w:line="78" w:lineRule="exact"/>
        <w:rPr>
          <w:sz w:val="20"/>
          <w:szCs w:val="20"/>
          <w:color w:val="auto"/>
        </w:rPr>
      </w:pPr>
    </w:p>
    <w:p>
      <w:pPr>
        <w:ind w:right="1120"/>
        <w:spacing w:after="0" w:line="235"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230" w:lineRule="exact"/>
        <w:rPr>
          <w:sz w:val="20"/>
          <w:szCs w:val="20"/>
          <w:color w:val="auto"/>
        </w:rPr>
      </w:pPr>
    </w:p>
    <w:p>
      <w:pPr>
        <w:spacing w:after="0"/>
        <w:tabs>
          <w:tab w:leader="none" w:pos="3480" w:val="left"/>
          <w:tab w:leader="none" w:pos="70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6621780" cy="219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1780" cy="219075"/>
                    </a:xfrm>
                    <a:prstGeom prst="rect">
                      <a:avLst/>
                    </a:prstGeom>
                    <a:noFill/>
                  </pic:spPr>
                </pic:pic>
              </a:graphicData>
            </a:graphic>
          </wp:anchor>
        </w:drawing>
      </w:r>
    </w:p>
    <w:p>
      <w:pPr>
        <w:ind w:left="1080"/>
        <w:spacing w:after="0"/>
        <w:tabs>
          <w:tab w:leader="none" w:pos="234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161925</wp:posOffset>
            </wp:positionV>
            <wp:extent cx="5989955" cy="527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89955" cy="527050"/>
                    </a:xfrm>
                    <a:prstGeom prst="rect">
                      <a:avLst/>
                    </a:prstGeom>
                    <a:noFill/>
                  </pic:spPr>
                </pic:pic>
              </a:graphicData>
            </a:graphic>
          </wp:anchor>
        </w:drawing>
      </w:r>
    </w:p>
    <w:p>
      <w:pPr>
        <w:sectPr>
          <w:pgSz w:w="11900" w:h="16838" w:orient="portrait"/>
          <w:cols w:equalWidth="0" w:num="1">
            <w:col w:w="10480"/>
          </w:cols>
          <w:pgMar w:left="740" w:top="1440" w:right="6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475615</wp:posOffset>
            </wp:positionH>
            <wp:positionV relativeFrom="page">
              <wp:posOffset>1983105</wp:posOffset>
            </wp:positionV>
            <wp:extent cx="6618605" cy="645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860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of Shareholders to be held on May 2, 2019.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147955</wp:posOffset>
            </wp:positionV>
            <wp:extent cx="6305550" cy="316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5550" cy="31623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Graham Holdings Company</w:t>
      </w: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Graham Holdings Company</w:t>
      </w:r>
    </w:p>
    <w:p>
      <w:pPr>
        <w:spacing w:after="0" w:line="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Class B Common Stock</w:t>
      </w:r>
    </w:p>
    <w:p>
      <w:pPr>
        <w:spacing w:after="0" w:line="179" w:lineRule="exact"/>
        <w:rPr>
          <w:sz w:val="20"/>
          <w:szCs w:val="20"/>
          <w:color w:val="auto"/>
        </w:rPr>
      </w:pPr>
    </w:p>
    <w:p>
      <w:pPr>
        <w:ind w:right="4700"/>
        <w:spacing w:after="0" w:line="301" w:lineRule="auto"/>
        <w:rPr>
          <w:sz w:val="20"/>
          <w:szCs w:val="20"/>
          <w:color w:val="auto"/>
        </w:rPr>
      </w:pPr>
      <w:r>
        <w:rPr>
          <w:rFonts w:ascii="Arial" w:cs="Arial" w:eastAsia="Arial" w:hAnsi="Arial"/>
          <w:sz w:val="23"/>
          <w:szCs w:val="23"/>
          <w:b w:val="1"/>
          <w:bCs w:val="1"/>
          <w:color w:val="auto"/>
        </w:rPr>
        <w:t>Annual Meeting of Shareholders – May 2, 2019 Proxy Solicited on behalf of the Board of Directors</w:t>
      </w:r>
    </w:p>
    <w:p>
      <w:pPr>
        <w:spacing w:after="0" w:line="2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2, 2019, and at any adjournment thereof, and to vote on all other matters properly coming before said Meeting.</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vote, date and sign this proxy on the other side and return it promptly in the enclosed envelope.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(Continued and to be voted on reverse side.)</w:t>
      </w:r>
    </w:p>
    <w:p>
      <w:pPr>
        <w:sectPr>
          <w:pgSz w:w="11900" w:h="16838" w:orient="portrait"/>
          <w:cols w:equalWidth="0" w:num="1">
            <w:col w:w="10420"/>
          </w:cols>
          <w:pgMar w:left="740" w:top="1440" w:right="7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210820</wp:posOffset>
            </wp:positionV>
            <wp:extent cx="2739390" cy="704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73939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Using a </w:t>
      </w:r>
      <w:r>
        <w:rPr>
          <w:rFonts w:ascii="Arial" w:cs="Arial" w:eastAsia="Arial" w:hAnsi="Arial"/>
          <w:sz w:val="11"/>
          <w:szCs w:val="11"/>
          <w:b w:val="1"/>
          <w:bCs w:val="1"/>
          <w:u w:val="single" w:color="auto"/>
          <w:color w:val="auto"/>
        </w:rPr>
        <w:t>black ink</w:t>
      </w:r>
      <w:r>
        <w:rPr>
          <w:rFonts w:ascii="Arial" w:cs="Arial" w:eastAsia="Arial" w:hAnsi="Arial"/>
          <w:sz w:val="11"/>
          <w:szCs w:val="11"/>
          <w:color w:val="auto"/>
        </w:rPr>
        <w:t xml:space="preserve"> pen, mark your votes with an </w:t>
      </w:r>
      <w:r>
        <w:rPr>
          <w:rFonts w:ascii="Arial" w:cs="Arial" w:eastAsia="Arial" w:hAnsi="Arial"/>
          <w:sz w:val="11"/>
          <w:szCs w:val="11"/>
          <w:b w:val="1"/>
          <w:bCs w:val="1"/>
          <w:color w:val="auto"/>
        </w:rPr>
        <w:t>X</w:t>
      </w:r>
      <w:r>
        <w:rPr>
          <w:rFonts w:ascii="Arial" w:cs="Arial" w:eastAsia="Arial" w:hAnsi="Arial"/>
          <w:sz w:val="11"/>
          <w:szCs w:val="11"/>
          <w:color w:val="auto"/>
        </w:rPr>
        <w:t xml:space="preserve"> as shown in this example.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20"/>
        <w:spacing w:after="0"/>
        <w:rPr>
          <w:sz w:val="20"/>
          <w:szCs w:val="20"/>
          <w:color w:val="auto"/>
        </w:rPr>
      </w:pPr>
      <w:r>
        <w:rPr>
          <w:rFonts w:ascii="Arial" w:cs="Arial" w:eastAsia="Arial" w:hAnsi="Arial"/>
          <w:sz w:val="24"/>
          <w:szCs w:val="24"/>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-1015365</wp:posOffset>
            </wp:positionV>
            <wp:extent cx="72955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You may vote online or by phone instead of mailing this card.</w:t>
      </w:r>
    </w:p>
    <w:p>
      <w:pPr>
        <w:spacing w:after="0" w:line="27" w:lineRule="exact"/>
        <w:rPr>
          <w:sz w:val="20"/>
          <w:szCs w:val="20"/>
          <w:color w:val="auto"/>
        </w:rPr>
      </w:pPr>
    </w:p>
    <w:p>
      <w:pPr>
        <w:jc w:val="both"/>
        <w:ind w:left="1340" w:right="260"/>
        <w:spacing w:after="0" w:line="252" w:lineRule="auto"/>
        <w:rPr>
          <w:sz w:val="20"/>
          <w:szCs w:val="20"/>
          <w:color w:val="auto"/>
        </w:rPr>
      </w:pPr>
      <w:r>
        <w:rPr>
          <w:rFonts w:ascii="Arial" w:cs="Arial" w:eastAsia="Arial" w:hAnsi="Arial"/>
          <w:sz w:val="17"/>
          <w:szCs w:val="17"/>
          <w:b w:val="1"/>
          <w:bCs w:val="1"/>
          <w:color w:val="auto"/>
        </w:rPr>
        <w:t>Votes submitted electronically must be received by 5:00 p.m., Eastern Daylight Saving Time, on May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-368935</wp:posOffset>
            </wp:positionV>
            <wp:extent cx="381000" cy="348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1000" cy="348615"/>
                    </a:xfrm>
                    <a:prstGeom prst="rect">
                      <a:avLst/>
                    </a:prstGeom>
                    <a:noFill/>
                  </pic:spPr>
                </pic:pic>
              </a:graphicData>
            </a:graphic>
          </wp:anchor>
        </w:drawing>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Online</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www.investorvote.com</w:t>
      </w:r>
    </w:p>
    <w:p>
      <w:pPr>
        <w:ind w:left="1340" w:right="380"/>
        <w:spacing w:after="0" w:line="245" w:lineRule="auto"/>
        <w:rPr>
          <w:sz w:val="20"/>
          <w:szCs w:val="20"/>
          <w:color w:val="auto"/>
        </w:rPr>
      </w:pPr>
      <w:r>
        <w:rPr>
          <w:rFonts w:ascii="Arial" w:cs="Arial" w:eastAsia="Arial" w:hAnsi="Arial"/>
          <w:sz w:val="17"/>
          <w:szCs w:val="17"/>
          <w:color w:val="auto"/>
        </w:rPr>
        <w:t>or scan the QR code – login details are located in the shaded bar below.</w:t>
      </w:r>
    </w:p>
    <w:p>
      <w:pPr>
        <w:spacing w:after="0" w:line="168"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-37465</wp:posOffset>
            </wp:positionV>
            <wp:extent cx="243205" cy="41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3205" cy="413385"/>
                    </a:xfrm>
                    <a:prstGeom prst="rect">
                      <a:avLst/>
                    </a:prstGeom>
                    <a:noFill/>
                  </pic:spPr>
                </pic:pic>
              </a:graphicData>
            </a:graphic>
          </wp:anchor>
        </w:drawing>
      </w:r>
    </w:p>
    <w:p>
      <w:pPr>
        <w:ind w:left="1340" w:right="100"/>
        <w:spacing w:after="0" w:line="245" w:lineRule="auto"/>
        <w:rPr>
          <w:sz w:val="20"/>
          <w:szCs w:val="20"/>
          <w:color w:val="auto"/>
        </w:rPr>
      </w:pPr>
      <w:r>
        <w:rPr>
          <w:rFonts w:ascii="Arial" w:cs="Arial" w:eastAsia="Arial" w:hAnsi="Arial"/>
          <w:sz w:val="17"/>
          <w:szCs w:val="17"/>
          <w:color w:val="auto"/>
        </w:rPr>
        <w:t>Call toll free 1-800-652-VOTE (8683) within the USA, US territories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341" w:lineRule="exact"/>
        <w:rPr>
          <w:sz w:val="20"/>
          <w:szCs w:val="20"/>
          <w:color w:val="auto"/>
        </w:rPr>
      </w:pPr>
      <w:r>
        <w:rPr>
          <w:rFonts w:ascii="MS PGothic" w:cs="MS PGothic" w:eastAsia="MS PGothic" w:hAnsi="MS PGothic"/>
          <w:sz w:val="34"/>
          <w:szCs w:val="3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181610</wp:posOffset>
            </wp:positionV>
            <wp:extent cx="6832600" cy="396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2600" cy="396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680"/>
            <w:col w:w="5720"/>
          </w:cols>
          <w:pgMar w:left="74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VOTING BY MAIL, SIGN, DETACH AND RETURN THE BOTTOM PORTION IN THE ENCLOSED ENVELOPE.</w:t>
      </w:r>
      <w:r>
        <w:rPr>
          <w:rFonts w:ascii="Arial" w:cs="Arial" w:eastAsia="Arial" w:hAnsi="Arial"/>
          <w:sz w:val="12"/>
          <w:szCs w:val="12"/>
          <w:color w:val="auto"/>
        </w:rPr>
        <w:t xml:space="preserve"> q</w:t>
      </w:r>
    </w:p>
    <w:p>
      <w:pPr>
        <w:spacing w:after="0" w:line="295"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7"/>
          <w:szCs w:val="17"/>
          <w:b w:val="1"/>
          <w:bCs w:val="1"/>
          <w:color w:val="FFFFFF"/>
        </w:rPr>
        <w:t>A</w:t>
      </w:r>
      <w:r>
        <w:rPr>
          <w:sz w:val="20"/>
          <w:szCs w:val="20"/>
          <w:color w:val="auto"/>
        </w:rPr>
        <w:tab/>
      </w:r>
      <w:r>
        <w:rPr>
          <w:rFonts w:ascii="Arial" w:cs="Arial" w:eastAsia="Arial" w:hAnsi="Arial"/>
          <w:sz w:val="16"/>
          <w:szCs w:val="16"/>
          <w:b w:val="1"/>
          <w:bCs w:val="1"/>
          <w:color w:val="auto"/>
        </w:rPr>
        <w:t xml:space="preserve">Election of Directors – 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-110490</wp:posOffset>
            </wp:positionV>
            <wp:extent cx="630555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60" w:type="dxa"/>
            <w:vAlign w:val="bottom"/>
          </w:tcPr>
          <w:p>
            <w:pPr>
              <w:spacing w:after="0"/>
              <w:rPr>
                <w:sz w:val="20"/>
                <w:szCs w:val="20"/>
                <w:color w:val="auto"/>
              </w:rPr>
            </w:pPr>
            <w:r>
              <w:rPr>
                <w:rFonts w:ascii="Arial" w:cs="Arial" w:eastAsia="Arial" w:hAnsi="Arial"/>
                <w:sz w:val="12"/>
                <w:szCs w:val="12"/>
                <w:color w:val="auto"/>
              </w:rPr>
              <w:t>1. Election of Directors:</w:t>
            </w: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41"/>
                <w:szCs w:val="41"/>
                <w:b w:val="1"/>
                <w:bCs w:val="1"/>
                <w:color w:val="auto"/>
              </w:rPr>
              <w:t>+</w:t>
            </w:r>
          </w:p>
        </w:tc>
        <w:tc>
          <w:tcPr>
            <w:tcW w:w="0" w:type="dxa"/>
            <w:vAlign w:val="bottom"/>
          </w:tcPr>
          <w:p>
            <w:pPr>
              <w:spacing w:after="0"/>
              <w:rPr>
                <w:sz w:val="1"/>
                <w:szCs w:val="1"/>
                <w:color w:val="auto"/>
              </w:rPr>
            </w:pPr>
          </w:p>
        </w:tc>
      </w:tr>
      <w:tr>
        <w:trPr>
          <w:trHeight w:val="413"/>
        </w:trPr>
        <w:tc>
          <w:tcPr>
            <w:tcW w:w="2560" w:type="dxa"/>
            <w:vAlign w:val="bottom"/>
          </w:tcPr>
          <w:p>
            <w:pPr>
              <w:ind w:left="140"/>
              <w:spacing w:after="0"/>
              <w:rPr>
                <w:sz w:val="20"/>
                <w:szCs w:val="20"/>
                <w:color w:val="auto"/>
              </w:rPr>
            </w:pPr>
            <w:r>
              <w:rPr>
                <w:rFonts w:ascii="Arial" w:cs="Arial" w:eastAsia="Arial" w:hAnsi="Arial"/>
                <w:sz w:val="12"/>
                <w:szCs w:val="12"/>
                <w:color w:val="auto"/>
              </w:rPr>
              <w:t>01 - Christopher C. Davis</w:t>
            </w:r>
          </w:p>
        </w:tc>
        <w:tc>
          <w:tcPr>
            <w:tcW w:w="2100" w:type="dxa"/>
            <w:vAlign w:val="bottom"/>
          </w:tcPr>
          <w:p>
            <w:pPr>
              <w:ind w:left="1100"/>
              <w:spacing w:after="0"/>
              <w:rPr>
                <w:sz w:val="20"/>
                <w:szCs w:val="20"/>
                <w:color w:val="auto"/>
              </w:rPr>
            </w:pPr>
            <w:r>
              <w:rPr>
                <w:rFonts w:ascii="Arial" w:cs="Arial" w:eastAsia="Arial" w:hAnsi="Arial"/>
                <w:sz w:val="12"/>
                <w:szCs w:val="12"/>
                <w:b w:val="1"/>
                <w:bCs w:val="1"/>
                <w:color w:val="auto"/>
              </w:rPr>
              <w:t>For  Withhold</w:t>
            </w:r>
          </w:p>
        </w:tc>
        <w:tc>
          <w:tcPr>
            <w:tcW w:w="1480" w:type="dxa"/>
            <w:vAlign w:val="bottom"/>
          </w:tcPr>
          <w:p>
            <w:pPr>
              <w:ind w:left="160"/>
              <w:spacing w:after="0"/>
              <w:rPr>
                <w:sz w:val="20"/>
                <w:szCs w:val="20"/>
                <w:color w:val="auto"/>
              </w:rPr>
            </w:pPr>
            <w:r>
              <w:rPr>
                <w:rFonts w:ascii="Arial" w:cs="Arial" w:eastAsia="Arial" w:hAnsi="Arial"/>
                <w:sz w:val="12"/>
                <w:szCs w:val="12"/>
                <w:color w:val="auto"/>
              </w:rPr>
              <w:t>02 - Anne M. Mulcahy</w:t>
            </w:r>
          </w:p>
        </w:tc>
        <w:tc>
          <w:tcPr>
            <w:tcW w:w="1180" w:type="dxa"/>
            <w:vAlign w:val="bottom"/>
          </w:tcPr>
          <w:p>
            <w:pPr>
              <w:ind w:left="180"/>
              <w:spacing w:after="0"/>
              <w:rPr>
                <w:sz w:val="20"/>
                <w:szCs w:val="20"/>
                <w:color w:val="auto"/>
              </w:rPr>
            </w:pPr>
            <w:r>
              <w:rPr>
                <w:rFonts w:ascii="Arial" w:cs="Arial" w:eastAsia="Arial" w:hAnsi="Arial"/>
                <w:sz w:val="12"/>
                <w:szCs w:val="12"/>
                <w:b w:val="1"/>
                <w:bCs w:val="1"/>
                <w:color w:val="auto"/>
              </w:rPr>
              <w:t>For  Withhold</w:t>
            </w:r>
          </w:p>
        </w:tc>
        <w:tc>
          <w:tcPr>
            <w:tcW w:w="1600" w:type="dxa"/>
            <w:vAlign w:val="bottom"/>
          </w:tcPr>
          <w:p>
            <w:pPr>
              <w:ind w:left="160"/>
              <w:spacing w:after="0"/>
              <w:rPr>
                <w:sz w:val="20"/>
                <w:szCs w:val="20"/>
                <w:color w:val="auto"/>
              </w:rPr>
            </w:pPr>
            <w:r>
              <w:rPr>
                <w:rFonts w:ascii="Arial" w:cs="Arial" w:eastAsia="Arial" w:hAnsi="Arial"/>
                <w:sz w:val="12"/>
                <w:szCs w:val="12"/>
                <w:color w:val="auto"/>
              </w:rPr>
              <w:t>03 - Larry D. Thompson</w:t>
            </w:r>
          </w:p>
        </w:tc>
        <w:tc>
          <w:tcPr>
            <w:tcW w:w="480" w:type="dxa"/>
            <w:vAlign w:val="bottom"/>
          </w:tcPr>
          <w:p>
            <w:pPr>
              <w:jc w:val="center"/>
              <w:ind w:left="22"/>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560" w:type="dxa"/>
            <w:vAlign w:val="bottom"/>
          </w:tcPr>
          <w:p>
            <w:pPr>
              <w:spacing w:after="0"/>
              <w:rPr>
                <w:sz w:val="24"/>
                <w:szCs w:val="24"/>
                <w:color w:val="auto"/>
              </w:rPr>
            </w:pPr>
          </w:p>
        </w:tc>
        <w:tc>
          <w:tcPr>
            <w:tcW w:w="2100" w:type="dxa"/>
            <w:vAlign w:val="bottom"/>
          </w:tcPr>
          <w:p>
            <w:pPr>
              <w:ind w:left="1080"/>
              <w:spacing w:after="0" w:line="271" w:lineRule="exact"/>
              <w:rPr>
                <w:sz w:val="20"/>
                <w:szCs w:val="20"/>
                <w:color w:val="auto"/>
              </w:rPr>
            </w:pPr>
            <w:r>
              <w:rPr>
                <w:rFonts w:ascii="MS PGothic" w:cs="MS PGothic" w:eastAsia="MS PGothic" w:hAnsi="MS PGothic"/>
                <w:sz w:val="27"/>
                <w:szCs w:val="27"/>
                <w:color w:val="auto"/>
              </w:rPr>
              <w:t>☐ ☐</w:t>
            </w:r>
          </w:p>
        </w:tc>
        <w:tc>
          <w:tcPr>
            <w:tcW w:w="1480" w:type="dxa"/>
            <w:vAlign w:val="bottom"/>
          </w:tcPr>
          <w:p>
            <w:pPr>
              <w:spacing w:after="0"/>
              <w:rPr>
                <w:sz w:val="24"/>
                <w:szCs w:val="24"/>
                <w:color w:val="auto"/>
              </w:rPr>
            </w:pPr>
          </w:p>
        </w:tc>
        <w:tc>
          <w:tcPr>
            <w:tcW w:w="118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 ☐</w:t>
            </w:r>
          </w:p>
        </w:tc>
        <w:tc>
          <w:tcPr>
            <w:tcW w:w="1600" w:type="dxa"/>
            <w:vAlign w:val="bottom"/>
          </w:tcPr>
          <w:p>
            <w:pPr>
              <w:spacing w:after="0"/>
              <w:rPr>
                <w:sz w:val="24"/>
                <w:szCs w:val="24"/>
                <w:color w:val="auto"/>
              </w:rPr>
            </w:pPr>
          </w:p>
        </w:tc>
        <w:tc>
          <w:tcPr>
            <w:tcW w:w="480" w:type="dxa"/>
            <w:vAlign w:val="bottom"/>
          </w:tcPr>
          <w:p>
            <w:pPr>
              <w:jc w:val="center"/>
              <w:ind w:left="22"/>
              <w:spacing w:after="0" w:line="271" w:lineRule="exact"/>
              <w:rPr>
                <w:sz w:val="20"/>
                <w:szCs w:val="20"/>
                <w:color w:val="auto"/>
              </w:rPr>
            </w:pPr>
            <w:r>
              <w:rPr>
                <w:rFonts w:ascii="MS PGothic" w:cs="MS PGothic" w:eastAsia="MS PGothic" w:hAnsi="MS PGothic"/>
                <w:sz w:val="27"/>
                <w:szCs w:val="27"/>
                <w:color w:val="auto"/>
                <w:w w:val="88"/>
              </w:rPr>
              <w:t>☐</w:t>
            </w:r>
          </w:p>
        </w:tc>
        <w:tc>
          <w:tcPr>
            <w:tcW w:w="7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FFFFF"/>
          <w:vertAlign w:val="superscript"/>
        </w:rPr>
        <w:t>B</w:t>
      </w:r>
      <w:r>
        <w:rPr>
          <w:rFonts w:ascii="Arial" w:cs="Arial" w:eastAsia="Arial" w:hAnsi="Arial"/>
          <w:sz w:val="17"/>
          <w:szCs w:val="17"/>
          <w:b w:val="1"/>
          <w:bCs w:val="1"/>
          <w:color w:val="auto"/>
        </w:rPr>
        <w:t xml:space="preserve">  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-172720</wp:posOffset>
            </wp:positionV>
            <wp:extent cx="6305550"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1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9"/>
              </w:rPr>
              <w:t>Meeting Attendance</w:t>
            </w:r>
          </w:p>
        </w:tc>
        <w:tc>
          <w:tcPr>
            <w:tcW w:w="300" w:type="dxa"/>
            <w:vAlign w:val="bottom"/>
            <w:vMerge w:val="restart"/>
          </w:tcPr>
          <w:p>
            <w:pPr>
              <w:ind w:left="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138"/>
        </w:trPr>
        <w:tc>
          <w:tcPr>
            <w:tcW w:w="4120" w:type="dxa"/>
            <w:vAlign w:val="bottom"/>
            <w:tcBorders>
              <w:top w:val="single" w:sz="8" w:color="auto"/>
              <w:left w:val="single" w:sz="8" w:color="auto"/>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4300" w:type="dxa"/>
            <w:vAlign w:val="bottom"/>
            <w:tcBorders>
              <w:top w:val="single" w:sz="8" w:color="auto"/>
              <w:right w:val="single" w:sz="8" w:color="auto"/>
            </w:tcBorders>
          </w:tcPr>
          <w:p>
            <w:pPr>
              <w:spacing w:after="0"/>
              <w:rPr>
                <w:sz w:val="11"/>
                <w:szCs w:val="11"/>
                <w:color w:val="auto"/>
              </w:rPr>
            </w:pPr>
          </w:p>
        </w:tc>
        <w:tc>
          <w:tcPr>
            <w:tcW w:w="1500" w:type="dxa"/>
            <w:vAlign w:val="bottom"/>
          </w:tcPr>
          <w:p>
            <w:pPr>
              <w:ind w:left="160"/>
              <w:spacing w:after="0" w:line="138" w:lineRule="exact"/>
              <w:rPr>
                <w:sz w:val="20"/>
                <w:szCs w:val="20"/>
                <w:color w:val="auto"/>
              </w:rPr>
            </w:pPr>
            <w:r>
              <w:rPr>
                <w:rFonts w:ascii="Arial" w:cs="Arial" w:eastAsia="Arial" w:hAnsi="Arial"/>
                <w:sz w:val="14"/>
                <w:szCs w:val="14"/>
                <w:color w:val="auto"/>
              </w:rPr>
              <w:t>Mark box to the right</w:t>
            </w: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20" w:type="dxa"/>
            <w:vAlign w:val="bottom"/>
            <w:tcBorders>
              <w:left w:val="single" w:sz="8" w:color="auto"/>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300" w:type="dxa"/>
            <w:vAlign w:val="bottom"/>
            <w:tcBorders>
              <w:right w:val="single" w:sz="8" w:color="auto"/>
            </w:tcBorders>
          </w:tcPr>
          <w:p>
            <w:pPr>
              <w:spacing w:after="0"/>
              <w:rPr>
                <w:sz w:val="13"/>
                <w:szCs w:val="13"/>
                <w:color w:val="auto"/>
              </w:rPr>
            </w:pPr>
          </w:p>
        </w:tc>
        <w:tc>
          <w:tcPr>
            <w:tcW w:w="1500" w:type="dxa"/>
            <w:vAlign w:val="bottom"/>
          </w:tcPr>
          <w:p>
            <w:pPr>
              <w:ind w:left="160"/>
              <w:spacing w:after="0" w:line="153" w:lineRule="exact"/>
              <w:rPr>
                <w:sz w:val="20"/>
                <w:szCs w:val="20"/>
                <w:color w:val="auto"/>
              </w:rPr>
            </w:pPr>
            <w:r>
              <w:rPr>
                <w:rFonts w:ascii="Arial" w:cs="Arial" w:eastAsia="Arial" w:hAnsi="Arial"/>
                <w:sz w:val="14"/>
                <w:szCs w:val="14"/>
                <w:color w:val="auto"/>
              </w:rPr>
              <w:t>if you plan to attend</w:t>
            </w: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300" w:type="dxa"/>
            <w:vAlign w:val="bottom"/>
            <w:tcBorders>
              <w:bottom w:val="single" w:sz="8" w:color="auto"/>
              <w:right w:val="single" w:sz="8" w:color="auto"/>
            </w:tcBorders>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the Annual Meeting.</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0" w:hanging="236"/>
        <w:spacing w:after="0" w:line="216" w:lineRule="auto"/>
        <w:tabs>
          <w:tab w:leader="none" w:pos="280" w:val="left"/>
        </w:tabs>
        <w:numPr>
          <w:ilvl w:val="0"/>
          <w:numId w:val="55"/>
        </w:numPr>
        <w:rPr>
          <w:rFonts w:ascii="Arial" w:cs="Arial" w:eastAsia="Arial" w:hAnsi="Arial"/>
          <w:sz w:val="27"/>
          <w:szCs w:val="27"/>
          <w:b w:val="1"/>
          <w:bCs w:val="1"/>
          <w:color w:val="FFFFFF"/>
          <w:vertAlign w:val="superscript"/>
        </w:rPr>
      </w:pPr>
      <w:r>
        <w:rPr>
          <w:rFonts w:ascii="Arial" w:cs="Arial" w:eastAsia="Arial" w:hAnsi="Arial"/>
          <w:sz w:val="17"/>
          <w:szCs w:val="17"/>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630555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p>
      <w:pPr>
        <w:spacing w:after="0" w:line="37" w:lineRule="exact"/>
        <w:rPr>
          <w:sz w:val="20"/>
          <w:szCs w:val="20"/>
          <w:color w:val="auto"/>
        </w:rPr>
      </w:pPr>
    </w:p>
    <w:p>
      <w:pPr>
        <w:ind w:right="300"/>
        <w:spacing w:after="0" w:line="235"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92" w:lineRule="exact"/>
        <w:rPr>
          <w:sz w:val="20"/>
          <w:szCs w:val="20"/>
          <w:color w:val="auto"/>
        </w:rPr>
      </w:pPr>
    </w:p>
    <w:p>
      <w:pPr>
        <w:spacing w:after="0"/>
        <w:tabs>
          <w:tab w:leader="none" w:pos="3560" w:val="left"/>
          <w:tab w:leader="none" w:pos="71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6621780" cy="2190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1780" cy="219075"/>
                    </a:xfrm>
                    <a:prstGeom prst="rect">
                      <a:avLst/>
                    </a:prstGeom>
                    <a:noFill/>
                  </pic:spPr>
                </pic:pic>
              </a:graphicData>
            </a:graphic>
          </wp:anchor>
        </w:drawing>
      </w:r>
    </w:p>
    <w:p>
      <w:pPr>
        <w:ind w:left="1080"/>
        <w:spacing w:after="0"/>
        <w:tabs>
          <w:tab w:leader="none" w:pos="234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161925</wp:posOffset>
            </wp:positionV>
            <wp:extent cx="5949315" cy="542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49315" cy="542925"/>
                    </a:xfrm>
                    <a:prstGeom prst="rect">
                      <a:avLst/>
                    </a:prstGeom>
                    <a:noFill/>
                  </pic:spPr>
                </pic:pic>
              </a:graphicData>
            </a:graphic>
          </wp:anchor>
        </w:drawing>
      </w:r>
    </w:p>
    <w:p>
      <w:pPr>
        <w:sectPr>
          <w:pgSz w:w="11900" w:h="16838" w:orient="portrait"/>
          <w:cols w:equalWidth="0" w:num="1">
            <w:col w:w="10420"/>
          </w:cols>
          <w:pgMar w:left="740" w:top="1440" w:right="73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475615</wp:posOffset>
            </wp:positionH>
            <wp:positionV relativeFrom="page">
              <wp:posOffset>1375410</wp:posOffset>
            </wp:positionV>
            <wp:extent cx="6618605" cy="774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8605" cy="77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82"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of Shareholders to be held on May 2, 2019.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147955</wp:posOffset>
            </wp:positionV>
            <wp:extent cx="6305550" cy="316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5550" cy="31623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Graham Holdings Company</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Graham Holdings Company</w:t>
      </w:r>
    </w:p>
    <w:p>
      <w:pPr>
        <w:spacing w:after="0" w:line="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Class B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Annual Meeting of Shareholders – May 2, 2019</w:t>
      </w:r>
    </w:p>
    <w:p>
      <w:pPr>
        <w:spacing w:after="0" w:line="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Solicited on behalf of the Board of Directors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2, 2019, and at any adjournment thereof, and to vote on all other matters properly coming before said Meeting.</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vote, date and sign this proxy on the other side and return it promptly in the enclosed envelope.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(Continued and to be voted on reverse side.)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CHANGE YOUR VOTE</w:t>
      </w:r>
    </w:p>
    <w:p>
      <w:pPr>
        <w:spacing w:after="0" w:line="16" w:lineRule="exact"/>
        <w:rPr>
          <w:sz w:val="20"/>
          <w:szCs w:val="20"/>
          <w:color w:val="auto"/>
        </w:rPr>
      </w:pPr>
    </w:p>
    <w:p>
      <w:pPr>
        <w:jc w:val="both"/>
        <w:ind w:right="280"/>
        <w:spacing w:after="0"/>
        <w:rPr>
          <w:sz w:val="20"/>
          <w:szCs w:val="20"/>
          <w:color w:val="auto"/>
        </w:rPr>
      </w:pPr>
      <w:r>
        <w:rPr>
          <w:rFonts w:ascii="Arial" w:cs="Arial" w:eastAsia="Arial" w:hAnsi="Arial"/>
          <w:sz w:val="17"/>
          <w:szCs w:val="17"/>
          <w:color w:val="auto"/>
        </w:rPr>
        <w:t>Any subsequent vote by any means will change your prior vote. For example, if you voted by telephone, a subsequent Internet vote will change your vote. The last vote received before 5:00 p.m., Eastern Daylight Saving Time on May 1, 2019 will be the one counted. You may also revoke your proxy by voting in person at the annual meeting.</w:t>
      </w:r>
    </w:p>
    <w:p>
      <w:pPr>
        <w:sectPr>
          <w:pgSz w:w="11900" w:h="16838" w:orient="portrait"/>
          <w:cols w:equalWidth="0" w:num="1">
            <w:col w:w="10420"/>
          </w:cols>
          <w:pgMar w:left="740" w:top="1440" w:right="7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210820</wp:posOffset>
            </wp:positionV>
            <wp:extent cx="2739390" cy="704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73939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Using a </w:t>
      </w:r>
      <w:r>
        <w:rPr>
          <w:rFonts w:ascii="Arial" w:cs="Arial" w:eastAsia="Arial" w:hAnsi="Arial"/>
          <w:sz w:val="11"/>
          <w:szCs w:val="11"/>
          <w:b w:val="1"/>
          <w:bCs w:val="1"/>
          <w:u w:val="single" w:color="auto"/>
          <w:color w:val="auto"/>
        </w:rPr>
        <w:t>black ink</w:t>
      </w:r>
      <w:r>
        <w:rPr>
          <w:rFonts w:ascii="Arial" w:cs="Arial" w:eastAsia="Arial" w:hAnsi="Arial"/>
          <w:sz w:val="11"/>
          <w:szCs w:val="11"/>
          <w:color w:val="auto"/>
        </w:rPr>
        <w:t xml:space="preserve"> pen, mark your votes with an </w:t>
      </w:r>
      <w:r>
        <w:rPr>
          <w:rFonts w:ascii="Arial" w:cs="Arial" w:eastAsia="Arial" w:hAnsi="Arial"/>
          <w:sz w:val="11"/>
          <w:szCs w:val="11"/>
          <w:b w:val="1"/>
          <w:bCs w:val="1"/>
          <w:color w:val="auto"/>
        </w:rPr>
        <w:t>X</w:t>
      </w:r>
      <w:r>
        <w:rPr>
          <w:rFonts w:ascii="Arial" w:cs="Arial" w:eastAsia="Arial" w:hAnsi="Arial"/>
          <w:sz w:val="11"/>
          <w:szCs w:val="11"/>
          <w:color w:val="auto"/>
        </w:rPr>
        <w:t xml:space="preserve"> as shown in this example.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4"/>
          <w:szCs w:val="24"/>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-1177925</wp:posOffset>
            </wp:positionV>
            <wp:extent cx="72955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may vote online or by phone instead of mailing this card.</w:t>
      </w:r>
    </w:p>
    <w:p>
      <w:pPr>
        <w:spacing w:after="0" w:line="36" w:lineRule="exact"/>
        <w:rPr>
          <w:sz w:val="20"/>
          <w:szCs w:val="20"/>
          <w:color w:val="auto"/>
        </w:rPr>
      </w:pPr>
    </w:p>
    <w:p>
      <w:pPr>
        <w:ind w:left="1380" w:right="120"/>
        <w:spacing w:after="0" w:line="284" w:lineRule="auto"/>
        <w:rPr>
          <w:sz w:val="20"/>
          <w:szCs w:val="20"/>
          <w:color w:val="auto"/>
        </w:rPr>
      </w:pPr>
      <w:r>
        <w:rPr>
          <w:rFonts w:ascii="Arial" w:cs="Arial" w:eastAsia="Arial" w:hAnsi="Arial"/>
          <w:sz w:val="12"/>
          <w:szCs w:val="12"/>
          <w:b w:val="1"/>
          <w:bCs w:val="1"/>
          <w:color w:val="auto"/>
        </w:rPr>
        <w:t>Voting directions submitted by Internet or telephone must be received by 11:00 p.m., Eastern Daylight Saving Time, on April 29, 2019 for participants in the 401(k) savings plans listed on the reverse side of the proxy card with Graham Holdings Company common stock allocated to his or her savings plan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-445770</wp:posOffset>
            </wp:positionV>
            <wp:extent cx="381000" cy="348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1000" cy="348615"/>
                    </a:xfrm>
                    <a:prstGeom prst="rect">
                      <a:avLst/>
                    </a:prstGeom>
                    <a:noFill/>
                  </pic:spPr>
                </pic:pic>
              </a:graphicData>
            </a:graphic>
          </wp:anchor>
        </w:drawing>
      </w:r>
    </w:p>
    <w:p>
      <w:pPr>
        <w:spacing w:after="0" w:line="3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Online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www.investorvote.com</w:t>
      </w:r>
    </w:p>
    <w:p>
      <w:pPr>
        <w:ind w:left="1380" w:right="380"/>
        <w:spacing w:after="0" w:line="245" w:lineRule="auto"/>
        <w:rPr>
          <w:sz w:val="20"/>
          <w:szCs w:val="20"/>
          <w:color w:val="auto"/>
        </w:rPr>
      </w:pPr>
      <w:r>
        <w:rPr>
          <w:rFonts w:ascii="Arial" w:cs="Arial" w:eastAsia="Arial" w:hAnsi="Arial"/>
          <w:sz w:val="17"/>
          <w:szCs w:val="17"/>
          <w:color w:val="auto"/>
        </w:rPr>
        <w:t>or scan the QR code – login details are located in the shaded bar below.</w:t>
      </w:r>
    </w:p>
    <w:p>
      <w:pPr>
        <w:spacing w:after="0" w:line="168"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-85725</wp:posOffset>
            </wp:positionV>
            <wp:extent cx="243205" cy="41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3205" cy="413385"/>
                    </a:xfrm>
                    <a:prstGeom prst="rect">
                      <a:avLst/>
                    </a:prstGeom>
                    <a:noFill/>
                  </pic:spPr>
                </pic:pic>
              </a:graphicData>
            </a:graphic>
          </wp:anchor>
        </w:drawing>
      </w:r>
    </w:p>
    <w:p>
      <w:pPr>
        <w:spacing w:after="0" w:line="1" w:lineRule="exact"/>
        <w:rPr>
          <w:sz w:val="20"/>
          <w:szCs w:val="20"/>
          <w:color w:val="auto"/>
        </w:rPr>
      </w:pPr>
    </w:p>
    <w:p>
      <w:pPr>
        <w:ind w:left="1380" w:right="100"/>
        <w:spacing w:after="0" w:line="235" w:lineRule="auto"/>
        <w:rPr>
          <w:sz w:val="20"/>
          <w:szCs w:val="20"/>
          <w:color w:val="auto"/>
        </w:rPr>
      </w:pPr>
      <w:r>
        <w:rPr>
          <w:rFonts w:ascii="Arial" w:cs="Arial" w:eastAsia="Arial" w:hAnsi="Arial"/>
          <w:sz w:val="14"/>
          <w:szCs w:val="14"/>
          <w:color w:val="auto"/>
        </w:rPr>
        <w:t>Call toll free 1-800-652-VOTE (8683) within the USA, US territories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41" w:lineRule="exact"/>
        <w:rPr>
          <w:sz w:val="20"/>
          <w:szCs w:val="20"/>
          <w:color w:val="auto"/>
        </w:rPr>
      </w:pPr>
      <w:r>
        <w:rPr>
          <w:rFonts w:ascii="MS PGothic" w:cs="MS PGothic" w:eastAsia="MS PGothic" w:hAnsi="MS PGothic"/>
          <w:sz w:val="34"/>
          <w:szCs w:val="3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327025</wp:posOffset>
            </wp:positionV>
            <wp:extent cx="6824345" cy="372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24345" cy="372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640"/>
            <w:col w:w="5760"/>
          </w:cols>
          <w:pgMar w:left="74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VOTING BY MAIL, SIGN, DETACH AND RETURN THE BOTTOM PORTION IN THE ENCLOSED ENVELOPE.</w:t>
      </w:r>
      <w:r>
        <w:rPr>
          <w:rFonts w:ascii="Arial" w:cs="Arial" w:eastAsia="Arial" w:hAnsi="Arial"/>
          <w:sz w:val="12"/>
          <w:szCs w:val="12"/>
          <w:color w:val="auto"/>
        </w:rPr>
        <w:t xml:space="preserve"> q</w:t>
      </w:r>
    </w:p>
    <w:p>
      <w:pPr>
        <w:spacing w:after="0" w:line="218" w:lineRule="exact"/>
        <w:rPr>
          <w:sz w:val="20"/>
          <w:szCs w:val="20"/>
          <w:color w:val="auto"/>
        </w:rPr>
      </w:pPr>
    </w:p>
    <w:p>
      <w:pPr>
        <w:ind w:left="320" w:hanging="273"/>
        <w:spacing w:after="0"/>
        <w:tabs>
          <w:tab w:leader="none" w:pos="320" w:val="left"/>
        </w:tabs>
        <w:numPr>
          <w:ilvl w:val="1"/>
          <w:numId w:val="56"/>
        </w:numPr>
        <w:rPr>
          <w:rFonts w:ascii="Arial" w:cs="Arial" w:eastAsia="Arial" w:hAnsi="Arial"/>
          <w:sz w:val="17"/>
          <w:szCs w:val="17"/>
          <w:b w:val="1"/>
          <w:bCs w:val="1"/>
          <w:color w:val="FFFFFF"/>
        </w:rPr>
      </w:pP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nominees listed.</w:t>
      </w:r>
    </w:p>
    <w:p>
      <w:pPr>
        <w:spacing w:after="0" w:line="11" w:lineRule="exact"/>
        <w:rPr>
          <w:rFonts w:ascii="Arial" w:cs="Arial" w:eastAsia="Arial" w:hAnsi="Arial"/>
          <w:sz w:val="17"/>
          <w:szCs w:val="17"/>
          <w:b w:val="1"/>
          <w:bCs w:val="1"/>
          <w:color w:val="FFFFFF"/>
        </w:rPr>
      </w:pPr>
    </w:p>
    <w:p>
      <w:pPr>
        <w:ind w:left="140" w:hanging="134"/>
        <w:spacing w:after="0"/>
        <w:tabs>
          <w:tab w:leader="none" w:pos="1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6305550"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515"/>
        </w:trPr>
        <w:tc>
          <w:tcPr>
            <w:tcW w:w="2420" w:type="dxa"/>
            <w:vAlign w:val="bottom"/>
          </w:tcPr>
          <w:p>
            <w:pPr>
              <w:spacing w:after="0"/>
              <w:rPr>
                <w:sz w:val="20"/>
                <w:szCs w:val="20"/>
                <w:color w:val="auto"/>
              </w:rPr>
            </w:pPr>
            <w:r>
              <w:rPr>
                <w:rFonts w:ascii="Arial" w:cs="Arial" w:eastAsia="Arial" w:hAnsi="Arial"/>
                <w:sz w:val="12"/>
                <w:szCs w:val="12"/>
                <w:color w:val="auto"/>
              </w:rPr>
              <w:t>01 - Christopher C. Davis</w:t>
            </w:r>
          </w:p>
        </w:tc>
        <w:tc>
          <w:tcPr>
            <w:tcW w:w="2100" w:type="dxa"/>
            <w:vAlign w:val="bottom"/>
          </w:tcPr>
          <w:p>
            <w:pPr>
              <w:ind w:left="1100"/>
              <w:spacing w:after="0"/>
              <w:rPr>
                <w:sz w:val="20"/>
                <w:szCs w:val="20"/>
                <w:color w:val="auto"/>
              </w:rPr>
            </w:pPr>
            <w:r>
              <w:rPr>
                <w:rFonts w:ascii="Arial" w:cs="Arial" w:eastAsia="Arial" w:hAnsi="Arial"/>
                <w:sz w:val="12"/>
                <w:szCs w:val="12"/>
                <w:b w:val="1"/>
                <w:bCs w:val="1"/>
                <w:color w:val="auto"/>
              </w:rPr>
              <w:t>For  Withhold</w:t>
            </w:r>
          </w:p>
        </w:tc>
        <w:tc>
          <w:tcPr>
            <w:tcW w:w="1480" w:type="dxa"/>
            <w:vAlign w:val="bottom"/>
          </w:tcPr>
          <w:p>
            <w:pPr>
              <w:ind w:left="160"/>
              <w:spacing w:after="0"/>
              <w:rPr>
                <w:sz w:val="20"/>
                <w:szCs w:val="20"/>
                <w:color w:val="auto"/>
              </w:rPr>
            </w:pPr>
            <w:r>
              <w:rPr>
                <w:rFonts w:ascii="Arial" w:cs="Arial" w:eastAsia="Arial" w:hAnsi="Arial"/>
                <w:sz w:val="12"/>
                <w:szCs w:val="12"/>
                <w:color w:val="auto"/>
              </w:rPr>
              <w:t>02 - Anne M. Mulcahy</w:t>
            </w:r>
          </w:p>
        </w:tc>
        <w:tc>
          <w:tcPr>
            <w:tcW w:w="1180" w:type="dxa"/>
            <w:vAlign w:val="bottom"/>
          </w:tcPr>
          <w:p>
            <w:pPr>
              <w:ind w:left="180"/>
              <w:spacing w:after="0"/>
              <w:rPr>
                <w:sz w:val="20"/>
                <w:szCs w:val="20"/>
                <w:color w:val="auto"/>
              </w:rPr>
            </w:pPr>
            <w:r>
              <w:rPr>
                <w:rFonts w:ascii="Arial" w:cs="Arial" w:eastAsia="Arial" w:hAnsi="Arial"/>
                <w:sz w:val="12"/>
                <w:szCs w:val="12"/>
                <w:b w:val="1"/>
                <w:bCs w:val="1"/>
                <w:color w:val="auto"/>
              </w:rPr>
              <w:t>For  Withhold</w:t>
            </w:r>
          </w:p>
        </w:tc>
        <w:tc>
          <w:tcPr>
            <w:tcW w:w="1600" w:type="dxa"/>
            <w:vAlign w:val="bottom"/>
          </w:tcPr>
          <w:p>
            <w:pPr>
              <w:ind w:left="160"/>
              <w:spacing w:after="0"/>
              <w:rPr>
                <w:sz w:val="20"/>
                <w:szCs w:val="20"/>
                <w:color w:val="auto"/>
              </w:rPr>
            </w:pPr>
            <w:r>
              <w:rPr>
                <w:rFonts w:ascii="Arial" w:cs="Arial" w:eastAsia="Arial" w:hAnsi="Arial"/>
                <w:sz w:val="12"/>
                <w:szCs w:val="12"/>
                <w:color w:val="auto"/>
              </w:rPr>
              <w:t>03 - Larry D. Thompson</w:t>
            </w:r>
          </w:p>
        </w:tc>
        <w:tc>
          <w:tcPr>
            <w:tcW w:w="480" w:type="dxa"/>
            <w:vAlign w:val="bottom"/>
          </w:tcPr>
          <w:p>
            <w:pPr>
              <w:jc w:val="center"/>
              <w:ind w:left="22"/>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300" w:type="dxa"/>
            <w:vAlign w:val="bottom"/>
          </w:tcPr>
          <w:p>
            <w:pPr>
              <w:jc w:val="right"/>
              <w:spacing w:after="0"/>
              <w:rPr>
                <w:sz w:val="20"/>
                <w:szCs w:val="20"/>
                <w:color w:val="auto"/>
              </w:rPr>
            </w:pPr>
            <w:r>
              <w:rPr>
                <w:rFonts w:ascii="Arial" w:cs="Arial" w:eastAsia="Arial" w:hAnsi="Arial"/>
                <w:sz w:val="41"/>
                <w:szCs w:val="41"/>
                <w:b w:val="1"/>
                <w:bCs w:val="1"/>
                <w:color w:val="auto"/>
              </w:rPr>
              <w:t>+</w:t>
            </w:r>
          </w:p>
        </w:tc>
      </w:tr>
      <w:tr>
        <w:trPr>
          <w:trHeight w:val="429"/>
        </w:trPr>
        <w:tc>
          <w:tcPr>
            <w:tcW w:w="2420" w:type="dxa"/>
            <w:vAlign w:val="bottom"/>
          </w:tcPr>
          <w:p>
            <w:pPr>
              <w:spacing w:after="0"/>
              <w:rPr>
                <w:sz w:val="24"/>
                <w:szCs w:val="24"/>
                <w:color w:val="auto"/>
              </w:rPr>
            </w:pPr>
          </w:p>
        </w:tc>
        <w:tc>
          <w:tcPr>
            <w:tcW w:w="2100" w:type="dxa"/>
            <w:vAlign w:val="bottom"/>
          </w:tcPr>
          <w:p>
            <w:pPr>
              <w:ind w:left="1080"/>
              <w:spacing w:after="0" w:line="271" w:lineRule="exact"/>
              <w:rPr>
                <w:sz w:val="20"/>
                <w:szCs w:val="20"/>
                <w:color w:val="auto"/>
              </w:rPr>
            </w:pPr>
            <w:r>
              <w:rPr>
                <w:rFonts w:ascii="MS PGothic" w:cs="MS PGothic" w:eastAsia="MS PGothic" w:hAnsi="MS PGothic"/>
                <w:sz w:val="27"/>
                <w:szCs w:val="27"/>
                <w:color w:val="auto"/>
              </w:rPr>
              <w:t>☐ ☐</w:t>
            </w:r>
          </w:p>
        </w:tc>
        <w:tc>
          <w:tcPr>
            <w:tcW w:w="1480" w:type="dxa"/>
            <w:vAlign w:val="bottom"/>
          </w:tcPr>
          <w:p>
            <w:pPr>
              <w:spacing w:after="0"/>
              <w:rPr>
                <w:sz w:val="24"/>
                <w:szCs w:val="24"/>
                <w:color w:val="auto"/>
              </w:rPr>
            </w:pPr>
          </w:p>
        </w:tc>
        <w:tc>
          <w:tcPr>
            <w:tcW w:w="118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 ☐</w:t>
            </w:r>
          </w:p>
        </w:tc>
        <w:tc>
          <w:tcPr>
            <w:tcW w:w="1600" w:type="dxa"/>
            <w:vAlign w:val="bottom"/>
          </w:tcPr>
          <w:p>
            <w:pPr>
              <w:spacing w:after="0"/>
              <w:rPr>
                <w:sz w:val="24"/>
                <w:szCs w:val="24"/>
                <w:color w:val="auto"/>
              </w:rPr>
            </w:pPr>
          </w:p>
        </w:tc>
        <w:tc>
          <w:tcPr>
            <w:tcW w:w="480" w:type="dxa"/>
            <w:vAlign w:val="bottom"/>
          </w:tcPr>
          <w:p>
            <w:pPr>
              <w:jc w:val="center"/>
              <w:ind w:left="22"/>
              <w:spacing w:after="0" w:line="271" w:lineRule="exact"/>
              <w:rPr>
                <w:sz w:val="20"/>
                <w:szCs w:val="20"/>
                <w:color w:val="auto"/>
              </w:rPr>
            </w:pPr>
            <w:r>
              <w:rPr>
                <w:rFonts w:ascii="MS PGothic" w:cs="MS PGothic" w:eastAsia="MS PGothic" w:hAnsi="MS PGothic"/>
                <w:sz w:val="27"/>
                <w:szCs w:val="27"/>
                <w:color w:val="auto"/>
                <w:w w:val="88"/>
              </w:rPr>
              <w:t>☐</w:t>
            </w:r>
          </w:p>
        </w:tc>
        <w:tc>
          <w:tcPr>
            <w:tcW w:w="7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00" w:type="dxa"/>
            <w:vAlign w:val="bottom"/>
          </w:tcPr>
          <w:p>
            <w:pPr>
              <w:spacing w:after="0"/>
              <w:rPr>
                <w:sz w:val="24"/>
                <w:szCs w:val="24"/>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FFFFF"/>
          <w:vertAlign w:val="superscript"/>
        </w:rPr>
        <w:t>B</w:t>
      </w:r>
      <w:r>
        <w:rPr>
          <w:rFonts w:ascii="Arial" w:cs="Arial" w:eastAsia="Arial" w:hAnsi="Arial"/>
          <w:sz w:val="17"/>
          <w:szCs w:val="17"/>
          <w:b w:val="1"/>
          <w:bCs w:val="1"/>
          <w:color w:val="auto"/>
        </w:rPr>
        <w:t xml:space="preserve">  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-172720</wp:posOffset>
            </wp:positionV>
            <wp:extent cx="6305550" cy="121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1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9"/>
              </w:rPr>
              <w:t>Meeting Attendance</w:t>
            </w:r>
          </w:p>
        </w:tc>
        <w:tc>
          <w:tcPr>
            <w:tcW w:w="300" w:type="dxa"/>
            <w:vAlign w:val="bottom"/>
            <w:vMerge w:val="restart"/>
          </w:tcPr>
          <w:p>
            <w:pPr>
              <w:ind w:left="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138"/>
        </w:trPr>
        <w:tc>
          <w:tcPr>
            <w:tcW w:w="4120" w:type="dxa"/>
            <w:vAlign w:val="bottom"/>
            <w:tcBorders>
              <w:top w:val="single" w:sz="8" w:color="auto"/>
              <w:left w:val="single" w:sz="8" w:color="auto"/>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4300" w:type="dxa"/>
            <w:vAlign w:val="bottom"/>
            <w:tcBorders>
              <w:top w:val="single" w:sz="8" w:color="auto"/>
              <w:right w:val="single" w:sz="8" w:color="auto"/>
            </w:tcBorders>
          </w:tcPr>
          <w:p>
            <w:pPr>
              <w:spacing w:after="0"/>
              <w:rPr>
                <w:sz w:val="11"/>
                <w:szCs w:val="11"/>
                <w:color w:val="auto"/>
              </w:rPr>
            </w:pPr>
          </w:p>
        </w:tc>
        <w:tc>
          <w:tcPr>
            <w:tcW w:w="1500" w:type="dxa"/>
            <w:vAlign w:val="bottom"/>
          </w:tcPr>
          <w:p>
            <w:pPr>
              <w:ind w:left="160"/>
              <w:spacing w:after="0" w:line="138" w:lineRule="exact"/>
              <w:rPr>
                <w:sz w:val="20"/>
                <w:szCs w:val="20"/>
                <w:color w:val="auto"/>
              </w:rPr>
            </w:pPr>
            <w:r>
              <w:rPr>
                <w:rFonts w:ascii="Arial" w:cs="Arial" w:eastAsia="Arial" w:hAnsi="Arial"/>
                <w:sz w:val="14"/>
                <w:szCs w:val="14"/>
                <w:color w:val="auto"/>
              </w:rPr>
              <w:t>Mark box to the right</w:t>
            </w: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20" w:type="dxa"/>
            <w:vAlign w:val="bottom"/>
            <w:tcBorders>
              <w:left w:val="single" w:sz="8" w:color="auto"/>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300" w:type="dxa"/>
            <w:vAlign w:val="bottom"/>
            <w:tcBorders>
              <w:right w:val="single" w:sz="8" w:color="auto"/>
            </w:tcBorders>
          </w:tcPr>
          <w:p>
            <w:pPr>
              <w:spacing w:after="0"/>
              <w:rPr>
                <w:sz w:val="13"/>
                <w:szCs w:val="13"/>
                <w:color w:val="auto"/>
              </w:rPr>
            </w:pPr>
          </w:p>
        </w:tc>
        <w:tc>
          <w:tcPr>
            <w:tcW w:w="1500" w:type="dxa"/>
            <w:vAlign w:val="bottom"/>
          </w:tcPr>
          <w:p>
            <w:pPr>
              <w:ind w:left="160"/>
              <w:spacing w:after="0" w:line="153" w:lineRule="exact"/>
              <w:rPr>
                <w:sz w:val="20"/>
                <w:szCs w:val="20"/>
                <w:color w:val="auto"/>
              </w:rPr>
            </w:pPr>
            <w:r>
              <w:rPr>
                <w:rFonts w:ascii="Arial" w:cs="Arial" w:eastAsia="Arial" w:hAnsi="Arial"/>
                <w:sz w:val="14"/>
                <w:szCs w:val="14"/>
                <w:color w:val="auto"/>
              </w:rPr>
              <w:t>if you plan to attend</w:t>
            </w: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300" w:type="dxa"/>
            <w:vAlign w:val="bottom"/>
            <w:tcBorders>
              <w:bottom w:val="single" w:sz="8" w:color="auto"/>
              <w:right w:val="single" w:sz="8" w:color="auto"/>
            </w:tcBorders>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the Annual Meeting.</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0" w:hanging="236"/>
        <w:spacing w:after="0" w:line="216" w:lineRule="auto"/>
        <w:tabs>
          <w:tab w:leader="none" w:pos="280" w:val="left"/>
        </w:tabs>
        <w:numPr>
          <w:ilvl w:val="0"/>
          <w:numId w:val="57"/>
        </w:numPr>
        <w:rPr>
          <w:rFonts w:ascii="Arial" w:cs="Arial" w:eastAsia="Arial" w:hAnsi="Arial"/>
          <w:sz w:val="27"/>
          <w:szCs w:val="27"/>
          <w:b w:val="1"/>
          <w:bCs w:val="1"/>
          <w:color w:val="FFFFFF"/>
          <w:vertAlign w:val="superscript"/>
        </w:rPr>
      </w:pPr>
      <w:r>
        <w:rPr>
          <w:rFonts w:ascii="Arial" w:cs="Arial" w:eastAsia="Arial" w:hAnsi="Arial"/>
          <w:sz w:val="17"/>
          <w:szCs w:val="17"/>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6305550" cy="121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5550" cy="121285"/>
                    </a:xfrm>
                    <a:prstGeom prst="rect">
                      <a:avLst/>
                    </a:prstGeom>
                    <a:noFill/>
                  </pic:spPr>
                </pic:pic>
              </a:graphicData>
            </a:graphic>
          </wp:anchor>
        </w:drawing>
      </w:r>
    </w:p>
    <w:p>
      <w:pPr>
        <w:spacing w:after="0" w:line="37" w:lineRule="exact"/>
        <w:rPr>
          <w:sz w:val="20"/>
          <w:szCs w:val="20"/>
          <w:color w:val="auto"/>
        </w:rPr>
      </w:pPr>
    </w:p>
    <w:p>
      <w:pPr>
        <w:ind w:right="300"/>
        <w:spacing w:after="0" w:line="235"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92" w:lineRule="exact"/>
        <w:rPr>
          <w:sz w:val="20"/>
          <w:szCs w:val="20"/>
          <w:color w:val="auto"/>
        </w:rPr>
      </w:pPr>
    </w:p>
    <w:p>
      <w:pPr>
        <w:spacing w:after="0"/>
        <w:tabs>
          <w:tab w:leader="none" w:pos="3560" w:val="left"/>
          <w:tab w:leader="none" w:pos="71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6621780" cy="2190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1780" cy="219075"/>
                    </a:xfrm>
                    <a:prstGeom prst="rect">
                      <a:avLst/>
                    </a:prstGeom>
                    <a:noFill/>
                  </pic:spPr>
                </pic:pic>
              </a:graphicData>
            </a:graphic>
          </wp:anchor>
        </w:drawing>
      </w:r>
    </w:p>
    <w:p>
      <w:pPr>
        <w:ind w:left="1080"/>
        <w:spacing w:after="0"/>
        <w:tabs>
          <w:tab w:leader="none" w:pos="234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161925</wp:posOffset>
            </wp:positionV>
            <wp:extent cx="6151880" cy="469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1880" cy="469900"/>
                    </a:xfrm>
                    <a:prstGeom prst="rect">
                      <a:avLst/>
                    </a:prstGeom>
                    <a:noFill/>
                  </pic:spPr>
                </pic:pic>
              </a:graphicData>
            </a:graphic>
          </wp:anchor>
        </w:drawing>
      </w:r>
    </w:p>
    <w:p>
      <w:pPr>
        <w:sectPr>
          <w:pgSz w:w="11900" w:h="16838" w:orient="portrait"/>
          <w:cols w:equalWidth="0" w:num="1">
            <w:col w:w="10420"/>
          </w:cols>
          <w:pgMar w:left="740" w:top="1440" w:right="73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147955</wp:posOffset>
            </wp:positionV>
            <wp:extent cx="6305550" cy="316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5550" cy="31623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Graham Holdings Company</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Voting Direction Card For 2019 Annual Meeting of Stockholders</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Vanguard Fiduciary Trust Company (Vanguard), as Trustee of the Savings Plan for Graham Holdings Company (formerly the Washington Post Tax Deferral and Savings Plan), the Kaplan, Inc. Tax Deferred Savings Plan for Salaried Employees, and the Kaplan, Inc. Tax Deferred Savings Plan for Hourly Employees (collectively, the “Plans”) is directed to vote the shares of Graham Holdings Company (Company) common stock allocated to my account(s) in the Plan(s) listed above in which I participate, at the Annual Meeting of Shareholders of the Company to be held on May 2, 2019, with respect to the election of directors and at any adjournments or postponements. Vanguard will vote in accordance with the directions indicated on this card. If no voting direction is received or if this proxy voting direction card is returned unsigned, the shares allocated to my account(s) will be voted by Vanguard in proportion to those shares allocated to accounts of participants for which timely directions were received, unless contrary to the Employee Retirement Income Security Act (ERISA). Plan Participants are requested to mark, date and sign this card and return it promptly in the enclosed envelope. Please note that for Plan Participants, voting direction must be received </w:t>
      </w:r>
      <w:r>
        <w:rPr>
          <w:rFonts w:ascii="Arial" w:cs="Arial" w:eastAsia="Arial" w:hAnsi="Arial"/>
          <w:sz w:val="17"/>
          <w:szCs w:val="17"/>
          <w:b w:val="1"/>
          <w:bCs w:val="1"/>
          <w:i w:val="1"/>
          <w:iCs w:val="1"/>
          <w:color w:val="auto"/>
        </w:rPr>
        <w:t>no later than 11:00 pm Eastern Daylight Saving Time, on April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29, 2019, which is earlier than the time at which votes must be received for shares held outside of the Plans. </w:t>
      </w:r>
      <w:r>
        <w:rPr>
          <w:rFonts w:ascii="Arial" w:cs="Arial" w:eastAsia="Arial" w:hAnsi="Arial"/>
          <w:sz w:val="17"/>
          <w:szCs w:val="17"/>
          <w:color w:val="auto"/>
        </w:rPr>
        <w:t>To vote by Internet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telephone, see instructions on the reverse side. This proxy is solicited on behalf of the Company’s Board of Directors.</w:t>
      </w:r>
    </w:p>
    <w:sectPr>
      <w:pgSz w:w="11900" w:h="16838" w:orient="portrait"/>
      <w:cols w:equalWidth="0" w:num="1">
        <w:col w:w="10420"/>
      </w:cols>
      <w:pgMar w:left="7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2)"/>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upperLetter"/>
      <w:start w:val="1"/>
    </w:lvl>
  </w:abstractNum>
  <w:abstractNum w:abstractNumId="7">
    <w:nsid w:val="22221A70"/>
    <w:multiLevelType w:val="hybridMultilevel"/>
    <w:lvl w:ilvl="0">
      <w:lvlJc w:val="left"/>
      <w:lvlText w:val="%1:"/>
      <w:numFmt w:val="upperLetter"/>
      <w:start w:val="1"/>
    </w:lvl>
  </w:abstractNum>
  <w:abstractNum w:abstractNumId="8">
    <w:nsid w:val="4516DDE9"/>
    <w:multiLevelType w:val="hybridMultilevel"/>
    <w:lvl w:ilvl="0">
      <w:lvlJc w:val="left"/>
      <w:lvlText w:val="%1:"/>
      <w:numFmt w:val="upperLetter"/>
      <w:start w:val="1"/>
    </w:lvl>
  </w:abstractNum>
  <w:abstractNum w:abstractNumId="9">
    <w:nsid w:val="3006C83E"/>
    <w:multiLevelType w:val="hybridMultilevel"/>
    <w:lvl w:ilvl="0">
      <w:lvlJc w:val="left"/>
      <w:lvlText w:val="%1:"/>
      <w:numFmt w:val="upperLetter"/>
      <w:start w:val="17"/>
    </w:lvl>
  </w:abstractNum>
  <w:abstractNum w:abstractNumId="10">
    <w:nsid w:val="614FD4A1"/>
    <w:multiLevelType w:val="hybridMultilevel"/>
    <w:lvl w:ilvl="0">
      <w:lvlJc w:val="left"/>
      <w:lvlText w:val="%1:"/>
      <w:numFmt w:val="upperLetter"/>
      <w:start w:val="1"/>
    </w:lvl>
    <w:lvl w:ilvl="1">
      <w:lvlJc w:val="left"/>
      <w:lvlText w:val="•"/>
      <w:numFmt w:val="bullet"/>
      <w:start w:val="1"/>
    </w:lvl>
  </w:abstractNum>
  <w:abstractNum w:abstractNumId="11">
    <w:nsid w:val="419AC241"/>
    <w:multiLevelType w:val="hybridMultilevel"/>
    <w:lvl w:ilvl="0">
      <w:lvlJc w:val="left"/>
      <w:lvlText w:val="%1:"/>
      <w:numFmt w:val="upperLetter"/>
      <w:start w:val="17"/>
    </w:lvl>
  </w:abstractNum>
  <w:abstractNum w:abstractNumId="12">
    <w:nsid w:val="5577F8E1"/>
    <w:multiLevelType w:val="hybridMultilevel"/>
    <w:lvl w:ilvl="0">
      <w:lvlJc w:val="left"/>
      <w:lvlText w:val="%1:"/>
      <w:numFmt w:val="upperLetter"/>
      <w:start w:val="1"/>
    </w:lvl>
  </w:abstractNum>
  <w:abstractNum w:abstractNumId="13">
    <w:nsid w:val="440BADFC"/>
    <w:multiLevelType w:val="hybridMultilevel"/>
    <w:lvl w:ilvl="0">
      <w:lvlJc w:val="left"/>
      <w:lvlText w:val="%1:"/>
      <w:numFmt w:val="upperLetter"/>
      <w:start w:val="1"/>
    </w:lvl>
  </w:abstractNum>
  <w:abstractNum w:abstractNumId="14">
    <w:nsid w:val="5072367"/>
    <w:multiLevelType w:val="hybridMultilevel"/>
    <w:lvl w:ilvl="0">
      <w:lvlJc w:val="left"/>
      <w:lvlText w:val="%1:"/>
      <w:numFmt w:val="upperLetter"/>
      <w:start w:val="17"/>
    </w:lvl>
  </w:abstractNum>
  <w:abstractNum w:abstractNumId="15">
    <w:nsid w:val="3804823E"/>
    <w:multiLevelType w:val="hybridMultilevel"/>
    <w:lvl w:ilvl="0">
      <w:lvlJc w:val="left"/>
      <w:lvlText w:val="%1:"/>
      <w:numFmt w:val="upperLetter"/>
      <w:start w:val="1"/>
    </w:lvl>
    <w:lvl w:ilvl="1">
      <w:lvlJc w:val="left"/>
      <w:lvlText w:val="•"/>
      <w:numFmt w:val="bullet"/>
      <w:start w:val="1"/>
    </w:lvl>
  </w:abstractNum>
  <w:abstractNum w:abstractNumId="16">
    <w:nsid w:val="77465F01"/>
    <w:multiLevelType w:val="hybridMultilevel"/>
    <w:lvl w:ilvl="0">
      <w:lvlJc w:val="left"/>
      <w:lvlText w:val="%1:"/>
      <w:numFmt w:val="upperLetter"/>
      <w:start w:val="1"/>
    </w:lvl>
  </w:abstractNum>
  <w:abstractNum w:abstractNumId="17">
    <w:nsid w:val="7724C67E"/>
    <w:multiLevelType w:val="hybridMultilevel"/>
    <w:lvl w:ilvl="0">
      <w:lvlJc w:val="left"/>
      <w:lvlText w:val="%1:"/>
      <w:numFmt w:val="upperLetter"/>
      <w:start w:val="1"/>
    </w:lvl>
  </w:abstractNum>
  <w:abstractNum w:abstractNumId="18">
    <w:nsid w:val="5C482A97"/>
    <w:multiLevelType w:val="hybridMultilevel"/>
    <w:lvl w:ilvl="0">
      <w:lvlJc w:val="left"/>
      <w:lvlText w:val="%1:"/>
      <w:numFmt w:val="upperLetter"/>
      <w:start w:val="1"/>
    </w:lvl>
    <w:lvl w:ilvl="1">
      <w:lvlJc w:val="left"/>
      <w:lvlText w:val="•"/>
      <w:numFmt w:val="bullet"/>
      <w:start w:val="1"/>
    </w:lvl>
  </w:abstractNum>
  <w:abstractNum w:abstractNumId="19">
    <w:nsid w:val="2463B9EA"/>
    <w:multiLevelType w:val="hybridMultilevel"/>
    <w:lvl w:ilvl="0">
      <w:lvlJc w:val="left"/>
      <w:lvlText w:val="%1:"/>
      <w:numFmt w:val="upperLetter"/>
      <w:start w:val="17"/>
    </w:lvl>
  </w:abstractNum>
  <w:abstractNum w:abstractNumId="20">
    <w:nsid w:val="5E884ADC"/>
    <w:multiLevelType w:val="hybridMultilevel"/>
    <w:lvl w:ilvl="0">
      <w:lvlJc w:val="left"/>
      <w:lvlText w:val="%1:"/>
      <w:numFmt w:val="upperLetter"/>
      <w:start w:val="1"/>
    </w:lvl>
  </w:abstractNum>
  <w:abstractNum w:abstractNumId="21">
    <w:nsid w:val="51EAD36B"/>
    <w:multiLevelType w:val="hybridMultilevel"/>
    <w:lvl w:ilvl="0">
      <w:lvlJc w:val="left"/>
      <w:lvlText w:val="%1:"/>
      <w:numFmt w:val="upperLetter"/>
      <w:start w:val="1"/>
    </w:lvl>
  </w:abstractNum>
  <w:abstractNum w:abstractNumId="22">
    <w:nsid w:val="2D517796"/>
    <w:multiLevelType w:val="hybridMultilevel"/>
    <w:lvl w:ilvl="0">
      <w:lvlJc w:val="left"/>
      <w:lvlText w:val="%1:"/>
      <w:numFmt w:val="upperLetter"/>
      <w:start w:val="1"/>
    </w:lvl>
  </w:abstractNum>
  <w:abstractNum w:abstractNumId="23">
    <w:nsid w:val="580BD78F"/>
    <w:multiLevelType w:val="hybridMultilevel"/>
    <w:lvl w:ilvl="0">
      <w:lvlJc w:val="left"/>
      <w:lvlText w:val="%1:"/>
      <w:numFmt w:val="upperLetter"/>
      <w:start w:val="1"/>
    </w:lvl>
  </w:abstractNum>
  <w:abstractNum w:abstractNumId="24">
    <w:nsid w:val="153EA438"/>
    <w:multiLevelType w:val="hybridMultilevel"/>
    <w:lvl w:ilvl="0">
      <w:lvlJc w:val="left"/>
      <w:lvlText w:val="%1:"/>
      <w:numFmt w:val="upperLetter"/>
      <w:start w:val="1"/>
    </w:lvl>
    <w:lvl w:ilvl="1">
      <w:lvlJc w:val="left"/>
      <w:lvlText w:val="•"/>
      <w:numFmt w:val="bullet"/>
      <w:start w:val="1"/>
    </w:lvl>
  </w:abstractNum>
  <w:abstractNum w:abstractNumId="25">
    <w:nsid w:val="3855585C"/>
    <w:multiLevelType w:val="hybridMultilevel"/>
    <w:lvl w:ilvl="0">
      <w:lvlJc w:val="left"/>
      <w:lvlText w:val="%1:"/>
      <w:numFmt w:val="upperLetter"/>
      <w:start w:val="17"/>
    </w:lvl>
  </w:abstractNum>
  <w:abstractNum w:abstractNumId="26">
    <w:nsid w:val="70A64E2A"/>
    <w:multiLevelType w:val="hybridMultilevel"/>
    <w:lvl w:ilvl="0">
      <w:lvlJc w:val="left"/>
      <w:lvlText w:val="%1:"/>
      <w:numFmt w:val="upperLetter"/>
      <w:start w:val="1"/>
    </w:lvl>
  </w:abstractNum>
  <w:abstractNum w:abstractNumId="27">
    <w:nsid w:val="6A2342EC"/>
    <w:multiLevelType w:val="hybridMultilevel"/>
    <w:lvl w:ilvl="0">
      <w:lvlJc w:val="left"/>
      <w:lvlText w:val="%1:"/>
      <w:numFmt w:val="upperLetter"/>
      <w:start w:val="1"/>
    </w:lvl>
  </w:abstractNum>
  <w:abstractNum w:abstractNumId="28">
    <w:nsid w:val="2A487CB0"/>
    <w:multiLevelType w:val="hybridMultilevel"/>
    <w:lvl w:ilvl="0">
      <w:lvlJc w:val="left"/>
      <w:lvlText w:val="(%1)"/>
      <w:numFmt w:val="lowerRoman"/>
      <w:start w:val="7"/>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6"/>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Letter"/>
      <w:start w:val="7"/>
    </w:lvl>
  </w:abstractNum>
  <w:abstractNum w:abstractNumId="35">
    <w:nsid w:val="542289EC"/>
    <w:multiLevelType w:val="hybridMultilevel"/>
    <w:lvl w:ilvl="0">
      <w:lvlJc w:val="left"/>
      <w:lvlText w:val="(%1)"/>
      <w:numFmt w:val="lowerRoman"/>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5"/>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A"/>
      <w:numFmt w:val="bullet"/>
      <w:start w:val="1"/>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B"/>
      <w:numFmt w:val="bullet"/>
      <w:start w:val="1"/>
    </w:lvl>
  </w:abstractNum>
  <w:abstractNum w:abstractNumId="51">
    <w:nsid w:val="4F4EF005"/>
    <w:multiLevelType w:val="hybridMultilevel"/>
    <w:lvl w:ilvl="0">
      <w:lvlJc w:val="left"/>
      <w:lvlText w:val="C"/>
      <w:numFmt w:val="bullet"/>
      <w:start w:val="1"/>
    </w:lvl>
  </w:abstractNum>
  <w:abstractNum w:abstractNumId="52">
    <w:nsid w:val="23F9C13C"/>
    <w:multiLevelType w:val="hybridMultilevel"/>
    <w:lvl w:ilvl="0">
      <w:lvlJc w:val="left"/>
      <w:lvlText w:val="A"/>
      <w:numFmt w:val="bullet"/>
      <w:start w:val="1"/>
    </w:lvl>
  </w:abstractNum>
  <w:abstractNum w:abstractNumId="53">
    <w:nsid w:val="649BB77C"/>
    <w:multiLevelType w:val="hybridMultilevel"/>
    <w:lvl w:ilvl="0">
      <w:lvlJc w:val="left"/>
      <w:lvlText w:val="B"/>
      <w:numFmt w:val="bullet"/>
      <w:start w:val="1"/>
    </w:lvl>
  </w:abstractNum>
  <w:abstractNum w:abstractNumId="54">
    <w:nsid w:val="275AC794"/>
    <w:multiLevelType w:val="hybridMultilevel"/>
    <w:lvl w:ilvl="0">
      <w:lvlJc w:val="left"/>
      <w:lvlText w:val="C"/>
      <w:numFmt w:val="bullet"/>
      <w:start w:val="1"/>
    </w:lvl>
  </w:abstractNum>
  <w:abstractNum w:abstractNumId="55">
    <w:nsid w:val="39386575"/>
    <w:multiLevelType w:val="hybridMultilevel"/>
    <w:lvl w:ilvl="0">
      <w:lvlJc w:val="left"/>
      <w:lvlText w:val="%1."/>
      <w:numFmt w:val="decimal"/>
    </w:lvl>
    <w:lvl w:ilvl="1">
      <w:lvlJc w:val="left"/>
      <w:lvlText w:val="A"/>
      <w:numFmt w:val="bullet"/>
      <w:start w:val="1"/>
    </w:lvl>
  </w:abstractNum>
  <w:abstractNum w:abstractNumId="56">
    <w:nsid w:val="1CF10FD8"/>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2019-12-03T22:06:31Z</dcterms:created>
  <dcterms:modified xsi:type="dcterms:W3CDTF">2019-12-03T22:06:31Z</dcterms:modified>
</cp:coreProperties>
</file>