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4"/>
          <w:szCs w:val="24"/>
          <w:color w:val="auto"/>
        </w:rPr>
      </w:pPr>
    </w:p>
    <w:p>
      <w:pPr>
        <w:jc w:val="center"/>
        <w:ind w:right="40"/>
        <w:spacing w:after="0"/>
        <w:rPr>
          <w:sz w:val="20"/>
          <w:szCs w:val="20"/>
          <w:color w:val="auto"/>
        </w:rPr>
      </w:pPr>
      <w:r>
        <w:rPr>
          <w:rFonts w:ascii="Courier New" w:cs="Courier New" w:eastAsia="Courier New" w:hAnsi="Courier New"/>
          <w:sz w:val="14"/>
          <w:szCs w:val="14"/>
          <w:color w:val="auto"/>
        </w:rPr>
        <w:t>FORM 10-K</w:t>
      </w:r>
    </w:p>
    <w:p>
      <w:pPr>
        <w:spacing w:after="0" w:line="147"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33" w:lineRule="exact"/>
        <w:rPr>
          <w:sz w:val="24"/>
          <w:szCs w:val="24"/>
          <w:color w:val="auto"/>
        </w:rPr>
      </w:pPr>
    </w:p>
    <w:p>
      <w:pPr>
        <w:jc w:val="center"/>
        <w:ind w:right="4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47" w:lineRule="exact"/>
        <w:rPr>
          <w:sz w:val="24"/>
          <w:szCs w:val="24"/>
          <w:color w:val="auto"/>
        </w:rPr>
      </w:pPr>
    </w:p>
    <w:p>
      <w:pPr>
        <w:jc w:val="center"/>
        <w:ind w:right="40"/>
        <w:spacing w:after="0"/>
        <w:rPr>
          <w:sz w:val="20"/>
          <w:szCs w:val="20"/>
          <w:color w:val="auto"/>
        </w:rPr>
      </w:pPr>
      <w:r>
        <w:rPr>
          <w:rFonts w:ascii="Courier New" w:cs="Courier New" w:eastAsia="Courier New" w:hAnsi="Courier New"/>
          <w:sz w:val="14"/>
          <w:szCs w:val="14"/>
          <w:color w:val="auto"/>
        </w:rPr>
        <w:t>FOR THE FISCAL YEAR ENDED JANUARY 2, 2000</w:t>
      </w:r>
    </w:p>
    <w:p>
      <w:pPr>
        <w:spacing w:after="0" w:line="173" w:lineRule="exact"/>
        <w:rPr>
          <w:sz w:val="24"/>
          <w:szCs w:val="24"/>
          <w:color w:val="auto"/>
        </w:rPr>
      </w:pPr>
    </w:p>
    <w:p>
      <w:pPr>
        <w:jc w:val="center"/>
        <w:ind w:right="40"/>
        <w:spacing w:after="0"/>
        <w:rPr>
          <w:sz w:val="20"/>
          <w:szCs w:val="20"/>
          <w:color w:val="auto"/>
        </w:rPr>
      </w:pPr>
      <w:r>
        <w:rPr>
          <w:rFonts w:ascii="Courier New" w:cs="Courier New" w:eastAsia="Courier New" w:hAnsi="Courier New"/>
          <w:sz w:val="14"/>
          <w:szCs w:val="14"/>
          <w:color w:val="auto"/>
        </w:rPr>
        <w:t>Commission file number 1-6714</w:t>
      </w:r>
    </w:p>
    <w:p>
      <w:pPr>
        <w:spacing w:after="0" w:line="173" w:lineRule="exact"/>
        <w:rPr>
          <w:sz w:val="24"/>
          <w:szCs w:val="24"/>
          <w:color w:val="auto"/>
        </w:rPr>
      </w:pPr>
    </w:p>
    <w:p>
      <w:pPr>
        <w:jc w:val="center"/>
        <w:ind w:right="4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p>
      <w:pPr>
        <w:jc w:val="center"/>
        <w:ind w:right="1340"/>
        <w:spacing w:after="0"/>
        <w:rPr>
          <w:sz w:val="20"/>
          <w:szCs w:val="20"/>
          <w:color w:val="auto"/>
        </w:rPr>
      </w:pPr>
      <w:r>
        <w:rPr>
          <w:rFonts w:ascii="Courier New" w:cs="Courier New" w:eastAsia="Courier New" w:hAnsi="Courier New"/>
          <w:sz w:val="14"/>
          <w:szCs w:val="14"/>
          <w:color w:val="auto"/>
        </w:rPr>
        <w:t>Delaware</w:t>
      </w:r>
    </w:p>
    <w:p>
      <w:pPr>
        <w:spacing w:after="0" w:line="3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INCORPORATION OR ORGANIZATION)</w:t>
      </w:r>
    </w:p>
    <w:p>
      <w:pPr>
        <w:spacing w:after="0" w:line="14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1150 15TH ST., N.W., WASHINGTON, D.C.</w:t>
      </w:r>
    </w:p>
    <w:p>
      <w:pPr>
        <w:spacing w:after="0" w:line="3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0" w:lineRule="exact"/>
        <w:rPr>
          <w:sz w:val="24"/>
          <w:szCs w:val="24"/>
          <w:color w:val="auto"/>
        </w:rPr>
      </w:pPr>
    </w:p>
    <w:p>
      <w:pPr>
        <w:spacing w:after="0" w:line="27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(202) 334-6000</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TITLE OF EACH CLASS</w:t>
      </w:r>
    </w:p>
    <w:p>
      <w:pPr>
        <w:spacing w:after="0" w:line="3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jc w:val="center"/>
        <w:ind w:right="1260"/>
        <w:spacing w:after="0"/>
        <w:rPr>
          <w:sz w:val="20"/>
          <w:szCs w:val="20"/>
          <w:color w:val="auto"/>
        </w:rPr>
      </w:pPr>
      <w:r>
        <w:rPr>
          <w:rFonts w:ascii="Courier New" w:cs="Courier New" w:eastAsia="Courier New" w:hAnsi="Courier New"/>
          <w:sz w:val="14"/>
          <w:szCs w:val="14"/>
          <w:color w:val="auto"/>
        </w:rPr>
        <w:t>Class B Common Stock, par value</w:t>
      </w:r>
    </w:p>
    <w:p>
      <w:pPr>
        <w:spacing w:after="0" w:line="33" w:lineRule="exact"/>
        <w:rPr>
          <w:sz w:val="24"/>
          <w:szCs w:val="24"/>
          <w:color w:val="auto"/>
        </w:rPr>
      </w:pPr>
    </w:p>
    <w:p>
      <w:pPr>
        <w:jc w:val="center"/>
        <w:ind w:right="1260"/>
        <w:spacing w:after="0"/>
        <w:rPr>
          <w:sz w:val="20"/>
          <w:szCs w:val="20"/>
          <w:color w:val="auto"/>
        </w:rPr>
      </w:pPr>
      <w:r>
        <w:rPr>
          <w:rFonts w:ascii="Courier New" w:cs="Courier New" w:eastAsia="Courier New" w:hAnsi="Courier New"/>
          <w:sz w:val="14"/>
          <w:szCs w:val="14"/>
          <w:color w:val="auto"/>
        </w:rPr>
        <w:t>$1.00 per share</w:t>
      </w:r>
    </w:p>
    <w:p>
      <w:pPr>
        <w:spacing w:after="0" w:line="312" w:lineRule="exact"/>
        <w:rPr>
          <w:sz w:val="24"/>
          <w:szCs w:val="24"/>
          <w:color w:val="auto"/>
        </w:rPr>
      </w:pPr>
    </w:p>
    <w:p>
      <w:pPr>
        <w:ind w:right="320" w:firstLine="430"/>
        <w:spacing w:after="0" w:line="26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spacing w:after="0"/>
        <w:tabs>
          <w:tab w:leader="none" w:pos="4380" w:val="left"/>
          <w:tab w:leader="none" w:pos="4900" w:val="left"/>
        </w:tabs>
        <w:rPr>
          <w:sz w:val="20"/>
          <w:szCs w:val="20"/>
          <w:color w:val="auto"/>
        </w:rPr>
      </w:pPr>
      <w:r>
        <w:rPr>
          <w:rFonts w:ascii="Courier New" w:cs="Courier New" w:eastAsia="Courier New" w:hAnsi="Courier New"/>
          <w:sz w:val="14"/>
          <w:szCs w:val="14"/>
          <w:color w:val="auto"/>
        </w:rPr>
        <w:t>filing requirements for the past 90 days. Yes 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ind w:left="3880"/>
        <w:spacing w:after="0"/>
        <w:tabs>
          <w:tab w:leader="none" w:pos="4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7" w:lineRule="exact"/>
        <w:rPr>
          <w:sz w:val="24"/>
          <w:szCs w:val="24"/>
          <w:color w:val="auto"/>
        </w:rPr>
      </w:pPr>
    </w:p>
    <w:p>
      <w:pPr>
        <w:ind w:right="140" w:firstLine="430"/>
        <w:spacing w:after="0" w:line="28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65" w:lineRule="exact"/>
        <w:rPr>
          <w:sz w:val="24"/>
          <w:szCs w:val="24"/>
          <w:color w:val="auto"/>
        </w:rPr>
      </w:pPr>
    </w:p>
    <w:p>
      <w:pPr>
        <w:ind w:right="140" w:firstLine="430"/>
        <w:spacing w:after="0" w:line="298" w:lineRule="auto"/>
        <w:rPr>
          <w:sz w:val="20"/>
          <w:szCs w:val="20"/>
          <w:color w:val="auto"/>
        </w:rPr>
      </w:pPr>
      <w:r>
        <w:rPr>
          <w:rFonts w:ascii="Courier New" w:cs="Courier New" w:eastAsia="Courier New" w:hAnsi="Courier New"/>
          <w:sz w:val="14"/>
          <w:szCs w:val="14"/>
          <w:color w:val="auto"/>
        </w:rPr>
        <w:t>Aggregate market value of the Company's voting stock held by non-affiliates on February 29, 2000, based on the closing price for the Company's Class B Common Stock on the New York Stock Exchange on such date: approximately $2,258,000,000.</w:t>
      </w:r>
    </w:p>
    <w:p>
      <w:pPr>
        <w:spacing w:after="0" w:line="23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Shares of common stock outstanding at February 29, 2000:</w:t>
      </w: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Class A Common Stock - 1,739,250 shares</w:t>
      </w:r>
    </w:p>
    <w:p>
      <w:pPr>
        <w:spacing w:after="0" w:line="3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Class B Common Stock - 7,700,446 shares</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Documents partially incorporated by reference:</w:t>
      </w:r>
    </w:p>
    <w:p>
      <w:pPr>
        <w:spacing w:after="0" w:line="173" w:lineRule="exact"/>
        <w:rPr>
          <w:sz w:val="24"/>
          <w:szCs w:val="24"/>
          <w:color w:val="auto"/>
        </w:rPr>
      </w:pPr>
    </w:p>
    <w:p>
      <w:pPr>
        <w:ind w:left="620" w:right="400"/>
        <w:spacing w:after="0" w:line="313" w:lineRule="auto"/>
        <w:rPr>
          <w:sz w:val="20"/>
          <w:szCs w:val="20"/>
          <w:color w:val="auto"/>
        </w:rPr>
      </w:pPr>
      <w:r>
        <w:rPr>
          <w:rFonts w:ascii="Courier New" w:cs="Courier New" w:eastAsia="Courier New" w:hAnsi="Courier New"/>
          <w:sz w:val="14"/>
          <w:szCs w:val="14"/>
          <w:color w:val="auto"/>
        </w:rPr>
        <w:t>Definitive Proxy Statement for the Company's 2000 Annual Meeting of Stockholders (incorporated in Part III to the extent provided in Items 10, 11, 12 and 13 hereof).</w:t>
      </w:r>
    </w:p>
    <w:p>
      <w:pPr>
        <w:spacing w:after="0" w:line="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4"/>
          <w:szCs w:val="14"/>
          <w:color w:val="auto"/>
        </w:rPr>
        <w:t>53-0182885</w:t>
      </w:r>
    </w:p>
    <w:p>
      <w:pPr>
        <w:spacing w:after="0" w:line="33" w:lineRule="exact"/>
        <w:rPr>
          <w:sz w:val="24"/>
          <w:szCs w:val="24"/>
          <w:color w:val="auto"/>
        </w:rPr>
      </w:pPr>
    </w:p>
    <w:p>
      <w:pPr>
        <w:ind w:left="260" w:right="499" w:firstLine="86"/>
        <w:spacing w:after="0" w:line="336" w:lineRule="auto"/>
        <w:rPr>
          <w:sz w:val="20"/>
          <w:szCs w:val="20"/>
          <w:color w:val="auto"/>
        </w:rPr>
      </w:pPr>
      <w:r>
        <w:rPr>
          <w:rFonts w:ascii="Courier New" w:cs="Courier New" w:eastAsia="Courier New" w:hAnsi="Courier New"/>
          <w:sz w:val="14"/>
          <w:szCs w:val="14"/>
          <w:color w:val="auto"/>
        </w:rPr>
        <w:t>(I.R.S. EMPLOYER IDENTIFICATION NO.)</w:t>
      </w:r>
    </w:p>
    <w:p>
      <w:pPr>
        <w:spacing w:after="0" w:line="2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20071</w:t>
      </w:r>
    </w:p>
    <w:p>
      <w:pPr>
        <w:spacing w:after="0" w:line="33"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w:t>
      </w:r>
    </w:p>
    <w:p>
      <w:pPr>
        <w:spacing w:after="0" w:line="3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New York Stock Exchange</w:t>
      </w:r>
    </w:p>
    <w:p>
      <w:pPr>
        <w:sectPr>
          <w:pgSz w:w="11900" w:h="16838" w:orient="portrait"/>
          <w:cols w:equalWidth="0" w:num="2">
            <w:col w:w="7040" w:space="720"/>
            <w:col w:w="2399"/>
          </w:cols>
          <w:pgMar w:left="300" w:top="204"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14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The principal business activities of The Washington Post Company (the "Company") consist of newspaper publishing (principally The Washington Post), television broadcasting (through the ownership and operation of six network-affiliated stations), the ownership and operation of cable television systems, magazine publishing (principally Newsweek magazine), and (through its Kaplan subsidiary) the provision of educational and career development services.</w:t>
      </w:r>
    </w:p>
    <w:p>
      <w:pPr>
        <w:spacing w:after="0" w:line="69" w:lineRule="exact"/>
        <w:rPr>
          <w:sz w:val="20"/>
          <w:szCs w:val="20"/>
          <w:color w:val="auto"/>
        </w:rPr>
      </w:pPr>
    </w:p>
    <w:p>
      <w:pPr>
        <w:ind w:right="3259" w:firstLine="689"/>
        <w:spacing w:after="0" w:line="271" w:lineRule="auto"/>
        <w:rPr>
          <w:sz w:val="20"/>
          <w:szCs w:val="20"/>
          <w:color w:val="auto"/>
        </w:rPr>
      </w:pPr>
      <w:r>
        <w:rPr>
          <w:rFonts w:ascii="Courier New" w:cs="Courier New" w:eastAsia="Courier New" w:hAnsi="Courier New"/>
          <w:sz w:val="14"/>
          <w:szCs w:val="14"/>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0.4% of consolidated operating revenues.)</w:t>
      </w:r>
    </w:p>
    <w:p>
      <w:pPr>
        <w:spacing w:after="0" w:line="71" w:lineRule="exact"/>
        <w:rPr>
          <w:sz w:val="20"/>
          <w:szCs w:val="20"/>
          <w:color w:val="auto"/>
        </w:rPr>
      </w:pPr>
    </w:p>
    <w:p>
      <w:pPr>
        <w:ind w:right="3439" w:firstLine="689"/>
        <w:spacing w:after="0" w:line="275" w:lineRule="auto"/>
        <w:rPr>
          <w:sz w:val="20"/>
          <w:szCs w:val="20"/>
          <w:color w:val="auto"/>
        </w:rPr>
      </w:pPr>
      <w:r>
        <w:rPr>
          <w:rFonts w:ascii="Courier New" w:cs="Courier New" w:eastAsia="Courier New" w:hAnsi="Courier New"/>
          <w:sz w:val="14"/>
          <w:szCs w:val="14"/>
          <w:color w:val="auto"/>
        </w:rPr>
        <w:t>During each of the last three years the Company's operations in geographic areas outside the United States (consisting primarily of the publication of the international editions of Newsweek) accounted for less than 5% of the Company's consolidated revenues and less than 2% of its consolidated income from operations, and the identifiable assets attributable to such operations represented less than 2% of the Company's consolidated assets.</w:t>
      </w:r>
    </w:p>
    <w:p>
      <w:pPr>
        <w:spacing w:after="0" w:line="6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NEWSPAPER PUBLISHING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173" w:lineRule="exact"/>
        <w:rPr>
          <w:sz w:val="20"/>
          <w:szCs w:val="20"/>
          <w:color w:val="auto"/>
        </w:rPr>
      </w:pPr>
    </w:p>
    <w:p>
      <w:pPr>
        <w:jc w:val="both"/>
        <w:ind w:right="4039" w:firstLine="689"/>
        <w:spacing w:after="0" w:line="313" w:lineRule="auto"/>
        <w:rPr>
          <w:sz w:val="20"/>
          <w:szCs w:val="20"/>
          <w:color w:val="auto"/>
        </w:rPr>
      </w:pPr>
      <w:r>
        <w:rPr>
          <w:rFonts w:ascii="Courier New" w:cs="Courier New" w:eastAsia="Courier New" w:hAnsi="Courier New"/>
          <w:sz w:val="14"/>
          <w:szCs w:val="14"/>
          <w:color w:val="auto"/>
        </w:rPr>
        <w:t>The Washington Post is a morning and Sunday newspaper primarily distributed by home delivery in the Washington, D.C. metropolitan area, including large portions of Virginia and Maryland.</w:t>
      </w:r>
    </w:p>
    <w:p>
      <w:pPr>
        <w:spacing w:after="0" w:line="42"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following table shows the average paid daily (including Saturday) and Sunday circulation of The Post for the twelve-month periods ended September 30 in each of the last five years, as reported by the Audit Bureau of Circulations ("ABC"):</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Pr>
          <w:p>
            <w:pPr>
              <w:spacing w:after="0"/>
              <w:rPr>
                <w:sz w:val="14"/>
                <w:szCs w:val="14"/>
                <w:color w:val="auto"/>
              </w:rPr>
            </w:pPr>
          </w:p>
        </w:tc>
        <w:tc>
          <w:tcPr>
            <w:tcW w:w="2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AVERAGE PAID CIRCULATION</w:t>
            </w:r>
          </w:p>
        </w:tc>
      </w:tr>
      <w:tr>
        <w:trPr>
          <w:trHeight w:val="166"/>
        </w:trPr>
        <w:tc>
          <w:tcPr>
            <w:tcW w:w="2760" w:type="dxa"/>
            <w:vAlign w:val="bottom"/>
          </w:tcPr>
          <w:p>
            <w:pPr>
              <w:spacing w:after="0"/>
              <w:rPr>
                <w:sz w:val="14"/>
                <w:szCs w:val="14"/>
                <w:color w:val="auto"/>
              </w:rPr>
            </w:pPr>
          </w:p>
        </w:tc>
        <w:tc>
          <w:tcPr>
            <w:tcW w:w="2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DAILY</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SUNDAY</w:t>
            </w:r>
          </w:p>
        </w:tc>
      </w:tr>
      <w:tr>
        <w:trPr>
          <w:trHeight w:val="242"/>
        </w:trPr>
        <w:tc>
          <w:tcPr>
            <w:tcW w:w="2760" w:type="dxa"/>
            <w:vAlign w:val="bottom"/>
          </w:tcPr>
          <w:p>
            <w:pPr>
              <w:spacing w:after="0"/>
              <w:rPr>
                <w:sz w:val="21"/>
                <w:szCs w:val="21"/>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255"/>
        </w:trPr>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807,818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1,140,498</w:t>
            </w:r>
          </w:p>
        </w:tc>
      </w:tr>
      <w:tr>
        <w:trPr>
          <w:trHeight w:val="166"/>
        </w:trPr>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800,295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1,129,519</w:t>
            </w:r>
          </w:p>
        </w:tc>
      </w:tr>
      <w:tr>
        <w:trPr>
          <w:trHeight w:val="166"/>
        </w:trPr>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784,199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1,109,344</w:t>
            </w:r>
          </w:p>
        </w:tc>
      </w:tr>
      <w:tr>
        <w:trPr>
          <w:trHeight w:val="166"/>
        </w:trPr>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774,414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1,095,091</w:t>
            </w:r>
          </w:p>
        </w:tc>
      </w:tr>
      <w:tr>
        <w:trPr>
          <w:trHeight w:val="242"/>
        </w:trPr>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775,005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1,085,060</w:t>
            </w:r>
          </w:p>
        </w:tc>
      </w:tr>
    </w:tbl>
    <w:p>
      <w:pPr>
        <w:spacing w:after="0" w:line="255" w:lineRule="exact"/>
        <w:rPr>
          <w:sz w:val="20"/>
          <w:szCs w:val="20"/>
          <w:color w:val="auto"/>
        </w:rPr>
      </w:pPr>
    </w:p>
    <w:p>
      <w:pPr>
        <w:ind w:right="3259" w:firstLine="689"/>
        <w:spacing w:after="0" w:line="271" w:lineRule="auto"/>
        <w:rPr>
          <w:sz w:val="20"/>
          <w:szCs w:val="20"/>
          <w:color w:val="auto"/>
        </w:rPr>
      </w:pPr>
      <w:r>
        <w:rPr>
          <w:rFonts w:ascii="Courier New" w:cs="Courier New" w:eastAsia="Courier New" w:hAnsi="Courier New"/>
          <w:sz w:val="14"/>
          <w:szCs w:val="14"/>
          <w:color w:val="auto"/>
        </w:rPr>
        <w:t>A price increase for home-delivered copies of the daily and Sunday newspaper went into effect on March 27, 2000, which raised the rate per four-week period from $10.60 (which had been the rate since 1997) to $11.16. The rate charged to subscribers for Sunday-only home-delivered copies of the newspaper for each four-week period has been $6.00 since 1991. The newsstand price for the Sunday newspaper has been $1.50 since 1992 and the newsstand price for the daily newspaper has been $0.25 since 1981.</w:t>
      </w:r>
    </w:p>
    <w:p>
      <w:pPr>
        <w:spacing w:after="0" w:line="71"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General advertising rates were increased by an average of 4.6% on January 1, 1999, and by another 4.5% on January 1, 2000. Rates for most categories of classified and retail advertising were increased by an average of 3.7% on February 1, 1999, and by an additional 4.7% on February 1, 2000.</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5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firstLine="689"/>
        <w:spacing w:after="0" w:line="376"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242"/>
        </w:trPr>
        <w:tc>
          <w:tcPr>
            <w:tcW w:w="10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Total Inches</w:t>
            </w:r>
          </w:p>
        </w:tc>
        <w:tc>
          <w:tcPr>
            <w:tcW w:w="2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3,192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3,265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Full-Run</w:t>
            </w:r>
          </w:p>
        </w:tc>
        <w:tc>
          <w:tcPr>
            <w:tcW w:w="2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Inches.........................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2,747</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Part-Run</w:t>
            </w:r>
          </w:p>
        </w:tc>
        <w:tc>
          <w:tcPr>
            <w:tcW w:w="2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Inches.........................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242"/>
        </w:trPr>
        <w:tc>
          <w:tcPr>
            <w:tcW w:w="4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Preprints (in millions).....................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1,648</w:t>
            </w:r>
          </w:p>
        </w:tc>
      </w:tr>
    </w:tbl>
    <w:p>
      <w:pPr>
        <w:spacing w:after="0" w:line="255" w:lineRule="exact"/>
        <w:rPr>
          <w:sz w:val="20"/>
          <w:szCs w:val="20"/>
          <w:color w:val="auto"/>
        </w:rPr>
      </w:pPr>
    </w:p>
    <w:p>
      <w:pPr>
        <w:ind w:right="3439" w:firstLine="689"/>
        <w:spacing w:after="0" w:line="281" w:lineRule="auto"/>
        <w:rPr>
          <w:sz w:val="20"/>
          <w:szCs w:val="20"/>
          <w:color w:val="auto"/>
        </w:rPr>
      </w:pPr>
      <w:r>
        <w:rPr>
          <w:rFonts w:ascii="Courier New" w:cs="Courier New" w:eastAsia="Courier New" w:hAnsi="Courier New"/>
          <w:sz w:val="14"/>
          <w:szCs w:val="14"/>
          <w:color w:val="auto"/>
        </w:rPr>
        <w:t>The Post also publishes The Washington Post National Weekly Edition, a tabloid which contains selected articles and features from The Washington Post edited for a national audience. The National Weekly Edition has a basic subscription price of $78 per year and is delivered by second class mail to approximately 76,000 subscribers.</w:t>
      </w:r>
    </w:p>
    <w:p>
      <w:pPr>
        <w:spacing w:after="0" w:line="65" w:lineRule="exact"/>
        <w:rPr>
          <w:sz w:val="20"/>
          <w:szCs w:val="20"/>
          <w:color w:val="auto"/>
        </w:rPr>
      </w:pPr>
    </w:p>
    <w:p>
      <w:pPr>
        <w:ind w:right="3339" w:firstLine="689"/>
        <w:spacing w:after="0" w:line="272" w:lineRule="auto"/>
        <w:rPr>
          <w:sz w:val="20"/>
          <w:szCs w:val="20"/>
          <w:color w:val="auto"/>
        </w:rPr>
      </w:pPr>
      <w:r>
        <w:rPr>
          <w:rFonts w:ascii="Courier New" w:cs="Courier New" w:eastAsia="Courier New" w:hAnsi="Courier New"/>
          <w:sz w:val="14"/>
          <w:szCs w:val="14"/>
          <w:color w:val="auto"/>
        </w:rPr>
        <w:t>The Post has about 660 full-time editors, correspondents, reporters and photographers on its staff, draws upon the news reporting facilities of the major wire services and maintains correspondents in 20 news centers abroad and in New York City; Los Angeles; Chicago; Miami; Richmond; Baltimore; Annapolis; Austin, Texas; and Burlingame, California. The Post also maintains correspondents in ten news bureaus in the greater Washington, D.C. metropolitan area.</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HERALD</w:t>
      </w:r>
    </w:p>
    <w:p>
      <w:pPr>
        <w:spacing w:after="0" w:line="173" w:lineRule="exact"/>
        <w:rPr>
          <w:sz w:val="20"/>
          <w:szCs w:val="20"/>
          <w:color w:val="auto"/>
        </w:rPr>
      </w:pPr>
    </w:p>
    <w:p>
      <w:pPr>
        <w:ind w:right="3439" w:firstLine="689"/>
        <w:spacing w:after="0" w:line="271" w:lineRule="auto"/>
        <w:rPr>
          <w:sz w:val="20"/>
          <w:szCs w:val="20"/>
          <w:color w:val="auto"/>
        </w:rPr>
      </w:pPr>
      <w:r>
        <w:rPr>
          <w:rFonts w:ascii="Courier New" w:cs="Courier New" w:eastAsia="Courier New" w:hAnsi="Courier New"/>
          <w:sz w:val="14"/>
          <w:szCs w:val="14"/>
          <w:color w:val="auto"/>
        </w:rPr>
        <w:t>The Company owns The Daily Herald Company, publisher of The Herald in Everett, Washington, about 30 miles north of Seattle. The Herald is published mornings seven days a week and is primarily distributed by home delivery in Snohomish County. The Daily Herald Company also provides commercial printing services and publishes six controlled-circulation weekly community newspapers (collectively know as The Enterprise Newspapers) that are distributed in south Snohomish and north King Counties.</w:t>
      </w:r>
    </w:p>
    <w:p>
      <w:pPr>
        <w:spacing w:after="0" w:line="71" w:lineRule="exact"/>
        <w:rPr>
          <w:sz w:val="20"/>
          <w:szCs w:val="20"/>
          <w:color w:val="auto"/>
        </w:rPr>
      </w:pPr>
    </w:p>
    <w:p>
      <w:pPr>
        <w:ind w:right="3339" w:firstLine="689"/>
        <w:spacing w:after="0" w:line="281" w:lineRule="auto"/>
        <w:rPr>
          <w:sz w:val="20"/>
          <w:szCs w:val="20"/>
          <w:color w:val="auto"/>
        </w:rPr>
      </w:pPr>
      <w:r>
        <w:rPr>
          <w:rFonts w:ascii="Courier New" w:cs="Courier New" w:eastAsia="Courier New" w:hAnsi="Courier New"/>
          <w:sz w:val="14"/>
          <w:szCs w:val="14"/>
          <w:color w:val="auto"/>
        </w:rPr>
        <w:t>The Herald's average paid circulation as reported to ABC for the twelve months ended September 30, 1999, was 53,910 daily (including Saturday) and 62,342 Sunday. The aggregate average weekly circulation of The Enterprise Newspapers during the twelve-month period ended December 31, 1999, was approximately 71,000 copies.</w:t>
      </w:r>
    </w:p>
    <w:p>
      <w:pPr>
        <w:spacing w:after="0" w:line="65" w:lineRule="exact"/>
        <w:rPr>
          <w:sz w:val="20"/>
          <w:szCs w:val="20"/>
          <w:color w:val="auto"/>
        </w:rPr>
      </w:pPr>
    </w:p>
    <w:p>
      <w:pPr>
        <w:ind w:right="3439" w:firstLine="689"/>
        <w:spacing w:after="0" w:line="375" w:lineRule="auto"/>
        <w:rPr>
          <w:sz w:val="20"/>
          <w:szCs w:val="20"/>
          <w:color w:val="auto"/>
        </w:rPr>
      </w:pPr>
      <w:r>
        <w:rPr>
          <w:rFonts w:ascii="Courier New" w:cs="Courier New" w:eastAsia="Courier New" w:hAnsi="Courier New"/>
          <w:sz w:val="14"/>
          <w:szCs w:val="14"/>
          <w:color w:val="auto"/>
        </w:rPr>
        <w:t>The Herald and The Enterprise Newspapers together employ approximately 70 editors, reporters and photographers.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GAZETTE NEWSPAPERS</w:t>
      </w:r>
    </w:p>
    <w:p>
      <w:pPr>
        <w:spacing w:after="0" w:line="173"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The Gazette Newspapers, Inc., another subsidiary of the Company, publishes one paid-circulation and 31 controlled-circulation weekly community newspapers (collectively known as The Gazette Newspapers) in Montgomery and Frederick Counties and parts of Prince George's and Carroll Counties, Maryland. During 1999 The Gazette Newspapers had an aggregate average weekly circulation of approximately 476,000 copies. This subsidiary also produces 12 military newspapers (most of which are weekly) under agreements where editorial material is supplied by local military bases; these newspapers had a combined 1999 circulation of over 214,000 copies.</w:t>
      </w:r>
    </w:p>
    <w:p>
      <w:pPr>
        <w:spacing w:after="0" w:line="74" w:lineRule="exact"/>
        <w:rPr>
          <w:sz w:val="20"/>
          <w:szCs w:val="20"/>
          <w:color w:val="auto"/>
        </w:rPr>
      </w:pPr>
    </w:p>
    <w:p>
      <w:pPr>
        <w:ind w:right="3699" w:firstLine="689"/>
        <w:spacing w:after="0" w:line="375" w:lineRule="auto"/>
        <w:rPr>
          <w:sz w:val="20"/>
          <w:szCs w:val="20"/>
          <w:color w:val="auto"/>
        </w:rPr>
      </w:pPr>
      <w:r>
        <w:rPr>
          <w:rFonts w:ascii="Courier New" w:cs="Courier New" w:eastAsia="Courier New" w:hAnsi="Courier New"/>
          <w:sz w:val="14"/>
          <w:szCs w:val="14"/>
          <w:color w:val="auto"/>
        </w:rPr>
        <w:t>The Gazette Newspapers have approximately 95 editors, reporters and photographers on their combined staffs.</w:t>
      </w:r>
    </w:p>
    <w:p>
      <w:pPr>
        <w:spacing w:after="0" w:line="1" w:lineRule="exact"/>
        <w:rPr>
          <w:sz w:val="20"/>
          <w:szCs w:val="20"/>
          <w:color w:val="auto"/>
        </w:rPr>
      </w:pPr>
    </w:p>
    <w:p>
      <w:pPr>
        <w:ind w:right="3959" w:firstLine="689"/>
        <w:spacing w:after="0" w:line="376" w:lineRule="auto"/>
        <w:rPr>
          <w:sz w:val="20"/>
          <w:szCs w:val="20"/>
          <w:color w:val="auto"/>
        </w:rPr>
      </w:pPr>
      <w:r>
        <w:rPr>
          <w:rFonts w:ascii="Courier New" w:cs="Courier New" w:eastAsia="Courier New" w:hAnsi="Courier New"/>
          <w:sz w:val="14"/>
          <w:szCs w:val="14"/>
          <w:color w:val="auto"/>
        </w:rPr>
        <w:t>The Gazette Newspapers, Inc. also operates a commercial printing business which it acquired in 1996.</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WASHINGTONPOST.NEWSWEEK INTERACTIVE</w:t>
      </w:r>
    </w:p>
    <w:p>
      <w:pPr>
        <w:spacing w:after="0" w:line="173" w:lineRule="exact"/>
        <w:rPr>
          <w:sz w:val="20"/>
          <w:szCs w:val="20"/>
          <w:color w:val="auto"/>
        </w:rPr>
      </w:pPr>
    </w:p>
    <w:p>
      <w:pPr>
        <w:ind w:right="3259" w:firstLine="689"/>
        <w:spacing w:after="0" w:line="257" w:lineRule="auto"/>
        <w:rPr>
          <w:sz w:val="20"/>
          <w:szCs w:val="20"/>
          <w:color w:val="auto"/>
        </w:rPr>
      </w:pPr>
      <w:r>
        <w:rPr>
          <w:rFonts w:ascii="Courier New" w:cs="Courier New" w:eastAsia="Courier New" w:hAnsi="Courier New"/>
          <w:sz w:val="14"/>
          <w:szCs w:val="14"/>
          <w:color w:val="auto"/>
        </w:rPr>
        <w:t>Washingtonpost.Newsweek Interactive Company ("WPNI") develops news and information products for electronic distribution. Since July 1996 this subsidiary of the Company has operated washingtonpost.com, a World Wide Web site that features the full editorial text of The Washington Post and most of The Post's classified advertising as well as original content created by WPNI's staff and content obtained from other sources. The washingtonpost.com site also features a comprehensive city guide focusing on the Washington, D.C. area, including an arts and entertainment section, a community section and an online yellow pages directory. This site is currently generating more than 70 million page views per month and the Company believes (based on data from Media Metrix) is among the top six national news sites on the Internet. The Company (either directly or through WPNI) also holds minority equity interests in Classified Ventures, Inc. and CareerPath.com Inc., entities formed to compete in the business of providing nationwide classified advertising databases on the Internet. Classified Ventures covers the product categories of automobiles, apartment rentals, real estate and auctions while CareerPath covers the area of recruitment advertising. Listings for these services come from various sources, including (in most cases) direct sales and classified listings from the newspapers of participating companies. Links to the Classified Ventures and CareerPath services are included in the washingtonpost.com site.</w:t>
      </w:r>
    </w:p>
    <w:p>
      <w:pPr>
        <w:spacing w:after="0" w:line="81" w:lineRule="exact"/>
        <w:rPr>
          <w:sz w:val="20"/>
          <w:szCs w:val="20"/>
          <w:color w:val="auto"/>
        </w:rPr>
      </w:pPr>
    </w:p>
    <w:p>
      <w:pPr>
        <w:ind w:right="3259" w:firstLine="689"/>
        <w:spacing w:after="0" w:line="313" w:lineRule="auto"/>
        <w:rPr>
          <w:sz w:val="20"/>
          <w:szCs w:val="20"/>
          <w:color w:val="auto"/>
        </w:rPr>
      </w:pPr>
      <w:r>
        <w:rPr>
          <w:rFonts w:ascii="Courier New" w:cs="Courier New" w:eastAsia="Courier New" w:hAnsi="Courier New"/>
          <w:sz w:val="14"/>
          <w:szCs w:val="14"/>
          <w:color w:val="auto"/>
        </w:rPr>
        <w:t>WPNI also produces the newsweek.com Web site, which was launched in 1998 and contains editorial content from the print edition of Newsweek as well as daily news updates and analysis, photo galleries, Web guides and other features.</w:t>
      </w:r>
    </w:p>
    <w:p>
      <w:pPr>
        <w:spacing w:after="0" w:line="42"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In November 1999, WPNI, together with certain other business units of the Company, signed a non-binding agreement in principle with NBC News and MSNBC pursuant to which the parties would share certain news material and technological and promotional resources. Among other things, this agreement contemplates that Newsweek's current Web site would become a feature on MSNBC.com and that MSNBC.com would have access to content from The Washington Post. Similarly, washingtonpost.com would have access to NBC News multimedia content. A definitive agreement to memorialize this relationship is currently being negotiated.</w:t>
      </w:r>
    </w:p>
    <w:p>
      <w:pPr>
        <w:spacing w:after="0" w:line="25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TELEVISION BROADCASTING</w:t>
      </w:r>
    </w:p>
    <w:p>
      <w:pPr>
        <w:spacing w:after="0" w:line="173"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Through subsidiaries the Company owns six VHF television stations located in Detroit, Michigan; Houston, Texas; Miami, Florida; Orlando, Florida; San Antonio, Texas; and Jacksonville, Florida; which are respectively the 9th, 11th, 16th, 22nd, 37th and 52nd largest broadcasting markets in the United States. Each of the Company's stations is affiliated with a national network. Although network affiliation agreements generally have limited terms, each of the Company's television stations has maintained a network affiliation continuously for at least 20 years.</w:t>
      </w:r>
    </w:p>
    <w:p>
      <w:pPr>
        <w:spacing w:after="0" w:line="74" w:lineRule="exact"/>
        <w:rPr>
          <w:sz w:val="20"/>
          <w:szCs w:val="20"/>
          <w:color w:val="auto"/>
        </w:rPr>
      </w:pPr>
    </w:p>
    <w:p>
      <w:pPr>
        <w:ind w:right="3859" w:firstLine="689"/>
        <w:spacing w:after="0" w:line="376" w:lineRule="auto"/>
        <w:rPr>
          <w:sz w:val="20"/>
          <w:szCs w:val="20"/>
          <w:color w:val="auto"/>
        </w:rPr>
      </w:pPr>
      <w:r>
        <w:rPr>
          <w:rFonts w:ascii="Courier New" w:cs="Courier New" w:eastAsia="Courier New" w:hAnsi="Courier New"/>
          <w:sz w:val="14"/>
          <w:szCs w:val="14"/>
          <w:color w:val="auto"/>
        </w:rPr>
        <w:t>The Company's 1999 net operating revenues from national and local television advertising and network compensation were as follows:</w:t>
      </w:r>
    </w:p>
    <w:p>
      <w:pPr>
        <w:spacing w:after="0" w:line="331"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w w:val="80"/>
              </w:rPr>
              <w:t>National.....................</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$ 101,626,000</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w w:val="80"/>
              </w:rPr>
              <w:t>Local........................</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204,423,000</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w w:val="80"/>
              </w:rPr>
              <w:t>Network......................</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29,552,000</w:t>
            </w:r>
          </w:p>
        </w:tc>
        <w:tc>
          <w:tcPr>
            <w:tcW w:w="0" w:type="dxa"/>
            <w:vAlign w:val="bottom"/>
          </w:tcPr>
          <w:p>
            <w:pPr>
              <w:spacing w:after="0"/>
              <w:rPr>
                <w:sz w:val="1"/>
                <w:szCs w:val="1"/>
                <w:color w:val="auto"/>
              </w:rPr>
            </w:pPr>
          </w:p>
        </w:tc>
      </w:tr>
      <w:tr>
        <w:trPr>
          <w:trHeight w:val="166"/>
        </w:trPr>
        <w:tc>
          <w:tcPr>
            <w:tcW w:w="19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980" w:type="dxa"/>
            <w:vAlign w:val="bottom"/>
            <w:vMerge w:val="continue"/>
          </w:tcPr>
          <w:p>
            <w:pPr>
              <w:ind w:left="780"/>
              <w:spacing w:after="0" w:line="146" w:lineRule="exact"/>
              <w:rPr>
                <w:sz w:val="20"/>
                <w:szCs w:val="20"/>
                <w:color w:val="auto"/>
              </w:rPr>
            </w:pPr>
            <w:r>
              <w:rPr>
                <w:rFonts w:ascii="Courier New" w:cs="Courier New" w:eastAsia="Courier New" w:hAnsi="Courier New"/>
                <w:sz w:val="14"/>
                <w:szCs w:val="14"/>
                <w:color w:val="auto"/>
                <w:w w:val="70"/>
              </w:rPr>
              <w: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$ 335,601,000</w:t>
            </w:r>
          </w:p>
        </w:tc>
        <w:tc>
          <w:tcPr>
            <w:tcW w:w="0" w:type="dxa"/>
            <w:vAlign w:val="bottom"/>
          </w:tcPr>
          <w:p>
            <w:pPr>
              <w:spacing w:after="0"/>
              <w:rPr>
                <w:sz w:val="1"/>
                <w:szCs w:val="1"/>
                <w:color w:val="auto"/>
              </w:rPr>
            </w:pPr>
          </w:p>
        </w:tc>
      </w:tr>
      <w:tr>
        <w:trPr>
          <w:trHeight w:val="497"/>
        </w:trPr>
        <w:tc>
          <w:tcPr>
            <w:tcW w:w="1980" w:type="dxa"/>
            <w:vAlign w:val="bottom"/>
          </w:tcPr>
          <w:p>
            <w:pPr>
              <w:spacing w:after="0"/>
              <w:rPr>
                <w:sz w:val="24"/>
                <w:szCs w:val="24"/>
                <w:color w:val="auto"/>
              </w:rPr>
            </w:pPr>
          </w:p>
        </w:tc>
        <w:tc>
          <w:tcPr>
            <w:tcW w:w="1900" w:type="dxa"/>
            <w:vAlign w:val="bottom"/>
          </w:tcPr>
          <w:p>
            <w:pPr>
              <w:jc w:val="right"/>
              <w:ind w:right="1728"/>
              <w:spacing w:after="0"/>
              <w:rPr>
                <w:sz w:val="20"/>
                <w:szCs w:val="20"/>
                <w:color w:val="auto"/>
              </w:rPr>
            </w:pPr>
            <w:r>
              <w:rPr>
                <w:rFonts w:ascii="Courier New" w:cs="Courier New" w:eastAsia="Courier New" w:hAnsi="Courier New"/>
                <w:sz w:val="14"/>
                <w:szCs w:val="14"/>
                <w:color w:val="auto"/>
                <w:w w:val="94"/>
              </w:rPr>
              <w:t>3</w:t>
            </w:r>
          </w:p>
        </w:tc>
        <w:tc>
          <w:tcPr>
            <w:tcW w:w="0" w:type="dxa"/>
            <w:vAlign w:val="bottom"/>
          </w:tcPr>
          <w:p>
            <w:pPr>
              <w:spacing w:after="0"/>
              <w:rPr>
                <w:sz w:val="1"/>
                <w:szCs w:val="1"/>
                <w:color w:val="auto"/>
              </w:rPr>
            </w:pPr>
          </w:p>
        </w:tc>
      </w:tr>
    </w:tbl>
    <w:p>
      <w:pPr>
        <w:sectPr>
          <w:pgSz w:w="11900" w:h="16838" w:orient="portrait"/>
          <w:cols w:equalWidth="0" w:num="1">
            <w:col w:w="10159"/>
          </w:cols>
          <w:pgMar w:left="300" w:top="259" w:right="1440" w:bottom="1440" w:gutter="0" w:footer="0" w:header="0"/>
        </w:sectPr>
      </w:pPr>
    </w:p>
    <w:bookmarkStart w:id="4" w:name="page5"/>
    <w:bookmarkEnd w:id="4"/>
    <w:p>
      <w:pPr>
        <w:spacing w:after="0" w:line="10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firstLine="689"/>
        <w:spacing w:after="0" w:line="376" w:lineRule="auto"/>
        <w:rPr>
          <w:sz w:val="20"/>
          <w:szCs w:val="20"/>
          <w:color w:val="auto"/>
        </w:rPr>
      </w:pPr>
      <w:r>
        <w:rPr>
          <w:rFonts w:ascii="Courier New" w:cs="Courier New" w:eastAsia="Courier New" w:hAnsi="Courier New"/>
          <w:sz w:val="14"/>
          <w:szCs w:val="14"/>
          <w:color w:val="auto"/>
        </w:rPr>
        <w:t>The following table sets forth certain information with respect to each of the Company's television stations:</w:t>
      </w:r>
    </w:p>
    <w:p>
      <w:pPr>
        <w:spacing w:after="0" w:line="200" w:lineRule="exact"/>
        <w:rPr>
          <w:sz w:val="20"/>
          <w:szCs w:val="20"/>
          <w:color w:val="auto"/>
        </w:rPr>
      </w:pP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STATION LOCATION AND</w:t>
            </w:r>
          </w:p>
        </w:tc>
        <w:tc>
          <w:tcPr>
            <w:tcW w:w="16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NATIONAL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EXPIRATION</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jc w:val="center"/>
              <w:ind w:right="708"/>
              <w:spacing w:after="0"/>
              <w:rPr>
                <w:sz w:val="20"/>
                <w:szCs w:val="20"/>
                <w:color w:val="auto"/>
              </w:rPr>
            </w:pPr>
            <w:r>
              <w:rPr>
                <w:rFonts w:ascii="Courier New" w:cs="Courier New" w:eastAsia="Courier New" w:hAnsi="Courier New"/>
                <w:sz w:val="14"/>
                <w:szCs w:val="14"/>
                <w:color w:val="auto"/>
              </w:rPr>
              <w:t>NETWORK</w:t>
            </w:r>
          </w:p>
        </w:tc>
        <w:tc>
          <w:tcPr>
            <w:tcW w:w="1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DATE OF</w:t>
            </w:r>
          </w:p>
        </w:tc>
        <w:tc>
          <w:tcPr>
            <w:tcW w:w="0" w:type="dxa"/>
            <w:vAlign w:val="bottom"/>
          </w:tcPr>
          <w:p>
            <w:pPr>
              <w:spacing w:after="0"/>
              <w:rPr>
                <w:sz w:val="1"/>
                <w:szCs w:val="1"/>
                <w:color w:val="auto"/>
              </w:rPr>
            </w:pP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YEAR COMMERCIAL</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MARKET</w:t>
            </w: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94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FCC</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OPERATION COMMENCED</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RANKING(a)</w:t>
            </w:r>
          </w:p>
        </w:tc>
        <w:tc>
          <w:tcPr>
            <w:tcW w:w="1720" w:type="dxa"/>
            <w:vAlign w:val="bottom"/>
            <w:gridSpan w:val="2"/>
          </w:tcPr>
          <w:p>
            <w:pPr>
              <w:jc w:val="center"/>
              <w:ind w:right="468"/>
              <w:spacing w:after="0"/>
              <w:rPr>
                <w:sz w:val="20"/>
                <w:szCs w:val="20"/>
                <w:color w:val="auto"/>
              </w:rPr>
            </w:pPr>
            <w:r>
              <w:rPr>
                <w:rFonts w:ascii="Courier New" w:cs="Courier New" w:eastAsia="Courier New" w:hAnsi="Courier New"/>
                <w:sz w:val="14"/>
                <w:szCs w:val="14"/>
                <w:color w:val="auto"/>
              </w:rPr>
              <w:t>AFFILIATION</w:t>
            </w:r>
          </w:p>
        </w:tc>
        <w:tc>
          <w:tcPr>
            <w:tcW w:w="1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LICENSE</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center"/>
              <w:ind w:right="4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WDIV</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9th</w:t>
            </w:r>
          </w:p>
        </w:tc>
        <w:tc>
          <w:tcPr>
            <w:tcW w:w="260" w:type="dxa"/>
            <w:vAlign w:val="bottom"/>
          </w:tcPr>
          <w:p>
            <w:pPr>
              <w:spacing w:after="0"/>
              <w:rPr>
                <w:sz w:val="22"/>
                <w:szCs w:val="22"/>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NBC</w:t>
            </w:r>
          </w:p>
        </w:tc>
        <w:tc>
          <w:tcPr>
            <w:tcW w:w="1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Oct. 1,</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Detroit, Mich.</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2005</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1947</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KPRC</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11th</w:t>
            </w:r>
          </w:p>
        </w:tc>
        <w:tc>
          <w:tcPr>
            <w:tcW w:w="260" w:type="dxa"/>
            <w:vAlign w:val="bottom"/>
          </w:tcPr>
          <w:p>
            <w:pPr>
              <w:spacing w:after="0"/>
              <w:rPr>
                <w:sz w:val="22"/>
                <w:szCs w:val="22"/>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NBC</w:t>
            </w:r>
          </w:p>
        </w:tc>
        <w:tc>
          <w:tcPr>
            <w:tcW w:w="1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Aug. 1,</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Houston, Tx.</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2006</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1949</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WPLG</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16th</w:t>
            </w:r>
          </w:p>
        </w:tc>
        <w:tc>
          <w:tcPr>
            <w:tcW w:w="260" w:type="dxa"/>
            <w:vAlign w:val="bottom"/>
          </w:tcPr>
          <w:p>
            <w:pPr>
              <w:spacing w:after="0"/>
              <w:rPr>
                <w:sz w:val="22"/>
                <w:szCs w:val="22"/>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ABC</w:t>
            </w:r>
          </w:p>
        </w:tc>
        <w:tc>
          <w:tcPr>
            <w:tcW w:w="1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Feb. 1,</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Miami, Fla.</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2005</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1961</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WKMG</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22nd</w:t>
            </w:r>
          </w:p>
        </w:tc>
        <w:tc>
          <w:tcPr>
            <w:tcW w:w="260" w:type="dxa"/>
            <w:vAlign w:val="bottom"/>
          </w:tcPr>
          <w:p>
            <w:pPr>
              <w:spacing w:after="0"/>
              <w:rPr>
                <w:sz w:val="22"/>
                <w:szCs w:val="22"/>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CBS</w:t>
            </w:r>
          </w:p>
        </w:tc>
        <w:tc>
          <w:tcPr>
            <w:tcW w:w="1940" w:type="dxa"/>
            <w:vAlign w:val="bottom"/>
            <w:vMerge w:val="restart"/>
          </w:tcPr>
          <w:p>
            <w:pPr>
              <w:jc w:val="center"/>
              <w:ind w:right="1028"/>
              <w:spacing w:after="0"/>
              <w:rPr>
                <w:sz w:val="20"/>
                <w:szCs w:val="20"/>
                <w:color w:val="auto"/>
              </w:rPr>
            </w:pPr>
            <w:r>
              <w:rPr>
                <w:rFonts w:ascii="Courier New" w:cs="Courier New" w:eastAsia="Courier New" w:hAnsi="Courier New"/>
                <w:sz w:val="14"/>
                <w:szCs w:val="14"/>
                <w:color w:val="auto"/>
              </w:rPr>
              <w:t>Feb. 1,</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Orlando, Fla.</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1954</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2005</w:t>
            </w: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KSAT</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37th</w:t>
            </w:r>
          </w:p>
        </w:tc>
        <w:tc>
          <w:tcPr>
            <w:tcW w:w="260" w:type="dxa"/>
            <w:vAlign w:val="bottom"/>
          </w:tcPr>
          <w:p>
            <w:pPr>
              <w:spacing w:after="0"/>
              <w:rPr>
                <w:sz w:val="22"/>
                <w:szCs w:val="22"/>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ABC</w:t>
            </w:r>
          </w:p>
        </w:tc>
        <w:tc>
          <w:tcPr>
            <w:tcW w:w="1940" w:type="dxa"/>
            <w:vAlign w:val="bottom"/>
            <w:vMerge w:val="restart"/>
          </w:tcPr>
          <w:p>
            <w:pPr>
              <w:jc w:val="center"/>
              <w:ind w:right="1028"/>
              <w:spacing w:after="0"/>
              <w:rPr>
                <w:sz w:val="20"/>
                <w:szCs w:val="20"/>
                <w:color w:val="auto"/>
              </w:rPr>
            </w:pPr>
            <w:r>
              <w:rPr>
                <w:rFonts w:ascii="Courier New" w:cs="Courier New" w:eastAsia="Courier New" w:hAnsi="Courier New"/>
                <w:sz w:val="14"/>
                <w:szCs w:val="14"/>
                <w:color w:val="auto"/>
              </w:rPr>
              <w:t>Aug. 1,</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San Antonio, Tx.</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1957</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2006</w:t>
            </w: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WJXT</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52nd</w:t>
            </w:r>
          </w:p>
        </w:tc>
        <w:tc>
          <w:tcPr>
            <w:tcW w:w="260" w:type="dxa"/>
            <w:vAlign w:val="bottom"/>
          </w:tcPr>
          <w:p>
            <w:pPr>
              <w:spacing w:after="0"/>
              <w:rPr>
                <w:sz w:val="22"/>
                <w:szCs w:val="22"/>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CBS</w:t>
            </w:r>
          </w:p>
        </w:tc>
        <w:tc>
          <w:tcPr>
            <w:tcW w:w="1940" w:type="dxa"/>
            <w:vAlign w:val="bottom"/>
            <w:vMerge w:val="restart"/>
          </w:tcPr>
          <w:p>
            <w:pPr>
              <w:jc w:val="center"/>
              <w:ind w:right="1028"/>
              <w:spacing w:after="0"/>
              <w:rPr>
                <w:sz w:val="20"/>
                <w:szCs w:val="20"/>
                <w:color w:val="auto"/>
              </w:rPr>
            </w:pPr>
            <w:r>
              <w:rPr>
                <w:rFonts w:ascii="Courier New" w:cs="Courier New" w:eastAsia="Courier New" w:hAnsi="Courier New"/>
                <w:sz w:val="14"/>
                <w:szCs w:val="14"/>
                <w:color w:val="auto"/>
              </w:rPr>
              <w:t>Feb. 1,</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Jacksonville, Fla.</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1947</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2005</w:t>
            </w:r>
          </w:p>
        </w:tc>
        <w:tc>
          <w:tcPr>
            <w:tcW w:w="0" w:type="dxa"/>
            <w:vAlign w:val="bottom"/>
          </w:tcPr>
          <w:p>
            <w:pPr>
              <w:spacing w:after="0"/>
              <w:rPr>
                <w:sz w:val="1"/>
                <w:szCs w:val="1"/>
                <w:color w:val="auto"/>
              </w:rPr>
            </w:pPr>
          </w:p>
        </w:tc>
      </w:tr>
      <w:tr>
        <w:trPr>
          <w:trHeight w:val="255"/>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STATION LOCATION AND</w:t>
            </w:r>
          </w:p>
        </w:tc>
        <w:tc>
          <w:tcPr>
            <w:tcW w:w="16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EXPIRATION</w:t>
            </w:r>
          </w:p>
        </w:tc>
        <w:tc>
          <w:tcPr>
            <w:tcW w:w="260" w:type="dxa"/>
            <w:vAlign w:val="bottom"/>
          </w:tcPr>
          <w:p>
            <w:pPr>
              <w:spacing w:after="0"/>
              <w:rPr>
                <w:sz w:val="22"/>
                <w:szCs w:val="22"/>
                <w:color w:val="auto"/>
              </w:rPr>
            </w:pPr>
          </w:p>
        </w:tc>
        <w:tc>
          <w:tcPr>
            <w:tcW w:w="3400" w:type="dxa"/>
            <w:vAlign w:val="bottom"/>
            <w:gridSpan w:val="2"/>
          </w:tcPr>
          <w:p>
            <w:pPr>
              <w:ind w:left="1320"/>
              <w:spacing w:after="0"/>
              <w:rPr>
                <w:sz w:val="20"/>
                <w:szCs w:val="20"/>
                <w:color w:val="auto"/>
              </w:rPr>
            </w:pPr>
            <w:r>
              <w:rPr>
                <w:rFonts w:ascii="Courier New" w:cs="Courier New" w:eastAsia="Courier New" w:hAnsi="Courier New"/>
                <w:sz w:val="14"/>
                <w:szCs w:val="14"/>
                <w:color w:val="auto"/>
              </w:rPr>
              <w:t>TOTAL COMMERCIAL</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STATIONS IN DMA(b)</w:t>
            </w:r>
          </w:p>
        </w:tc>
        <w:tc>
          <w:tcPr>
            <w:tcW w:w="0" w:type="dxa"/>
            <w:vAlign w:val="bottom"/>
          </w:tcPr>
          <w:p>
            <w:pPr>
              <w:spacing w:after="0"/>
              <w:rPr>
                <w:sz w:val="1"/>
                <w:szCs w:val="1"/>
                <w:color w:val="auto"/>
              </w:rPr>
            </w:pP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YEAR COMMERCIAL</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DATE OF</w:t>
            </w:r>
          </w:p>
        </w:tc>
        <w:tc>
          <w:tcPr>
            <w:tcW w:w="260" w:type="dxa"/>
            <w:vAlign w:val="bottom"/>
          </w:tcPr>
          <w:p>
            <w:pPr>
              <w:spacing w:after="0"/>
              <w:rPr>
                <w:sz w:val="14"/>
                <w:szCs w:val="14"/>
                <w:color w:val="auto"/>
              </w:rPr>
            </w:pPr>
          </w:p>
        </w:tc>
        <w:tc>
          <w:tcPr>
            <w:tcW w:w="340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OPERATION COMMENCED</w:t>
            </w:r>
          </w:p>
        </w:tc>
        <w:tc>
          <w:tcPr>
            <w:tcW w:w="19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NETWORK AGREEMENT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ALLOCATED</w:t>
            </w:r>
          </w:p>
        </w:tc>
        <w:tc>
          <w:tcPr>
            <w:tcW w:w="194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OPERATING</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WDIV</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w:t>
            </w:r>
          </w:p>
        </w:tc>
        <w:tc>
          <w:tcPr>
            <w:tcW w:w="260" w:type="dxa"/>
            <w:vAlign w:val="bottom"/>
          </w:tcPr>
          <w:p>
            <w:pPr>
              <w:spacing w:after="0"/>
              <w:rPr>
                <w:sz w:val="22"/>
                <w:szCs w:val="22"/>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VHF-4</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VHF-4</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Detroit, Mich.</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UHF-6</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UHF-5</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1947</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KPRC</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w:t>
            </w:r>
          </w:p>
        </w:tc>
        <w:tc>
          <w:tcPr>
            <w:tcW w:w="260" w:type="dxa"/>
            <w:vAlign w:val="bottom"/>
          </w:tcPr>
          <w:p>
            <w:pPr>
              <w:spacing w:after="0"/>
              <w:rPr>
                <w:sz w:val="22"/>
                <w:szCs w:val="22"/>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VHF-3</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VHF-3</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Houston, Tx.</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UHF-11</w:t>
            </w:r>
          </w:p>
        </w:tc>
        <w:tc>
          <w:tcPr>
            <w:tcW w:w="1940" w:type="dxa"/>
            <w:vAlign w:val="bottom"/>
          </w:tcPr>
          <w:p>
            <w:pPr>
              <w:ind w:left="1320"/>
              <w:spacing w:after="0"/>
              <w:rPr>
                <w:sz w:val="20"/>
                <w:szCs w:val="20"/>
                <w:color w:val="auto"/>
              </w:rPr>
            </w:pPr>
            <w:r>
              <w:rPr>
                <w:rFonts w:ascii="Courier New" w:cs="Courier New" w:eastAsia="Courier New" w:hAnsi="Courier New"/>
                <w:sz w:val="14"/>
                <w:szCs w:val="14"/>
                <w:color w:val="auto"/>
              </w:rPr>
              <w:t>UHF-11</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1949</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WPLG</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 31,</w:t>
            </w:r>
          </w:p>
        </w:tc>
        <w:tc>
          <w:tcPr>
            <w:tcW w:w="260" w:type="dxa"/>
            <w:vAlign w:val="bottom"/>
          </w:tcPr>
          <w:p>
            <w:pPr>
              <w:spacing w:after="0"/>
              <w:rPr>
                <w:sz w:val="22"/>
                <w:szCs w:val="22"/>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VHF-5</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VHF-5</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Miami, Fla.</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UHF-8</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UHF-7</w:t>
            </w: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1961</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WKMG</w:t>
            </w:r>
          </w:p>
        </w:tc>
        <w:tc>
          <w:tcPr>
            <w:tcW w:w="1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Apr. 6,</w:t>
            </w:r>
          </w:p>
        </w:tc>
        <w:tc>
          <w:tcPr>
            <w:tcW w:w="260" w:type="dxa"/>
            <w:vAlign w:val="bottom"/>
          </w:tcPr>
          <w:p>
            <w:pPr>
              <w:spacing w:after="0"/>
              <w:rPr>
                <w:sz w:val="22"/>
                <w:szCs w:val="22"/>
                <w:color w:val="auto"/>
              </w:rPr>
            </w:pPr>
          </w:p>
        </w:tc>
        <w:tc>
          <w:tcPr>
            <w:tcW w:w="146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VHF-3</w:t>
            </w:r>
          </w:p>
        </w:tc>
        <w:tc>
          <w:tcPr>
            <w:tcW w:w="1940" w:type="dxa"/>
            <w:vAlign w:val="bottom"/>
            <w:vMerge w:val="restart"/>
          </w:tcPr>
          <w:p>
            <w:pPr>
              <w:jc w:val="center"/>
              <w:ind w:left="1068"/>
              <w:spacing w:after="0"/>
              <w:rPr>
                <w:sz w:val="20"/>
                <w:szCs w:val="20"/>
                <w:color w:val="auto"/>
              </w:rPr>
            </w:pPr>
            <w:r>
              <w:rPr>
                <w:rFonts w:ascii="Courier New" w:cs="Courier New" w:eastAsia="Courier New" w:hAnsi="Courier New"/>
                <w:sz w:val="14"/>
                <w:szCs w:val="14"/>
                <w:color w:val="auto"/>
              </w:rPr>
              <w:t>VHF-3</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Orlando, Fla.</w:t>
            </w:r>
          </w:p>
        </w:tc>
        <w:tc>
          <w:tcPr>
            <w:tcW w:w="1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1954</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2005</w:t>
            </w:r>
          </w:p>
        </w:tc>
        <w:tc>
          <w:tcPr>
            <w:tcW w:w="260" w:type="dxa"/>
            <w:vAlign w:val="bottom"/>
          </w:tcPr>
          <w:p>
            <w:pPr>
              <w:spacing w:after="0"/>
              <w:rPr>
                <w:sz w:val="21"/>
                <w:szCs w:val="21"/>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UHF-11</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UHF-9</w:t>
            </w: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KSAT</w:t>
            </w:r>
          </w:p>
        </w:tc>
        <w:tc>
          <w:tcPr>
            <w:tcW w:w="16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Dec. 31,</w:t>
            </w:r>
          </w:p>
        </w:tc>
        <w:tc>
          <w:tcPr>
            <w:tcW w:w="260" w:type="dxa"/>
            <w:vAlign w:val="bottom"/>
          </w:tcPr>
          <w:p>
            <w:pPr>
              <w:spacing w:after="0"/>
              <w:rPr>
                <w:sz w:val="22"/>
                <w:szCs w:val="22"/>
                <w:color w:val="auto"/>
              </w:rPr>
            </w:pPr>
          </w:p>
        </w:tc>
        <w:tc>
          <w:tcPr>
            <w:tcW w:w="146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VHF-4</w:t>
            </w:r>
          </w:p>
        </w:tc>
        <w:tc>
          <w:tcPr>
            <w:tcW w:w="1940" w:type="dxa"/>
            <w:vAlign w:val="bottom"/>
            <w:vMerge w:val="restart"/>
          </w:tcPr>
          <w:p>
            <w:pPr>
              <w:jc w:val="center"/>
              <w:ind w:left="1068"/>
              <w:spacing w:after="0"/>
              <w:rPr>
                <w:sz w:val="20"/>
                <w:szCs w:val="20"/>
                <w:color w:val="auto"/>
              </w:rPr>
            </w:pPr>
            <w:r>
              <w:rPr>
                <w:rFonts w:ascii="Courier New" w:cs="Courier New" w:eastAsia="Courier New" w:hAnsi="Courier New"/>
                <w:sz w:val="14"/>
                <w:szCs w:val="14"/>
                <w:color w:val="auto"/>
              </w:rPr>
              <w:t>VHF-4</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San Antonio, Tx.</w:t>
            </w:r>
          </w:p>
        </w:tc>
        <w:tc>
          <w:tcPr>
            <w:tcW w:w="1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1957</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21"/>
                <w:szCs w:val="21"/>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UHF-6</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UHF-6</w:t>
            </w:r>
          </w:p>
        </w:tc>
        <w:tc>
          <w:tcPr>
            <w:tcW w:w="0" w:type="dxa"/>
            <w:vAlign w:val="bottom"/>
          </w:tcPr>
          <w:p>
            <w:pPr>
              <w:spacing w:after="0"/>
              <w:rPr>
                <w:sz w:val="1"/>
                <w:szCs w:val="1"/>
                <w:color w:val="auto"/>
              </w:rPr>
            </w:pPr>
          </w:p>
        </w:tc>
      </w:tr>
      <w:tr>
        <w:trPr>
          <w:trHeight w:val="255"/>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WJXT</w:t>
            </w:r>
          </w:p>
        </w:tc>
        <w:tc>
          <w:tcPr>
            <w:tcW w:w="16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July 10,</w:t>
            </w:r>
          </w:p>
        </w:tc>
        <w:tc>
          <w:tcPr>
            <w:tcW w:w="260" w:type="dxa"/>
            <w:vAlign w:val="bottom"/>
          </w:tcPr>
          <w:p>
            <w:pPr>
              <w:spacing w:after="0"/>
              <w:rPr>
                <w:sz w:val="22"/>
                <w:szCs w:val="22"/>
                <w:color w:val="auto"/>
              </w:rPr>
            </w:pPr>
          </w:p>
        </w:tc>
        <w:tc>
          <w:tcPr>
            <w:tcW w:w="146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VHF-2</w:t>
            </w:r>
          </w:p>
        </w:tc>
        <w:tc>
          <w:tcPr>
            <w:tcW w:w="1940" w:type="dxa"/>
            <w:vAlign w:val="bottom"/>
            <w:vMerge w:val="restart"/>
          </w:tcPr>
          <w:p>
            <w:pPr>
              <w:jc w:val="center"/>
              <w:ind w:left="1068"/>
              <w:spacing w:after="0"/>
              <w:rPr>
                <w:sz w:val="20"/>
                <w:szCs w:val="20"/>
                <w:color w:val="auto"/>
              </w:rPr>
            </w:pPr>
            <w:r>
              <w:rPr>
                <w:rFonts w:ascii="Courier New" w:cs="Courier New" w:eastAsia="Courier New" w:hAnsi="Courier New"/>
                <w:sz w:val="14"/>
                <w:szCs w:val="14"/>
                <w:color w:val="auto"/>
              </w:rPr>
              <w:t>VHF-2</w:t>
            </w:r>
          </w:p>
        </w:tc>
        <w:tc>
          <w:tcPr>
            <w:tcW w:w="0" w:type="dxa"/>
            <w:vAlign w:val="bottom"/>
          </w:tcPr>
          <w:p>
            <w:pPr>
              <w:spacing w:after="0"/>
              <w:rPr>
                <w:sz w:val="1"/>
                <w:szCs w:val="1"/>
                <w:color w:val="auto"/>
              </w:rPr>
            </w:pPr>
          </w:p>
        </w:tc>
      </w:tr>
      <w:tr>
        <w:trPr>
          <w:trHeight w:val="166"/>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Jacksonville, Fla.</w:t>
            </w:r>
          </w:p>
        </w:tc>
        <w:tc>
          <w:tcPr>
            <w:tcW w:w="1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1947</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21"/>
                <w:szCs w:val="21"/>
                <w:color w:val="auto"/>
              </w:rPr>
            </w:pPr>
          </w:p>
        </w:tc>
        <w:tc>
          <w:tcPr>
            <w:tcW w:w="1460" w:type="dxa"/>
            <w:vAlign w:val="bottom"/>
          </w:tcPr>
          <w:p>
            <w:pPr>
              <w:ind w:left="800"/>
              <w:spacing w:after="0"/>
              <w:rPr>
                <w:sz w:val="20"/>
                <w:szCs w:val="20"/>
                <w:color w:val="auto"/>
              </w:rPr>
            </w:pPr>
            <w:r>
              <w:rPr>
                <w:rFonts w:ascii="Courier New" w:cs="Courier New" w:eastAsia="Courier New" w:hAnsi="Courier New"/>
                <w:sz w:val="14"/>
                <w:szCs w:val="14"/>
                <w:color w:val="auto"/>
              </w:rPr>
              <w:t>UHF-6</w:t>
            </w:r>
          </w:p>
        </w:tc>
        <w:tc>
          <w:tcPr>
            <w:tcW w:w="1940" w:type="dxa"/>
            <w:vAlign w:val="bottom"/>
          </w:tcPr>
          <w:p>
            <w:pPr>
              <w:jc w:val="center"/>
              <w:ind w:left="1068"/>
              <w:spacing w:after="0"/>
              <w:rPr>
                <w:sz w:val="20"/>
                <w:szCs w:val="20"/>
                <w:color w:val="auto"/>
              </w:rPr>
            </w:pPr>
            <w:r>
              <w:rPr>
                <w:rFonts w:ascii="Courier New" w:cs="Courier New" w:eastAsia="Courier New" w:hAnsi="Courier New"/>
                <w:sz w:val="14"/>
                <w:szCs w:val="14"/>
                <w:color w:val="auto"/>
              </w:rPr>
              <w:t>UHF-5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599" w:firstLine="439"/>
        <w:spacing w:after="0" w:line="270" w:lineRule="auto"/>
        <w:tabs>
          <w:tab w:leader="none" w:pos="775"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1999/2000 DMA Market Rankings, Nielsen Media Research, Fall 1999, based on television homes in DMA (see note (b) below).</w:t>
      </w:r>
    </w:p>
    <w:p>
      <w:pPr>
        <w:ind w:right="3339" w:firstLine="439"/>
        <w:spacing w:after="0" w:line="293" w:lineRule="auto"/>
        <w:tabs>
          <w:tab w:leader="none" w:pos="775"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Market Area ("DMA") is a market designation of A.C. Nielsen which defines each television market exclusive of another, based on measured viewing patterns.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BROADCASTING AND RELATED MATTERS</w:t>
      </w:r>
    </w:p>
    <w:p>
      <w:pPr>
        <w:spacing w:after="0" w:line="173"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74" w:lineRule="exact"/>
        <w:rPr>
          <w:sz w:val="20"/>
          <w:szCs w:val="20"/>
          <w:color w:val="auto"/>
        </w:rPr>
      </w:pPr>
    </w:p>
    <w:p>
      <w:pPr>
        <w:ind w:right="3339" w:firstLine="689"/>
        <w:spacing w:after="0" w:line="375" w:lineRule="auto"/>
        <w:rPr>
          <w:sz w:val="20"/>
          <w:szCs w:val="20"/>
          <w:color w:val="auto"/>
        </w:rPr>
      </w:pPr>
      <w:r>
        <w:rPr>
          <w:rFonts w:ascii="Courier New" w:cs="Courier New" w:eastAsia="Courier New" w:hAnsi="Courier New"/>
          <w:sz w:val="14"/>
          <w:szCs w:val="14"/>
          <w:color w:val="auto"/>
        </w:rPr>
        <w:t>Each of the Company's television stations holds an FCC license which is renewable upon application for an eight-year period.</w:t>
      </w:r>
    </w:p>
    <w:p>
      <w:pPr>
        <w:spacing w:after="0" w:line="1" w:lineRule="exact"/>
        <w:rPr>
          <w:sz w:val="20"/>
          <w:szCs w:val="20"/>
          <w:color w:val="auto"/>
        </w:rPr>
      </w:pPr>
    </w:p>
    <w:p>
      <w:pPr>
        <w:ind w:right="3439" w:firstLine="689"/>
        <w:spacing w:after="0" w:line="271" w:lineRule="auto"/>
        <w:rPr>
          <w:sz w:val="20"/>
          <w:szCs w:val="20"/>
          <w:color w:val="auto"/>
        </w:rPr>
      </w:pPr>
      <w:r>
        <w:rPr>
          <w:rFonts w:ascii="Courier New" w:cs="Courier New" w:eastAsia="Courier New" w:hAnsi="Courier New"/>
          <w:sz w:val="14"/>
          <w:szCs w:val="14"/>
          <w:color w:val="auto"/>
        </w:rPr>
        <w:t>In December 1996 the FCC formally approved technical standards for digital advanced television ("DTV"). DTV is a flexible system that will permit broadcasters to utilize a single digital channel in various ways, including providing one channel of high-definition television programming with greatly enhanced image and sound quality or several channels of lower-definition television programming ("multicasting"), and is capable of accommodating subscription video and data services. Broadcasters may offer a combination of</w:t>
      </w:r>
    </w:p>
    <w:p>
      <w:pPr>
        <w:sectPr>
          <w:pgSz w:w="11900" w:h="16948" w:orient="portrait"/>
          <w:cols w:equalWidth="0" w:num="1">
            <w:col w:w="10159"/>
          </w:cols>
          <w:pgMar w:left="300" w:top="259" w:right="1440" w:bottom="0" w:gutter="0" w:footer="0" w:header="0"/>
        </w:sectPr>
      </w:pPr>
    </w:p>
    <w:bookmarkStart w:id="5" w:name="page6"/>
    <w:bookmarkEnd w:id="5"/>
    <w:p>
      <w:pPr>
        <w:ind w:right="3259"/>
        <w:spacing w:after="0" w:line="292" w:lineRule="auto"/>
        <w:rPr>
          <w:sz w:val="20"/>
          <w:szCs w:val="20"/>
          <w:color w:val="auto"/>
        </w:rPr>
      </w:pPr>
      <w:r>
        <w:rPr>
          <w:rFonts w:ascii="Courier New" w:cs="Courier New" w:eastAsia="Courier New" w:hAnsi="Courier New"/>
          <w:sz w:val="14"/>
          <w:szCs w:val="14"/>
          <w:color w:val="auto"/>
        </w:rPr>
        <w:t>services, so long as they transmit at least one stream of free video programming on the DTV channel. The FCC has assigned to each existing full power television station (including each station owned by the Company) a second channel to implement DTV while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11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present television operations are continued on that station's existing channel. Although in some cases a station's DTV channel may only permit operation over a smaller geographic service area than that available using its existing channel, the FCC's stated goal in assigning channels was to provide stations with DTV service areas that will be generally consistent with their existing service areas. The FCC's DTV rules also permit stations to request modifications to their assigned DTV facilities, allowing them to expand their DTV service areas if certain interference criteria are met. Under FCC rules and the Balanced Budget Act of 1997, station owners will be required to surrender one channel in 2006 and thereafter provide service solely in the DTV format. The Company's Detroit, Houston and Miami stations each commenced DTV broadcast operations during 1999. The Company's Orlando station has obtained a waiver from the FCC permitting it to delay the commencement of DTV broadcast operations until May 1, 2000. The deadline established by the FCC for the Company's two other stations (San Antonio and Jacksonville) to begin DTV broadcast operations is May 1, 2002.</w:t>
      </w:r>
    </w:p>
    <w:p>
      <w:pPr>
        <w:spacing w:after="0" w:line="82" w:lineRule="exact"/>
        <w:rPr>
          <w:sz w:val="20"/>
          <w:szCs w:val="20"/>
          <w:color w:val="auto"/>
        </w:rPr>
      </w:pPr>
    </w:p>
    <w:p>
      <w:pPr>
        <w:ind w:right="3259" w:firstLine="689"/>
        <w:spacing w:after="0" w:line="255" w:lineRule="auto"/>
        <w:rPr>
          <w:sz w:val="20"/>
          <w:szCs w:val="20"/>
          <w:color w:val="auto"/>
        </w:rPr>
      </w:pPr>
      <w:r>
        <w:rPr>
          <w:rFonts w:ascii="Courier New" w:cs="Courier New" w:eastAsia="Courier New" w:hAnsi="Courier New"/>
          <w:sz w:val="14"/>
          <w:szCs w:val="14"/>
          <w:color w:val="auto"/>
        </w:rPr>
        <w:t>Through two rounds of reconsideration ending in December 1998, the FCC refined its DTV rules and DTV channel assignments. The FCC's DTV decisions now are subject to judicial review in a consolidated appeal before the U.S. Court of Appeals for the District of Columbia Circuit. In November 1998 the FCC issued a decision to implement the requirement of the Telecommunications Act of 1996 that it charge broadcasters a fee for offering certain "ancillary and supplementary" services on the DTV channel. These services may include data, video or other services that are offered on a subscription basis or for which broadcasters receive compensation other than from advertising revenue. The FCC decided to impose a fee of 5% of the gross revenues generated by such services. The FCC also is considering whether and how to extend cable systems' obligations for mandatory carriage of certain broadcast television signals to the DTV channel. Deliberations on this issue include the question of whether cable systems should be required to transmit DTV signals in the same definition in which originally broadcast. The FCC also is implementing the Community Broadcasters Act of 1999, which provides interference protection to low-power television stations. It is likely that new FCC rules will be adopted which will provide several hundred low-power stations with the same protection from interference currently provided to full-power stations, with the result that it will be more difficult for some existing full-power stations to alter their analog or DTV transmission facilities. The FCC also has issued a Notice of Inquiry concerning whether special public interest obligations should be imposed on the DTV channel. Specifically, the FCC asked whether it should require broadcasters to provide free time for political candidates, increase the amount of programming intended to meet the needs of minorities and women, and increase communication with the public regarding programming decisions.</w:t>
      </w:r>
    </w:p>
    <w:p>
      <w:pPr>
        <w:spacing w:after="0" w:line="90" w:lineRule="exact"/>
        <w:rPr>
          <w:sz w:val="20"/>
          <w:szCs w:val="20"/>
          <w:color w:val="auto"/>
        </w:rPr>
      </w:pPr>
    </w:p>
    <w:p>
      <w:pPr>
        <w:ind w:right="3519" w:firstLine="689"/>
        <w:spacing w:after="0" w:line="375" w:lineRule="auto"/>
        <w:rPr>
          <w:sz w:val="20"/>
          <w:szCs w:val="20"/>
          <w:color w:val="auto"/>
        </w:rPr>
      </w:pPr>
      <w:r>
        <w:rPr>
          <w:rFonts w:ascii="Courier New" w:cs="Courier New" w:eastAsia="Courier New" w:hAnsi="Courier New"/>
          <w:sz w:val="14"/>
          <w:szCs w:val="14"/>
          <w:color w:val="auto"/>
        </w:rPr>
        <w:t>The Company cannot predict what effects the DTV conversion eventually will have upon its television broadcasting operations.</w:t>
      </w:r>
    </w:p>
    <w:p>
      <w:pPr>
        <w:spacing w:after="0" w:line="1"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The FCC also is conducting proceedings dealing with such matters as multiple ownership restrictions, regulations pertaining to cable television (discussed below under "Cable Television Division - Regulation of Cable Television and Related Matters"), and various proposals to further the development of alternative video delivery systems that would compete in varying degrees with both cable television and television broadcasting operations. In August 1999 the FCC amended its local ownership rule to permit one company to own two television stations in the same market if there are at least eight independently owned full-power television stations in that market (counting the co-owned stations as one), and if at least one of the co-owned stations is not among the top four ranked television stations in that market. The FCC also decided to permit common ownership of stations in a single market if their signals do not overlap, and to permit common ownership of certain failing or unbuilt stations. These rule changes are likely to increase concentration of ownership in local markets. For example, the Company's station in Jacksonville, Florida is now competing against a broadcaster that owns two television stations, and license transfer applications have been filed with the FCC which, if approved, would create two-station combinations in Miami, Detroit and San Antonio as well.</w:t>
      </w:r>
    </w:p>
    <w:p>
      <w:pPr>
        <w:spacing w:after="0" w:line="2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5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Separately, the rule governing the aggregate number of television stations a single company can own was relaxed by amendments to the Communications Act enacted in 1996, and broadcast companies are now permitted to own an unlimited number of television stations as long as the combined service areas of such stations do not include more than 35% of the U.S. population. The broadcast networks are urging Congress and the FCC to raise this limit to 50%, but those efforts are opposed by others in the industry, including the network affiliate associations and the National Association of Broadcasters. The Company is unable to determine what impact the various rule changes and other matters described in this paragraph may ultimately have on the Company's television broadcasting operations.</w:t>
      </w:r>
    </w:p>
    <w:p>
      <w:pPr>
        <w:spacing w:after="0" w:line="249"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CABLE TELEVISION DIVISION</w:t>
      </w:r>
    </w:p>
    <w:p>
      <w:pPr>
        <w:spacing w:after="0" w:line="173"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At the end of 1999 the Company (through its Cable One subsidiary) provided basic cable service to approximately 740,000 subscribers (representing about 72% of the 1,025,800 homes passed by the systems) and had in force more than 423,000 subscriptions to premium program services.</w:t>
      </w:r>
    </w:p>
    <w:p>
      <w:pPr>
        <w:spacing w:after="0" w:line="56" w:lineRule="exact"/>
        <w:rPr>
          <w:sz w:val="20"/>
          <w:szCs w:val="20"/>
          <w:color w:val="auto"/>
        </w:rPr>
      </w:pPr>
    </w:p>
    <w:p>
      <w:pPr>
        <w:ind w:right="3259" w:firstLine="689"/>
        <w:spacing w:after="0" w:line="375" w:lineRule="auto"/>
        <w:rPr>
          <w:sz w:val="20"/>
          <w:szCs w:val="20"/>
          <w:color w:val="auto"/>
        </w:rPr>
      </w:pPr>
      <w:r>
        <w:rPr>
          <w:rFonts w:ascii="Courier New" w:cs="Courier New" w:eastAsia="Courier New" w:hAnsi="Courier New"/>
          <w:sz w:val="14"/>
          <w:szCs w:val="14"/>
          <w:color w:val="auto"/>
        </w:rPr>
        <w:t>During 1999 the Company purchased several small cable television systems serving an aggregate of 10,300 subscribers.</w:t>
      </w:r>
    </w:p>
    <w:p>
      <w:pPr>
        <w:spacing w:after="0" w:line="1" w:lineRule="exact"/>
        <w:rPr>
          <w:sz w:val="20"/>
          <w:szCs w:val="20"/>
          <w:color w:val="auto"/>
        </w:rPr>
      </w:pPr>
    </w:p>
    <w:p>
      <w:pPr>
        <w:ind w:right="3259" w:firstLine="689"/>
        <w:spacing w:after="0" w:line="271" w:lineRule="auto"/>
        <w:rPr>
          <w:sz w:val="20"/>
          <w:szCs w:val="20"/>
          <w:color w:val="auto"/>
        </w:rPr>
      </w:pPr>
      <w:r>
        <w:rPr>
          <w:rFonts w:ascii="Courier New" w:cs="Courier New" w:eastAsia="Courier New" w:hAnsi="Courier New"/>
          <w:sz w:val="14"/>
          <w:szCs w:val="14"/>
          <w:color w:val="auto"/>
        </w:rPr>
        <w:t>The Company's cable systems are located in 18 Midwestern, Southern and Western states and typically serve smaller communities: thus 21 of the Company's current systems pass fewer than 10,000 dwelling units, 14 pass 10,000-25,000 dwelling units, and 17 pass more than 25,000 dwelling units, of which the two largest are in Modesto and Santa Rosa, California (each of which serves more than 50,000 subscribers). The largest cluster of systems (which together serve about 92,000 subscribers) is located on the Gulf Coast of Mississippi.</w:t>
      </w:r>
    </w:p>
    <w:p>
      <w:pPr>
        <w:spacing w:after="0" w:line="71"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On March 23, 2000, the Company announced that its Cable One subsidiary had reached an agreement in principle with a unit of AT&amp;T pursuant to which Cable One would exchange its Modesto and Santa Rosa cable systems for AT&amp;T cable systems serving the communities of Bose, Idaho Falls, Twins Falls, Pocatello and Lewiston, Idaho, and the communities of Ontario, Oregon and Smithfield, Utah. In a related transaction, Cable One would sell its Greenwood, Indiana cable system to a joint venture in which AT&amp;T has an interest. If consummated, these transactions would increase by approximately 26,000 the number of cable subscribers being served by the Company's cable systems.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CABLE TELEVISION AND RELATED MATTERS</w:t>
      </w:r>
    </w:p>
    <w:p>
      <w:pPr>
        <w:spacing w:after="0" w:line="173"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74"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69"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Among other things, the Telecommunications Act of 1996 altered the preexisting regulatory environment by expanding the definition of "effective competition" (a condition that precludes any regulation of the rates charged by a cable system), relaxing cost-of-service rules, raising the threshold</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5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for FCC investigations of rate complaints, and terminating rate regulation for some small cable systems. For cable systems that do not fall within the effective-competition or small-system exemptions (including all of the cable systems owned by the Company), monthly subscription rates for the basic tier of cable service (i.e. the tier that includes the signals of local over-the-air stations and any public, educational or governmental channels required to be carried under the applicable franchise agreement) may be regulated by municipalities, subject to procedures and criteria established by the FCC. Rates charged by cable television systems for pay-per-view service, for per-channel premium program services and for advertising are all exempt from regulation. The FCC's authority to regulate the rates charged for optional tiers of service expired on March 31, 1999.</w:t>
      </w:r>
    </w:p>
    <w:p>
      <w:pPr>
        <w:spacing w:after="0" w:line="248" w:lineRule="exact"/>
        <w:rPr>
          <w:sz w:val="20"/>
          <w:szCs w:val="20"/>
          <w:color w:val="auto"/>
        </w:rPr>
      </w:pPr>
    </w:p>
    <w:p>
      <w:pPr>
        <w:ind w:right="3259" w:firstLine="689"/>
        <w:spacing w:after="0" w:line="255" w:lineRule="auto"/>
        <w:rPr>
          <w:sz w:val="20"/>
          <w:szCs w:val="20"/>
          <w:color w:val="auto"/>
        </w:rPr>
      </w:pPr>
      <w:r>
        <w:rPr>
          <w:rFonts w:ascii="Courier New" w:cs="Courier New" w:eastAsia="Courier New" w:hAnsi="Courier New"/>
          <w:sz w:val="14"/>
          <w:szCs w:val="14"/>
          <w:color w:val="auto"/>
        </w:rPr>
        <w:t>In April 1993 the FCC adopted a "freeze" on rate increases for regulated services (i.e. the basic and, prior to March 1999, optional tiers). Later that year the FCC promulgated benchmarks for determining the reasonableness of rates for such services. The benchmarks provided for a percentage reduction in the rates that were in effect when the benchmarks were announced. Under the FCC's approach cable operators may exceed the benchmarks if they can show in a cost-of-service proceeding that higher rates are needed to earn a reasonable return on investment, which the Commission established in March 1994 to be</w:t>
      </w:r>
    </w:p>
    <w:p>
      <w:pPr>
        <w:spacing w:after="0" w:line="3"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11.25%. Also, the FCC has adopted so-called "going forward" rules which permit cable operators to increase their benchmarked rates for regulated services when new channels are added and to offset the effects of inflation, equipment upgrades, and higher programming, franchising and regulatory fees.</w:t>
      </w:r>
    </w:p>
    <w:p>
      <w:pPr>
        <w:spacing w:after="0" w:line="64" w:lineRule="exact"/>
        <w:rPr>
          <w:sz w:val="20"/>
          <w:szCs w:val="20"/>
          <w:color w:val="auto"/>
        </w:rPr>
      </w:pPr>
    </w:p>
    <w:p>
      <w:pPr>
        <w:ind w:right="3259" w:firstLine="689"/>
        <w:spacing w:after="0" w:line="263" w:lineRule="auto"/>
        <w:rPr>
          <w:sz w:val="20"/>
          <w:szCs w:val="20"/>
          <w:color w:val="auto"/>
        </w:rPr>
      </w:pPr>
      <w:r>
        <w:rPr>
          <w:rFonts w:ascii="Courier New" w:cs="Courier New" w:eastAsia="Courier New" w:hAnsi="Courier New"/>
          <w:sz w:val="14"/>
          <w:szCs w:val="14"/>
          <w:color w:val="auto"/>
        </w:rPr>
        <w:t>Pursuant to the "must-carry" requirements of the 1992 Cable Act,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signal contour or 50 miles of the station's transmitter.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249" w:lineRule="exact"/>
        <w:rPr>
          <w:sz w:val="20"/>
          <w:szCs w:val="20"/>
          <w:color w:val="auto"/>
        </w:rPr>
      </w:pPr>
    </w:p>
    <w:p>
      <w:pPr>
        <w:ind w:right="3259" w:firstLine="689"/>
        <w:spacing w:after="0" w:line="259" w:lineRule="auto"/>
        <w:rPr>
          <w:sz w:val="20"/>
          <w:szCs w:val="20"/>
          <w:color w:val="auto"/>
        </w:rPr>
      </w:pPr>
      <w:r>
        <w:rPr>
          <w:rFonts w:ascii="Courier New" w:cs="Courier New" w:eastAsia="Courier New" w:hAnsi="Courier New"/>
          <w:sz w:val="14"/>
          <w:szCs w:val="14"/>
          <w:color w:val="auto"/>
        </w:rPr>
        <w:t>At three-year intervals beginning in October 1993 commercial broadcasters have had the right to forego must-carry rights and insist instead that their signals not be carried without their prior consent. Before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 Many of these agreements between broadcast stations and the Company's cable systems expired at the end of 1999 and the expired agreements were replaced by new agreements having comparable terms.</w:t>
      </w:r>
    </w:p>
    <w:p>
      <w:pPr>
        <w:spacing w:after="0" w:line="248"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The FCC is continuing to consider the extent to which the must-carry and retransmission consent requirements described above will apply to broadcasters' DTV operations. Such an extension of must-carry requirements could result in the Company's cable systems being required to delete some existing programming to make room for broadcasters' DTV channels.</w:t>
      </w:r>
    </w:p>
    <w:p>
      <w:pPr>
        <w:spacing w:after="0" w:line="65"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consumer protection measures, and various regulations intended to facilitate the development of</w:t>
      </w:r>
    </w:p>
    <w:p>
      <w:pPr>
        <w:spacing w:after="0" w:line="23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5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69" w:lineRule="exact"/>
        <w:rPr>
          <w:sz w:val="20"/>
          <w:szCs w:val="20"/>
          <w:color w:val="auto"/>
        </w:rPr>
      </w:pPr>
    </w:p>
    <w:p>
      <w:pPr>
        <w:ind w:right="3259" w:firstLine="689"/>
        <w:spacing w:after="0" w:line="259" w:lineRule="auto"/>
        <w:rPr>
          <w:sz w:val="20"/>
          <w:szCs w:val="20"/>
          <w:color w:val="auto"/>
        </w:rPr>
      </w:pPr>
      <w:r>
        <w:rPr>
          <w:rFonts w:ascii="Courier New" w:cs="Courier New" w:eastAsia="Courier New" w:hAnsi="Courier New"/>
          <w:sz w:val="14"/>
          <w:szCs w:val="14"/>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regulates the assignment and transfer of control of such licenses, and oversees compliance with certain affirmative action and equal employment opportunity obligations applicable to cable systems. In addition, pursuant to the Pole Attachment Act, the FCC exercises authority to disapprove unreasonable rates charged to cable operators by telephone and power utilities for utilizing space on utility poles or in underground conduits.</w:t>
      </w:r>
    </w:p>
    <w:p>
      <w:pPr>
        <w:spacing w:after="0" w:line="248" w:lineRule="exact"/>
        <w:rPr>
          <w:sz w:val="20"/>
          <w:szCs w:val="20"/>
          <w:color w:val="auto"/>
        </w:rPr>
      </w:pPr>
    </w:p>
    <w:p>
      <w:pPr>
        <w:ind w:right="3259" w:firstLine="689"/>
        <w:spacing w:after="0" w:line="258"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("DBS") operators, although in the latter case the license right was limited to stations whose over-the-air signal was not available at the subscriber's location. However in November 1999 Congress enacted the Satellite Home Viewer Improvement Act, which extends the compulsory copyright license to DBS operators who wish to distribute the signals of local television stations to satellite subscribers in the markets served by such stations. This Act continued the other restrictions contained in the original compulsory license for DBS operators, which permit the signal of a distant network-affiliated station to be distributed only in areas where subscribers cannot receive an over-the-air signal of another station affiliated with the same network.</w:t>
      </w:r>
    </w:p>
    <w:p>
      <w:pPr>
        <w:spacing w:after="0" w:line="248" w:lineRule="exact"/>
        <w:rPr>
          <w:sz w:val="20"/>
          <w:szCs w:val="20"/>
          <w:color w:val="auto"/>
        </w:rPr>
      </w:pPr>
    </w:p>
    <w:p>
      <w:pPr>
        <w:ind w:right="3259" w:firstLine="689"/>
        <w:spacing w:after="0" w:line="256" w:lineRule="auto"/>
        <w:rPr>
          <w:sz w:val="20"/>
          <w:szCs w:val="20"/>
          <w:color w:val="auto"/>
        </w:rPr>
      </w:pPr>
      <w:r>
        <w:rPr>
          <w:rFonts w:ascii="Courier New" w:cs="Courier New" w:eastAsia="Courier New" w:hAnsi="Courier New"/>
          <w:sz w:val="14"/>
          <w:szCs w:val="14"/>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and be subject to reduced regulatory burdens. The Act contains detailed requirements 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to be established by the FCC. (Cable operators and others not affiliated with a telephone company may also become</w:t>
      </w:r>
    </w:p>
    <w:p>
      <w:pPr>
        <w:spacing w:after="0" w:line="25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5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operators of open video systems.) The Act also generally prohibits telephone companies from acquiring or owning an interest in existing cable systems operating in their service areas.</w:t>
      </w:r>
    </w:p>
    <w:p>
      <w:pPr>
        <w:spacing w:after="0" w:line="42" w:lineRule="exact"/>
        <w:rPr>
          <w:sz w:val="20"/>
          <w:szCs w:val="20"/>
          <w:color w:val="auto"/>
        </w:rPr>
      </w:pPr>
    </w:p>
    <w:p>
      <w:pPr>
        <w:ind w:right="3259" w:firstLine="689"/>
        <w:spacing w:after="0" w:line="261" w:lineRule="auto"/>
        <w:rPr>
          <w:sz w:val="20"/>
          <w:szCs w:val="20"/>
          <w:color w:val="auto"/>
        </w:rPr>
      </w:pPr>
      <w:r>
        <w:rPr>
          <w:rFonts w:ascii="Courier New" w:cs="Courier New" w:eastAsia="Courier New" w:hAnsi="Courier New"/>
          <w:sz w:val="14"/>
          <w:szCs w:val="14"/>
          <w:color w:val="auto"/>
        </w:rPr>
        <w:t>The Telecommunications Act of 1996 balances this grant of video authority to telephone companies by removing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249"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During the past several years, the FCC has adopted various rule changes intended to facilitate the development of so-called "wireless cable," a video service that is capable of distributing approximately 30 television channels in a local area by over-the-air microwave transmission using analog technology and a greater number of channels using digital compression technologies. Moreover, in late 1998 the FCC began issuing licenses for a new digital wireless cable service which will utilize up to 1,300 megahertz of spectrum in the 28 and 31 gigahertz bands and is intended to provide large numbers of video channels as well as voice and data transmission services. Wireless cable services are not required to obtain franchises from local governmental authorities and generally operate under fewer regulatory requirements than conventional cable television systems.</w:t>
      </w:r>
    </w:p>
    <w:p>
      <w:pPr>
        <w:spacing w:after="0" w:line="248"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In October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allows a cable operator to provide service to 30% of all actual subscribers to cable, satellite and other competing services nationwide, rather than to 30% of homes passed by cable. This revision has the effect of increasing the number of communities that can be served by a single cable operator and may result in more consolidation in the cable industry.</w:t>
      </w:r>
    </w:p>
    <w:p>
      <w:pPr>
        <w:spacing w:after="0" w:line="74" w:lineRule="exact"/>
        <w:rPr>
          <w:sz w:val="20"/>
          <w:szCs w:val="20"/>
          <w:color w:val="auto"/>
        </w:rPr>
      </w:pPr>
    </w:p>
    <w:p>
      <w:pPr>
        <w:ind w:right="3259" w:firstLine="689"/>
        <w:spacing w:after="0" w:line="271" w:lineRule="auto"/>
        <w:rPr>
          <w:sz w:val="20"/>
          <w:szCs w:val="20"/>
          <w:color w:val="auto"/>
        </w:rPr>
      </w:pPr>
      <w:r>
        <w:rPr>
          <w:rFonts w:ascii="Courier New" w:cs="Courier New" w:eastAsia="Courier New" w:hAnsi="Courier New"/>
          <w:sz w:val="14"/>
          <w:szCs w:val="14"/>
          <w:color w:val="auto"/>
        </w:rPr>
        <w:t>A case is pending before the U.S. Court of Appeals for the Ninth Circuit which challenges agreements between certain cable operators and Internet service providers under which the cable operators can only offer Internet access to their subscribers through the selected Internet service provider. The Company does not, at this time, have any such arrangements. If this challenge is successful, however, the Company may have less flexibility in using its cable systems to offer Internet access to subscribers.</w:t>
      </w:r>
    </w:p>
    <w:p>
      <w:pPr>
        <w:spacing w:after="0" w:line="71" w:lineRule="exact"/>
        <w:rPr>
          <w:sz w:val="20"/>
          <w:szCs w:val="20"/>
          <w:color w:val="auto"/>
        </w:rPr>
      </w:pPr>
    </w:p>
    <w:p>
      <w:pPr>
        <w:ind w:right="3519" w:firstLine="689"/>
        <w:spacing w:after="0" w:line="275" w:lineRule="auto"/>
        <w:rPr>
          <w:sz w:val="20"/>
          <w:szCs w:val="20"/>
          <w:color w:val="auto"/>
        </w:rPr>
      </w:pPr>
      <w:r>
        <w:rPr>
          <w:rFonts w:ascii="Courier New" w:cs="Courier New" w:eastAsia="Courier New" w:hAnsi="Courier New"/>
          <w:sz w:val="14"/>
          <w:szCs w:val="14"/>
          <w:color w:val="auto"/>
        </w:rPr>
        <w:t>Litigation also is pending in various courts in which prohibitions on cable television operations without a franchise and various franchise requirements are being challenged as unlawful under the First Amendment, the antitrust laws and on other grounds. If successful, such litigation could facilitate the development of duplicative cable facilities that would compete with existing cable systems.</w:t>
      </w:r>
    </w:p>
    <w:p>
      <w:pPr>
        <w:spacing w:after="0" w:line="69"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regulation of certain cable television rates pursuant to the authority granted to the FCC has negatively impacted the revenues of the Company's cable systems. The Company is unable to predict what effect the other matters discussed above may ultimately have on its cable television business.</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5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MAGAZINE PUBLISHING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NEWSWEEK</w:t>
      </w:r>
    </w:p>
    <w:p>
      <w:pPr>
        <w:spacing w:after="0" w:line="173"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Newsweek is a weekly news magazine published both domestically and internationally by Newsweek, Inc., a subsidiary of the Company. In gathering, reporting and writing news and other material for publication, Newsweek maintains news bureaus in 9 U.S. and 12 foreign cities.</w:t>
      </w:r>
    </w:p>
    <w:p>
      <w:pPr>
        <w:spacing w:after="0" w:line="56"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For each of the last five years Newsweek's average weekly domestic circulation rate base has been 3,100,000 copies and its percentage of the total weekly domestic circulation rate base of the three leading weekly news magazines has been 33.5%.</w:t>
      </w:r>
    </w:p>
    <w:p>
      <w:pPr>
        <w:spacing w:after="0" w:line="74" w:lineRule="exact"/>
        <w:rPr>
          <w:sz w:val="20"/>
          <w:szCs w:val="20"/>
          <w:color w:val="auto"/>
        </w:rPr>
      </w:pPr>
    </w:p>
    <w:p>
      <w:pPr>
        <w:ind w:right="3259" w:firstLine="689"/>
        <w:spacing w:after="0" w:line="277" w:lineRule="auto"/>
        <w:rPr>
          <w:sz w:val="20"/>
          <w:szCs w:val="20"/>
          <w:color w:val="auto"/>
        </w:rPr>
      </w:pPr>
      <w:r>
        <w:rPr>
          <w:rFonts w:ascii="Courier New" w:cs="Courier New" w:eastAsia="Courier New" w:hAnsi="Courier New"/>
          <w:sz w:val="14"/>
          <w:szCs w:val="14"/>
          <w:color w:val="auto"/>
        </w:rPr>
        <w:t>Newsweek is sold on newsstands and through subscription mail order sales derived from a number of sources, principally direct mail promotion. The basic one-year subscription price is $41.08. Most subscriptions are sold at a discount from the basic price. In April 1999, Newsweek's newsstand price was increased from $2.95 per copy (which price had been in effect since 1992) to $3.50 per copy.</w:t>
      </w:r>
    </w:p>
    <w:p>
      <w:pPr>
        <w:spacing w:after="0" w:line="244"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The total number of Newsweek's domestic advertising pages and gross domestic advertising revenues as reported by Publishers' Information Bureau, Inc., together with Newsweek's percentages of the total number of advertising pages and total advertising revenues of the three leading weekly news magazines, for the past five years have been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PERCENTAGE</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NEWSWEEK</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NEWSWEEK</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THREE</w:t>
            </w:r>
          </w:p>
        </w:tc>
        <w:tc>
          <w:tcPr>
            <w:tcW w:w="1360" w:type="dxa"/>
            <w:vAlign w:val="bottom"/>
            <w:vMerge w:val="continue"/>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PERCENTAGE OF</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LEADING</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GROSS</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ADVERTISING</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NEWS</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ADVERTISING</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THREE LEADING</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PAGES*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MAGAZINES</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REVENUES*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NEWS MAGAZINES</w:t>
            </w: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2,279</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34.1%</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$328,886,000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34.9%</w:t>
            </w:r>
          </w:p>
        </w:tc>
        <w:tc>
          <w:tcPr>
            <w:tcW w:w="0" w:type="dxa"/>
            <w:vAlign w:val="bottom"/>
          </w:tcPr>
          <w:p>
            <w:pPr>
              <w:spacing w:after="0"/>
              <w:rPr>
                <w:sz w:val="1"/>
                <w:szCs w:val="1"/>
                <w:color w:val="auto"/>
              </w:rPr>
            </w:pPr>
          </w:p>
        </w:tc>
      </w:tr>
      <w:tr>
        <w:trPr>
          <w:trHeight w:val="166"/>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2,520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36.6%</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381,621,000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37.0%</w:t>
            </w:r>
          </w:p>
        </w:tc>
        <w:tc>
          <w:tcPr>
            <w:tcW w:w="0" w:type="dxa"/>
            <w:vAlign w:val="bottom"/>
          </w:tcPr>
          <w:p>
            <w:pPr>
              <w:spacing w:after="0"/>
              <w:rPr>
                <w:sz w:val="1"/>
                <w:szCs w:val="1"/>
                <w:color w:val="auto"/>
              </w:rPr>
            </w:pPr>
          </w:p>
        </w:tc>
      </w:tr>
      <w:tr>
        <w:trPr>
          <w:trHeight w:val="166"/>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2,633</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35.4%</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406,324,000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35.1%</w:t>
            </w:r>
          </w:p>
        </w:tc>
        <w:tc>
          <w:tcPr>
            <w:tcW w:w="0" w:type="dxa"/>
            <w:vAlign w:val="bottom"/>
          </w:tcPr>
          <w:p>
            <w:pPr>
              <w:spacing w:after="0"/>
              <w:rPr>
                <w:sz w:val="1"/>
                <w:szCs w:val="1"/>
                <w:color w:val="auto"/>
              </w:rPr>
            </w:pPr>
          </w:p>
        </w:tc>
      </w:tr>
      <w:tr>
        <w:trPr>
          <w:trHeight w:val="166"/>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2,472</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34.4%</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393,168,000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33.8%</w:t>
            </w:r>
          </w:p>
        </w:tc>
        <w:tc>
          <w:tcPr>
            <w:tcW w:w="0" w:type="dxa"/>
            <w:vAlign w:val="bottom"/>
          </w:tcPr>
          <w:p>
            <w:pPr>
              <w:spacing w:after="0"/>
              <w:rPr>
                <w:sz w:val="1"/>
                <w:szCs w:val="1"/>
                <w:color w:val="auto"/>
              </w:rPr>
            </w:pPr>
          </w:p>
        </w:tc>
      </w:tr>
      <w:tr>
        <w:trPr>
          <w:trHeight w:val="242"/>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2,567</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33.5%</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432,701,000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32.8%</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 w:lineRule="exact"/>
        <w:rPr>
          <w:rFonts w:ascii="Courier New" w:cs="Courier New" w:eastAsia="Courier New" w:hAnsi="Courier New"/>
          <w:sz w:val="14"/>
          <w:szCs w:val="14"/>
          <w:color w:val="auto"/>
        </w:rPr>
      </w:pPr>
    </w:p>
    <w:p>
      <w:pPr>
        <w:ind w:left="440" w:right="3259" w:firstLine="431"/>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Advertising pages and gross advertising revenues are those reported by Publishers' Information Bureau, Inc. PIB computes gross advertising revenues from basic one-time rates and the number of advertising pages carried. PIB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78"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11, 1999 issue, national advertising rates were increased by an average of 4.0%. Beginning with the issue dated January 10, 2000, national advertising rates were increased again, also by an average of 4.0%.</w:t>
      </w:r>
    </w:p>
    <w:p>
      <w:pPr>
        <w:spacing w:after="0" w:line="65"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Newsweek Business Plus, which is published 39 times a year, is a demographic edition of Newsweek distributed to high-income professional and managerial subscribers and subscribers in zip-code-defined areas. Advertising rates for this edition were increased an average of 8.0% in January 1999 and by an additional 4.0% in January 2000. The circulation rate base for this edition was increased from 1,000,000 to 1,200,000 copies at the beginning of 1999.</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5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259" w:firstLine="689"/>
        <w:spacing w:after="0" w:line="277" w:lineRule="auto"/>
        <w:rPr>
          <w:sz w:val="20"/>
          <w:szCs w:val="20"/>
          <w:color w:val="auto"/>
        </w:rPr>
      </w:pPr>
      <w:r>
        <w:rPr>
          <w:rFonts w:ascii="Courier New" w:cs="Courier New" w:eastAsia="Courier New" w:hAnsi="Courier New"/>
          <w:sz w:val="14"/>
          <w:szCs w:val="14"/>
          <w:color w:val="auto"/>
        </w:rPr>
        <w:t>Newsweek's other demographic edition, Newsweek Woman, which was published 12 times during 1999, is distributed to selected female subscribers. At the beginning of 1999 advertising rates for this edition were increased by an average of 14.3% and the circulation rate base was increased from 700,000 to 800,000 copies. Early in 2000 advertising rates were increased by an additional 4.0%.</w:t>
      </w:r>
    </w:p>
    <w:p>
      <w:pPr>
        <w:spacing w:after="0" w:line="244"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Internationally, Newsweek is published in an Atlantic edition covering the British Isles, Europe, the Middle East and Africa, a Pacific edition covering Japan, Korea and Southeast Asia, and a Latin American edition, all of which are in the English language. Editorial copy solely of domestic interest is eliminated in the international editions and is replaced by other international, business or national coverage primarily of interest abroad.</w:t>
      </w:r>
    </w:p>
    <w:p>
      <w:pPr>
        <w:spacing w:after="0" w:line="69" w:lineRule="exact"/>
        <w:rPr>
          <w:sz w:val="20"/>
          <w:szCs w:val="20"/>
          <w:color w:val="auto"/>
        </w:rPr>
      </w:pPr>
    </w:p>
    <w:p>
      <w:pPr>
        <w:ind w:right="3259" w:firstLine="689"/>
        <w:spacing w:after="0" w:line="258" w:lineRule="auto"/>
        <w:rPr>
          <w:sz w:val="20"/>
          <w:szCs w:val="20"/>
          <w:color w:val="auto"/>
        </w:rPr>
      </w:pPr>
      <w:r>
        <w:rPr>
          <w:rFonts w:ascii="Courier New" w:cs="Courier New" w:eastAsia="Courier New" w:hAnsi="Courier New"/>
          <w:sz w:val="14"/>
          <w:szCs w:val="14"/>
          <w:color w:val="auto"/>
        </w:rPr>
        <w:t>Since 1984 a section of Newsweek articles has been included in The Bulletin, an Australian weekly news magazine which also circulates in New Zealand. A Japanese-language edition of Newsweek, Newsweek Nihon Ban, has been published in Tokyo since 1986 pursuant to an arrangement with a Japanese publishing company which translates editorial copy, sells advertising in Japan and prints and distributes the edition. Newsweek Hankuk Pan, a Korean-language edition of Newsweek, began publication in 1991 pursuant to a similar arrangement with a Korean publishing company. Since 1996 Newsweek en Espanol, a Spanish-language edition of Newsweek distributed in Latin America, has been published under an agreement with a Miami-based publishing company which translates editorial copy, prints and distributes the edition and jointly sells advertising with Newsweek. Also, a Russian-language newsweekly modeled after Newsweek has been published since 1996 pursuant to licensing and advisory agreements entered into by Newsweek with a Russian publishing and broadcasting company. This magazine includes selected stories translated from Newsweek's various U.S. and foreign editions and is called Itogi (which means "summing-up" in Russian).</w:t>
      </w:r>
    </w:p>
    <w:p>
      <w:pPr>
        <w:spacing w:after="0" w:line="253" w:lineRule="exact"/>
        <w:rPr>
          <w:sz w:val="20"/>
          <w:szCs w:val="20"/>
          <w:color w:val="auto"/>
        </w:rPr>
      </w:pPr>
    </w:p>
    <w:p>
      <w:pPr>
        <w:ind w:right="3439" w:firstLine="689"/>
        <w:spacing w:after="0" w:line="292" w:lineRule="auto"/>
        <w:rPr>
          <w:sz w:val="20"/>
          <w:szCs w:val="20"/>
          <w:color w:val="auto"/>
        </w:rPr>
      </w:pPr>
      <w:r>
        <w:rPr>
          <w:rFonts w:ascii="Courier New" w:cs="Courier New" w:eastAsia="Courier New" w:hAnsi="Courier New"/>
          <w:sz w:val="14"/>
          <w:szCs w:val="14"/>
          <w:color w:val="auto"/>
        </w:rPr>
        <w:t>The average weekly circulation rate base, advertising pages and gross advertising revenues of Newsweek's international editions (not including The Bulletin insertions or the foreign-language editions of Newsweek) for the past five years have been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4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AVERAGE WEEKLY</w:t>
            </w:r>
          </w:p>
        </w:tc>
        <w:tc>
          <w:tcPr>
            <w:tcW w:w="12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ADVERTISING</w:t>
            </w:r>
          </w:p>
        </w:tc>
        <w:tc>
          <w:tcPr>
            <w:tcW w:w="134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9"/>
              </w:rPr>
              <w:t>GROSS</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CIRCULATION</w:t>
            </w:r>
          </w:p>
        </w:tc>
        <w:tc>
          <w:tcPr>
            <w:tcW w:w="1280" w:type="dxa"/>
            <w:vAlign w:val="bottom"/>
            <w:vMerge w:val="continue"/>
          </w:tcPr>
          <w:p>
            <w:pPr>
              <w:spacing w:after="0"/>
              <w:rPr>
                <w:sz w:val="14"/>
                <w:szCs w:val="14"/>
                <w:color w:val="auto"/>
              </w:rPr>
            </w:pPr>
          </w:p>
        </w:tc>
        <w:tc>
          <w:tcPr>
            <w:tcW w:w="13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ADVERTISING</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RATE BASE</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PAGES*</w:t>
            </w:r>
          </w:p>
        </w:tc>
        <w:tc>
          <w:tcPr>
            <w:tcW w:w="13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REVENUES*</w:t>
            </w: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640,000</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2,502</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$90,968,000</w:t>
            </w:r>
          </w:p>
        </w:tc>
        <w:tc>
          <w:tcPr>
            <w:tcW w:w="0" w:type="dxa"/>
            <w:vAlign w:val="bottom"/>
          </w:tcPr>
          <w:p>
            <w:pPr>
              <w:spacing w:after="0"/>
              <w:rPr>
                <w:sz w:val="1"/>
                <w:szCs w:val="1"/>
                <w:color w:val="auto"/>
              </w:rPr>
            </w:pPr>
          </w:p>
        </w:tc>
      </w:tr>
      <w:tr>
        <w:trPr>
          <w:trHeight w:val="166"/>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642,000</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2,446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92,638,000</w:t>
            </w:r>
          </w:p>
        </w:tc>
        <w:tc>
          <w:tcPr>
            <w:tcW w:w="0" w:type="dxa"/>
            <w:vAlign w:val="bottom"/>
          </w:tcPr>
          <w:p>
            <w:pPr>
              <w:spacing w:after="0"/>
              <w:rPr>
                <w:sz w:val="1"/>
                <w:szCs w:val="1"/>
                <w:color w:val="auto"/>
              </w:rPr>
            </w:pPr>
          </w:p>
        </w:tc>
      </w:tr>
      <w:tr>
        <w:trPr>
          <w:trHeight w:val="166"/>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657,000</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2,287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89,330,000</w:t>
            </w:r>
          </w:p>
        </w:tc>
        <w:tc>
          <w:tcPr>
            <w:tcW w:w="0" w:type="dxa"/>
            <w:vAlign w:val="bottom"/>
          </w:tcPr>
          <w:p>
            <w:pPr>
              <w:spacing w:after="0"/>
              <w:rPr>
                <w:sz w:val="1"/>
                <w:szCs w:val="1"/>
                <w:color w:val="auto"/>
              </w:rPr>
            </w:pPr>
          </w:p>
        </w:tc>
      </w:tr>
      <w:tr>
        <w:trPr>
          <w:trHeight w:val="166"/>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660,000</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2,120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83,051,000</w:t>
            </w:r>
          </w:p>
        </w:tc>
        <w:tc>
          <w:tcPr>
            <w:tcW w:w="0" w:type="dxa"/>
            <w:vAlign w:val="bottom"/>
          </w:tcPr>
          <w:p>
            <w:pPr>
              <w:spacing w:after="0"/>
              <w:rPr>
                <w:sz w:val="1"/>
                <w:szCs w:val="1"/>
                <w:color w:val="auto"/>
              </w:rPr>
            </w:pPr>
          </w:p>
        </w:tc>
      </w:tr>
      <w:tr>
        <w:trPr>
          <w:trHeight w:val="242"/>
        </w:trPr>
        <w:tc>
          <w:tcPr>
            <w:tcW w:w="2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660,000</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2,492</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90,023,000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 w:lineRule="exact"/>
        <w:rPr>
          <w:rFonts w:ascii="Courier New" w:cs="Courier New" w:eastAsia="Courier New" w:hAnsi="Courier New"/>
          <w:sz w:val="14"/>
          <w:szCs w:val="14"/>
          <w:color w:val="auto"/>
        </w:rPr>
      </w:pPr>
    </w:p>
    <w:p>
      <w:pPr>
        <w:ind w:left="360" w:right="3259" w:firstLine="344"/>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Advertising pages and gross advertising revenues are those reported by CMR International. CMR computes gross advertising revenues from basic one-time rates and the number of advertising pages carried. CMR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79"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For 2000 the average weekly circulation rate base for Newsweek's English-language international editions (not including The Bulletin insertions) will be 663,000 copies. Newsweek's rate card estimates the average weekly circulation in 2000 for The Bulletin insertions will be 85,000 copies and for the Japanese-, Korean-, Russian- and Spanish-language editions will be 130,000, 90,000, 85,000 and 50,000 copies, respectively.</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5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Newsweek has produced a weekly news magazine for online distribution since 1994 and in October 1998 launched newsweek.com, an Internet version of Newsweek. This Internet magazine supplements Newsweek's print edition with daily news updates and other features, and is being produced by Washingtonpost.Newsweek Interactive Company, another subsidiary of the Company.</w:t>
      </w:r>
    </w:p>
    <w:p>
      <w:pPr>
        <w:spacing w:after="0" w:line="65" w:lineRule="exact"/>
        <w:rPr>
          <w:sz w:val="20"/>
          <w:szCs w:val="20"/>
          <w:color w:val="auto"/>
        </w:rPr>
      </w:pPr>
    </w:p>
    <w:p>
      <w:pPr>
        <w:ind w:right="3339" w:firstLine="689"/>
        <w:spacing w:after="0" w:line="281" w:lineRule="auto"/>
        <w:rPr>
          <w:sz w:val="20"/>
          <w:szCs w:val="20"/>
          <w:color w:val="auto"/>
        </w:rPr>
      </w:pPr>
      <w:r>
        <w:rPr>
          <w:rFonts w:ascii="Courier New" w:cs="Courier New" w:eastAsia="Courier New" w:hAnsi="Courier New"/>
          <w:sz w:val="14"/>
          <w:szCs w:val="14"/>
          <w:color w:val="auto"/>
        </w:rPr>
        <w:t>In December 1999 Newsweek purchased Arthur Frommer's Budget Travel magazine and related assets (including a monthly newsletter). Launched in early 1998 as a quarterly, this magazine is now published six times a year and has a current circulation of 350,000 copies. Budget Travel is headquartered in New York City and has its own editorial staff.</w:t>
      </w:r>
    </w:p>
    <w:p>
      <w:pPr>
        <w:spacing w:after="0" w:line="65" w:lineRule="exact"/>
        <w:rPr>
          <w:sz w:val="20"/>
          <w:szCs w:val="20"/>
          <w:color w:val="auto"/>
        </w:rPr>
      </w:pPr>
    </w:p>
    <w:p>
      <w:pPr>
        <w:ind w:right="3259" w:firstLine="689"/>
        <w:spacing w:after="0" w:line="256" w:lineRule="auto"/>
        <w:rPr>
          <w:sz w:val="20"/>
          <w:szCs w:val="20"/>
          <w:color w:val="auto"/>
        </w:rPr>
      </w:pPr>
      <w:r>
        <w:rPr>
          <w:rFonts w:ascii="Courier New" w:cs="Courier New" w:eastAsia="Courier New" w:hAnsi="Courier New"/>
          <w:sz w:val="14"/>
          <w:szCs w:val="14"/>
          <w:color w:val="auto"/>
        </w:rPr>
        <w:t>In August 1996 the United States Food and Drug Administration issued final rules designed to restrict the marketing of tobacco products to minors. These rules, which among other things would have limited advertising for tobacco products in print publications whose youth readership exceeds certain levels to black and white, text-only "tombstone" ads, were scheduled to go into effect in August 1997. Shortly before the effective date, a U.S. District Court in North Carolina held that the FDA's proposed advertising rules exceeded its authority and stayed the application of those rules. In August 1998 the U.S. Court of Appeals for the Fourth Circuit ruled more broadly that the FDA has no jurisdiction to regulate tobacco products and subsequently denied the FDA's request for a rehearing. The United States Supreme Court granted the FDA's certiorari petition in this case and on March 21, 2000, affirmed the decision of the Court of Appeals. On the legislative front, proposals remain pending in Congress which would deny the tobacco industry the ability to treat advertising as a tax-deductible expense. The Company cannot now predict what actions may eventually be taken to restrict tobacco advertising. However such advertising accounts for only about 1% of Newsweek's operating revenues and negligible revenues at The Washington Post and the Company's other publications. Moreover, Federal law has prohibited the carrying of advertisements for cigarettes and smokeless tobacco by commercial radio and television stations for many years. Thus the Company believes that any restrictions on tobacco advertising which may eventually be put into effect would not have a material adverse effect on Newsweek or on any of the Company's other business operations.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POST-NEWSWEEK BUSINESS INFORMATION</w:t>
      </w:r>
    </w:p>
    <w:p>
      <w:pPr>
        <w:spacing w:after="0" w:line="173"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The Company's Post-Newsweek Business Information, Inc. subsidiary publishes controlled-circulation trade periodicals and produces trade shows for the information technology industry.</w:t>
      </w:r>
    </w:p>
    <w:p>
      <w:pPr>
        <w:spacing w:after="0" w:line="42" w:lineRule="exact"/>
        <w:rPr>
          <w:sz w:val="20"/>
          <w:szCs w:val="20"/>
          <w:color w:val="auto"/>
        </w:rPr>
      </w:pPr>
    </w:p>
    <w:p>
      <w:pPr>
        <w:ind w:right="3439" w:firstLine="689"/>
        <w:spacing w:after="0" w:line="261" w:lineRule="auto"/>
        <w:rPr>
          <w:sz w:val="20"/>
          <w:szCs w:val="20"/>
          <w:color w:val="auto"/>
        </w:rPr>
      </w:pPr>
      <w:r>
        <w:rPr>
          <w:rFonts w:ascii="Courier New" w:cs="Courier New" w:eastAsia="Courier New" w:hAnsi="Courier New"/>
          <w:sz w:val="14"/>
          <w:szCs w:val="14"/>
          <w:color w:val="auto"/>
        </w:rPr>
        <w:t>PNBI's Government Group publishes Washington Technology, a biweekly tabloid newspaper for government information technology systems integrators, Government Computer News, a tabloid newspaper published 32 times per year serving government managers who buy information technology products and services, GCN State &amp; Local, a monthly tabloid newspaper for state and local information technology buyers, and GCN Shopper, a tabloid newspaper published six times per year providing information technology product reviews and other buying information for government managers. Washington Technology, Computer Government News, GCN State &amp; Local, and GCN Shopper have circulations of about 40,000, 87,000, 55,000, and 120,000 copies, respectively. Also part of PNBI's Government Group is the FOSE trade show, held each spring in Washington, D.C. for information technology decision makers in government and industry.</w:t>
      </w:r>
    </w:p>
    <w:p>
      <w:pPr>
        <w:spacing w:after="0" w:line="83"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PNBI also publishes Washington Techway, a biweekly news magazine with a circulation of 30,000 copies that addresses the needs of the private-sector technology business community in the Washington region, and the IT Almanac, an annual directory of technology industry executives. In addition, PNBI is the sponsor of the annual Greater Washington High Technology Awards Banquet, which is held each May in Washington, D.C. for over 1,200 technology executives.</w:t>
      </w:r>
    </w:p>
    <w:p>
      <w:pPr>
        <w:spacing w:after="0" w:line="69"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PNBI provides companion Internet sites for its various publications and the FOSE trade show, and also operates Newsbytes News Network, a newswire service that electronically distributes about 80</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5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779"/>
        <w:spacing w:after="0" w:line="313" w:lineRule="auto"/>
        <w:rPr>
          <w:sz w:val="20"/>
          <w:szCs w:val="20"/>
          <w:color w:val="auto"/>
        </w:rPr>
      </w:pPr>
      <w:r>
        <w:rPr>
          <w:rFonts w:ascii="Courier New" w:cs="Courier New" w:eastAsia="Courier New" w:hAnsi="Courier New"/>
          <w:sz w:val="14"/>
          <w:szCs w:val="14"/>
          <w:color w:val="auto"/>
        </w:rPr>
        <w:t>news stories per day about the information technology, personal computer, telecommunications and related industries to newspapers, magazines, online services and other subscribers around the world.</w:t>
      </w:r>
    </w:p>
    <w:p>
      <w:pPr>
        <w:spacing w:after="0" w:line="4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EDUCATIONAL AND CAREER SERVICES</w:t>
      </w:r>
    </w:p>
    <w:p>
      <w:pPr>
        <w:spacing w:after="0" w:line="173" w:lineRule="exact"/>
        <w:rPr>
          <w:sz w:val="20"/>
          <w:szCs w:val="20"/>
          <w:color w:val="auto"/>
        </w:rPr>
      </w:pPr>
    </w:p>
    <w:p>
      <w:pPr>
        <w:ind w:right="3439" w:firstLine="689"/>
        <w:spacing w:after="0" w:line="292" w:lineRule="auto"/>
        <w:rPr>
          <w:sz w:val="20"/>
          <w:szCs w:val="20"/>
          <w:color w:val="auto"/>
        </w:rPr>
      </w:pPr>
      <w:r>
        <w:rPr>
          <w:rFonts w:ascii="Courier New" w:cs="Courier New" w:eastAsia="Courier New" w:hAnsi="Courier New"/>
          <w:sz w:val="14"/>
          <w:szCs w:val="14"/>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w:t>
      </w:r>
    </w:p>
    <w:p>
      <w:pPr>
        <w:spacing w:after="0" w:line="56" w:lineRule="exact"/>
        <w:rPr>
          <w:sz w:val="20"/>
          <w:szCs w:val="20"/>
          <w:color w:val="auto"/>
        </w:rPr>
      </w:pPr>
    </w:p>
    <w:p>
      <w:pPr>
        <w:ind w:right="3259" w:firstLine="689"/>
        <w:spacing w:after="0" w:line="258" w:lineRule="auto"/>
        <w:rPr>
          <w:sz w:val="20"/>
          <w:szCs w:val="20"/>
          <w:color w:val="auto"/>
        </w:rPr>
      </w:pPr>
      <w:r>
        <w:rPr>
          <w:rFonts w:ascii="Courier New" w:cs="Courier New" w:eastAsia="Courier New" w:hAnsi="Courier New"/>
          <w:sz w:val="14"/>
          <w:szCs w:val="14"/>
          <w:color w:val="auto"/>
        </w:rPr>
        <w:t>Through its Test Preparation and Admissions Division, Kaplan prepares students for a broad range of admissions and licensing examinations including the SAT's, LSAT's, GMAT's, MCAT's, GRE's, and nursing and medical boards. This business can be subdivided into four categories: Pre-college (serving primarily high school students preparing for the SAT's and ACT's); Graduate (serving college students and professionals, primarily with preparation for admission tests to graduate, medical and law schools); Licensure (serving medical and accounting professionals preparing for licensing exams); and English Language Training (serving foreign students and professionals wishing to study or work in the U.S.). During 1999 this division of Kaplan enrolled over 150,000 students and provided courses at 150 permanent centers located throughout the United States and in Canada, Puerto Rico and London. In the fall of 1999, Kaplan launched kaptest.com, making Kaplan's test preparation and admissions courses available to students via the Internet. In addition, Kaplan licenses material for certain of these courses to third parties who during 1999 offered such courses at 35 centers located in 17 countries.</w:t>
      </w:r>
    </w:p>
    <w:p>
      <w:pPr>
        <w:spacing w:after="0" w:line="87" w:lineRule="exact"/>
        <w:rPr>
          <w:sz w:val="20"/>
          <w:szCs w:val="20"/>
          <w:color w:val="auto"/>
        </w:rPr>
      </w:pPr>
    </w:p>
    <w:p>
      <w:pPr>
        <w:ind w:right="3259" w:firstLine="689"/>
        <w:spacing w:after="0" w:line="269" w:lineRule="auto"/>
        <w:rPr>
          <w:sz w:val="20"/>
          <w:szCs w:val="20"/>
          <w:color w:val="auto"/>
        </w:rPr>
      </w:pPr>
      <w:r>
        <w:rPr>
          <w:rFonts w:ascii="Courier New" w:cs="Courier New" w:eastAsia="Courier New" w:hAnsi="Courier New"/>
          <w:sz w:val="14"/>
          <w:szCs w:val="14"/>
          <w:color w:val="auto"/>
        </w:rPr>
        <w:t>The Test Preparation and Admissions Division also includes Kaplan's publishing activities. Kaplan currently co-publishes over 100 book titles in the areas of test preparation, admissions, career guidance and life skills through a joint venture with Simon &amp; Schuster, and also develops educational software for the K through 12 retail and school markets which is sold through arrangements with third parties who are responsible for production and distribution. Kaplan also produces two college and career newsstand guides in conjunction with Newsweek.</w:t>
      </w:r>
    </w:p>
    <w:p>
      <w:pPr>
        <w:spacing w:after="0" w:line="246"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Kaplan's Professional Division offers educational services for corporations and for individuals seeking to advance their careers. This division includes Dearborn Publishing, a provider of pre-licensing training and continuing education for securities, insurance and real estate professionals; Perfect Access, a provider of software education and consulting services to law firms and businesses; Schweser's Study Program (acquired in 1999), a provider of materials aimed at preparing individuals for the Chartered Financial Analyst examination; and Self Test Software (also acquired in 1999), a provider of preparation services for software proficiency certification examinations.</w:t>
      </w:r>
    </w:p>
    <w:p>
      <w:pPr>
        <w:spacing w:after="0" w:line="74"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Kaplan's Score Learning Division offers computer-based learning and individualized tutoring for children, as well as educational resources for parents, through three businesses. In 1999, the center-based business, which provides educational after-school enrichment services, opened its 100th center and served 40,000 students, up from 68 centers and 20,000 students in 1998. Score's services are provided in facilities separate from Kaplan's test preparation centers due to differing configuration and equipment requirements. SCORE! Prep serves high school students with one-on-one, in-home tutoring for standardized tests and academic subjects. eSCORE.com, which began operations in early 2000, offers skills assessments, online workshops and other educational resources to help parents provide appropriate learning opportunities for their children.</w:t>
      </w:r>
    </w:p>
    <w:p>
      <w:pPr>
        <w:spacing w:after="0" w:line="83" w:lineRule="exact"/>
        <w:rPr>
          <w:sz w:val="20"/>
          <w:szCs w:val="20"/>
          <w:color w:val="auto"/>
        </w:rPr>
      </w:pPr>
    </w:p>
    <w:p>
      <w:pPr>
        <w:ind w:right="3519" w:firstLine="689"/>
        <w:spacing w:after="0" w:line="281" w:lineRule="auto"/>
        <w:rPr>
          <w:sz w:val="20"/>
          <w:szCs w:val="20"/>
          <w:color w:val="auto"/>
        </w:rPr>
      </w:pPr>
      <w:r>
        <w:rPr>
          <w:rFonts w:ascii="Courier New" w:cs="Courier New" w:eastAsia="Courier New" w:hAnsi="Courier New"/>
          <w:sz w:val="14"/>
          <w:szCs w:val="14"/>
          <w:color w:val="auto"/>
        </w:rPr>
        <w:t>KaplanCollege.com is a distance learning unit specializing in professional and higher education. In 1999 it offered degree or certificate correspondence programs to 8,000 students in the fields of paralegal studies, legal nurse consulting, and criminal justice. KaplanCollege.com, which anticipates</w:t>
      </w:r>
    </w:p>
    <w:p>
      <w:pPr>
        <w:spacing w:after="0" w:line="2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5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providing some of these programs on the Internet later in 2000, also includes Concord School of Law, the nation's first online law school, which offers juris doctor degrees wholly online. At year-end 1999, 250 students were enrolled in Concord. Concord has received operating approval from the California Bureau of Private Post-Secondary and Vocational Education and has complied with the registration requirements of the State Bar of California; graduates are, therefore, able to apply for admission to the California Bar.</w:t>
      </w:r>
    </w:p>
    <w:p>
      <w:pPr>
        <w:spacing w:after="0" w:line="71" w:lineRule="exact"/>
        <w:rPr>
          <w:sz w:val="20"/>
          <w:szCs w:val="20"/>
          <w:color w:val="auto"/>
        </w:rPr>
      </w:pPr>
    </w:p>
    <w:p>
      <w:pPr>
        <w:ind w:right="3259" w:firstLine="689"/>
        <w:spacing w:after="0" w:line="259" w:lineRule="auto"/>
        <w:rPr>
          <w:sz w:val="20"/>
          <w:szCs w:val="20"/>
          <w:color w:val="auto"/>
        </w:rPr>
      </w:pPr>
      <w:r>
        <w:rPr>
          <w:rFonts w:ascii="Courier New" w:cs="Courier New" w:eastAsia="Courier New" w:hAnsi="Courier New"/>
          <w:sz w:val="14"/>
          <w:szCs w:val="14"/>
          <w:color w:val="auto"/>
        </w:rPr>
        <w:t>Kaplan also owns an equity interest in BrassRing Inc., an Internet-based career-assistance and hiring management company which was formed in September 1999. In connection with that formation, Kaplan contributed its career fair business and HireSystems (a provider of Web-based resume and hiring management services), while the other owners contributed cash and, in the case of the Tribune Company, related businesses. Initially, BrassRing was 54% owned by Kaplan, 36% by the Tribune Company, and 10% by the venture capital firm Accel Partners. On March 10, 2000, BrassRing acquired the Internet recruitment service and high-tech career fair businesses of the Westech subsidiary of Central Newspapers, Inc. As a result of this transaction, Central Newspapers acquired a 23.2% ownership interest in BrassRing, while the interests of Kaplan, Tribune and Accel were reduced to 41.6%, 27.5% and 7.7%, respectively. BrassRing has advised the Company that, subject to prevailing market conditions, it currently plans to register and sell shares of its common stock in an initial public offering later in the year.</w:t>
      </w:r>
    </w:p>
    <w:p>
      <w:pPr>
        <w:spacing w:after="0" w:line="25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OTHER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LEGI-SLATE</w:t>
      </w:r>
    </w:p>
    <w:p>
      <w:pPr>
        <w:spacing w:after="0" w:line="173" w:lineRule="exact"/>
        <w:rPr>
          <w:sz w:val="20"/>
          <w:szCs w:val="20"/>
          <w:color w:val="auto"/>
        </w:rPr>
      </w:pPr>
    </w:p>
    <w:p>
      <w:pPr>
        <w:ind w:right="3259" w:firstLine="689"/>
        <w:spacing w:after="0" w:line="292" w:lineRule="auto"/>
        <w:rPr>
          <w:sz w:val="20"/>
          <w:szCs w:val="20"/>
          <w:color w:val="auto"/>
        </w:rPr>
      </w:pPr>
      <w:r>
        <w:rPr>
          <w:rFonts w:ascii="Courier New" w:cs="Courier New" w:eastAsia="Courier New" w:hAnsi="Courier New"/>
          <w:sz w:val="14"/>
          <w:szCs w:val="14"/>
          <w:color w:val="auto"/>
        </w:rPr>
        <w:t>During 1999, the Company's Legi-Slate, Inc. subsidiary disposed of substantially all its assets and discontinued operations. Legi-Slate had provided electronic database services focusing on the legislative and regulatory activities of the United States government.</w:t>
      </w:r>
    </w:p>
    <w:p>
      <w:pPr>
        <w:spacing w:after="0" w:line="5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INTERNATIONAL HERALD TRIBUNE</w:t>
      </w:r>
    </w:p>
    <w:p>
      <w:pPr>
        <w:spacing w:after="0" w:line="173"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The Company beneficially owns 50% of the outstanding common stock of the International Herald Tribune, S.A.S., a French company which publishes the International Herald Tribune in Paris, France. This English-language newspaper has an average daily paid circulation of almost 235,000 copies and is distributed in over 180 countries.</w:t>
      </w:r>
    </w:p>
    <w:p>
      <w:pPr>
        <w:spacing w:after="0" w:line="6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PRODUCTION AND RAW MATERIALS</w:t>
      </w:r>
    </w:p>
    <w:p>
      <w:pPr>
        <w:spacing w:after="0" w:line="173" w:lineRule="exact"/>
        <w:rPr>
          <w:sz w:val="20"/>
          <w:szCs w:val="20"/>
          <w:color w:val="auto"/>
        </w:rPr>
      </w:pPr>
    </w:p>
    <w:p>
      <w:pPr>
        <w:ind w:right="3259" w:firstLine="689"/>
        <w:spacing w:after="0" w:line="271" w:lineRule="auto"/>
        <w:rPr>
          <w:sz w:val="20"/>
          <w:szCs w:val="20"/>
          <w:color w:val="auto"/>
        </w:rPr>
      </w:pPr>
      <w:r>
        <w:rPr>
          <w:rFonts w:ascii="Courier New" w:cs="Courier New" w:eastAsia="Courier New" w:hAnsi="Courier New"/>
          <w:sz w:val="14"/>
          <w:szCs w:val="14"/>
          <w:color w:val="auto"/>
        </w:rPr>
        <w:t>Early in 1999 the Company completed a $230 million capital investment program consisting of the expansion of The Washington Post's printing plant in Fairfax County, Virginia, the construction of a new printing plant in Prince George's County, Maryland, and the replacement of all the newspaper's printing presses. The eight new presses installed in connection with this program have allowed The Post to expand its use of color significantly and also have enhanced its ability to zone editorial content and advertising.</w:t>
      </w:r>
    </w:p>
    <w:p>
      <w:pPr>
        <w:spacing w:after="0" w:line="71" w:lineRule="exact"/>
        <w:rPr>
          <w:sz w:val="20"/>
          <w:szCs w:val="20"/>
          <w:color w:val="auto"/>
        </w:rPr>
      </w:pPr>
    </w:p>
    <w:p>
      <w:pPr>
        <w:ind w:right="3259" w:firstLine="689"/>
        <w:spacing w:after="0" w:line="292" w:lineRule="auto"/>
        <w:rPr>
          <w:sz w:val="20"/>
          <w:szCs w:val="20"/>
          <w:color w:val="auto"/>
        </w:rPr>
      </w:pPr>
      <w:r>
        <w:rPr>
          <w:rFonts w:ascii="Courier New" w:cs="Courier New" w:eastAsia="Courier New" w:hAnsi="Courier New"/>
          <w:sz w:val="14"/>
          <w:szCs w:val="14"/>
          <w:color w:val="auto"/>
        </w:rPr>
        <w:t>All editions of The Herald and The Enterprise Newspapers are produced at The Daily Herald Company's plant in Everett, Washington. The Gazette Newspapers are printed at the commercial printing facility owned by The Gazette Newspapers, Inc.</w:t>
      </w:r>
    </w:p>
    <w:p>
      <w:pPr>
        <w:spacing w:after="0" w:line="56"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Newsweek's domestic edition is produced by three independent contract printers at five separate plants in the United States; advertising inserts and photo-offset films for the domestic edition are also produced by independent contractors. The international editions of Newsweek are printed in England, Hong Kong, Singapore, Switzerland, the Netherlands, South Africa and Hollywood, Florida; insertions</w:t>
      </w:r>
    </w:p>
    <w:p>
      <w:pPr>
        <w:spacing w:after="0" w:line="23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5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4"/>
          <w:szCs w:val="14"/>
          <w:color w:val="auto"/>
        </w:rPr>
        <w:t>for The Bulletin are printed in Australia. Since 1997 Newsweek and a subsidiary of Time Warner Inc. have used a jointly owned company based in England to provide production and distribution services for the Atlantic editions of both Newsweek and Time. Budget Travel is produced by one of the independent contract printers that also prints Newsweek's domestic edition.</w:t>
      </w:r>
    </w:p>
    <w:p>
      <w:pPr>
        <w:spacing w:after="0" w:line="65" w:lineRule="exact"/>
        <w:rPr>
          <w:sz w:val="20"/>
          <w:szCs w:val="20"/>
          <w:color w:val="auto"/>
        </w:rPr>
      </w:pPr>
    </w:p>
    <w:p>
      <w:pPr>
        <w:ind w:right="3699" w:firstLine="689"/>
        <w:spacing w:after="0" w:line="375" w:lineRule="auto"/>
        <w:rPr>
          <w:sz w:val="20"/>
          <w:szCs w:val="20"/>
          <w:color w:val="auto"/>
        </w:rPr>
      </w:pPr>
      <w:r>
        <w:rPr>
          <w:rFonts w:ascii="Courier New" w:cs="Courier New" w:eastAsia="Courier New" w:hAnsi="Courier New"/>
          <w:sz w:val="14"/>
          <w:szCs w:val="14"/>
          <w:color w:val="auto"/>
        </w:rPr>
        <w:t>All Post-Newsweek Business Information publications are produced by independent contract printers.</w:t>
      </w:r>
    </w:p>
    <w:p>
      <w:pPr>
        <w:spacing w:after="0" w:line="1" w:lineRule="exact"/>
        <w:rPr>
          <w:sz w:val="20"/>
          <w:szCs w:val="20"/>
          <w:color w:val="auto"/>
        </w:rPr>
      </w:pPr>
    </w:p>
    <w:p>
      <w:pPr>
        <w:ind w:right="3259" w:firstLine="689"/>
        <w:spacing w:after="0" w:line="263" w:lineRule="auto"/>
        <w:rPr>
          <w:sz w:val="20"/>
          <w:szCs w:val="20"/>
          <w:color w:val="auto"/>
        </w:rPr>
      </w:pPr>
      <w:r>
        <w:rPr>
          <w:rFonts w:ascii="Courier New" w:cs="Courier New" w:eastAsia="Courier New" w:hAnsi="Courier New"/>
          <w:sz w:val="14"/>
          <w:szCs w:val="14"/>
          <w:color w:val="auto"/>
        </w:rPr>
        <w:t>In 1999 The Washington Post consumed about 240,000* tons of newsprint purchased from a number of suppliers, including Bowater Incorporated, which supplied approximately 33% of The Post's 1999 newsprint requirements. Although in prior years some of the newsprint The Post purchased from Bowater Incorporated typically was provided by Bowater Mersey Paper Company Limited, 49% of the common stock of which is owned by the Company (the majority interest being held by a subsidiary of Bowater Incorporated), during 1999 none of the newsprint consumed by The Post came from that source. Bowater Mersey owns and operates a newsprint mill near Halifax, Nova Scotia, and owns extensive woodlands that provide part of the mill's wood requirements. In 1999 Bowater Mersey produced about 260,000 tons of newsprint.</w:t>
      </w:r>
    </w:p>
    <w:p>
      <w:pPr>
        <w:spacing w:after="0" w:line="75"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The announced price of newsprint (excluding discounts) was approximately $750 per ton throughout 1999. Discounts from the announced price of newsprint can be substantial and prevailing discounts increased during the first half of the year but declined during the second half. The Post believes it has adequate newsprint available through contracts with its various suppliers. Over 90% of the newsprint used by The Post includes some recycled content. The Company owns 80% of the stock of Capitol Fiber Inc., which handles and sells to recycling industries old newspapers and other paper collected in Washington, D.C., Maryland and northern Virginia.</w:t>
      </w:r>
    </w:p>
    <w:p>
      <w:pPr>
        <w:spacing w:after="0" w:line="74" w:lineRule="exact"/>
        <w:rPr>
          <w:sz w:val="20"/>
          <w:szCs w:val="20"/>
          <w:color w:val="auto"/>
        </w:rPr>
      </w:pPr>
    </w:p>
    <w:p>
      <w:pPr>
        <w:jc w:val="both"/>
        <w:ind w:right="3699" w:firstLine="689"/>
        <w:spacing w:after="0" w:line="263" w:lineRule="auto"/>
        <w:rPr>
          <w:sz w:val="20"/>
          <w:szCs w:val="20"/>
          <w:color w:val="auto"/>
        </w:rPr>
      </w:pPr>
      <w:r>
        <w:rPr>
          <w:rFonts w:ascii="Courier New" w:cs="Courier New" w:eastAsia="Courier New" w:hAnsi="Courier New"/>
          <w:sz w:val="14"/>
          <w:szCs w:val="14"/>
          <w:color w:val="auto"/>
        </w:rPr>
        <w:t>In 1999 the operations of The Daily Herald Company and The Gazette Newspapers, Inc. consumed approximately 9,400 and 14,000 tons of newsprint, respectively, which was obtained in each case from various suppliers.</w:t>
      </w:r>
    </w:p>
    <w:p>
      <w:pPr>
        <w:spacing w:after="0" w:line="1"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4"/>
          <w:szCs w:val="14"/>
          <w:color w:val="auto"/>
        </w:rPr>
        <w:t>Approximately 80% of the newsprint used by The Daily Herald Company and 50% of the newsprint used by The Gazette Newspapers, Inc. includes some recycled content.</w:t>
      </w:r>
    </w:p>
    <w:p>
      <w:pPr>
        <w:spacing w:after="0" w:line="56"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domestic edition of Newsweek consumed about 34,900 tons of paper in 1999, the bulk of which was purchased from eight major suppliers. The current cost of body paper (the principal paper component of the magazine) is approximately $1,010 per ton.</w:t>
      </w:r>
    </w:p>
    <w:p>
      <w:pPr>
        <w:spacing w:after="0" w:line="56"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Over 90% of the aggregate domestic circulation of Newsweek is delivered by second-class mail, most Newsweek subscriptions are solicited by either first-or third-class mail, and all Post-Newsweek Business Information publications are delivered by second-class mail. Thus substantial increases in postal rates for these classes of mail could have a significant negative impact on the operating income of these business units.</w:t>
      </w:r>
    </w:p>
    <w:p>
      <w:pPr>
        <w:spacing w:after="0" w:line="6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259" w:firstLine="689"/>
        <w:spacing w:after="0" w:line="268" w:lineRule="auto"/>
        <w:rPr>
          <w:sz w:val="20"/>
          <w:szCs w:val="20"/>
          <w:color w:val="auto"/>
        </w:rPr>
      </w:pPr>
      <w:r>
        <w:rPr>
          <w:rFonts w:ascii="Courier New" w:cs="Courier New" w:eastAsia="Courier New" w:hAnsi="Courier New"/>
          <w:sz w:val="14"/>
          <w:szCs w:val="14"/>
          <w:color w:val="auto"/>
        </w:rPr>
        <w:t>The Washington Post competes in the Washington, D.C. metropolitan area with The Washington Times, a newspaper which has published weekday editions since 1982 and Saturday and Sunday editions since 1991. The Post also encounters competition in varying degrees from newspapers published in suburban and outlying areas, other nationally circulated newspapers, and from television, radio, magazines and other advertising media, including direct mail advertising. Since 1997 The New York Times has produced a Washington Edition which is printed locally and includes television channel</w:t>
      </w:r>
    </w:p>
    <w:p>
      <w:pPr>
        <w:spacing w:after="0" w:line="239"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 w:lineRule="exact"/>
        <w:rPr>
          <w:rFonts w:ascii="Courier New" w:cs="Courier New" w:eastAsia="Courier New" w:hAnsi="Courier New"/>
          <w:sz w:val="14"/>
          <w:szCs w:val="14"/>
          <w:color w:val="auto"/>
        </w:rPr>
      </w:pPr>
    </w:p>
    <w:p>
      <w:pPr>
        <w:ind w:right="3339" w:firstLine="430"/>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references in this report to newsprint tonnage and prices refer to short tons (2,000) and not to metric tons (2,204.6 pounds) which are often used in newsprint price quotations.</w:t>
      </w:r>
    </w:p>
    <w:p>
      <w:pPr>
        <w:spacing w:after="0" w:line="22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5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listings and weather for the Washington, D.C. area. The New York Times had previously been available in retail outlets and by home delivery in the Washington, D.C. area for many years, during which time the papers were printed at The Time's New York-area plant and trucked to local distributors.</w:t>
      </w:r>
    </w:p>
    <w:p>
      <w:pPr>
        <w:spacing w:after="0" w:line="56" w:lineRule="exact"/>
        <w:rPr>
          <w:sz w:val="20"/>
          <w:szCs w:val="20"/>
          <w:color w:val="auto"/>
        </w:rPr>
      </w:pPr>
    </w:p>
    <w:p>
      <w:pPr>
        <w:ind w:right="3259" w:firstLine="689"/>
        <w:spacing w:after="0" w:line="261"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The Enterprise Newspapers are distributed in south Snohomish and north King Counties where their principal competitors are the Seattle Times and The Journal Newspapers, a group of weekly controlled-circulation newspapers. Numerous other weekly and semi-weekly newspapers and shoppers are distributed in The Herald's and The Enterprise Newspapers' principal circulation areas.</w:t>
      </w:r>
    </w:p>
    <w:p>
      <w:pPr>
        <w:spacing w:after="0" w:line="83"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The circulation of The Gazette Newspapers is limited to Montgomery and Frederick Counties and parts of Prince George's and Carroll Counties, Maryland (areas where The Washington Post also circulates). The Gazette Newspapers compete in varying degrees with many advertising vehicles available in their service areas, including The Potomac and Bethesda/Chevy Chase Almanacs, The Western Montgomery Bulletin, and The Bowie Blade, weekly controlled-circulation community newspapers, The Montgomery Sentinel, a weekly paid-circulation community newspaper, The Prince George's Sentinel, a weekly controlled-circulation community newspaper (which also has a weekly paid-circulation edition), The Montgomery and Prince George's Journals, daily paid-circulation community newspapers, and The Frederick News-Post, a daily paid-circulation community newspaper.</w:t>
      </w:r>
    </w:p>
    <w:p>
      <w:pPr>
        <w:spacing w:after="0" w:line="83" w:lineRule="exact"/>
        <w:rPr>
          <w:sz w:val="20"/>
          <w:szCs w:val="20"/>
          <w:color w:val="auto"/>
        </w:rPr>
      </w:pPr>
    </w:p>
    <w:p>
      <w:pPr>
        <w:ind w:right="3259" w:firstLine="689"/>
        <w:spacing w:after="0" w:line="256" w:lineRule="auto"/>
        <w:rPr>
          <w:sz w:val="20"/>
          <w:szCs w:val="20"/>
          <w:color w:val="auto"/>
        </w:rPr>
      </w:pPr>
      <w:r>
        <w:rPr>
          <w:rFonts w:ascii="Courier New" w:cs="Courier New" w:eastAsia="Courier New" w:hAnsi="Courier New"/>
          <w:sz w:val="14"/>
          <w:szCs w:val="14"/>
          <w:color w:val="auto"/>
        </w:rPr>
        <w:t>Washingtonpost.Newsweek Interactive faces competition from many other Internet services as well as from alternative methods of delivering news and information. In addition, Internet-based services are carrying increasing amounts of advertising and over time such services could adversely 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Digital Cities (a subsidiary of America Online) produces DigitalCity Washington, which is part of AOL's nationwide network of local online sites. Other popular Internet sites, such as those of Yahoo! and Netscape Netcenter offer their own version of a local, D.C.-area guide. In addition, since 1997 Bell Atlantic has offered a yellow pages service on the Internet which includes information of local interest as well as a nationwide residential white pages directory, and Big Yellow, an electronic directory of 16 million businesses across the United States. National online classified advertising is becoming a particularly crowded field, with competitors such as Yahoo! and eBay aggregating large volumes of content into a national classified database covering a broad range of product lines. Other competitors are focusing on vertical niches in specific content areas: CarPoint and Autobytel.com, for example, aggregate national car listings; Realtor.com aggregates national real estate listings; and Monster.com, CareerBuilder, and CareerMosaic aggregate employment listings.</w:t>
      </w:r>
    </w:p>
    <w:p>
      <w:pPr>
        <w:spacing w:after="0" w:line="87" w:lineRule="exact"/>
        <w:rPr>
          <w:sz w:val="20"/>
          <w:szCs w:val="20"/>
          <w:color w:val="auto"/>
        </w:rPr>
      </w:pPr>
    </w:p>
    <w:p>
      <w:pPr>
        <w:ind w:right="3259" w:firstLine="689"/>
        <w:spacing w:after="0" w:line="263" w:lineRule="auto"/>
        <w:rPr>
          <w:sz w:val="20"/>
          <w:szCs w:val="20"/>
          <w:color w:val="auto"/>
        </w:rPr>
      </w:pPr>
      <w:r>
        <w:rPr>
          <w:rFonts w:ascii="Courier New" w:cs="Courier New" w:eastAsia="Courier New" w:hAnsi="Courier New"/>
          <w:sz w:val="14"/>
          <w:szCs w:val="14"/>
          <w:color w:val="auto"/>
        </w:rPr>
        <w:t>The Company's television stations compete for audiences and advertising revenues with television and radio stations and cable television systems serving the same or nearby areas, with direct broadcast satellite services and to a lesser degree with other media such as newspapers and magazines. Both independent stations and stations affiliated with the Fox Network, the United Paramount Network and the Warner Brothers Network are becoming increasingly competitive. Cable television systems operate in substantial portions of the Company's broadcast markets where they compete for television viewers by importing out-of-market television signals and by distributing pay-cable, advertiser-supported and other programming that is originated for cable systems. In addition, direct broadcast</w:t>
      </w:r>
    </w:p>
    <w:p>
      <w:pPr>
        <w:spacing w:after="0" w:line="2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5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259"/>
        <w:spacing w:after="0" w:line="253" w:lineRule="auto"/>
        <w:rPr>
          <w:sz w:val="20"/>
          <w:szCs w:val="20"/>
          <w:color w:val="auto"/>
        </w:rPr>
      </w:pPr>
      <w:r>
        <w:rPr>
          <w:rFonts w:ascii="Courier New" w:cs="Courier New" w:eastAsia="Courier New" w:hAnsi="Courier New"/>
          <w:sz w:val="14"/>
          <w:szCs w:val="14"/>
          <w:color w:val="auto"/>
        </w:rPr>
        <w:t>satellite ("DBS") services provide nationwide distribution of television programming (including in some cases pay-per-view programming and programming packages unique to DBS) using small receiving dishes and digital transmission technologies. In November 1999, Congress passed the Satellite Home Viewer Improvement Act, which gives DBS operators the ability to distribute the signals of local television stations to subscribers in the stations' local market area ("local-into-local" service), although beginning in April 2000 the DBS operator must obtain the consent of each local television station included in such a service. The Company's television stations in Miami, Detroit, Houston and Orlando currently are being distributed locally by satellite. By January 1, 2002, DBS providers that offer local-into-local service will be required to carry all full-power television stations in the markets in which they have chosen to provide this service. The FCC is in the process of implementing the retransmission consent provisions of this Act, as well as other provisions that require certain program-exclusivity rules applicable to cable television to be applied to DBS providers. This Act also continues restrictions on the transmission of distant network stations by DBS operators. Under these restrictions, DBS operators are prohibited from distributing the signals of any network-affiliated television station except in areas where the over-the-air signal of the same network's local affiliate is not available. Several lawsuits were filed beginning in late 1996 in which plaintiffs (including all four major broadcast networks and network-affiliated stations including one of the Company's Florida stations) alleged that certain DBS operators had not been complying with this restriction. The plaintiffs have entered into a settlement with DBS operator DirecTV, under which it will discontinue distant-network service to certain subscribers and alter the method by which it determines eligibility for this service. Litigation against DBS operator Echostar is continuing. The Satellite Home Viewer Improvement Act also provides that certain distant-network subscribers whose service would have been discontinued as a result of this litigation will continue to have access to distant-network service for a five-year period, and requires the FCC to reconsider the computer model by which DBS providers predict eligibility for distant-signal service and to make recommendations to Congress on whether the technical standard for eligibility should be changed by subsequent legislation. In addition to the matters discussed above, the Company's television stations may also become subject to increased competition from low-power television stations, wireless cable services, satellite master antenna systems (which can carry pay-cable and similar program material) and prerecorded video programming. Further, the deployment of digital and other improved television technologies may enhance the ability of some of these other video providers to compete more effectively for viewers with the local television broadcasting stations owned by the Company.</w:t>
      </w:r>
    </w:p>
    <w:p>
      <w:pPr>
        <w:spacing w:after="0" w:line="267" w:lineRule="exact"/>
        <w:rPr>
          <w:sz w:val="20"/>
          <w:szCs w:val="20"/>
          <w:color w:val="auto"/>
        </w:rPr>
      </w:pPr>
    </w:p>
    <w:p>
      <w:pPr>
        <w:ind w:right="3259" w:firstLine="689"/>
        <w:spacing w:after="0" w:line="256"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ability of DBS operators to provide local-into-local service (as described above) is expected to increase competition between cable and DBS operators in markets where local-into-local service is provided. DBS operators are not required to provide local-into-local service, and some smaller markets may not receive this service for several years. However, legislation is pending before Congress that would provide loan guarantees to companies intending to offer local-into-local service in smaller communities, and DBS operators have stated that they intend to provide this service in a greater number of markets in the future. Local-into-local service is not yet offered in most markets in which the Company provides cable television service, but such services could be launched by DBS operators at any time. The Company's cable television systems also compete with wireless cable services in a number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5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According to figures compiled by Publishers' Information Bureau, Inc., of the 243 magazines reported on by the Bureau, Newsweek ranked seventh in total advertising revenues in 1999, when it received approximately 2.8% of all advertising revenues of the magazines included in the report. The magazine industry is highly competitive both within itself and with other advertising media which compete for audience and advertising revenue.</w:t>
      </w:r>
    </w:p>
    <w:p>
      <w:pPr>
        <w:spacing w:after="0" w:line="69" w:lineRule="exact"/>
        <w:rPr>
          <w:sz w:val="20"/>
          <w:szCs w:val="20"/>
          <w:color w:val="auto"/>
        </w:rPr>
      </w:pPr>
    </w:p>
    <w:p>
      <w:pPr>
        <w:ind w:right="3259" w:firstLine="689"/>
        <w:spacing w:after="0" w:line="375" w:lineRule="auto"/>
        <w:rPr>
          <w:sz w:val="20"/>
          <w:szCs w:val="20"/>
          <w:color w:val="auto"/>
        </w:rPr>
      </w:pPr>
      <w:r>
        <w:rPr>
          <w:rFonts w:ascii="Courier New" w:cs="Courier New" w:eastAsia="Courier New" w:hAnsi="Courier New"/>
          <w:sz w:val="14"/>
          <w:szCs w:val="14"/>
          <w:color w:val="auto"/>
        </w:rPr>
        <w:t>Post-Newsweek Business Information's publications and trade show compete with many other advertising vehicles and sources of similar information.</w:t>
      </w:r>
    </w:p>
    <w:p>
      <w:pPr>
        <w:spacing w:after="0" w:line="1"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Kaplan competes in each of its test preparation product lines with a variety of regional and national test preparation businesses, as well as with individual tutors and in-school preparation for standardized tests. Kaplan's Score Learning subsidiary competes with other regional and national learning centers, individual tutors and other educational e-commerce businesses which target parents and students. Kaplan's Professional Division competes with other companies which provide alternative or similar professional training, test-preparation and consulting services. KaplanCollege.com competes with both facilities-based and other distance learning providers of similar educational services, including not-for-profit colleges and universities and for-profit businesses.</w:t>
      </w:r>
    </w:p>
    <w:p>
      <w:pPr>
        <w:spacing w:after="0" w:line="75" w:lineRule="exact"/>
        <w:rPr>
          <w:sz w:val="20"/>
          <w:szCs w:val="20"/>
          <w:color w:val="auto"/>
        </w:rPr>
      </w:pPr>
    </w:p>
    <w:p>
      <w:pPr>
        <w:jc w:val="both"/>
        <w:ind w:right="3859" w:firstLine="689"/>
        <w:spacing w:after="0" w:line="313" w:lineRule="auto"/>
        <w:rPr>
          <w:sz w:val="20"/>
          <w:szCs w:val="20"/>
          <w:color w:val="auto"/>
        </w:rPr>
      </w:pPr>
      <w:r>
        <w:rPr>
          <w:rFonts w:ascii="Courier New" w:cs="Courier New" w:eastAsia="Courier New" w:hAnsi="Courier New"/>
          <w:sz w:val="14"/>
          <w:szCs w:val="14"/>
          <w:color w:val="auto"/>
        </w:rPr>
        <w:t>The Company's publications and television broadcasting and cable operations also compete for readers' and viewers' time with various other leisure-time activities.</w:t>
      </w:r>
    </w:p>
    <w:p>
      <w:pPr>
        <w:spacing w:after="0" w:line="42" w:lineRule="exact"/>
        <w:rPr>
          <w:sz w:val="20"/>
          <w:szCs w:val="20"/>
          <w:color w:val="auto"/>
        </w:rPr>
      </w:pPr>
    </w:p>
    <w:p>
      <w:pPr>
        <w:ind w:right="3259" w:firstLine="689"/>
        <w:spacing w:after="0" w:line="268" w:lineRule="auto"/>
        <w:rPr>
          <w:sz w:val="20"/>
          <w:szCs w:val="20"/>
          <w:color w:val="auto"/>
        </w:rPr>
      </w:pPr>
      <w:r>
        <w:rPr>
          <w:rFonts w:ascii="Courier New" w:cs="Courier New" w:eastAsia="Courier New" w:hAnsi="Courier New"/>
          <w:sz w:val="14"/>
          <w:szCs w:val="14"/>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7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ind w:right="3259" w:firstLine="689"/>
        <w:spacing w:after="0" w:line="313"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42"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Donald E. Graham, age 54,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is Publisher of The Washington Post, having occupied that position since 1979.</w:t>
      </w:r>
    </w:p>
    <w:p>
      <w:pPr>
        <w:spacing w:after="0" w:line="69" w:lineRule="exact"/>
        <w:rPr>
          <w:sz w:val="20"/>
          <w:szCs w:val="20"/>
          <w:color w:val="auto"/>
        </w:rPr>
      </w:pPr>
    </w:p>
    <w:p>
      <w:pPr>
        <w:jc w:val="both"/>
        <w:ind w:right="3339" w:firstLine="689"/>
        <w:spacing w:after="0" w:line="292" w:lineRule="auto"/>
        <w:rPr>
          <w:sz w:val="20"/>
          <w:szCs w:val="20"/>
          <w:color w:val="auto"/>
        </w:rPr>
      </w:pPr>
      <w:r>
        <w:rPr>
          <w:rFonts w:ascii="Courier New" w:cs="Courier New" w:eastAsia="Courier New" w:hAnsi="Courier New"/>
          <w:sz w:val="14"/>
          <w:szCs w:val="14"/>
          <w:color w:val="auto"/>
        </w:rPr>
        <w:t>Katharine Graham, age 82,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56"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Diana M. Daniels, age 50,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65" w:lineRule="exact"/>
        <w:rPr>
          <w:sz w:val="20"/>
          <w:szCs w:val="20"/>
          <w:color w:val="auto"/>
        </w:rPr>
      </w:pPr>
    </w:p>
    <w:p>
      <w:pPr>
        <w:jc w:val="both"/>
        <w:ind w:right="3339" w:firstLine="689"/>
        <w:spacing w:after="0" w:line="376" w:lineRule="auto"/>
        <w:rPr>
          <w:sz w:val="20"/>
          <w:szCs w:val="20"/>
          <w:color w:val="auto"/>
        </w:rPr>
      </w:pPr>
      <w:r>
        <w:rPr>
          <w:rFonts w:ascii="Courier New" w:cs="Courier New" w:eastAsia="Courier New" w:hAnsi="Courier New"/>
          <w:sz w:val="14"/>
          <w:szCs w:val="14"/>
          <w:color w:val="auto"/>
        </w:rPr>
        <w:t>Beverly R. Keil, age 53, has been a Vice President of the Company since 1986; from 1982 through 1985 she was the Company's Director of Human Resources.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5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779" w:firstLine="689"/>
        <w:spacing w:after="0" w:line="292" w:lineRule="auto"/>
        <w:rPr>
          <w:sz w:val="20"/>
          <w:szCs w:val="20"/>
          <w:color w:val="auto"/>
        </w:rPr>
      </w:pPr>
      <w:r>
        <w:rPr>
          <w:rFonts w:ascii="Courier New" w:cs="Courier New" w:eastAsia="Courier New" w:hAnsi="Courier New"/>
          <w:sz w:val="14"/>
          <w:szCs w:val="14"/>
          <w:color w:val="auto"/>
        </w:rPr>
        <w:t>John B. Morse, Jr., age 53, has been Vice President-Finance of the Company since November 1989. He joined the Company as Vice President and Controller in July 1989, and prior to that had been a partner of Price Waterhouse.</w:t>
      </w:r>
    </w:p>
    <w:p>
      <w:pPr>
        <w:spacing w:after="0" w:line="5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259" w:firstLine="689"/>
        <w:spacing w:after="0" w:line="375" w:lineRule="auto"/>
        <w:rPr>
          <w:sz w:val="20"/>
          <w:szCs w:val="20"/>
          <w:color w:val="auto"/>
        </w:rPr>
      </w:pPr>
      <w:r>
        <w:rPr>
          <w:rFonts w:ascii="Courier New" w:cs="Courier New" w:eastAsia="Courier New" w:hAnsi="Courier New"/>
          <w:sz w:val="14"/>
          <w:szCs w:val="14"/>
          <w:color w:val="auto"/>
        </w:rPr>
        <w:t>The Company and its subsidiaries employ approximately 9,010 persons on a full-time basis.</w:t>
      </w:r>
    </w:p>
    <w:p>
      <w:pPr>
        <w:spacing w:after="0" w:line="1"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The Washington Post has approximately 2,900 full-time employees. About 1,880 of The Post's full-time employees and about 610 part-time employees are represented by one or another of nine unions. Collective bargaining agreements are currently in effect with locals of the following unions covering the full-time and part-time employees and expiring on the dates indicated: 1,509 editorial, newsroom and commercial department employees represented by the Communication Workers of America (May 18, 2002); 105 paperhandlers and general workers represented by the Graphic Communications Union (June 1, 2000); 48 machinists represented by the International Association of Machinists (January 13, 2001); 46 photoengravers-platemakers represented by the Graphic Arts International Union (February 17, 2001); 31 electricians represented by the International Brotherhood of Electrical Workers (June 17, 2001); 103 building service employees represented by the Service Employees International Union (April 30, 2001); 40 engineers, carpenters and painters represented by the International Union of Operating Engineers (March 31, 2002); 122 typographers represented by the Communications Workers of America (October 2, 2000); and 337 mailers and 142 mailroom helpers represented by the Communications Workers of America (May 18, 2003).</w:t>
      </w:r>
    </w:p>
    <w:p>
      <w:pPr>
        <w:spacing w:after="0" w:line="89"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Of the approximately 300 full-time and 95 part-time employees at The Daily Herald Company, about 75 full-time and 15 part-time employees are represented by one or another of three unions. The newspaper's collective bargaining agreement with the Graphic Communications International Union, which represents press operators, expired on March 15, 2000, and a new agreement is currently being negotiated. Its agreement with the International Brotherhood of Teamsters, which represents bundle haulers, will expire on May 31, 2001. The newspaper's agreement with the Communications Workers of America, which represents printers and mailers, will expire on October 31, 2001.</w:t>
      </w:r>
    </w:p>
    <w:p>
      <w:pPr>
        <w:spacing w:after="0" w:line="74" w:lineRule="exact"/>
        <w:rPr>
          <w:sz w:val="20"/>
          <w:szCs w:val="20"/>
          <w:color w:val="auto"/>
        </w:rPr>
      </w:pPr>
    </w:p>
    <w:p>
      <w:pPr>
        <w:ind w:right="3259" w:firstLine="689"/>
        <w:spacing w:after="0" w:line="313" w:lineRule="auto"/>
        <w:rPr>
          <w:sz w:val="20"/>
          <w:szCs w:val="20"/>
          <w:color w:val="auto"/>
        </w:rPr>
      </w:pPr>
      <w:r>
        <w:rPr>
          <w:rFonts w:ascii="Courier New" w:cs="Courier New" w:eastAsia="Courier New" w:hAnsi="Courier New"/>
          <w:sz w:val="14"/>
          <w:szCs w:val="14"/>
          <w:color w:val="auto"/>
        </w:rPr>
        <w:t>Newsweek has approximately 740 full-time employees (including about 155 editorial employees represented by the Communications Workers of America under a collective bargaining agreement which will expire in December 2003).</w:t>
      </w:r>
    </w:p>
    <w:p>
      <w:pPr>
        <w:spacing w:after="0" w:line="42"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The Company's broadcasting operations have approximately 975 full-time employees, of whom about 245 are union-represented. Of the eight collective bargaining agreements covering union-represented employees, one has expired with Company implementing its last offer after the parties reached an impasse in negotiations. One other collective bargaining agreement will expire in 2000.</w:t>
      </w:r>
    </w:p>
    <w:p>
      <w:pPr>
        <w:spacing w:after="0" w:line="65"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The Company's Cable Television Division has approximately 1,340 full-time employees. Kaplan and its subsidiary companies together employ approximately 1,900 persons on a full-time basis (which number does not include substantial numbers of part-time employees who serve in instructional and clerical capacities). The Gazette Newspapers, Inc. has approximately 390 full-time and 85 part-time employees. Robinson Terminal Warehouse Corporation (the Company's newsprint warehousing and distribution subsidiary), Post-Newsweek Business Information and Washingtonpost.Newsweek Interactive each employ fewer than 250 persons. None of these units' employees is represented by a union.</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5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ind w:right="3259" w:firstLine="689"/>
        <w:spacing w:after="0" w:line="255" w:lineRule="auto"/>
        <w:rPr>
          <w:sz w:val="20"/>
          <w:szCs w:val="20"/>
          <w:color w:val="auto"/>
        </w:rPr>
      </w:pPr>
      <w:r>
        <w:rPr>
          <w:rFonts w:ascii="Courier New" w:cs="Courier New" w:eastAsia="Courier New" w:hAnsi="Courier New"/>
          <w:sz w:val="14"/>
          <w:szCs w:val="14"/>
          <w:color w:val="auto"/>
        </w:rPr>
        <w:t>All public statements made by the Company and its representatives which are not statements of historical fact, including certain statements in this Annual Report on Form 10-K and in the Company's 1999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Annual Report on Form 10-K (including the financial statements and other items filed herewith), specific factors identified by the Company that might cause such a difference include the following: changes in prevailing economic conditions, particularly in the specific geographic and other markets served by the Company; actions of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of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25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259" w:firstLine="689"/>
        <w:spacing w:after="0" w:line="264" w:lineRule="auto"/>
        <w:rPr>
          <w:sz w:val="20"/>
          <w:szCs w:val="20"/>
          <w:color w:val="auto"/>
        </w:rPr>
      </w:pPr>
      <w:r>
        <w:rPr>
          <w:rFonts w:ascii="Courier New" w:cs="Courier New" w:eastAsia="Courier New" w:hAnsi="Courier New"/>
          <w:sz w:val="14"/>
          <w:szCs w:val="14"/>
          <w:color w:val="auto"/>
        </w:rPr>
        <w:t>The Company owns the principal offices of The Washington Post in downtown Washington, D.C., including both a seven-story building in use since 1950 and a connected nine-story office building on contiguous property completed in 1972 in which the Company's principal executive offices are located. Additionally, the Company owns land on the corner of 15th and L Streets, N.W., in Washington, D.C., adjacent to The Washington Post office building. This land is leased on a long-term basis to the owner of a multi-story office building which was constructed on the site in 1982. The Company rents a number of floors in this building. The Company also owns and occupies a small office building on L Street which is next to The Post's downtown office building.</w:t>
      </w:r>
    </w:p>
    <w:p>
      <w:pPr>
        <w:spacing w:after="0" w:line="77"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In 1980 the Company built a printing plant on 13 acres of land owned by the Company in Fairfax County, Virginia, and in 1998 completed an expansion of that facility. Also in 1998 the Company completed construction of a new printing plant and distribution facility for The Post on a 17-acre tract of land in Prince George's County, Maryland which was purchased by the Company in 1996. In addition, the Company owns a printing plant in Southeast Washington, D.C. which was used as one of the production locations for The Post until the end of 1998, as well as undeveloped land near Dulles Airport in Fairfax County, Virginia (39 acres) and in Prince George's County, Maryland (34 acres).</w:t>
      </w:r>
    </w:p>
    <w:p>
      <w:pPr>
        <w:spacing w:after="0" w:line="74" w:lineRule="exact"/>
        <w:rPr>
          <w:sz w:val="20"/>
          <w:szCs w:val="20"/>
          <w:color w:val="auto"/>
        </w:rPr>
      </w:pPr>
    </w:p>
    <w:p>
      <w:pPr>
        <w:ind w:right="3259" w:firstLine="689"/>
        <w:spacing w:after="0" w:line="313"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 that is currently leased to a third party.</w:t>
      </w:r>
    </w:p>
    <w:p>
      <w:pPr>
        <w:spacing w:after="0" w:line="42" w:lineRule="exact"/>
        <w:rPr>
          <w:sz w:val="20"/>
          <w:szCs w:val="20"/>
          <w:color w:val="auto"/>
        </w:rPr>
      </w:pPr>
    </w:p>
    <w:p>
      <w:pPr>
        <w:ind w:right="3259" w:firstLine="689"/>
        <w:spacing w:after="0" w:line="271" w:lineRule="auto"/>
        <w:rPr>
          <w:sz w:val="20"/>
          <w:szCs w:val="20"/>
          <w:color w:val="auto"/>
        </w:rPr>
      </w:pPr>
      <w:r>
        <w:rPr>
          <w:rFonts w:ascii="Courier New" w:cs="Courier New" w:eastAsia="Courier New" w:hAnsi="Courier New"/>
          <w:sz w:val="14"/>
          <w:szCs w:val="14"/>
          <w:color w:val="auto"/>
        </w:rPr>
        <w:t>The Gazette Newspapers, Inc. owns a two-story brick building that serves as headquarters for The Gazette Newspapers and a separate two-story brick building that houses its commercial printing business. It also owns a one-story brick building that formerly served as its headquarters and is under contract to be sold. All of these properties are located in Gaithersburg, Maryland. Satellite editorial and sales offices for The Gazette Newspapers are located in leased premises.</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5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The principal offices of Newsweek are located at 251 West 57th Street in New York City, where Newsweek rents space on nine floors. The lease on this space will expire in 2009 but is renewable for a 15-year period at Newsweek's option at rentals to be negotiated or arbitrated. Budget Travel's offices are also located in New York City where they occupy premises under a lease which expires in 2001. In 1997 Newsweek sold its Mountain Lakes, N.J. facility to a third party and leased back a portion of this building to house its accounting, production and distribution departments. The lease on this space will expire in 2007 but is renewable for two 5-year periods at Newsweek's option.</w:t>
      </w:r>
    </w:p>
    <w:p>
      <w:pPr>
        <w:spacing w:after="0" w:line="74"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Hartford, Connecticut, where they occupy premises under a lease which expires in 2002. The facilities that house the operations of each of the Company's television stations are all owned by subsidiaries of the Company, as are the related tower sites (except in Houston, Orlando and Jacksonville where the tower sites are 50% owned).</w:t>
      </w:r>
    </w:p>
    <w:p>
      <w:pPr>
        <w:spacing w:after="0" w:line="69"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The headquarters offices of the Cable Television Division are located in a three-story office building in Phoenix, Arizona which was purchased by the Division in 1998. The majority of the offices and head-end facilities of the Division's individual cable systems are located in buildings owned by the Division. Substantially all the tower sites used by the Division are leased.</w:t>
      </w:r>
    </w:p>
    <w:p>
      <w:pPr>
        <w:spacing w:after="0" w:line="65" w:lineRule="exact"/>
        <w:rPr>
          <w:sz w:val="20"/>
          <w:szCs w:val="20"/>
          <w:color w:val="auto"/>
        </w:rPr>
      </w:pPr>
    </w:p>
    <w:p>
      <w:pPr>
        <w:ind w:right="3259" w:firstLine="689"/>
        <w:spacing w:after="0" w:line="266" w:lineRule="auto"/>
        <w:rPr>
          <w:sz w:val="20"/>
          <w:szCs w:val="20"/>
          <w:color w:val="auto"/>
        </w:rPr>
      </w:pPr>
      <w:r>
        <w:rPr>
          <w:rFonts w:ascii="Courier New" w:cs="Courier New" w:eastAsia="Courier New" w:hAnsi="Courier New"/>
          <w:sz w:val="14"/>
          <w:szCs w:val="14"/>
          <w:color w:val="auto"/>
        </w:rPr>
        <w:t>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The Washington Post's Virginia printing plant and include several warehouses. In 1992 Robinson purchased approximately 23 acres of undeveloped land on the Potomac River in Charles County, Maryland, for the possible construction of additional warehouse capacity.</w:t>
      </w:r>
    </w:p>
    <w:p>
      <w:pPr>
        <w:spacing w:after="0" w:line="250" w:lineRule="exact"/>
        <w:rPr>
          <w:sz w:val="20"/>
          <w:szCs w:val="20"/>
          <w:color w:val="auto"/>
        </w:rPr>
      </w:pPr>
    </w:p>
    <w:p>
      <w:pPr>
        <w:ind w:right="3259" w:firstLine="689"/>
        <w:spacing w:after="0" w:line="262" w:lineRule="auto"/>
        <w:rPr>
          <w:sz w:val="20"/>
          <w:szCs w:val="20"/>
          <w:color w:val="auto"/>
        </w:rPr>
      </w:pPr>
      <w:r>
        <w:rPr>
          <w:rFonts w:ascii="Courier New" w:cs="Courier New" w:eastAsia="Courier New" w:hAnsi="Courier New"/>
          <w:sz w:val="14"/>
          <w:szCs w:val="14"/>
          <w:color w:val="auto"/>
        </w:rPr>
        <w:t>Kaplan owns a six-story building located at 131 West 56th Street in New York City, which serves as an educational center primarily for foreign students, and a one-story building in Brooklyn, New York, which currently is for sale. Kaplan's principal educational center in New York City for other than international students is located at 16 Cooper Square, where Kaplan rents two floors under a lease expiring in 2013. Kaplan's distribution facilities have been consolidated in a 97,000 square foot warehouse in Aurora, Illinois which has been rented under a lease which expires in 2008. Kaplan's headquarters offices are located at 888 Seventh Avenue in New York City, where Kaplan rents space on three floors under a lease which expires in 2007. All other Kaplan facilities (including administrative offices and instructional locations) occupy leased premises.</w:t>
      </w:r>
    </w:p>
    <w:p>
      <w:pPr>
        <w:spacing w:after="0" w:line="248"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The offices of Washingtonpost.Newsweek Interactive are located in Arlington, Virginia. Post-Newsweek Business Information has its headquarters office in Vienna, Virginia and also maintains office space in Silver Spring, Maryland and San Francisco, California. The office space for each of these units is leased.</w:t>
      </w:r>
    </w:p>
    <w:p>
      <w:pPr>
        <w:spacing w:after="0" w:line="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439" w:firstLine="689"/>
        <w:spacing w:after="0" w:line="281"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5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left="780" w:right="3779" w:hanging="774"/>
        <w:spacing w:after="0" w:line="375" w:lineRule="auto"/>
        <w:tabs>
          <w:tab w:leader="none" w:pos="76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 MATTERS.</w:t>
      </w:r>
    </w:p>
    <w:p>
      <w:pPr>
        <w:spacing w:after="0" w:line="1" w:lineRule="exact"/>
        <w:rPr>
          <w:sz w:val="20"/>
          <w:szCs w:val="20"/>
          <w:color w:val="auto"/>
        </w:rPr>
      </w:pPr>
    </w:p>
    <w:p>
      <w:pPr>
        <w:jc w:val="both"/>
        <w:ind w:right="3779" w:firstLine="689"/>
        <w:spacing w:after="0" w:line="313" w:lineRule="auto"/>
        <w:rPr>
          <w:sz w:val="20"/>
          <w:szCs w:val="20"/>
          <w:color w:val="auto"/>
        </w:rPr>
      </w:pPr>
      <w:r>
        <w:rPr>
          <w:rFonts w:ascii="Courier New" w:cs="Courier New" w:eastAsia="Courier New" w:hAnsi="Courier New"/>
          <w:sz w:val="14"/>
          <w:szCs w:val="14"/>
          <w:color w:val="auto"/>
        </w:rPr>
        <w:t>The Company's Class B Common Stock is traded on the New York Stock Exchange under the symbol "WPO." The Company's Class A Common Stock is not publicly traded.</w:t>
      </w:r>
    </w:p>
    <w:p>
      <w:pPr>
        <w:spacing w:after="0" w:line="42" w:lineRule="exact"/>
        <w:rPr>
          <w:sz w:val="20"/>
          <w:szCs w:val="20"/>
          <w:color w:val="auto"/>
        </w:rPr>
      </w:pPr>
    </w:p>
    <w:p>
      <w:pPr>
        <w:ind w:right="3699" w:firstLine="689"/>
        <w:spacing w:after="0" w:line="376" w:lineRule="auto"/>
        <w:rPr>
          <w:sz w:val="20"/>
          <w:szCs w:val="20"/>
          <w:color w:val="auto"/>
        </w:rPr>
      </w:pPr>
      <w:r>
        <w:rPr>
          <w:rFonts w:ascii="Courier New" w:cs="Courier New" w:eastAsia="Courier New" w:hAnsi="Courier New"/>
          <w:sz w:val="14"/>
          <w:szCs w:val="14"/>
          <w:color w:val="auto"/>
        </w:rPr>
        <w:t>The high and low sales prices of the Company's Class B Common Stock during the last two years were: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Quarter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748"/>
              <w:spacing w:after="0"/>
              <w:rPr>
                <w:sz w:val="20"/>
                <w:szCs w:val="20"/>
                <w:color w:val="auto"/>
              </w:rPr>
            </w:pPr>
            <w:r>
              <w:rPr>
                <w:rFonts w:ascii="Courier New" w:cs="Courier New" w:eastAsia="Courier New" w:hAnsi="Courier New"/>
                <w:sz w:val="14"/>
                <w:szCs w:val="14"/>
                <w:color w:val="auto"/>
              </w:rPr>
              <w:t>Low</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Low</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High</w:t>
            </w:r>
          </w:p>
        </w:tc>
        <w:tc>
          <w:tcPr>
            <w:tcW w:w="1200" w:type="dxa"/>
            <w:vAlign w:val="bottom"/>
            <w:vMerge w:val="continue"/>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High</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March..............</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$ 595</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$ 517</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$ 462</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April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June.................</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582</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510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c>
          <w:tcPr>
            <w:tcW w:w="0" w:type="dxa"/>
            <w:vAlign w:val="bottom"/>
          </w:tcPr>
          <w:p>
            <w:pPr>
              <w:spacing w:after="0"/>
              <w:rPr>
                <w:sz w:val="1"/>
                <w:szCs w:val="1"/>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July - September.............</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574</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December...........</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586</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490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During 1999 the Company repurchased 744,095 shares of its Class B Common Stock - 666,106 shares through an issuer tender offer at a price of $575 per share, and 77,989 shares in unsolicited transactions at prices no higher than the last sale price on the New York Stock Exchange. Of the total shares repurchased in 1999, 57,900 shares were included in trading volume reported on that year's consolidated tape and accounted for about 2% of such volume.</w:t>
      </w:r>
    </w:p>
    <w:p>
      <w:pPr>
        <w:spacing w:after="0" w:line="69" w:lineRule="exact"/>
        <w:rPr>
          <w:sz w:val="20"/>
          <w:szCs w:val="20"/>
          <w:color w:val="auto"/>
        </w:rPr>
      </w:pPr>
    </w:p>
    <w:p>
      <w:pPr>
        <w:ind w:right="3259" w:firstLine="689"/>
        <w:spacing w:after="0" w:line="313" w:lineRule="auto"/>
        <w:rPr>
          <w:sz w:val="20"/>
          <w:szCs w:val="20"/>
          <w:color w:val="auto"/>
        </w:rPr>
      </w:pPr>
      <w:r>
        <w:rPr>
          <w:rFonts w:ascii="Courier New" w:cs="Courier New" w:eastAsia="Courier New" w:hAnsi="Courier New"/>
          <w:sz w:val="14"/>
          <w:szCs w:val="14"/>
          <w:color w:val="auto"/>
        </w:rPr>
        <w:t>At February 1, 2000, there were 23 holders of record of the Company's Class A Common Stock and 1,154 holders of record of the Company's Class B Common Stock.</w:t>
      </w:r>
    </w:p>
    <w:p>
      <w:pPr>
        <w:spacing w:after="0" w:line="42" w:lineRule="exact"/>
        <w:rPr>
          <w:sz w:val="20"/>
          <w:szCs w:val="20"/>
          <w:color w:val="auto"/>
        </w:rPr>
      </w:pPr>
    </w:p>
    <w:p>
      <w:pPr>
        <w:ind w:right="3439" w:firstLine="689"/>
        <w:spacing w:after="0" w:line="313" w:lineRule="auto"/>
        <w:rPr>
          <w:sz w:val="20"/>
          <w:szCs w:val="20"/>
          <w:color w:val="auto"/>
        </w:rPr>
      </w:pPr>
      <w:r>
        <w:rPr>
          <w:rFonts w:ascii="Courier New" w:cs="Courier New" w:eastAsia="Courier New" w:hAnsi="Courier New"/>
          <w:sz w:val="14"/>
          <w:szCs w:val="14"/>
          <w:color w:val="auto"/>
        </w:rPr>
        <w:t>Both classes of the Company's Common Stock participate equally as to dividends. Quarterly dividends were paid at the rate of $1.30 per share during 1999 and $1.25 per share during 1998.</w:t>
      </w:r>
    </w:p>
    <w:p>
      <w:pPr>
        <w:spacing w:after="0" w:line="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See the information for the years 1995 through 1999 contained in the table titled "Ten-Year Summary of Selected Historical Financial Data" which is included in this Annual Report on Form 10-K and listed in the index to financial information on page 27 hereof (with only the information for such years to be deemed filed as part of this Annual Report on Form 10-K).</w:t>
      </w:r>
    </w:p>
    <w:p>
      <w:pPr>
        <w:spacing w:after="0" w:line="65" w:lineRule="exact"/>
        <w:rPr>
          <w:sz w:val="20"/>
          <w:szCs w:val="20"/>
          <w:color w:val="auto"/>
        </w:rPr>
      </w:pPr>
    </w:p>
    <w:p>
      <w:pPr>
        <w:ind w:left="780" w:right="3259" w:hanging="774"/>
        <w:spacing w:after="0" w:line="37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 w:lineRule="exact"/>
        <w:rPr>
          <w:sz w:val="20"/>
          <w:szCs w:val="20"/>
          <w:color w:val="auto"/>
        </w:rPr>
      </w:pPr>
    </w:p>
    <w:p>
      <w:pPr>
        <w:ind w:right="3259" w:firstLine="689"/>
        <w:spacing w:after="0" w:line="292" w:lineRule="auto"/>
        <w:rPr>
          <w:sz w:val="20"/>
          <w:szCs w:val="20"/>
          <w:color w:val="auto"/>
        </w:rPr>
      </w:pPr>
      <w:r>
        <w:rPr>
          <w:rFonts w:ascii="Courier New" w:cs="Courier New" w:eastAsia="Courier New" w:hAnsi="Courier New"/>
          <w:sz w:val="14"/>
          <w:szCs w:val="14"/>
          <w:color w:val="auto"/>
        </w:rPr>
        <w:t>See the information contained under the heading "Management's Discussion and Analysis of Results of Operations and Financial Condition" which is included in this Annual Report on Form 10-K and listed in the index to financial information on page 27 hereof.</w:t>
      </w:r>
    </w:p>
    <w:p>
      <w:pPr>
        <w:spacing w:after="0" w:line="5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3"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The Company is exposed to market risk in the normal course of its business due primarily to its ownership of marketable equity securities which are subject to equity price risk and to its borrowing activities which are subject to interest rate risk.</w:t>
      </w:r>
    </w:p>
    <w:p>
      <w:pPr>
        <w:spacing w:after="0" w:line="5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Equity Price Risk</w:t>
      </w:r>
    </w:p>
    <w:p>
      <w:pPr>
        <w:spacing w:after="0" w:line="173"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The Company has common stock investments in several publicly traded companies (as discussed in Note C to the Company's consolidated Financial Statements) that are subject to market price volatility. The fair value of these common stock investments (most of which were acquired in the fourth quarter of fiscal 1998) totaled $203,012,000 at January 2, 2000.</w:t>
      </w:r>
    </w:p>
    <w:p>
      <w:pPr>
        <w:spacing w:after="0" w:line="2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5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439" w:firstLine="689"/>
        <w:spacing w:after="0" w:line="292" w:lineRule="auto"/>
        <w:rPr>
          <w:sz w:val="20"/>
          <w:szCs w:val="20"/>
          <w:color w:val="auto"/>
        </w:rPr>
      </w:pPr>
      <w:r>
        <w:rPr>
          <w:rFonts w:ascii="Courier New" w:cs="Courier New" w:eastAsia="Courier New" w:hAnsi="Courier New"/>
          <w:sz w:val="14"/>
          <w:szCs w:val="14"/>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387"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392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Value of Common Stock Investments</w:t>
            </w:r>
          </w:p>
        </w:tc>
        <w:tc>
          <w:tcPr>
            <w:tcW w:w="384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Value of Common Stock Investments</w:t>
            </w:r>
          </w:p>
        </w:tc>
        <w:tc>
          <w:tcPr>
            <w:tcW w:w="0" w:type="dxa"/>
            <w:vAlign w:val="bottom"/>
          </w:tcPr>
          <w:p>
            <w:pPr>
              <w:spacing w:after="0"/>
              <w:rPr>
                <w:sz w:val="1"/>
                <w:szCs w:val="1"/>
                <w:color w:val="auto"/>
              </w:rPr>
            </w:pPr>
          </w:p>
        </w:tc>
      </w:tr>
      <w:tr>
        <w:trPr>
          <w:trHeight w:val="166"/>
        </w:trPr>
        <w:tc>
          <w:tcPr>
            <w:tcW w:w="3920" w:type="dxa"/>
            <w:vAlign w:val="bottom"/>
            <w:gridSpan w:val="3"/>
          </w:tcPr>
          <w:p>
            <w:pPr>
              <w:jc w:val="center"/>
              <w:ind w:right="228"/>
              <w:spacing w:after="0"/>
              <w:rPr>
                <w:sz w:val="20"/>
                <w:szCs w:val="20"/>
                <w:color w:val="auto"/>
              </w:rPr>
            </w:pPr>
            <w:r>
              <w:rPr>
                <w:rFonts w:ascii="Courier New" w:cs="Courier New" w:eastAsia="Courier New" w:hAnsi="Courier New"/>
                <w:sz w:val="14"/>
                <w:szCs w:val="14"/>
                <w:color w:val="auto"/>
              </w:rPr>
              <w:t>Assuming Indicated Decrease in</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Assuming Indicated</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Increase in</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Each Stock's Price</w:t>
            </w:r>
          </w:p>
        </w:tc>
        <w:tc>
          <w:tcPr>
            <w:tcW w:w="130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Each Stock's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7"/>
              </w:rPr>
              <w:t>--------------------------------------------</w:t>
            </w:r>
            <w:r>
              <w:rPr>
                <w:rFonts w:ascii="Courier New" w:cs="Courier New" w:eastAsia="Courier New" w:hAnsi="Courier New"/>
                <w:sz w:val="7"/>
                <w:szCs w:val="7"/>
                <w:color w:val="auto"/>
                <w:w w:val="87"/>
                <w:vertAlign w:val="subscript"/>
              </w:rPr>
              <w:t>-30%</w:t>
            </w:r>
          </w:p>
        </w:tc>
        <w:tc>
          <w:tcPr>
            <w:tcW w:w="158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3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3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42"/>
        </w:trPr>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w w:val="93"/>
              </w:rPr>
              <w:t>-------------</w:t>
            </w: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$142,108,400</w:t>
            </w: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$162,409,600</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$182,710,800</w:t>
            </w: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$223,313,200</w:t>
            </w:r>
          </w:p>
        </w:tc>
        <w:tc>
          <w:tcPr>
            <w:tcW w:w="1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$243,614,400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$263,915,600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259" w:firstLine="689"/>
        <w:spacing w:after="0" w:line="292" w:lineRule="auto"/>
        <w:rPr>
          <w:sz w:val="20"/>
          <w:szCs w:val="20"/>
          <w:color w:val="auto"/>
        </w:rPr>
      </w:pPr>
      <w:r>
        <w:rPr>
          <w:rFonts w:ascii="Courier New" w:cs="Courier New" w:eastAsia="Courier New" w:hAnsi="Courier New"/>
          <w:sz w:val="14"/>
          <w:szCs w:val="14"/>
          <w:color w:val="auto"/>
        </w:rPr>
        <w:t>During the four quarters since the end of the Company's 1998 fiscal year, market price movements caused the aggregate fair value of the Company's common stock investments in publicly traded companies to change by approximately 20% in one quarter and by less then 10% in each of the other three quarters.</w:t>
      </w:r>
    </w:p>
    <w:p>
      <w:pPr>
        <w:spacing w:after="0" w:line="5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Interest Rate Risk</w:t>
      </w:r>
    </w:p>
    <w:p>
      <w:pPr>
        <w:spacing w:after="0" w:line="173" w:lineRule="exact"/>
        <w:rPr>
          <w:sz w:val="20"/>
          <w:szCs w:val="20"/>
          <w:color w:val="auto"/>
        </w:rPr>
      </w:pPr>
    </w:p>
    <w:p>
      <w:pPr>
        <w:ind w:right="3439" w:firstLine="689"/>
        <w:spacing w:after="0" w:line="263" w:lineRule="auto"/>
        <w:rPr>
          <w:sz w:val="20"/>
          <w:szCs w:val="20"/>
          <w:color w:val="auto"/>
        </w:rPr>
      </w:pPr>
      <w:r>
        <w:rPr>
          <w:rFonts w:ascii="Courier New" w:cs="Courier New" w:eastAsia="Courier New" w:hAnsi="Courier New"/>
          <w:sz w:val="14"/>
          <w:szCs w:val="14"/>
          <w:color w:val="auto"/>
        </w:rPr>
        <w:t>At January 2, 2000, the Company had short-term commercial paper borrowings outstanding of $487,677,000 at an average interest rate of 6.4%. At January 3, 1999, the Company had commercial paper borrowings outstanding of $453,362,000 at an average interest rate of 5.4%. The Company is exposed to interest rate risk with respect to such borrowings since an increase in commercial paper borrowing rates would increase the Company's interest expense on its commercial paper borrowings. Assuming a hypothetical 100 basis point increase in its average commercial paper borrowing rates from those that prevailed during the Company's 1999 and 1998 fiscal years, the Company's interest expense would have been greater by approximately $1,400,000 in fiscal 1999 and by approximately $2,500,000 in fiscal 1998.</w:t>
      </w:r>
    </w:p>
    <w:p>
      <w:pPr>
        <w:spacing w:after="0" w:line="75" w:lineRule="exact"/>
        <w:rPr>
          <w:sz w:val="20"/>
          <w:szCs w:val="20"/>
          <w:color w:val="auto"/>
        </w:rPr>
      </w:pPr>
    </w:p>
    <w:p>
      <w:pPr>
        <w:ind w:right="3259" w:firstLine="689"/>
        <w:spacing w:after="0" w:line="261" w:lineRule="auto"/>
        <w:rPr>
          <w:sz w:val="20"/>
          <w:szCs w:val="20"/>
          <w:color w:val="auto"/>
        </w:rPr>
      </w:pPr>
      <w:r>
        <w:rPr>
          <w:rFonts w:ascii="Courier New" w:cs="Courier New" w:eastAsia="Courier New" w:hAnsi="Courier New"/>
          <w:sz w:val="14"/>
          <w:szCs w:val="14"/>
          <w:color w:val="auto"/>
        </w:rPr>
        <w:t>The Company's long-term debt consists of $400,000,000 principal amount of 5.5% unsecured notes due February 15, 2009 (the "Notes"). At January 2, 2000, the aggregate fair value of the Notes, based upon quoted market prices, was $353,920,000.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5.5%, the fair value of the Notes would be approximately $370,380,000. Conversely, if the market interest rate applicable to the Notes was 100 basis points lower than the Notes' stated interest rate, the fair value of the Notes would then be approximately $429,620,000.</w:t>
      </w:r>
    </w:p>
    <w:p>
      <w:pPr>
        <w:spacing w:after="0" w:line="7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259" w:firstLine="689"/>
        <w:spacing w:after="0" w:line="272" w:lineRule="auto"/>
        <w:rPr>
          <w:sz w:val="20"/>
          <w:szCs w:val="20"/>
          <w:color w:val="auto"/>
        </w:rPr>
      </w:pPr>
      <w:r>
        <w:rPr>
          <w:rFonts w:ascii="Courier New" w:cs="Courier New" w:eastAsia="Courier New" w:hAnsi="Courier New"/>
          <w:sz w:val="14"/>
          <w:szCs w:val="14"/>
          <w:color w:val="auto"/>
        </w:rPr>
        <w:t>See the Company's Consolidated Financial Statements at January 2, 2000, and for the periods then ended, together with the report of PricewaterhouseCoopers LLP thereon and the information contained in Note N to said Consolidated Financial Statements titled "Summary of Quarterly Operating Results and Comprehensive Income (Unaudited)," which are included in this Annual Report on Form 10-K and listed in the index to financial information on page 27 hereof.</w:t>
      </w:r>
    </w:p>
    <w:p>
      <w:pPr>
        <w:spacing w:after="0" w:line="246" w:lineRule="exact"/>
        <w:rPr>
          <w:sz w:val="20"/>
          <w:szCs w:val="20"/>
          <w:color w:val="auto"/>
        </w:rPr>
      </w:pPr>
    </w:p>
    <w:p>
      <w:pPr>
        <w:ind w:left="780" w:right="3959" w:hanging="774"/>
        <w:spacing w:after="0" w:line="375"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5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right="3259" w:firstLine="689"/>
        <w:spacing w:after="0" w:line="275" w:lineRule="auto"/>
        <w:rPr>
          <w:sz w:val="20"/>
          <w:szCs w:val="20"/>
          <w:color w:val="auto"/>
        </w:rPr>
      </w:pPr>
      <w:r>
        <w:rPr>
          <w:rFonts w:ascii="Courier New" w:cs="Courier New" w:eastAsia="Courier New" w:hAnsi="Courier New"/>
          <w:sz w:val="14"/>
          <w:szCs w:val="14"/>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2000 Annual Meeting of Stockholders is incorporated herein by reference thereto.</w:t>
      </w:r>
    </w:p>
    <w:p>
      <w:pPr>
        <w:spacing w:after="0" w:line="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The information contained under the headings "Compensation of Directors," "Executive Compensation," "Retirement Plans," "Compensation Committee Report on Executive Compensation," "Compensation Committee Interlocks and Insider Participation," and "Performance Graph" in the definitive Proxy Statement for the Company's 2000 Annual Meeting of Stockholders is incorporated herein by reference thereto.</w:t>
      </w:r>
    </w:p>
    <w:p>
      <w:pPr>
        <w:spacing w:after="0" w:line="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439" w:firstLine="689"/>
        <w:spacing w:after="0" w:line="292" w:lineRule="auto"/>
        <w:rPr>
          <w:sz w:val="20"/>
          <w:szCs w:val="20"/>
          <w:color w:val="auto"/>
        </w:rPr>
      </w:pPr>
      <w:r>
        <w:rPr>
          <w:rFonts w:ascii="Courier New" w:cs="Courier New" w:eastAsia="Courier New" w:hAnsi="Courier New"/>
          <w:sz w:val="14"/>
          <w:szCs w:val="14"/>
          <w:color w:val="auto"/>
        </w:rPr>
        <w:t>The information contained under the heading "Stock Holdings of Certain Beneficial Owners and Management" in the definitive Proxy Statement for the Company's 2000 Annual Meeting of Stockholders is incorporated herein by reference thereto.</w:t>
      </w:r>
    </w:p>
    <w:p>
      <w:pPr>
        <w:spacing w:after="0" w:line="5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jc w:val="both"/>
        <w:ind w:right="3439" w:firstLine="689"/>
        <w:spacing w:after="0" w:line="313" w:lineRule="auto"/>
        <w:rPr>
          <w:sz w:val="20"/>
          <w:szCs w:val="20"/>
          <w:color w:val="auto"/>
        </w:rPr>
      </w:pPr>
      <w:r>
        <w:rPr>
          <w:rFonts w:ascii="Courier New" w:cs="Courier New" w:eastAsia="Courier New" w:hAnsi="Courier New"/>
          <w:sz w:val="14"/>
          <w:szCs w:val="14"/>
          <w:color w:val="auto"/>
        </w:rPr>
        <w:t>The information contained under the heading "Certain Relationships and Related Transactions" in the definitive Proxy Statement for the Company's 2000 Annual Meeting of Stockholders is incorporated herein by reference thereto.</w:t>
      </w:r>
    </w:p>
    <w:p>
      <w:pPr>
        <w:spacing w:after="0" w:line="4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1040" w:hanging="343"/>
        <w:spacing w:after="0"/>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2"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As listed in the index to financial information on page</w:t>
      </w:r>
    </w:p>
    <w:p>
      <w:pPr>
        <w:spacing w:after="0" w:line="33" w:lineRule="exact"/>
        <w:rPr>
          <w:sz w:val="20"/>
          <w:szCs w:val="20"/>
          <w:color w:val="auto"/>
        </w:rPr>
      </w:pPr>
    </w:p>
    <w:p>
      <w:pPr>
        <w:ind w:left="2080" w:hanging="263"/>
        <w:spacing w:after="0"/>
        <w:tabs>
          <w:tab w:leader="none" w:pos="20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w:t>
      </w:r>
    </w:p>
    <w:p>
      <w:pPr>
        <w:spacing w:after="0" w:line="146"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As listed in the index to exhibits on page 56 hereof.</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339" w:firstLine="1292"/>
        <w:spacing w:after="0" w:line="376" w:lineRule="auto"/>
        <w:rPr>
          <w:sz w:val="20"/>
          <w:szCs w:val="20"/>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5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259" w:firstLine="689"/>
        <w:spacing w:after="0" w:line="313"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31, 2000.</w:t>
      </w:r>
    </w:p>
    <w:p>
      <w:pPr>
        <w:spacing w:after="0" w:line="4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159"/>
          </w:cols>
          <w:pgMar w:left="300" w:top="259" w:right="1440" w:bottom="1440" w:gutter="0" w:footer="0" w:header="0"/>
        </w:sectPr>
      </w:pPr>
    </w:p>
    <w:p>
      <w:pPr>
        <w:spacing w:after="0" w:line="14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John B. Morse, Jr.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Vice President-Finance</w:t>
      </w:r>
    </w:p>
    <w:p>
      <w:pPr>
        <w:spacing w:after="0" w:line="147" w:lineRule="exact"/>
        <w:rPr>
          <w:sz w:val="20"/>
          <w:szCs w:val="20"/>
          <w:color w:val="auto"/>
        </w:rPr>
      </w:pPr>
    </w:p>
    <w:p>
      <w:pPr>
        <w:sectPr>
          <w:pgSz w:w="11900" w:h="16838" w:orient="portrait"/>
          <w:cols w:equalWidth="0" w:num="2">
            <w:col w:w="4320" w:space="80"/>
            <w:col w:w="5759"/>
          </w:cols>
          <w:pgMar w:left="300" w:top="259"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59"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27</w:t>
      </w:r>
    </w:p>
    <w:p>
      <w:pPr>
        <w:spacing w:after="0" w:line="200" w:lineRule="exact"/>
        <w:rPr>
          <w:sz w:val="20"/>
          <w:szCs w:val="20"/>
          <w:color w:val="auto"/>
        </w:rPr>
      </w:pPr>
    </w:p>
    <w:p>
      <w:pPr>
        <w:spacing w:after="0" w:line="304" w:lineRule="exact"/>
        <w:rPr>
          <w:sz w:val="20"/>
          <w:szCs w:val="20"/>
          <w:color w:val="auto"/>
        </w:rPr>
      </w:pPr>
    </w:p>
    <w:p>
      <w:pPr>
        <w:ind w:right="3599" w:firstLine="689"/>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MARCH 31, 2000:</w:t>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Donald E. Graham</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Chairman of the Board and Chief</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 (Principal</w:t>
            </w:r>
          </w:p>
        </w:tc>
      </w:tr>
      <w:tr>
        <w:trPr>
          <w:trHeight w:val="242"/>
        </w:trPr>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180" w:type="dxa"/>
            <w:vAlign w:val="bottom"/>
          </w:tcPr>
          <w:p>
            <w:pPr>
              <w:ind w:left="440"/>
              <w:spacing w:after="0"/>
              <w:rPr>
                <w:sz w:val="20"/>
                <w:szCs w:val="20"/>
                <w:color w:val="auto"/>
              </w:rPr>
            </w:pPr>
            <w:r>
              <w:rPr>
                <w:rFonts w:ascii="Courier New" w:cs="Courier New" w:eastAsia="Courier New" w:hAnsi="Courier New"/>
                <w:sz w:val="14"/>
                <w:szCs w:val="14"/>
                <w:color w:val="auto"/>
              </w:rPr>
              <w:t>Executive Officer) and Director</w:t>
            </w:r>
          </w:p>
        </w:tc>
      </w:tr>
      <w:tr>
        <w:trPr>
          <w:trHeight w:val="255"/>
        </w:trPr>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Katharine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Graham</w:t>
            </w:r>
          </w:p>
        </w:tc>
        <w:tc>
          <w:tcPr>
            <w:tcW w:w="3180" w:type="dxa"/>
            <w:vAlign w:val="bottom"/>
          </w:tcPr>
          <w:p>
            <w:pPr>
              <w:ind w:left="440"/>
              <w:spacing w:after="0"/>
              <w:rPr>
                <w:sz w:val="20"/>
                <w:szCs w:val="20"/>
                <w:color w:val="auto"/>
              </w:rPr>
            </w:pPr>
            <w:r>
              <w:rPr>
                <w:rFonts w:ascii="Courier New" w:cs="Courier New" w:eastAsia="Courier New" w:hAnsi="Courier New"/>
                <w:sz w:val="14"/>
                <w:szCs w:val="14"/>
                <w:color w:val="auto"/>
              </w:rPr>
              <w:t>Chairman of the Executive</w:t>
            </w:r>
          </w:p>
        </w:tc>
      </w:tr>
      <w:tr>
        <w:trPr>
          <w:trHeight w:val="242"/>
        </w:trPr>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Committee of the Board and Director</w:t>
            </w:r>
          </w:p>
        </w:tc>
      </w:tr>
      <w:tr>
        <w:trPr>
          <w:trHeight w:val="42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John B. Morse, Jr.</w:t>
            </w:r>
          </w:p>
        </w:tc>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Vice President-Finance (Principal</w:t>
            </w:r>
          </w:p>
        </w:tc>
      </w:tr>
      <w:tr>
        <w:trPr>
          <w:trHeight w:val="242"/>
        </w:trPr>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Financial and Accounting Officer)</w:t>
            </w:r>
          </w:p>
        </w:tc>
      </w:tr>
      <w:tr>
        <w:trPr>
          <w:trHeight w:val="331"/>
        </w:trPr>
        <w:tc>
          <w:tcPr>
            <w:tcW w:w="20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Warren E. Buffett</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Daniel B. Burke</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James E. Burke</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George J. Gillespie, III</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Ralph E. Gomory</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Donald R. Keough</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Barbara Scott Preiskel</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William J. Ruane</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Richard D. Simmons</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George W. Wilson</w:t>
            </w: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Director</w:t>
            </w:r>
          </w:p>
        </w:tc>
      </w:tr>
    </w:tbl>
    <w:p>
      <w:pPr>
        <w:spacing w:after="0" w:line="255" w:lineRule="exact"/>
        <w:rPr>
          <w:sz w:val="20"/>
          <w:szCs w:val="20"/>
          <w:color w:val="auto"/>
        </w:rPr>
      </w:pPr>
    </w:p>
    <w:p>
      <w:pPr>
        <w:jc w:val="center"/>
        <w:ind w:right="-360"/>
        <w:spacing w:after="0"/>
        <w:tabs>
          <w:tab w:leader="none" w:pos="160" w:val="left"/>
        </w:tabs>
        <w:rPr>
          <w:sz w:val="20"/>
          <w:szCs w:val="20"/>
          <w:color w:val="auto"/>
        </w:rPr>
      </w:pPr>
      <w:r>
        <w:rPr>
          <w:rFonts w:ascii="Courier New" w:cs="Courier New" w:eastAsia="Courier New" w:hAnsi="Courier New"/>
          <w:sz w:val="14"/>
          <w:szCs w:val="14"/>
          <w:color w:val="auto"/>
        </w:rPr>
        <w:t>By</w:t>
        <w:tab/>
        <w:t>John B. Morse, Jr.</w:t>
      </w:r>
    </w:p>
    <w:p>
      <w:pPr>
        <w:spacing w:after="0" w:line="3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4"/>
          <w:szCs w:val="14"/>
          <w:color w:val="auto"/>
        </w:rPr>
        <w:t>Attorney-in-Fact</w:t>
      </w:r>
    </w:p>
    <w:p>
      <w:pPr>
        <w:spacing w:after="0" w:line="147" w:lineRule="exact"/>
        <w:rPr>
          <w:sz w:val="20"/>
          <w:szCs w:val="20"/>
          <w:color w:val="auto"/>
        </w:rPr>
      </w:pPr>
    </w:p>
    <w:p>
      <w:pPr>
        <w:ind w:right="3259" w:firstLine="689"/>
        <w:spacing w:after="0" w:line="281" w:lineRule="auto"/>
        <w:rPr>
          <w:sz w:val="20"/>
          <w:szCs w:val="20"/>
          <w:color w:val="auto"/>
        </w:rPr>
      </w:pPr>
      <w:r>
        <w:rPr>
          <w:rFonts w:ascii="Courier New" w:cs="Courier New" w:eastAsia="Courier New" w:hAnsi="Courier New"/>
          <w:sz w:val="14"/>
          <w:szCs w:val="14"/>
          <w:color w:val="auto"/>
        </w:rPr>
        <w:t>An original power of attorney authorizing Donald E. Graham, Katharine Graham and John B. Morse, Jr., and each of them, to sign all reports required to be filed by the Registrant pursuant to the Securities Exchange Act of 1934 on behalf of the above-named directors and officers has been filed with the Securities and Exchange Commission.</w:t>
      </w:r>
    </w:p>
    <w:p>
      <w:pPr>
        <w:spacing w:after="0" w:line="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25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28</w:t>
      </w:r>
    </w:p>
    <w:p>
      <w:pPr>
        <w:spacing w:after="0" w:line="3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INDEX TO FINANCIAL INFORMATION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440" w:type="dxa"/>
            <w:vAlign w:val="bottom"/>
          </w:tcPr>
          <w:p>
            <w:pPr>
              <w:ind w:left="2340"/>
              <w:spacing w:after="0"/>
              <w:rPr>
                <w:sz w:val="20"/>
                <w:szCs w:val="20"/>
                <w:color w:val="auto"/>
              </w:rPr>
            </w:pPr>
            <w:r>
              <w:rPr>
                <w:rFonts w:ascii="Courier New" w:cs="Courier New" w:eastAsia="Courier New" w:hAnsi="Courier New"/>
                <w:sz w:val="14"/>
                <w:szCs w:val="14"/>
                <w:color w:val="auto"/>
              </w:rPr>
              <w:t>THE WASHINGTON POST COMPANY</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0"/>
        </w:trPr>
        <w:tc>
          <w:tcPr>
            <w:tcW w:w="94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42"/>
        </w:trPr>
        <w:tc>
          <w:tcPr>
            <w:tcW w:w="9440" w:type="dxa"/>
            <w:vAlign w:val="bottom"/>
          </w:tcPr>
          <w:p>
            <w:pPr>
              <w:spacing w:after="0"/>
              <w:rPr>
                <w:sz w:val="21"/>
                <w:szCs w:val="21"/>
                <w:color w:val="auto"/>
              </w:rPr>
            </w:pP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9440" w:type="dxa"/>
            <w:vAlign w:val="bottom"/>
          </w:tcPr>
          <w:p>
            <w:pPr>
              <w:spacing w:after="0"/>
              <w:rPr>
                <w:sz w:val="20"/>
                <w:szCs w:val="20"/>
                <w:color w:val="auto"/>
              </w:rPr>
            </w:pPr>
            <w:r>
              <w:rPr>
                <w:rFonts w:ascii="Courier New" w:cs="Courier New" w:eastAsia="Courier New" w:hAnsi="Courier New"/>
                <w:sz w:val="14"/>
                <w:szCs w:val="14"/>
                <w:color w:val="auto"/>
              </w:rPr>
              <w:t>Financial Statements and Schedules:</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28</w:t>
            </w: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Report of Independent Accountants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 Income for the Three Fiscal Years</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29</w:t>
            </w:r>
          </w:p>
        </w:tc>
        <w:tc>
          <w:tcPr>
            <w:tcW w:w="0" w:type="dxa"/>
            <w:vAlign w:val="bottom"/>
          </w:tcPr>
          <w:p>
            <w:pPr>
              <w:spacing w:after="0"/>
              <w:rPr>
                <w:sz w:val="1"/>
                <w:szCs w:val="1"/>
                <w:color w:val="auto"/>
              </w:rPr>
            </w:pPr>
          </w:p>
        </w:tc>
      </w:tr>
      <w:tr>
        <w:trPr>
          <w:trHeight w:val="166"/>
        </w:trPr>
        <w:tc>
          <w:tcPr>
            <w:tcW w:w="9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Ended January 2, 2000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 Comprehensive Income for the Three</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29</w:t>
            </w:r>
          </w:p>
        </w:tc>
        <w:tc>
          <w:tcPr>
            <w:tcW w:w="0" w:type="dxa"/>
            <w:vAlign w:val="bottom"/>
          </w:tcPr>
          <w:p>
            <w:pPr>
              <w:spacing w:after="0"/>
              <w:rPr>
                <w:sz w:val="1"/>
                <w:szCs w:val="1"/>
                <w:color w:val="auto"/>
              </w:rPr>
            </w:pPr>
          </w:p>
        </w:tc>
      </w:tr>
      <w:tr>
        <w:trPr>
          <w:trHeight w:val="166"/>
        </w:trPr>
        <w:tc>
          <w:tcPr>
            <w:tcW w:w="9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Fiscal Years Ended January 2, 2000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Consolidated Balance Sheets at January 2, 2000 and January 3, 1999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30</w:t>
            </w: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 Cash Flows for the Three Fiscal Years</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32</w:t>
            </w:r>
          </w:p>
        </w:tc>
        <w:tc>
          <w:tcPr>
            <w:tcW w:w="0" w:type="dxa"/>
            <w:vAlign w:val="bottom"/>
          </w:tcPr>
          <w:p>
            <w:pPr>
              <w:spacing w:after="0"/>
              <w:rPr>
                <w:sz w:val="1"/>
                <w:szCs w:val="1"/>
                <w:color w:val="auto"/>
              </w:rPr>
            </w:pPr>
          </w:p>
        </w:tc>
      </w:tr>
      <w:tr>
        <w:trPr>
          <w:trHeight w:val="166"/>
        </w:trPr>
        <w:tc>
          <w:tcPr>
            <w:tcW w:w="9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Ended January 2, 2000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 Changes in Common Shareholders' Equity for the Three</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33</w:t>
            </w:r>
          </w:p>
        </w:tc>
        <w:tc>
          <w:tcPr>
            <w:tcW w:w="0" w:type="dxa"/>
            <w:vAlign w:val="bottom"/>
          </w:tcPr>
          <w:p>
            <w:pPr>
              <w:spacing w:after="0"/>
              <w:rPr>
                <w:sz w:val="1"/>
                <w:szCs w:val="1"/>
                <w:color w:val="auto"/>
              </w:rPr>
            </w:pPr>
          </w:p>
        </w:tc>
      </w:tr>
      <w:tr>
        <w:trPr>
          <w:trHeight w:val="166"/>
        </w:trPr>
        <w:tc>
          <w:tcPr>
            <w:tcW w:w="9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Fiscal Years Ended January 2, 2000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34</w:t>
            </w: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Financial Statement Schedules for the Three Fiscal Years Ended January 2, 2000:</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46</w:t>
            </w:r>
          </w:p>
        </w:tc>
        <w:tc>
          <w:tcPr>
            <w:tcW w:w="0" w:type="dxa"/>
            <w:vAlign w:val="bottom"/>
          </w:tcPr>
          <w:p>
            <w:pPr>
              <w:spacing w:after="0"/>
              <w:rPr>
                <w:sz w:val="1"/>
                <w:szCs w:val="1"/>
                <w:color w:val="auto"/>
              </w:rPr>
            </w:pPr>
          </w:p>
        </w:tc>
      </w:tr>
      <w:tr>
        <w:trPr>
          <w:trHeight w:val="166"/>
        </w:trPr>
        <w:tc>
          <w:tcPr>
            <w:tcW w:w="9440" w:type="dxa"/>
            <w:vAlign w:val="bottom"/>
          </w:tcPr>
          <w:p>
            <w:pPr>
              <w:ind w:left="960"/>
              <w:spacing w:after="0"/>
              <w:rPr>
                <w:sz w:val="20"/>
                <w:szCs w:val="20"/>
                <w:color w:val="auto"/>
              </w:rPr>
            </w:pPr>
            <w:r>
              <w:rPr>
                <w:rFonts w:ascii="Courier New" w:cs="Courier New" w:eastAsia="Courier New" w:hAnsi="Courier New"/>
                <w:sz w:val="14"/>
                <w:szCs w:val="14"/>
                <w:color w:val="auto"/>
              </w:rPr>
              <w:t>II - Valuation and Qualifying Accounts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44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Results of Operations and Financial</w:t>
            </w:r>
          </w:p>
        </w:tc>
        <w:tc>
          <w:tcPr>
            <w:tcW w:w="4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w w:val="94"/>
              </w:rPr>
              <w:t>47</w:t>
            </w:r>
          </w:p>
        </w:tc>
        <w:tc>
          <w:tcPr>
            <w:tcW w:w="0" w:type="dxa"/>
            <w:vAlign w:val="bottom"/>
          </w:tcPr>
          <w:p>
            <w:pPr>
              <w:spacing w:after="0"/>
              <w:rPr>
                <w:sz w:val="1"/>
                <w:szCs w:val="1"/>
                <w:color w:val="auto"/>
              </w:rPr>
            </w:pPr>
          </w:p>
        </w:tc>
      </w:tr>
      <w:tr>
        <w:trPr>
          <w:trHeight w:val="166"/>
        </w:trPr>
        <w:tc>
          <w:tcPr>
            <w:tcW w:w="9440" w:type="dxa"/>
            <w:vAlign w:val="bottom"/>
          </w:tcPr>
          <w:p>
            <w:pPr>
              <w:ind w:left="440"/>
              <w:spacing w:after="0"/>
              <w:rPr>
                <w:sz w:val="20"/>
                <w:szCs w:val="20"/>
                <w:color w:val="auto"/>
              </w:rPr>
            </w:pPr>
            <w:r>
              <w:rPr>
                <w:rFonts w:ascii="Courier New" w:cs="Courier New" w:eastAsia="Courier New" w:hAnsi="Courier New"/>
                <w:sz w:val="14"/>
                <w:szCs w:val="14"/>
                <w:color w:val="auto"/>
              </w:rPr>
              <w:t>Condition (Unaudited)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Ten-Year Summary of Selected Historical Financial Data (Unaudited) .........................................</w:t>
            </w:r>
          </w:p>
        </w:tc>
        <w:tc>
          <w:tcPr>
            <w:tcW w:w="48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54</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439" w:firstLine="1119"/>
        <w:spacing w:after="0" w:line="313" w:lineRule="auto"/>
        <w:rPr>
          <w:sz w:val="20"/>
          <w:szCs w:val="20"/>
          <w:color w:val="auto"/>
        </w:rPr>
      </w:pPr>
      <w:r>
        <w:rPr>
          <w:rFonts w:ascii="Courier New" w:cs="Courier New" w:eastAsia="Courier New" w:hAnsi="Courier New"/>
          <w:sz w:val="14"/>
          <w:szCs w:val="14"/>
          <w:color w:val="auto"/>
        </w:rPr>
        <w:t>All other schedules have been omitted either because they are not applicable or because the required information is included in the consolidated financial statements or the notes thereto referred to above.</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25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47"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our opinion, the consolidated financial statements, including the financial statement schedule, referred to under Item 14(a)(i) on page 24 and listed in the index on page 27 present fairly, in all material respects, the financial position of The Washington Post Company and its subsidiaries at January 2, 2000 and January 3, 1999, and the results of their operations and their cash flows for each of the three fiscal years in the period ended January 2, 2000,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25, 2000</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25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27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0"/>
        </w:trPr>
        <w:tc>
          <w:tcPr>
            <w:tcW w:w="44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40" w:type="dxa"/>
            <w:vAlign w:val="bottom"/>
          </w:tcPr>
          <w:p>
            <w:pPr>
              <w:ind w:left="420"/>
              <w:spacing w:after="0"/>
              <w:rPr>
                <w:sz w:val="20"/>
                <w:szCs w:val="20"/>
                <w:color w:val="auto"/>
              </w:rPr>
            </w:pPr>
            <w:r>
              <w:rPr>
                <w:rFonts w:ascii="Courier New" w:cs="Courier New" w:eastAsia="Courier New" w:hAnsi="Courier New"/>
                <w:sz w:val="14"/>
                <w:szCs w:val="14"/>
                <w:color w:val="auto"/>
              </w:rPr>
              <w:t>Fiscal year ended</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6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2760" w:type="dxa"/>
            <w:vAlign w:val="bottom"/>
          </w:tcPr>
          <w:p>
            <w:pPr>
              <w:jc w:val="center"/>
              <w:ind w:left="948"/>
              <w:spacing w:after="0"/>
              <w:rPr>
                <w:sz w:val="20"/>
                <w:szCs w:val="20"/>
                <w:color w:val="auto"/>
              </w:rPr>
            </w:pPr>
            <w:r>
              <w:rPr>
                <w:rFonts w:ascii="Courier New" w:cs="Courier New" w:eastAsia="Courier New" w:hAnsi="Courier New"/>
                <w:sz w:val="14"/>
                <w:szCs w:val="14"/>
                <w:color w:val="auto"/>
              </w:rPr>
              <w:t>January 2,</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January 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92"/>
        </w:trPr>
        <w:tc>
          <w:tcPr>
            <w:tcW w:w="4400" w:type="dxa"/>
            <w:vAlign w:val="bottom"/>
            <w:vMerge w:val="continue"/>
          </w:tcPr>
          <w:p>
            <w:pPr>
              <w:spacing w:after="0"/>
              <w:rPr>
                <w:sz w:val="16"/>
                <w:szCs w:val="16"/>
                <w:color w:val="auto"/>
              </w:rPr>
            </w:pPr>
          </w:p>
        </w:tc>
        <w:tc>
          <w:tcPr>
            <w:tcW w:w="2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2200" w:type="dxa"/>
            <w:vAlign w:val="bottom"/>
            <w:gridSpan w:val="2"/>
            <w:vMerge w:val="restart"/>
          </w:tcPr>
          <w:p>
            <w:pPr>
              <w:jc w:val="right"/>
              <w:ind w:right="968"/>
              <w:spacing w:after="0"/>
              <w:rPr>
                <w:sz w:val="20"/>
                <w:szCs w:val="20"/>
                <w:color w:val="auto"/>
              </w:rPr>
            </w:pPr>
            <w:r>
              <w:rPr>
                <w:rFonts w:ascii="Courier New" w:cs="Courier New" w:eastAsia="Courier New" w:hAnsi="Courier New"/>
                <w:sz w:val="14"/>
                <w:szCs w:val="14"/>
                <w:color w:val="auto"/>
              </w:rPr>
              <w:t>$ 1,330,560</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vMerge w:val="restart"/>
          </w:tcPr>
          <w:p>
            <w:pPr>
              <w:jc w:val="right"/>
              <w:ind w:right="828"/>
              <w:spacing w:after="0"/>
              <w:rPr>
                <w:sz w:val="20"/>
                <w:szCs w:val="20"/>
                <w:color w:val="auto"/>
              </w:rPr>
            </w:pPr>
            <w:r>
              <w:rPr>
                <w:rFonts w:ascii="Courier New" w:cs="Courier New" w:eastAsia="Courier New" w:hAnsi="Courier New"/>
                <w:sz w:val="14"/>
                <w:szCs w:val="14"/>
                <w:color w:val="auto"/>
              </w:rPr>
              <w:t>1,297,621</w:t>
            </w:r>
          </w:p>
        </w:tc>
        <w:tc>
          <w:tcPr>
            <w:tcW w:w="2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1,236,877</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Advertising................................................</w:t>
            </w:r>
          </w:p>
        </w:tc>
        <w:tc>
          <w:tcPr>
            <w:tcW w:w="22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Circulation and subscriber.................................</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579,693</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547,450</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519,620</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Education..................................................</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240,075</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171,372</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117,268</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65,243</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93,917</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82,488</w:t>
            </w:r>
          </w:p>
        </w:tc>
        <w:tc>
          <w:tcPr>
            <w:tcW w:w="0" w:type="dxa"/>
            <w:vAlign w:val="bottom"/>
          </w:tcPr>
          <w:p>
            <w:pPr>
              <w:spacing w:after="0"/>
              <w:rPr>
                <w:sz w:val="1"/>
                <w:szCs w:val="1"/>
                <w:color w:val="auto"/>
              </w:rPr>
            </w:pPr>
          </w:p>
        </w:tc>
      </w:tr>
      <w:tr>
        <w:trPr>
          <w:trHeight w:val="166"/>
        </w:trPr>
        <w:tc>
          <w:tcPr>
            <w:tcW w:w="556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2,215,571</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2,110,360</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1,956,253</w:t>
            </w:r>
          </w:p>
        </w:tc>
        <w:tc>
          <w:tcPr>
            <w:tcW w:w="0" w:type="dxa"/>
            <w:vAlign w:val="bottom"/>
          </w:tcPr>
          <w:p>
            <w:pPr>
              <w:spacing w:after="0"/>
              <w:rPr>
                <w:sz w:val="1"/>
                <w:szCs w:val="1"/>
                <w:color w:val="auto"/>
              </w:rPr>
            </w:pPr>
          </w:p>
        </w:tc>
      </w:tr>
      <w:tr>
        <w:trPr>
          <w:trHeight w:val="242"/>
        </w:trPr>
        <w:tc>
          <w:tcPr>
            <w:tcW w:w="556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860" w:type="dxa"/>
            <w:vAlign w:val="bottom"/>
            <w:vMerge w:val="restart"/>
          </w:tcPr>
          <w:p>
            <w:pPr>
              <w:jc w:val="right"/>
              <w:ind w:right="968"/>
              <w:spacing w:after="0"/>
              <w:rPr>
                <w:sz w:val="20"/>
                <w:szCs w:val="20"/>
                <w:color w:val="auto"/>
              </w:rPr>
            </w:pPr>
            <w:r>
              <w:rPr>
                <w:rFonts w:ascii="Courier New" w:cs="Courier New" w:eastAsia="Courier New" w:hAnsi="Courier New"/>
                <w:sz w:val="14"/>
                <w:szCs w:val="14"/>
                <w:color w:val="auto"/>
              </w:rPr>
              <w:t>1,189,734</w:t>
            </w:r>
          </w:p>
        </w:tc>
        <w:tc>
          <w:tcPr>
            <w:tcW w:w="120" w:type="dxa"/>
            <w:vAlign w:val="bottom"/>
          </w:tcPr>
          <w:p>
            <w:pPr>
              <w:spacing w:after="0"/>
              <w:rPr>
                <w:sz w:val="7"/>
                <w:szCs w:val="7"/>
                <w:color w:val="auto"/>
              </w:rPr>
            </w:pPr>
          </w:p>
        </w:tc>
        <w:tc>
          <w:tcPr>
            <w:tcW w:w="1720" w:type="dxa"/>
            <w:vAlign w:val="bottom"/>
            <w:vMerge w:val="restart"/>
          </w:tcPr>
          <w:p>
            <w:pPr>
              <w:jc w:val="right"/>
              <w:ind w:right="828"/>
              <w:spacing w:after="0"/>
              <w:rPr>
                <w:sz w:val="20"/>
                <w:szCs w:val="20"/>
                <w:color w:val="auto"/>
              </w:rPr>
            </w:pPr>
            <w:r>
              <w:rPr>
                <w:rFonts w:ascii="Courier New" w:cs="Courier New" w:eastAsia="Courier New" w:hAnsi="Courier New"/>
                <w:sz w:val="14"/>
                <w:szCs w:val="14"/>
                <w:color w:val="auto"/>
              </w:rPr>
              <w:t>1,139,177</w:t>
            </w:r>
          </w:p>
        </w:tc>
        <w:tc>
          <w:tcPr>
            <w:tcW w:w="260" w:type="dxa"/>
            <w:vAlign w:val="bottom"/>
          </w:tcPr>
          <w:p>
            <w:pPr>
              <w:spacing w:after="0"/>
              <w:rPr>
                <w:sz w:val="7"/>
                <w:szCs w:val="7"/>
                <w:color w:val="auto"/>
              </w:rPr>
            </w:pP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1,019,869</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w:t>
            </w:r>
          </w:p>
        </w:tc>
        <w:tc>
          <w:tcPr>
            <w:tcW w:w="3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Selling, general and administrative........................</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474,586</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453,149</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449,996</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of property, plant and equipment..............</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104,235</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89,248</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71,478</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58,563</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49,889</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33,559</w:t>
            </w:r>
          </w:p>
        </w:tc>
        <w:tc>
          <w:tcPr>
            <w:tcW w:w="0" w:type="dxa"/>
            <w:vAlign w:val="bottom"/>
          </w:tcPr>
          <w:p>
            <w:pPr>
              <w:spacing w:after="0"/>
              <w:rPr>
                <w:sz w:val="1"/>
                <w:szCs w:val="1"/>
                <w:color w:val="auto"/>
              </w:rPr>
            </w:pPr>
          </w:p>
        </w:tc>
      </w:tr>
      <w:tr>
        <w:trPr>
          <w:trHeight w:val="166"/>
        </w:trPr>
        <w:tc>
          <w:tcPr>
            <w:tcW w:w="556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1,827,118</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1,731,463</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1,574,902</w:t>
            </w:r>
          </w:p>
        </w:tc>
        <w:tc>
          <w:tcPr>
            <w:tcW w:w="0" w:type="dxa"/>
            <w:vAlign w:val="bottom"/>
          </w:tcPr>
          <w:p>
            <w:pPr>
              <w:spacing w:after="0"/>
              <w:rPr>
                <w:sz w:val="1"/>
                <w:szCs w:val="1"/>
                <w:color w:val="auto"/>
              </w:rPr>
            </w:pPr>
          </w:p>
        </w:tc>
      </w:tr>
      <w:tr>
        <w:trPr>
          <w:trHeight w:val="242"/>
        </w:trPr>
        <w:tc>
          <w:tcPr>
            <w:tcW w:w="5560" w:type="dxa"/>
            <w:vAlign w:val="bottom"/>
          </w:tcPr>
          <w:p>
            <w:pPr>
              <w:spacing w:after="0"/>
              <w:rPr>
                <w:sz w:val="21"/>
                <w:szCs w:val="21"/>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FROM OPERATIONS........................................</w:t>
            </w:r>
          </w:p>
        </w:tc>
        <w:tc>
          <w:tcPr>
            <w:tcW w:w="340" w:type="dxa"/>
            <w:vAlign w:val="bottom"/>
          </w:tcPr>
          <w:p>
            <w:pPr>
              <w:spacing w:after="0"/>
              <w:rPr>
                <w:sz w:val="22"/>
                <w:szCs w:val="22"/>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388,453</w:t>
            </w:r>
          </w:p>
        </w:tc>
        <w:tc>
          <w:tcPr>
            <w:tcW w:w="120" w:type="dxa"/>
            <w:vAlign w:val="bottom"/>
          </w:tcPr>
          <w:p>
            <w:pPr>
              <w:spacing w:after="0"/>
              <w:rPr>
                <w:sz w:val="22"/>
                <w:szCs w:val="22"/>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378,897</w:t>
            </w:r>
          </w:p>
        </w:tc>
        <w:tc>
          <w:tcPr>
            <w:tcW w:w="26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381,351</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(losses) earnings of affiliates..................</w:t>
            </w:r>
          </w:p>
        </w:tc>
        <w:tc>
          <w:tcPr>
            <w:tcW w:w="340" w:type="dxa"/>
            <w:vAlign w:val="bottom"/>
          </w:tcPr>
          <w:p>
            <w:pPr>
              <w:spacing w:after="0"/>
              <w:rPr>
                <w:sz w:val="14"/>
                <w:szCs w:val="14"/>
                <w:color w:val="auto"/>
              </w:rPr>
            </w:pPr>
          </w:p>
        </w:tc>
        <w:tc>
          <w:tcPr>
            <w:tcW w:w="18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(8,814)</w:t>
            </w:r>
          </w:p>
        </w:tc>
        <w:tc>
          <w:tcPr>
            <w:tcW w:w="120" w:type="dxa"/>
            <w:vAlign w:val="bottom"/>
          </w:tcPr>
          <w:p>
            <w:pPr>
              <w:spacing w:after="0"/>
              <w:rPr>
                <w:sz w:val="14"/>
                <w:szCs w:val="14"/>
                <w:color w:val="auto"/>
              </w:rPr>
            </w:pPr>
          </w:p>
        </w:tc>
        <w:tc>
          <w:tcPr>
            <w:tcW w:w="17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(5,140)</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9,955</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1,097</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1,137</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3,471</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18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(26,786)</w:t>
            </w:r>
          </w:p>
        </w:tc>
        <w:tc>
          <w:tcPr>
            <w:tcW w:w="120" w:type="dxa"/>
            <w:vAlign w:val="bottom"/>
          </w:tcPr>
          <w:p>
            <w:pPr>
              <w:spacing w:after="0"/>
              <w:rPr>
                <w:sz w:val="14"/>
                <w:szCs w:val="14"/>
                <w:color w:val="auto"/>
              </w:rPr>
            </w:pPr>
          </w:p>
        </w:tc>
        <w:tc>
          <w:tcPr>
            <w:tcW w:w="17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(11,538)</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(1,252)</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income, net..........................................</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21,435</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304,703</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69,549</w:t>
            </w:r>
          </w:p>
        </w:tc>
        <w:tc>
          <w:tcPr>
            <w:tcW w:w="0" w:type="dxa"/>
            <w:vAlign w:val="bottom"/>
          </w:tcPr>
          <w:p>
            <w:pPr>
              <w:spacing w:after="0"/>
              <w:rPr>
                <w:sz w:val="1"/>
                <w:szCs w:val="1"/>
                <w:color w:val="auto"/>
              </w:rPr>
            </w:pPr>
          </w:p>
        </w:tc>
      </w:tr>
      <w:tr>
        <w:trPr>
          <w:trHeight w:val="242"/>
        </w:trPr>
        <w:tc>
          <w:tcPr>
            <w:tcW w:w="5560" w:type="dxa"/>
            <w:vAlign w:val="bottom"/>
          </w:tcPr>
          <w:p>
            <w:pPr>
              <w:spacing w:after="0"/>
              <w:rPr>
                <w:sz w:val="21"/>
                <w:szCs w:val="21"/>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w:t>
            </w:r>
          </w:p>
        </w:tc>
        <w:tc>
          <w:tcPr>
            <w:tcW w:w="340" w:type="dxa"/>
            <w:vAlign w:val="bottom"/>
          </w:tcPr>
          <w:p>
            <w:pPr>
              <w:spacing w:after="0"/>
              <w:rPr>
                <w:sz w:val="22"/>
                <w:szCs w:val="22"/>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375,385</w:t>
            </w:r>
          </w:p>
        </w:tc>
        <w:tc>
          <w:tcPr>
            <w:tcW w:w="120" w:type="dxa"/>
            <w:vAlign w:val="bottom"/>
          </w:tcPr>
          <w:p>
            <w:pPr>
              <w:spacing w:after="0"/>
              <w:rPr>
                <w:sz w:val="22"/>
                <w:szCs w:val="22"/>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668,059</w:t>
            </w:r>
          </w:p>
        </w:tc>
        <w:tc>
          <w:tcPr>
            <w:tcW w:w="26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463,074</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149,600</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250,800</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181,500</w:t>
            </w:r>
          </w:p>
        </w:tc>
        <w:tc>
          <w:tcPr>
            <w:tcW w:w="0" w:type="dxa"/>
            <w:vAlign w:val="bottom"/>
          </w:tcPr>
          <w:p>
            <w:pPr>
              <w:spacing w:after="0"/>
              <w:rPr>
                <w:sz w:val="1"/>
                <w:szCs w:val="1"/>
                <w:color w:val="auto"/>
              </w:rPr>
            </w:pPr>
          </w:p>
        </w:tc>
      </w:tr>
      <w:tr>
        <w:trPr>
          <w:trHeight w:val="166"/>
        </w:trPr>
        <w:tc>
          <w:tcPr>
            <w:tcW w:w="5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NET INCOME....................................................</w:t>
            </w: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225,785</w:t>
            </w:r>
          </w:p>
        </w:tc>
        <w:tc>
          <w:tcPr>
            <w:tcW w:w="120" w:type="dxa"/>
            <w:vAlign w:val="bottom"/>
          </w:tcPr>
          <w:p>
            <w:pPr>
              <w:spacing w:after="0"/>
              <w:rPr>
                <w:sz w:val="14"/>
                <w:szCs w:val="14"/>
                <w:color w:val="auto"/>
              </w:rPr>
            </w:pP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417,259</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281,574</w:t>
            </w:r>
          </w:p>
        </w:tc>
        <w:tc>
          <w:tcPr>
            <w:tcW w:w="0" w:type="dxa"/>
            <w:vAlign w:val="bottom"/>
          </w:tcPr>
          <w:p>
            <w:pPr>
              <w:spacing w:after="0"/>
              <w:rPr>
                <w:sz w:val="1"/>
                <w:szCs w:val="1"/>
                <w:color w:val="auto"/>
              </w:rPr>
            </w:pPr>
          </w:p>
        </w:tc>
      </w:tr>
      <w:tr>
        <w:trPr>
          <w:trHeight w:val="166"/>
        </w:trPr>
        <w:tc>
          <w:tcPr>
            <w:tcW w:w="5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REDEEMABLE PREFERRED STOCK DIVIDENDS..........................</w:t>
            </w:r>
          </w:p>
        </w:tc>
        <w:tc>
          <w:tcPr>
            <w:tcW w:w="340" w:type="dxa"/>
            <w:vAlign w:val="bottom"/>
          </w:tcPr>
          <w:p>
            <w:pPr>
              <w:spacing w:after="0"/>
              <w:rPr>
                <w:sz w:val="14"/>
                <w:szCs w:val="14"/>
                <w:color w:val="auto"/>
              </w:rPr>
            </w:pPr>
          </w:p>
        </w:tc>
        <w:tc>
          <w:tcPr>
            <w:tcW w:w="18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(950)</w:t>
            </w:r>
          </w:p>
        </w:tc>
        <w:tc>
          <w:tcPr>
            <w:tcW w:w="120" w:type="dxa"/>
            <w:vAlign w:val="bottom"/>
          </w:tcPr>
          <w:p>
            <w:pPr>
              <w:spacing w:after="0"/>
              <w:rPr>
                <w:sz w:val="14"/>
                <w:szCs w:val="14"/>
                <w:color w:val="auto"/>
              </w:rPr>
            </w:pPr>
          </w:p>
        </w:tc>
        <w:tc>
          <w:tcPr>
            <w:tcW w:w="17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(956)</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c>
          <w:tcPr>
            <w:tcW w:w="0" w:type="dxa"/>
            <w:vAlign w:val="bottom"/>
          </w:tcPr>
          <w:p>
            <w:pPr>
              <w:spacing w:after="0"/>
              <w:rPr>
                <w:sz w:val="1"/>
                <w:szCs w:val="1"/>
                <w:color w:val="auto"/>
              </w:rPr>
            </w:pPr>
          </w:p>
        </w:tc>
      </w:tr>
      <w:tr>
        <w:trPr>
          <w:trHeight w:val="166"/>
        </w:trPr>
        <w:tc>
          <w:tcPr>
            <w:tcW w:w="55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224,835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416,303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280,618</w:t>
            </w:r>
          </w:p>
        </w:tc>
        <w:tc>
          <w:tcPr>
            <w:tcW w:w="0" w:type="dxa"/>
            <w:vAlign w:val="bottom"/>
          </w:tcPr>
          <w:p>
            <w:pPr>
              <w:spacing w:after="0"/>
              <w:rPr>
                <w:sz w:val="1"/>
                <w:szCs w:val="1"/>
                <w:color w:val="auto"/>
              </w:rPr>
            </w:pPr>
          </w:p>
        </w:tc>
      </w:tr>
      <w:tr>
        <w:trPr>
          <w:trHeight w:val="166"/>
        </w:trPr>
        <w:tc>
          <w:tcPr>
            <w:tcW w:w="5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BASIC EARNINGS PER COMMON SHARE...............................</w:t>
            </w: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22.35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41.27</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26.23</w:t>
            </w:r>
          </w:p>
        </w:tc>
        <w:tc>
          <w:tcPr>
            <w:tcW w:w="0" w:type="dxa"/>
            <w:vAlign w:val="bottom"/>
          </w:tcPr>
          <w:p>
            <w:pPr>
              <w:spacing w:after="0"/>
              <w:rPr>
                <w:sz w:val="1"/>
                <w:szCs w:val="1"/>
                <w:color w:val="auto"/>
              </w:rPr>
            </w:pPr>
          </w:p>
        </w:tc>
      </w:tr>
      <w:tr>
        <w:trPr>
          <w:trHeight w:val="166"/>
        </w:trPr>
        <w:tc>
          <w:tcPr>
            <w:tcW w:w="5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DILUTED EARNINGS PER COMMON SHARE.............................</w:t>
            </w: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22.30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41.10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26.15</w:t>
            </w:r>
          </w:p>
        </w:tc>
        <w:tc>
          <w:tcPr>
            <w:tcW w:w="0" w:type="dxa"/>
            <w:vAlign w:val="bottom"/>
          </w:tcPr>
          <w:p>
            <w:pPr>
              <w:spacing w:after="0"/>
              <w:rPr>
                <w:sz w:val="1"/>
                <w:szCs w:val="1"/>
                <w:color w:val="auto"/>
              </w:rPr>
            </w:pPr>
          </w:p>
        </w:tc>
      </w:tr>
      <w:tr>
        <w:trPr>
          <w:trHeight w:val="242"/>
        </w:trPr>
        <w:tc>
          <w:tcPr>
            <w:tcW w:w="5560" w:type="dxa"/>
            <w:vAlign w:val="bottom"/>
          </w:tcPr>
          <w:p>
            <w:pPr>
              <w:spacing w:after="0"/>
              <w:rPr>
                <w:sz w:val="21"/>
                <w:szCs w:val="21"/>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COMPREHENSIVE INCOME</w:t>
            </w: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5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Fiscal year ended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80" w:type="dxa"/>
            <w:vAlign w:val="bottom"/>
            <w:gridSpan w:val="5"/>
          </w:tcPr>
          <w:p>
            <w:pPr>
              <w:ind w:left="10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1860" w:type="dxa"/>
            <w:vAlign w:val="bottom"/>
          </w:tcPr>
          <w:p>
            <w:pPr>
              <w:ind w:left="1000"/>
              <w:spacing w:after="0"/>
              <w:rPr>
                <w:sz w:val="20"/>
                <w:szCs w:val="20"/>
                <w:color w:val="auto"/>
              </w:rPr>
            </w:pPr>
            <w:r>
              <w:rPr>
                <w:rFonts w:ascii="Courier New" w:cs="Courier New" w:eastAsia="Courier New" w:hAnsi="Courier New"/>
                <w:sz w:val="14"/>
                <w:szCs w:val="14"/>
                <w:color w:val="auto"/>
                <w:w w:val="99"/>
              </w:rPr>
              <w:t>January 2,</w:t>
            </w:r>
          </w:p>
        </w:tc>
        <w:tc>
          <w:tcPr>
            <w:tcW w:w="12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January 3,</w:t>
            </w:r>
          </w:p>
        </w:tc>
        <w:tc>
          <w:tcPr>
            <w:tcW w:w="11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28,</w:t>
            </w:r>
          </w:p>
        </w:tc>
        <w:tc>
          <w:tcPr>
            <w:tcW w:w="0" w:type="dxa"/>
            <w:vAlign w:val="bottom"/>
          </w:tcPr>
          <w:p>
            <w:pPr>
              <w:spacing w:after="0"/>
              <w:rPr>
                <w:sz w:val="1"/>
                <w:szCs w:val="1"/>
                <w:color w:val="auto"/>
              </w:rPr>
            </w:pPr>
          </w:p>
        </w:tc>
      </w:tr>
      <w:tr>
        <w:trPr>
          <w:trHeight w:val="192"/>
        </w:trPr>
        <w:tc>
          <w:tcPr>
            <w:tcW w:w="5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0" w:type="dxa"/>
            <w:vAlign w:val="bottom"/>
          </w:tcPr>
          <w:p>
            <w:pPr>
              <w:spacing w:after="0"/>
              <w:rPr>
                <w:sz w:val="16"/>
                <w:szCs w:val="16"/>
                <w:color w:val="auto"/>
              </w:rPr>
            </w:pP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$ 225,785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$ 417,259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$ 281,574</w:t>
            </w:r>
          </w:p>
        </w:tc>
        <w:tc>
          <w:tcPr>
            <w:tcW w:w="0" w:type="dxa"/>
            <w:vAlign w:val="bottom"/>
          </w:tcPr>
          <w:p>
            <w:pPr>
              <w:spacing w:after="0"/>
              <w:rPr>
                <w:sz w:val="1"/>
                <w:szCs w:val="1"/>
                <w:color w:val="auto"/>
              </w:rPr>
            </w:pPr>
          </w:p>
        </w:tc>
      </w:tr>
      <w:tr>
        <w:trPr>
          <w:trHeight w:val="242"/>
        </w:trPr>
        <w:tc>
          <w:tcPr>
            <w:tcW w:w="6600" w:type="dxa"/>
            <w:vAlign w:val="bottom"/>
            <w:vMerge w:val="restart"/>
          </w:tcPr>
          <w:p>
            <w:pPr>
              <w:jc w:val="right"/>
              <w:ind w:right="3688"/>
              <w:spacing w:after="0"/>
              <w:rPr>
                <w:sz w:val="20"/>
                <w:szCs w:val="20"/>
                <w:color w:val="auto"/>
              </w:rPr>
            </w:pPr>
            <w:r>
              <w:rPr>
                <w:rFonts w:ascii="Courier New" w:cs="Courier New" w:eastAsia="Courier New" w:hAnsi="Courier New"/>
                <w:sz w:val="14"/>
                <w:szCs w:val="14"/>
                <w:color w:val="auto"/>
              </w:rPr>
              <w:t>OTHER COMPREHENSIVE (LOSS) INCOME</w:t>
            </w: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600" w:type="dxa"/>
            <w:vAlign w:val="bottom"/>
            <w:vMerge w:val="continue"/>
          </w:tcPr>
          <w:p>
            <w:pPr>
              <w:spacing w:after="0"/>
              <w:rPr>
                <w:sz w:val="7"/>
                <w:szCs w:val="7"/>
                <w:color w:val="auto"/>
              </w:rPr>
            </w:pPr>
          </w:p>
        </w:tc>
        <w:tc>
          <w:tcPr>
            <w:tcW w:w="14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(3,289)</w:t>
            </w:r>
          </w:p>
        </w:tc>
        <w:tc>
          <w:tcPr>
            <w:tcW w:w="14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(1,136)</w:t>
            </w:r>
          </w:p>
        </w:tc>
        <w:tc>
          <w:tcPr>
            <w:tcW w:w="12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(5,127)</w:t>
            </w:r>
          </w:p>
        </w:tc>
        <w:tc>
          <w:tcPr>
            <w:tcW w:w="0" w:type="dxa"/>
            <w:vAlign w:val="bottom"/>
          </w:tcPr>
          <w:p>
            <w:pPr>
              <w:spacing w:after="0"/>
              <w:rPr>
                <w:sz w:val="1"/>
                <w:szCs w:val="1"/>
                <w:color w:val="auto"/>
              </w:rPr>
            </w:pPr>
          </w:p>
        </w:tc>
      </w:tr>
      <w:tr>
        <w:trPr>
          <w:trHeight w:val="166"/>
        </w:trPr>
        <w:tc>
          <w:tcPr>
            <w:tcW w:w="6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Foreign currency translation adjustments..............................</w:t>
            </w: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Change in net unrealized gain on available-for-sale securities........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(48,176)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68,768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(5,121)</w:t>
            </w:r>
          </w:p>
        </w:tc>
        <w:tc>
          <w:tcPr>
            <w:tcW w:w="0" w:type="dxa"/>
            <w:vAlign w:val="bottom"/>
          </w:tcPr>
          <w:p>
            <w:pPr>
              <w:spacing w:after="0"/>
              <w:rPr>
                <w:sz w:val="1"/>
                <w:szCs w:val="1"/>
                <w:color w:val="auto"/>
              </w:rPr>
            </w:pPr>
          </w:p>
        </w:tc>
      </w:tr>
      <w:tr>
        <w:trPr>
          <w:trHeight w:val="166"/>
        </w:trPr>
        <w:tc>
          <w:tcPr>
            <w:tcW w:w="6600" w:type="dxa"/>
            <w:vAlign w:val="bottom"/>
          </w:tcPr>
          <w:p>
            <w:pPr>
              <w:ind w:left="260"/>
              <w:spacing w:after="0"/>
              <w:rPr>
                <w:sz w:val="20"/>
                <w:szCs w:val="20"/>
                <w:color w:val="auto"/>
              </w:rPr>
            </w:pPr>
            <w:r>
              <w:rPr>
                <w:rFonts w:ascii="Courier New" w:cs="Courier New" w:eastAsia="Courier New" w:hAnsi="Courier New"/>
                <w:sz w:val="14"/>
                <w:szCs w:val="14"/>
                <w:color w:val="auto"/>
              </w:rPr>
              <w:t>Less reclassification adjustment for realized gains</w:t>
            </w:r>
          </w:p>
        </w:tc>
        <w:tc>
          <w:tcPr>
            <w:tcW w:w="14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(11,995)</w:t>
            </w: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included in net income...........................................</w:t>
            </w: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6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Income tax benefit (expense) related to other</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(63,460)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67,632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(10,248)</w:t>
            </w:r>
          </w:p>
        </w:tc>
        <w:tc>
          <w:tcPr>
            <w:tcW w:w="0" w:type="dxa"/>
            <w:vAlign w:val="bottom"/>
          </w:tcPr>
          <w:p>
            <w:pPr>
              <w:spacing w:after="0"/>
              <w:rPr>
                <w:sz w:val="1"/>
                <w:szCs w:val="1"/>
                <w:color w:val="auto"/>
              </w:rPr>
            </w:pPr>
          </w:p>
        </w:tc>
      </w:tr>
      <w:tr>
        <w:trPr>
          <w:trHeight w:val="90"/>
        </w:trPr>
        <w:tc>
          <w:tcPr>
            <w:tcW w:w="6600" w:type="dxa"/>
            <w:vAlign w:val="bottom"/>
            <w:vMerge w:val="continue"/>
          </w:tcPr>
          <w:p>
            <w:pPr>
              <w:spacing w:after="0"/>
              <w:rPr>
                <w:sz w:val="7"/>
                <w:szCs w:val="7"/>
                <w:color w:val="auto"/>
              </w:rPr>
            </w:pP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23,460</w:t>
            </w:r>
          </w:p>
        </w:tc>
        <w:tc>
          <w:tcPr>
            <w:tcW w:w="14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(26,819)</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6"/>
        </w:trPr>
        <w:tc>
          <w:tcPr>
            <w:tcW w:w="6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comprehensive (loss) income......................................</w:t>
            </w: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40,813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(8,251)</w:t>
            </w:r>
          </w:p>
        </w:tc>
        <w:tc>
          <w:tcPr>
            <w:tcW w:w="0" w:type="dxa"/>
            <w:vAlign w:val="bottom"/>
          </w:tcPr>
          <w:p>
            <w:pPr>
              <w:spacing w:after="0"/>
              <w:rPr>
                <w:sz w:val="1"/>
                <w:szCs w:val="1"/>
                <w:color w:val="auto"/>
              </w:rPr>
            </w:pPr>
          </w:p>
        </w:tc>
      </w:tr>
      <w:tr>
        <w:trPr>
          <w:trHeight w:val="166"/>
        </w:trPr>
        <w:tc>
          <w:tcPr>
            <w:tcW w:w="66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COMPREHENSIVE INCOME.....................................................</w:t>
            </w: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600" w:type="dxa"/>
            <w:vAlign w:val="bottom"/>
            <w:vMerge w:val="continue"/>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$ 185,785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$ 458,072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$ 273,323</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4480"/>
        <w:spacing w:after="0" w:line="375" w:lineRule="auto"/>
        <w:rPr>
          <w:sz w:val="20"/>
          <w:szCs w:val="20"/>
          <w:color w:val="auto"/>
        </w:rPr>
      </w:pPr>
      <w:r>
        <w:rPr>
          <w:rFonts w:ascii="Courier New" w:cs="Courier New" w:eastAsia="Courier New" w:hAnsi="Courier New"/>
          <w:sz w:val="14"/>
          <w:szCs w:val="14"/>
          <w:color w:val="auto"/>
        </w:rPr>
        <w:t>The information on pages 34 through 45 is an integral part of the financial statements.</w:t>
      </w:r>
    </w:p>
    <w:p>
      <w:pPr>
        <w:sectPr>
          <w:pgSz w:w="11900" w:h="16838" w:orient="portrait"/>
          <w:cols w:equalWidth="0" w:num="1">
            <w:col w:w="10940"/>
          </w:cols>
          <w:pgMar w:left="300" w:top="259" w:right="659" w:bottom="1440" w:gutter="0" w:footer="0" w:header="0"/>
        </w:sectPr>
      </w:pP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940"/>
          </w:cols>
          <w:pgMar w:left="300" w:top="259" w:right="659"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2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6"/>
        </w:trPr>
        <w:tc>
          <w:tcPr>
            <w:tcW w:w="388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January 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92"/>
        </w:trPr>
        <w:tc>
          <w:tcPr>
            <w:tcW w:w="3880" w:type="dxa"/>
            <w:vAlign w:val="bottom"/>
            <w:vMerge w:val="continue"/>
          </w:tcPr>
          <w:p>
            <w:pPr>
              <w:spacing w:after="0"/>
              <w:rPr>
                <w:sz w:val="16"/>
                <w:szCs w:val="16"/>
                <w:color w:val="auto"/>
              </w:rPr>
            </w:pPr>
          </w:p>
        </w:tc>
        <w:tc>
          <w:tcPr>
            <w:tcW w:w="29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2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75,479</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15,190</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37,228</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71,676</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receivable, net...............................</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270,264</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236,514</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Federal and state income taxes.........................</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48,597</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35,395</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13,890</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20,154</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30,701</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25,949</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476,159</w:t>
            </w:r>
          </w:p>
        </w:tc>
        <w:tc>
          <w:tcPr>
            <w:tcW w:w="5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404,878</w:t>
            </w:r>
          </w:p>
        </w:tc>
        <w:tc>
          <w:tcPr>
            <w:tcW w:w="0" w:type="dxa"/>
            <w:vAlign w:val="bottom"/>
          </w:tcPr>
          <w:p>
            <w:pPr>
              <w:spacing w:after="0"/>
              <w:rPr>
                <w:sz w:val="1"/>
                <w:szCs w:val="1"/>
                <w:color w:val="auto"/>
              </w:rPr>
            </w:pPr>
          </w:p>
        </w:tc>
      </w:tr>
      <w:tr>
        <w:trPr>
          <w:trHeight w:val="255"/>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40" w:type="dxa"/>
            <w:vAlign w:val="bottom"/>
          </w:tcPr>
          <w:p>
            <w:pPr>
              <w:spacing w:after="0"/>
              <w:rPr>
                <w:sz w:val="22"/>
                <w:szCs w:val="22"/>
                <w:color w:val="auto"/>
              </w:rPr>
            </w:pP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249,957</w:t>
            </w:r>
          </w:p>
        </w:tc>
        <w:tc>
          <w:tcPr>
            <w:tcW w:w="560" w:type="dxa"/>
            <w:vAlign w:val="bottom"/>
          </w:tcPr>
          <w:p>
            <w:pPr>
              <w:spacing w:after="0"/>
              <w:rPr>
                <w:sz w:val="22"/>
                <w:szCs w:val="22"/>
                <w:color w:val="auto"/>
              </w:rPr>
            </w:pP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248,764</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Machinery, equipment and fixtures......................</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1,081,787</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977,710</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Leasehold improvements.................................</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53,048</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50,556</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Less accumulated depreciation..........................</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1,384,792</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1,277,030</w:t>
            </w:r>
          </w:p>
        </w:tc>
        <w:tc>
          <w:tcPr>
            <w:tcW w:w="0" w:type="dxa"/>
            <w:vAlign w:val="bottom"/>
          </w:tcPr>
          <w:p>
            <w:pPr>
              <w:spacing w:after="0"/>
              <w:rPr>
                <w:sz w:val="1"/>
                <w:szCs w:val="1"/>
                <w:color w:val="auto"/>
              </w:rPr>
            </w:pPr>
          </w:p>
        </w:tc>
      </w:tr>
      <w:tr>
        <w:trPr>
          <w:trHeight w:val="166"/>
        </w:trPr>
        <w:tc>
          <w:tcPr>
            <w:tcW w:w="5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(626,899)</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(566,616)</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Land...................................................</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757,893</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710,414</w:t>
            </w:r>
          </w:p>
        </w:tc>
        <w:tc>
          <w:tcPr>
            <w:tcW w:w="0" w:type="dxa"/>
            <w:vAlign w:val="bottom"/>
          </w:tcPr>
          <w:p>
            <w:pPr>
              <w:spacing w:after="0"/>
              <w:rPr>
                <w:sz w:val="1"/>
                <w:szCs w:val="1"/>
                <w:color w:val="auto"/>
              </w:rPr>
            </w:pPr>
          </w:p>
        </w:tc>
      </w:tr>
      <w:tr>
        <w:trPr>
          <w:trHeight w:val="166"/>
        </w:trPr>
        <w:tc>
          <w:tcPr>
            <w:tcW w:w="5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37,301</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41,191</w:t>
            </w:r>
          </w:p>
        </w:tc>
        <w:tc>
          <w:tcPr>
            <w:tcW w:w="0" w:type="dxa"/>
            <w:vAlign w:val="bottom"/>
          </w:tcPr>
          <w:p>
            <w:pPr>
              <w:spacing w:after="0"/>
              <w:rPr>
                <w:sz w:val="1"/>
                <w:szCs w:val="1"/>
                <w:color w:val="auto"/>
              </w:rPr>
            </w:pPr>
          </w:p>
        </w:tc>
      </w:tr>
      <w:tr>
        <w:trPr>
          <w:trHeight w:val="166"/>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Construction in progress...............................</w:t>
            </w:r>
          </w:p>
        </w:tc>
        <w:tc>
          <w:tcPr>
            <w:tcW w:w="3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59,712</w:t>
            </w:r>
          </w:p>
        </w:tc>
        <w:tc>
          <w:tcPr>
            <w:tcW w:w="5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89,457</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854,906</w:t>
            </w:r>
          </w:p>
        </w:tc>
        <w:tc>
          <w:tcPr>
            <w:tcW w:w="5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841,062</w:t>
            </w:r>
          </w:p>
        </w:tc>
        <w:tc>
          <w:tcPr>
            <w:tcW w:w="0" w:type="dxa"/>
            <w:vAlign w:val="bottom"/>
          </w:tcPr>
          <w:p>
            <w:pPr>
              <w:spacing w:after="0"/>
              <w:rPr>
                <w:sz w:val="1"/>
                <w:szCs w:val="1"/>
                <w:color w:val="auto"/>
              </w:rPr>
            </w:pPr>
          </w:p>
        </w:tc>
      </w:tr>
      <w:tr>
        <w:trPr>
          <w:trHeight w:val="331"/>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3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165,784</w:t>
            </w:r>
          </w:p>
        </w:tc>
        <w:tc>
          <w:tcPr>
            <w:tcW w:w="5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184,440</w:t>
            </w:r>
          </w:p>
        </w:tc>
        <w:tc>
          <w:tcPr>
            <w:tcW w:w="0" w:type="dxa"/>
            <w:vAlign w:val="bottom"/>
          </w:tcPr>
          <w:p>
            <w:pPr>
              <w:spacing w:after="0"/>
              <w:rPr>
                <w:sz w:val="1"/>
                <w:szCs w:val="1"/>
                <w:color w:val="auto"/>
              </w:rPr>
            </w:pPr>
          </w:p>
        </w:tc>
      </w:tr>
      <w:tr>
        <w:trPr>
          <w:trHeight w:val="331"/>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AFFILIATES.................................</w:t>
            </w:r>
          </w:p>
        </w:tc>
        <w:tc>
          <w:tcPr>
            <w:tcW w:w="3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140,669</w:t>
            </w:r>
          </w:p>
        </w:tc>
        <w:tc>
          <w:tcPr>
            <w:tcW w:w="5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68,530</w:t>
            </w:r>
          </w:p>
        </w:tc>
        <w:tc>
          <w:tcPr>
            <w:tcW w:w="0" w:type="dxa"/>
            <w:vAlign w:val="bottom"/>
          </w:tcPr>
          <w:p>
            <w:pPr>
              <w:spacing w:after="0"/>
              <w:rPr>
                <w:sz w:val="1"/>
                <w:szCs w:val="1"/>
                <w:color w:val="auto"/>
              </w:rPr>
            </w:pPr>
          </w:p>
        </w:tc>
      </w:tr>
      <w:tr>
        <w:trPr>
          <w:trHeight w:val="255"/>
        </w:trPr>
        <w:tc>
          <w:tcPr>
            <w:tcW w:w="522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less accumulated</w:t>
            </w:r>
          </w:p>
        </w:tc>
        <w:tc>
          <w:tcPr>
            <w:tcW w:w="340" w:type="dxa"/>
            <w:vAlign w:val="bottom"/>
          </w:tcPr>
          <w:p>
            <w:pPr>
              <w:spacing w:after="0"/>
              <w:rPr>
                <w:sz w:val="22"/>
                <w:szCs w:val="22"/>
                <w:color w:val="auto"/>
              </w:rPr>
            </w:pP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886,060</w:t>
            </w:r>
          </w:p>
        </w:tc>
        <w:tc>
          <w:tcPr>
            <w:tcW w:w="560" w:type="dxa"/>
            <w:vAlign w:val="bottom"/>
          </w:tcPr>
          <w:p>
            <w:pPr>
              <w:spacing w:after="0"/>
              <w:rPr>
                <w:sz w:val="22"/>
                <w:szCs w:val="22"/>
                <w:color w:val="auto"/>
              </w:rPr>
            </w:pP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883,232</w:t>
            </w:r>
          </w:p>
        </w:tc>
        <w:tc>
          <w:tcPr>
            <w:tcW w:w="0" w:type="dxa"/>
            <w:vAlign w:val="bottom"/>
          </w:tcPr>
          <w:p>
            <w:pPr>
              <w:spacing w:after="0"/>
              <w:rPr>
                <w:sz w:val="1"/>
                <w:szCs w:val="1"/>
                <w:color w:val="auto"/>
              </w:rPr>
            </w:pPr>
          </w:p>
        </w:tc>
      </w:tr>
      <w:tr>
        <w:trPr>
          <w:trHeight w:val="242"/>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$341,879 and $286,135...................</w:t>
            </w:r>
          </w:p>
        </w:tc>
        <w:tc>
          <w:tcPr>
            <w:tcW w:w="3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PREPAID PENSION COST......................................</w:t>
            </w:r>
          </w:p>
        </w:tc>
        <w:tc>
          <w:tcPr>
            <w:tcW w:w="3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337,818</w:t>
            </w:r>
          </w:p>
        </w:tc>
        <w:tc>
          <w:tcPr>
            <w:tcW w:w="5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256,134</w:t>
            </w:r>
          </w:p>
        </w:tc>
        <w:tc>
          <w:tcPr>
            <w:tcW w:w="0" w:type="dxa"/>
            <w:vAlign w:val="bottom"/>
          </w:tcPr>
          <w:p>
            <w:pPr>
              <w:spacing w:after="0"/>
              <w:rPr>
                <w:sz w:val="1"/>
                <w:szCs w:val="1"/>
                <w:color w:val="auto"/>
              </w:rPr>
            </w:pPr>
          </w:p>
        </w:tc>
      </w:tr>
      <w:tr>
        <w:trPr>
          <w:trHeight w:val="255"/>
        </w:trPr>
        <w:tc>
          <w:tcPr>
            <w:tcW w:w="5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CHARGES AND OTHER ASSETS.........................</w:t>
            </w:r>
          </w:p>
        </w:tc>
        <w:tc>
          <w:tcPr>
            <w:tcW w:w="340" w:type="dxa"/>
            <w:vAlign w:val="bottom"/>
          </w:tcPr>
          <w:p>
            <w:pPr>
              <w:spacing w:after="0"/>
              <w:rPr>
                <w:sz w:val="22"/>
                <w:szCs w:val="22"/>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125,548</w:t>
            </w:r>
          </w:p>
        </w:tc>
        <w:tc>
          <w:tcPr>
            <w:tcW w:w="5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91,385</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$ 2,986,944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2,729,661</w:t>
            </w: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1"/>
                <w:szCs w:val="21"/>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3699"/>
        <w:spacing w:after="0" w:line="376" w:lineRule="auto"/>
        <w:rPr>
          <w:sz w:val="20"/>
          <w:szCs w:val="20"/>
          <w:color w:val="auto"/>
        </w:rPr>
      </w:pPr>
      <w:r>
        <w:rPr>
          <w:rFonts w:ascii="Courier New" w:cs="Courier New" w:eastAsia="Courier New" w:hAnsi="Courier New"/>
          <w:sz w:val="14"/>
          <w:szCs w:val="14"/>
          <w:color w:val="auto"/>
        </w:rPr>
        <w:t>The information on pages 34 through 45 is an integral part of the financial statements.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25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2"/>
        </w:trPr>
        <w:tc>
          <w:tcPr>
            <w:tcW w:w="5700" w:type="dxa"/>
            <w:vAlign w:val="bottom"/>
          </w:tcPr>
          <w:p>
            <w:pPr>
              <w:jc w:val="right"/>
              <w:ind w:right="5188"/>
              <w:spacing w:after="0"/>
              <w:rPr>
                <w:sz w:val="20"/>
                <w:szCs w:val="20"/>
                <w:color w:val="auto"/>
              </w:rPr>
            </w:pPr>
            <w:r>
              <w:rPr>
                <w:rFonts w:ascii="Courier New" w:cs="Courier New" w:eastAsia="Courier New" w:hAnsi="Courier New"/>
                <w:sz w:val="14"/>
                <w:szCs w:val="14"/>
                <w:color w:val="auto"/>
              </w:rPr>
              <w:t>32</w:t>
            </w:r>
          </w:p>
        </w:tc>
        <w:tc>
          <w:tcPr>
            <w:tcW w:w="3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6"/>
        </w:trPr>
        <w:tc>
          <w:tcPr>
            <w:tcW w:w="5700" w:type="dxa"/>
            <w:vAlign w:val="bottom"/>
            <w:vMerge w:val="restart"/>
          </w:tcPr>
          <w:p>
            <w:pPr>
              <w:jc w:val="right"/>
              <w:ind w:right="2528"/>
              <w:spacing w:after="0"/>
              <w:rPr>
                <w:sz w:val="20"/>
                <w:szCs w:val="20"/>
                <w:color w:val="auto"/>
              </w:rPr>
            </w:pPr>
            <w:r>
              <w:rPr>
                <w:rFonts w:ascii="Courier New" w:cs="Courier New" w:eastAsia="Courier New" w:hAnsi="Courier New"/>
                <w:sz w:val="14"/>
                <w:szCs w:val="14"/>
                <w:color w:val="auto"/>
              </w:rPr>
              <w:t>(in thousands, except share amounts)</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13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January 3,</w:t>
            </w:r>
          </w:p>
        </w:tc>
        <w:tc>
          <w:tcPr>
            <w:tcW w:w="0" w:type="dxa"/>
            <w:vAlign w:val="bottom"/>
          </w:tcPr>
          <w:p>
            <w:pPr>
              <w:spacing w:after="0"/>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680" w:type="dxa"/>
            <w:vAlign w:val="bottom"/>
          </w:tcPr>
          <w:p>
            <w:pPr>
              <w:spacing w:after="0"/>
              <w:rPr>
                <w:sz w:val="16"/>
                <w:szCs w:val="16"/>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0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0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254,105</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245,068</w:t>
            </w: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liabilities................................................</w:t>
            </w:r>
          </w:p>
        </w:tc>
        <w:tc>
          <w:tcPr>
            <w:tcW w:w="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Deferred subscription revenue...........................................................</w:t>
            </w: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80,766</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85,649</w:t>
            </w: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w:t>
            </w: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487,677</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58,362</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8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822,548</w:t>
            </w:r>
          </w:p>
        </w:tc>
        <w:tc>
          <w:tcPr>
            <w:tcW w:w="4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389,079</w:t>
            </w: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00" w:type="dxa"/>
            <w:vAlign w:val="bottom"/>
          </w:tcPr>
          <w:p>
            <w:pPr>
              <w:spacing w:after="0"/>
              <w:rPr>
                <w:sz w:val="24"/>
                <w:szCs w:val="2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273,110</w:t>
            </w:r>
          </w:p>
        </w:tc>
        <w:tc>
          <w:tcPr>
            <w:tcW w:w="46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261,896</w:t>
            </w: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00" w:type="dxa"/>
            <w:vAlign w:val="bottom"/>
          </w:tcPr>
          <w:p>
            <w:pPr>
              <w:spacing w:after="0"/>
              <w:rPr>
                <w:sz w:val="24"/>
                <w:szCs w:val="2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114,003</w:t>
            </w:r>
          </w:p>
        </w:tc>
        <w:tc>
          <w:tcPr>
            <w:tcW w:w="46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83,710</w:t>
            </w:r>
          </w:p>
        </w:tc>
        <w:tc>
          <w:tcPr>
            <w:tcW w:w="0" w:type="dxa"/>
            <w:vAlign w:val="bottom"/>
          </w:tcPr>
          <w:p>
            <w:pPr>
              <w:spacing w:after="0"/>
              <w:rPr>
                <w:sz w:val="1"/>
                <w:szCs w:val="1"/>
                <w:color w:val="auto"/>
              </w:rPr>
            </w:pPr>
          </w:p>
        </w:tc>
      </w:tr>
      <w:tr>
        <w:trPr>
          <w:trHeight w:val="255"/>
        </w:trPr>
        <w:tc>
          <w:tcPr>
            <w:tcW w:w="80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00" w:type="dxa"/>
            <w:vAlign w:val="bottom"/>
          </w:tcPr>
          <w:p>
            <w:pPr>
              <w:spacing w:after="0"/>
              <w:rPr>
                <w:sz w:val="22"/>
                <w:szCs w:val="22"/>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397,620</w:t>
            </w:r>
          </w:p>
        </w:tc>
        <w:tc>
          <w:tcPr>
            <w:tcW w:w="4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395,000</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1,607,281</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1,129,685</w:t>
            </w:r>
          </w:p>
        </w:tc>
        <w:tc>
          <w:tcPr>
            <w:tcW w:w="0" w:type="dxa"/>
            <w:vAlign w:val="bottom"/>
          </w:tcPr>
          <w:p>
            <w:pPr>
              <w:spacing w:after="0"/>
              <w:rPr>
                <w:sz w:val="1"/>
                <w:szCs w:val="1"/>
                <w:color w:val="auto"/>
              </w:rPr>
            </w:pPr>
          </w:p>
        </w:tc>
      </w:tr>
      <w:tr>
        <w:trPr>
          <w:trHeight w:val="242"/>
        </w:trPr>
        <w:tc>
          <w:tcPr>
            <w:tcW w:w="8020" w:type="dxa"/>
            <w:vAlign w:val="bottom"/>
          </w:tcPr>
          <w:p>
            <w:pPr>
              <w:spacing w:after="0"/>
              <w:rPr>
                <w:sz w:val="21"/>
                <w:szCs w:val="21"/>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020" w:type="dxa"/>
            <w:vAlign w:val="bottom"/>
          </w:tcPr>
          <w:p>
            <w:pPr>
              <w:spacing w:after="0"/>
              <w:rPr>
                <w:sz w:val="20"/>
                <w:szCs w:val="20"/>
                <w:color w:val="auto"/>
              </w:rPr>
            </w:pPr>
            <w:r>
              <w:rPr>
                <w:rFonts w:ascii="Courier New" w:cs="Courier New" w:eastAsia="Courier New" w:hAnsi="Courier New"/>
                <w:sz w:val="14"/>
                <w:szCs w:val="14"/>
                <w:color w:val="auto"/>
              </w:rPr>
              <w:t>REDEEMABLE PREFERRED STOCK, Series A, $1 par value, with a</w:t>
            </w: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redemption and liquidation value of $1,000 per share;</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23,000 shares authorized; 11,873 shares issued and</w:t>
            </w:r>
          </w:p>
        </w:tc>
        <w:tc>
          <w:tcPr>
            <w:tcW w:w="300" w:type="dxa"/>
            <w:vAlign w:val="bottom"/>
          </w:tcPr>
          <w:p>
            <w:pPr>
              <w:spacing w:after="0"/>
              <w:rPr>
                <w:sz w:val="14"/>
                <w:szCs w:val="14"/>
                <w:color w:val="auto"/>
              </w:rPr>
            </w:pP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11,873</w:t>
            </w:r>
          </w:p>
        </w:tc>
        <w:tc>
          <w:tcPr>
            <w:tcW w:w="460" w:type="dxa"/>
            <w:vAlign w:val="bottom"/>
          </w:tcPr>
          <w:p>
            <w:pPr>
              <w:spacing w:after="0"/>
              <w:rPr>
                <w:sz w:val="14"/>
                <w:szCs w:val="14"/>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11,873</w:t>
            </w: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Courier New" w:cs="Courier New" w:eastAsia="Courier New" w:hAnsi="Courier New"/>
                <w:sz w:val="14"/>
                <w:szCs w:val="14"/>
                <w:color w:val="auto"/>
              </w:rPr>
              <w:t>PREFERRED STOCK, $1 par value; 977,000 shares authorized, none issued......................</w:t>
            </w: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8020" w:type="dxa"/>
            <w:vAlign w:val="bottom"/>
          </w:tcPr>
          <w:p>
            <w:pPr>
              <w:spacing w:after="0"/>
              <w:rPr>
                <w:sz w:val="21"/>
                <w:szCs w:val="21"/>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802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520"/>
              <w:spacing w:after="0"/>
              <w:rPr>
                <w:sz w:val="20"/>
                <w:szCs w:val="20"/>
                <w:color w:val="auto"/>
              </w:rPr>
            </w:pPr>
            <w:r>
              <w:rPr>
                <w:rFonts w:ascii="Courier New" w:cs="Courier New" w:eastAsia="Courier New" w:hAnsi="Courier New"/>
                <w:sz w:val="14"/>
                <w:szCs w:val="14"/>
                <w:color w:val="auto"/>
              </w:rPr>
              <w:t>Class A common stock, $1 par value; 7,000,000 shares</w:t>
            </w:r>
          </w:p>
        </w:tc>
        <w:tc>
          <w:tcPr>
            <w:tcW w:w="300" w:type="dxa"/>
            <w:vAlign w:val="bottom"/>
          </w:tcPr>
          <w:p>
            <w:pPr>
              <w:spacing w:after="0"/>
              <w:rPr>
                <w:sz w:val="14"/>
                <w:szCs w:val="14"/>
                <w:color w:val="auto"/>
              </w:rPr>
            </w:pP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1,739</w:t>
            </w:r>
          </w:p>
        </w:tc>
        <w:tc>
          <w:tcPr>
            <w:tcW w:w="460" w:type="dxa"/>
            <w:vAlign w:val="bottom"/>
          </w:tcPr>
          <w:p>
            <w:pPr>
              <w:spacing w:after="0"/>
              <w:rPr>
                <w:sz w:val="14"/>
                <w:szCs w:val="14"/>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1,739</w:t>
            </w:r>
          </w:p>
        </w:tc>
        <w:tc>
          <w:tcPr>
            <w:tcW w:w="0" w:type="dxa"/>
            <w:vAlign w:val="bottom"/>
          </w:tcPr>
          <w:p>
            <w:pPr>
              <w:spacing w:after="0"/>
              <w:rPr>
                <w:sz w:val="1"/>
                <w:szCs w:val="1"/>
                <w:color w:val="auto"/>
              </w:rPr>
            </w:pPr>
          </w:p>
        </w:tc>
      </w:tr>
      <w:tr>
        <w:trPr>
          <w:trHeight w:val="166"/>
        </w:trPr>
        <w:tc>
          <w:tcPr>
            <w:tcW w:w="8020" w:type="dxa"/>
            <w:vAlign w:val="bottom"/>
          </w:tcPr>
          <w:p>
            <w:pPr>
              <w:ind w:left="780"/>
              <w:spacing w:after="0"/>
              <w:rPr>
                <w:sz w:val="20"/>
                <w:szCs w:val="20"/>
                <w:color w:val="auto"/>
              </w:rPr>
            </w:pPr>
            <w:r>
              <w:rPr>
                <w:rFonts w:ascii="Courier New" w:cs="Courier New" w:eastAsia="Courier New" w:hAnsi="Courier New"/>
                <w:sz w:val="14"/>
                <w:szCs w:val="14"/>
                <w:color w:val="auto"/>
              </w:rPr>
              <w:t>authorized; 1,739,250 shares issued and outstanding...............................</w:t>
            </w:r>
          </w:p>
        </w:tc>
        <w:tc>
          <w:tcPr>
            <w:tcW w:w="3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520"/>
              <w:spacing w:after="0"/>
              <w:rPr>
                <w:sz w:val="20"/>
                <w:szCs w:val="20"/>
                <w:color w:val="auto"/>
              </w:rPr>
            </w:pPr>
            <w:r>
              <w:rPr>
                <w:rFonts w:ascii="Courier New" w:cs="Courier New" w:eastAsia="Courier New" w:hAnsi="Courier New"/>
                <w:sz w:val="14"/>
                <w:szCs w:val="14"/>
                <w:color w:val="auto"/>
              </w:rPr>
              <w:t>Class B common stock, $1 par value; 40,000,000 shares authorized;</w:t>
            </w:r>
          </w:p>
        </w:tc>
        <w:tc>
          <w:tcPr>
            <w:tcW w:w="300" w:type="dxa"/>
            <w:vAlign w:val="bottom"/>
          </w:tcPr>
          <w:p>
            <w:pPr>
              <w:spacing w:after="0"/>
              <w:rPr>
                <w:sz w:val="14"/>
                <w:szCs w:val="14"/>
                <w:color w:val="auto"/>
              </w:rPr>
            </w:pP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18,261</w:t>
            </w:r>
          </w:p>
        </w:tc>
        <w:tc>
          <w:tcPr>
            <w:tcW w:w="460" w:type="dxa"/>
            <w:vAlign w:val="bottom"/>
          </w:tcPr>
          <w:p>
            <w:pPr>
              <w:spacing w:after="0"/>
              <w:rPr>
                <w:sz w:val="14"/>
                <w:szCs w:val="14"/>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18,261</w:t>
            </w:r>
          </w:p>
        </w:tc>
        <w:tc>
          <w:tcPr>
            <w:tcW w:w="0" w:type="dxa"/>
            <w:vAlign w:val="bottom"/>
          </w:tcPr>
          <w:p>
            <w:pPr>
              <w:spacing w:after="0"/>
              <w:rPr>
                <w:sz w:val="1"/>
                <w:szCs w:val="1"/>
                <w:color w:val="auto"/>
              </w:rPr>
            </w:pPr>
          </w:p>
        </w:tc>
      </w:tr>
      <w:tr>
        <w:trPr>
          <w:trHeight w:val="166"/>
        </w:trPr>
        <w:tc>
          <w:tcPr>
            <w:tcW w:w="8020" w:type="dxa"/>
            <w:vAlign w:val="bottom"/>
          </w:tcPr>
          <w:p>
            <w:pPr>
              <w:ind w:left="780"/>
              <w:spacing w:after="0"/>
              <w:rPr>
                <w:sz w:val="20"/>
                <w:szCs w:val="20"/>
                <w:color w:val="auto"/>
              </w:rPr>
            </w:pPr>
            <w:r>
              <w:rPr>
                <w:rFonts w:ascii="Courier New" w:cs="Courier New" w:eastAsia="Courier New" w:hAnsi="Courier New"/>
                <w:sz w:val="14"/>
                <w:szCs w:val="14"/>
                <w:color w:val="auto"/>
              </w:rPr>
              <w:t>18,260,750 shares issued; 7,700,146 and 8,353,994 shares outstanding..............</w:t>
            </w:r>
          </w:p>
        </w:tc>
        <w:tc>
          <w:tcPr>
            <w:tcW w:w="3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Capital in excess of par value..........................................................</w:t>
            </w: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108,867</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46,199</w:t>
            </w: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2,769,676</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2,597,217</w:t>
            </w: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(loss), net of taxes</w:t>
            </w:r>
          </w:p>
        </w:tc>
        <w:tc>
          <w:tcPr>
            <w:tcW w:w="300" w:type="dxa"/>
            <w:vAlign w:val="bottom"/>
          </w:tcPr>
          <w:p>
            <w:pPr>
              <w:spacing w:after="0"/>
              <w:rPr>
                <w:sz w:val="14"/>
                <w:szCs w:val="14"/>
                <w:color w:val="auto"/>
              </w:rPr>
            </w:pPr>
          </w:p>
        </w:tc>
        <w:tc>
          <w:tcPr>
            <w:tcW w:w="13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(4,889)</w:t>
            </w: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(1,600)</w:t>
            </w:r>
          </w:p>
        </w:tc>
        <w:tc>
          <w:tcPr>
            <w:tcW w:w="0" w:type="dxa"/>
            <w:vAlign w:val="bottom"/>
          </w:tcPr>
          <w:p>
            <w:pPr>
              <w:spacing w:after="0"/>
              <w:rPr>
                <w:sz w:val="1"/>
                <w:szCs w:val="1"/>
                <w:color w:val="auto"/>
              </w:rPr>
            </w:pPr>
          </w:p>
        </w:tc>
      </w:tr>
      <w:tr>
        <w:trPr>
          <w:trHeight w:val="166"/>
        </w:trPr>
        <w:tc>
          <w:tcPr>
            <w:tcW w:w="8020" w:type="dxa"/>
            <w:vAlign w:val="bottom"/>
          </w:tcPr>
          <w:p>
            <w:pPr>
              <w:ind w:left="520"/>
              <w:spacing w:after="0"/>
              <w:rPr>
                <w:sz w:val="20"/>
                <w:szCs w:val="20"/>
                <w:color w:val="auto"/>
              </w:rPr>
            </w:pPr>
            <w:r>
              <w:rPr>
                <w:rFonts w:ascii="Courier New" w:cs="Courier New" w:eastAsia="Courier New" w:hAnsi="Courier New"/>
                <w:sz w:val="14"/>
                <w:szCs w:val="14"/>
                <w:color w:val="auto"/>
              </w:rPr>
              <w:t>Cumulative foreign currency translation adjustment...................................</w:t>
            </w:r>
          </w:p>
        </w:tc>
        <w:tc>
          <w:tcPr>
            <w:tcW w:w="3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520"/>
              <w:spacing w:after="0"/>
              <w:rPr>
                <w:sz w:val="20"/>
                <w:szCs w:val="20"/>
                <w:color w:val="auto"/>
              </w:rPr>
            </w:pPr>
            <w:r>
              <w:rPr>
                <w:rFonts w:ascii="Courier New" w:cs="Courier New" w:eastAsia="Courier New" w:hAnsi="Courier New"/>
                <w:sz w:val="14"/>
                <w:szCs w:val="14"/>
                <w:color w:val="auto"/>
              </w:rPr>
              <w:t>Unrealized gain on available-for-sale securities.....................................</w:t>
            </w: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5,269</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41,980</w:t>
            </w:r>
          </w:p>
        </w:tc>
        <w:tc>
          <w:tcPr>
            <w:tcW w:w="0" w:type="dxa"/>
            <w:vAlign w:val="bottom"/>
          </w:tcPr>
          <w:p>
            <w:pPr>
              <w:spacing w:after="0"/>
              <w:rPr>
                <w:sz w:val="1"/>
                <w:szCs w:val="1"/>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Cost of 10,560,604 and 9,906,756 shares of Class B common stock held in treasury........</w:t>
            </w:r>
          </w:p>
        </w:tc>
        <w:tc>
          <w:tcPr>
            <w:tcW w:w="30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(1,531,133)</w:t>
            </w: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(1,115,693)</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1,367,790</w:t>
            </w:r>
          </w:p>
        </w:tc>
        <w:tc>
          <w:tcPr>
            <w:tcW w:w="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1,588,103</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2,986,944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2,729,661</w:t>
            </w:r>
          </w:p>
        </w:tc>
        <w:tc>
          <w:tcPr>
            <w:tcW w:w="0" w:type="dxa"/>
            <w:vAlign w:val="bottom"/>
          </w:tcPr>
          <w:p>
            <w:pPr>
              <w:spacing w:after="0"/>
              <w:rPr>
                <w:sz w:val="1"/>
                <w:szCs w:val="1"/>
                <w:color w:val="auto"/>
              </w:rPr>
            </w:pPr>
          </w:p>
        </w:tc>
      </w:tr>
      <w:tr>
        <w:trPr>
          <w:trHeight w:val="242"/>
        </w:trPr>
        <w:tc>
          <w:tcPr>
            <w:tcW w:w="8020" w:type="dxa"/>
            <w:vAlign w:val="bottom"/>
          </w:tcPr>
          <w:p>
            <w:pPr>
              <w:spacing w:after="0"/>
              <w:rPr>
                <w:sz w:val="21"/>
                <w:szCs w:val="21"/>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4660"/>
        <w:spacing w:after="0" w:line="376" w:lineRule="auto"/>
        <w:rPr>
          <w:sz w:val="20"/>
          <w:szCs w:val="20"/>
          <w:color w:val="auto"/>
        </w:rPr>
      </w:pPr>
      <w:r>
        <w:rPr>
          <w:rFonts w:ascii="Courier New" w:cs="Courier New" w:eastAsia="Courier New" w:hAnsi="Courier New"/>
          <w:sz w:val="14"/>
          <w:szCs w:val="14"/>
          <w:color w:val="auto"/>
        </w:rPr>
        <w:t>The information on pages 34 through 45 is an integral part of the financial statements.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120"/>
          </w:cols>
          <w:pgMar w:left="300" w:top="259" w:right="4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2"/>
        </w:trPr>
        <w:tc>
          <w:tcPr>
            <w:tcW w:w="5140" w:type="dxa"/>
            <w:vAlign w:val="bottom"/>
          </w:tcPr>
          <w:p>
            <w:pPr>
              <w:jc w:val="right"/>
              <w:ind w:right="4628"/>
              <w:spacing w:after="0"/>
              <w:rPr>
                <w:sz w:val="20"/>
                <w:szCs w:val="20"/>
                <w:color w:val="auto"/>
              </w:rPr>
            </w:pPr>
            <w:r>
              <w:rPr>
                <w:rFonts w:ascii="Courier New" w:cs="Courier New" w:eastAsia="Courier New" w:hAnsi="Courier New"/>
                <w:sz w:val="14"/>
                <w:szCs w:val="14"/>
                <w:color w:val="auto"/>
              </w:rPr>
              <w:t>33</w:t>
            </w:r>
          </w:p>
        </w:tc>
        <w:tc>
          <w:tcPr>
            <w:tcW w:w="28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Fiscal year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140" w:type="dxa"/>
            <w:vAlign w:val="bottom"/>
          </w:tcPr>
          <w:p>
            <w:pPr>
              <w:spacing w:after="0"/>
              <w:rPr>
                <w:sz w:val="14"/>
                <w:szCs w:val="14"/>
                <w:color w:val="auto"/>
              </w:rPr>
            </w:pPr>
          </w:p>
        </w:tc>
        <w:tc>
          <w:tcPr>
            <w:tcW w:w="5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2840" w:type="dxa"/>
            <w:vAlign w:val="bottom"/>
          </w:tcPr>
          <w:p>
            <w:pPr>
              <w:jc w:val="right"/>
              <w:spacing w:after="0"/>
              <w:rPr>
                <w:sz w:val="20"/>
                <w:szCs w:val="20"/>
                <w:color w:val="auto"/>
              </w:rPr>
            </w:pPr>
            <w:r>
              <w:rPr>
                <w:rFonts w:ascii="Courier New" w:cs="Courier New" w:eastAsia="Courier New" w:hAnsi="Courier New"/>
                <w:sz w:val="14"/>
                <w:szCs w:val="14"/>
                <w:color w:val="auto"/>
              </w:rPr>
              <w:t>January 2,</w:t>
            </w: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January 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December 28,</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20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$ 225,785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417,259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281,574</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income ................................................................</w:t>
            </w:r>
          </w:p>
        </w:tc>
        <w:tc>
          <w:tcPr>
            <w:tcW w:w="12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operating activities:</w:t>
            </w:r>
          </w:p>
        </w:tc>
        <w:tc>
          <w:tcPr>
            <w:tcW w:w="26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104,235</w:t>
            </w:r>
          </w:p>
        </w:tc>
        <w:tc>
          <w:tcPr>
            <w:tcW w:w="26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89,248</w:t>
            </w:r>
          </w:p>
        </w:tc>
        <w:tc>
          <w:tcPr>
            <w:tcW w:w="26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71,478</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58,563</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49,889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33,559</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pension benefit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(81,683)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(61,997)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(30,227)</w:t>
            </w:r>
          </w:p>
        </w:tc>
        <w:tc>
          <w:tcPr>
            <w:tcW w:w="0" w:type="dxa"/>
            <w:vAlign w:val="bottom"/>
          </w:tcPr>
          <w:p>
            <w:pPr>
              <w:spacing w:after="0"/>
              <w:rPr>
                <w:sz w:val="1"/>
                <w:szCs w:val="1"/>
                <w:color w:val="auto"/>
              </w:rPr>
            </w:pP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Gain from disposition of businesses and</w:t>
            </w:r>
          </w:p>
        </w:tc>
        <w:tc>
          <w:tcPr>
            <w:tcW w:w="26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(38,799)</w:t>
            </w:r>
          </w:p>
        </w:tc>
        <w:tc>
          <w:tcPr>
            <w:tcW w:w="26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(314,400)</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(44,560)</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marketable equity securities, net ....................................</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Equity in losses (earnings) of affiliates, net of distributions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9,744</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9,145</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(6,996)</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Provision for deferred income taxes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29,988</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26,987</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3,089</w:t>
            </w:r>
          </w:p>
        </w:tc>
        <w:tc>
          <w:tcPr>
            <w:tcW w:w="0" w:type="dxa"/>
            <w:vAlign w:val="bottom"/>
          </w:tcPr>
          <w:p>
            <w:pPr>
              <w:spacing w:after="0"/>
              <w:rPr>
                <w:sz w:val="1"/>
                <w:szCs w:val="1"/>
                <w:color w:val="auto"/>
              </w:rPr>
            </w:pP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Change in assets and liabilities:</w:t>
            </w:r>
          </w:p>
        </w:tc>
        <w:tc>
          <w:tcPr>
            <w:tcW w:w="26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(28,194)</w:t>
            </w:r>
          </w:p>
        </w:tc>
        <w:tc>
          <w:tcPr>
            <w:tcW w:w="26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22,041</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(8,438)</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decrease in accounts receivable, net .....................</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Decrease (increase) in inventories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6,264</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5,214</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(Decrease) increase in accounts payable and accrued liabilities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(7,749)</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13,949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19,638</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in income taxes receivable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(2,909)</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(50,735)</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decrease in other assets and other liabilities, net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(4,274)</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12,241</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2,690</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12,034</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10,427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(8,724)</w:t>
            </w:r>
          </w:p>
        </w:tc>
        <w:tc>
          <w:tcPr>
            <w:tcW w:w="0" w:type="dxa"/>
            <w:vAlign w:val="bottom"/>
          </w:tcPr>
          <w:p>
            <w:pPr>
              <w:spacing w:after="0"/>
              <w:rPr>
                <w:sz w:val="1"/>
                <w:szCs w:val="1"/>
                <w:color w:val="auto"/>
              </w:rPr>
            </w:pPr>
          </w:p>
        </w:tc>
      </w:tr>
      <w:tr>
        <w:trPr>
          <w:trHeight w:val="166"/>
        </w:trPr>
        <w:tc>
          <w:tcPr>
            <w:tcW w:w="69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260" w:type="dxa"/>
            <w:vAlign w:val="bottom"/>
          </w:tcPr>
          <w:p>
            <w:pPr>
              <w:spacing w:after="0"/>
              <w:rPr>
                <w:sz w:val="14"/>
                <w:szCs w:val="14"/>
                <w:color w:val="auto"/>
              </w:rPr>
            </w:pPr>
          </w:p>
        </w:tc>
        <w:tc>
          <w:tcPr>
            <w:tcW w:w="3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283,005</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223,113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318,297</w:t>
            </w:r>
          </w:p>
        </w:tc>
        <w:tc>
          <w:tcPr>
            <w:tcW w:w="0" w:type="dxa"/>
            <w:vAlign w:val="bottom"/>
          </w:tcPr>
          <w:p>
            <w:pPr>
              <w:spacing w:after="0"/>
              <w:rPr>
                <w:sz w:val="1"/>
                <w:szCs w:val="1"/>
                <w:color w:val="auto"/>
              </w:rPr>
            </w:pPr>
          </w:p>
        </w:tc>
      </w:tr>
      <w:tr>
        <w:trPr>
          <w:trHeight w:val="242"/>
        </w:trPr>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60" w:type="dxa"/>
            <w:vAlign w:val="bottom"/>
          </w:tcPr>
          <w:p>
            <w:pPr>
              <w:spacing w:after="0"/>
              <w:rPr>
                <w:sz w:val="22"/>
                <w:szCs w:val="22"/>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22"/>
                <w:szCs w:val="22"/>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376,442</w:t>
            </w:r>
          </w:p>
        </w:tc>
        <w:tc>
          <w:tcPr>
            <w:tcW w:w="260" w:type="dxa"/>
            <w:vAlign w:val="bottom"/>
          </w:tcPr>
          <w:p>
            <w:pPr>
              <w:spacing w:after="0"/>
              <w:rPr>
                <w:sz w:val="22"/>
                <w:szCs w:val="22"/>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120,208</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proceeds from sale of businesses ......................................</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Purchases of property, plant and equipment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(130,045)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(244,219)</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(214,573)</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Purchases of marketable equity securities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(23,332)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(164,955)</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Sales and maturities of marketable equity securities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54,805</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38,246</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Investments in certain businesses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(90,455)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(320,597)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(178,943)</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(13,356)</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(5,960)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(3,187)</w:t>
            </w:r>
          </w:p>
        </w:tc>
        <w:tc>
          <w:tcPr>
            <w:tcW w:w="0" w:type="dxa"/>
            <w:vAlign w:val="bottom"/>
          </w:tcPr>
          <w:p>
            <w:pPr>
              <w:spacing w:after="0"/>
              <w:rPr>
                <w:sz w:val="1"/>
                <w:szCs w:val="1"/>
                <w:color w:val="auto"/>
              </w:rPr>
            </w:pPr>
          </w:p>
        </w:tc>
      </w:tr>
      <w:tr>
        <w:trPr>
          <w:trHeight w:val="166"/>
        </w:trPr>
        <w:tc>
          <w:tcPr>
            <w:tcW w:w="69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Net cash used in investing activities ...............................</w:t>
            </w:r>
          </w:p>
        </w:tc>
        <w:tc>
          <w:tcPr>
            <w:tcW w:w="260" w:type="dxa"/>
            <w:vAlign w:val="bottom"/>
          </w:tcPr>
          <w:p>
            <w:pPr>
              <w:spacing w:after="0"/>
              <w:rPr>
                <w:sz w:val="14"/>
                <w:szCs w:val="14"/>
                <w:color w:val="auto"/>
              </w:rPr>
            </w:pPr>
          </w:p>
        </w:tc>
        <w:tc>
          <w:tcPr>
            <w:tcW w:w="3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(200,383)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(321,043)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(276,495)</w:t>
            </w:r>
          </w:p>
        </w:tc>
        <w:tc>
          <w:tcPr>
            <w:tcW w:w="0" w:type="dxa"/>
            <w:vAlign w:val="bottom"/>
          </w:tcPr>
          <w:p>
            <w:pPr>
              <w:spacing w:after="0"/>
              <w:rPr>
                <w:sz w:val="1"/>
                <w:szCs w:val="1"/>
                <w:color w:val="auto"/>
              </w:rPr>
            </w:pPr>
          </w:p>
        </w:tc>
      </w:tr>
      <w:tr>
        <w:trPr>
          <w:trHeight w:val="242"/>
        </w:trPr>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60" w:type="dxa"/>
            <w:vAlign w:val="bottom"/>
          </w:tcPr>
          <w:p>
            <w:pPr>
              <w:spacing w:after="0"/>
              <w:rPr>
                <w:sz w:val="22"/>
                <w:szCs w:val="22"/>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34,087</w:t>
            </w:r>
          </w:p>
        </w:tc>
        <w:tc>
          <w:tcPr>
            <w:tcW w:w="260" w:type="dxa"/>
            <w:vAlign w:val="bottom"/>
          </w:tcPr>
          <w:p>
            <w:pPr>
              <w:spacing w:after="0"/>
              <w:rPr>
                <w:sz w:val="22"/>
                <w:szCs w:val="22"/>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156,968</w:t>
            </w:r>
          </w:p>
        </w:tc>
        <w:tc>
          <w:tcPr>
            <w:tcW w:w="260" w:type="dxa"/>
            <w:vAlign w:val="bottom"/>
          </w:tcPr>
          <w:p>
            <w:pPr>
              <w:spacing w:after="0"/>
              <w:rPr>
                <w:sz w:val="22"/>
                <w:szCs w:val="22"/>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296,394</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Issuance of commercial paper, net .........................................</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Issuance of notes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397,620</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Redemption of redeemable preferred stock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Dividends paid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(53,326)</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(51,383)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(52,592)</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shares repurchased .................................................</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(425,865)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(20,512)</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(368,565)</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Proceeds from exercise of stock options ...................................</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25,151</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w:t>
            </w:r>
          </w:p>
        </w:tc>
        <w:tc>
          <w:tcPr>
            <w:tcW w:w="0" w:type="dxa"/>
            <w:vAlign w:val="bottom"/>
          </w:tcPr>
          <w:p>
            <w:pPr>
              <w:spacing w:after="0"/>
              <w:rPr>
                <w:sz w:val="1"/>
                <w:szCs w:val="1"/>
                <w:color w:val="auto"/>
              </w:rPr>
            </w:pPr>
          </w:p>
        </w:tc>
      </w:tr>
      <w:tr>
        <w:trPr>
          <w:trHeight w:val="166"/>
        </w:trPr>
        <w:tc>
          <w:tcPr>
            <w:tcW w:w="69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Net cash (used in) provided by financing activities .................</w:t>
            </w:r>
          </w:p>
        </w:tc>
        <w:tc>
          <w:tcPr>
            <w:tcW w:w="260" w:type="dxa"/>
            <w:vAlign w:val="bottom"/>
          </w:tcPr>
          <w:p>
            <w:pPr>
              <w:spacing w:after="0"/>
              <w:rPr>
                <w:sz w:val="14"/>
                <w:szCs w:val="14"/>
                <w:color w:val="auto"/>
              </w:rPr>
            </w:pPr>
          </w:p>
        </w:tc>
        <w:tc>
          <w:tcPr>
            <w:tcW w:w="3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(22,333)</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92,003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(122,963)</w:t>
            </w:r>
          </w:p>
        </w:tc>
        <w:tc>
          <w:tcPr>
            <w:tcW w:w="0" w:type="dxa"/>
            <w:vAlign w:val="bottom"/>
          </w:tcPr>
          <w:p>
            <w:pPr>
              <w:spacing w:after="0"/>
              <w:rPr>
                <w:sz w:val="1"/>
                <w:szCs w:val="1"/>
                <w:color w:val="auto"/>
              </w:rPr>
            </w:pPr>
          </w:p>
        </w:tc>
      </w:tr>
      <w:tr>
        <w:trPr>
          <w:trHeight w:val="242"/>
        </w:trPr>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INCREASE (DECREASE) IN CASH AND CASH EQUIVALENTS .........................</w:t>
            </w:r>
          </w:p>
        </w:tc>
        <w:tc>
          <w:tcPr>
            <w:tcW w:w="26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60,289</w:t>
            </w:r>
          </w:p>
        </w:tc>
        <w:tc>
          <w:tcPr>
            <w:tcW w:w="2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(5,927)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(81,161)</w:t>
            </w:r>
          </w:p>
        </w:tc>
        <w:tc>
          <w:tcPr>
            <w:tcW w:w="0" w:type="dxa"/>
            <w:vAlign w:val="bottom"/>
          </w:tcPr>
          <w:p>
            <w:pPr>
              <w:spacing w:after="0"/>
              <w:rPr>
                <w:sz w:val="1"/>
                <w:szCs w:val="1"/>
                <w:color w:val="auto"/>
              </w:rPr>
            </w:pPr>
          </w:p>
        </w:tc>
      </w:tr>
      <w:tr>
        <w:trPr>
          <w:trHeight w:val="255"/>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260" w:type="dxa"/>
            <w:vAlign w:val="bottom"/>
          </w:tcPr>
          <w:p>
            <w:pPr>
              <w:spacing w:after="0"/>
              <w:rPr>
                <w:sz w:val="22"/>
                <w:szCs w:val="22"/>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15,190</w:t>
            </w:r>
          </w:p>
        </w:tc>
        <w:tc>
          <w:tcPr>
            <w:tcW w:w="260" w:type="dxa"/>
            <w:vAlign w:val="bottom"/>
          </w:tcPr>
          <w:p>
            <w:pPr>
              <w:spacing w:after="0"/>
              <w:rPr>
                <w:sz w:val="22"/>
                <w:szCs w:val="22"/>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21,117</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102,278</w:t>
            </w:r>
          </w:p>
        </w:tc>
        <w:tc>
          <w:tcPr>
            <w:tcW w:w="0" w:type="dxa"/>
            <w:vAlign w:val="bottom"/>
          </w:tcPr>
          <w:p>
            <w:pPr>
              <w:spacing w:after="0"/>
              <w:rPr>
                <w:sz w:val="1"/>
                <w:szCs w:val="1"/>
                <w:color w:val="auto"/>
              </w:rPr>
            </w:pPr>
          </w:p>
        </w:tc>
      </w:tr>
      <w:tr>
        <w:trPr>
          <w:trHeight w:val="166"/>
        </w:trPr>
        <w:tc>
          <w:tcPr>
            <w:tcW w:w="69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CASH AND CASH EQUIVALENTS AT END OF YEAR .....................................</w:t>
            </w:r>
          </w:p>
        </w:tc>
        <w:tc>
          <w:tcPr>
            <w:tcW w:w="34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75,479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21,117</w:t>
            </w:r>
          </w:p>
        </w:tc>
        <w:tc>
          <w:tcPr>
            <w:tcW w:w="0" w:type="dxa"/>
            <w:vAlign w:val="bottom"/>
          </w:tcPr>
          <w:p>
            <w:pPr>
              <w:spacing w:after="0"/>
              <w:rPr>
                <w:sz w:val="1"/>
                <w:szCs w:val="1"/>
                <w:color w:val="auto"/>
              </w:rPr>
            </w:pPr>
          </w:p>
        </w:tc>
      </w:tr>
      <w:tr>
        <w:trPr>
          <w:trHeight w:val="242"/>
        </w:trPr>
        <w:tc>
          <w:tcPr>
            <w:tcW w:w="6900" w:type="dxa"/>
            <w:vAlign w:val="bottom"/>
          </w:tcPr>
          <w:p>
            <w:pPr>
              <w:spacing w:after="0"/>
              <w:rPr>
                <w:sz w:val="21"/>
                <w:szCs w:val="21"/>
                <w:color w:val="auto"/>
              </w:rPr>
            </w:pPr>
          </w:p>
        </w:tc>
        <w:tc>
          <w:tcPr>
            <w:tcW w:w="34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90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900" w:type="dxa"/>
            <w:vAlign w:val="bottom"/>
          </w:tcPr>
          <w:p>
            <w:pPr>
              <w:ind w:left="260"/>
              <w:spacing w:after="0"/>
              <w:rPr>
                <w:sz w:val="20"/>
                <w:szCs w:val="20"/>
                <w:color w:val="auto"/>
              </w:rPr>
            </w:pPr>
            <w:r>
              <w:rPr>
                <w:rFonts w:ascii="Courier New" w:cs="Courier New" w:eastAsia="Courier New" w:hAnsi="Courier New"/>
                <w:sz w:val="14"/>
                <w:szCs w:val="14"/>
                <w:color w:val="auto"/>
              </w:rPr>
              <w:t>Cash paid during the year for:</w:t>
            </w:r>
          </w:p>
        </w:tc>
        <w:tc>
          <w:tcPr>
            <w:tcW w:w="120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$ 125,000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280,000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164,000</w:t>
            </w:r>
          </w:p>
        </w:tc>
        <w:tc>
          <w:tcPr>
            <w:tcW w:w="0" w:type="dxa"/>
            <w:vAlign w:val="bottom"/>
          </w:tcPr>
          <w:p>
            <w:pPr>
              <w:spacing w:after="0"/>
              <w:rPr>
                <w:sz w:val="1"/>
                <w:szCs w:val="1"/>
                <w:color w:val="auto"/>
              </w:rPr>
            </w:pPr>
          </w:p>
        </w:tc>
      </w:tr>
      <w:tr>
        <w:trPr>
          <w:trHeight w:val="166"/>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taxes ...........................................................</w:t>
            </w:r>
          </w:p>
        </w:tc>
        <w:tc>
          <w:tcPr>
            <w:tcW w:w="12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 net of amounts capitalized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4220"/>
        <w:spacing w:after="0" w:line="376" w:lineRule="auto"/>
        <w:rPr>
          <w:sz w:val="20"/>
          <w:szCs w:val="20"/>
          <w:color w:val="auto"/>
        </w:rPr>
      </w:pPr>
      <w:r>
        <w:rPr>
          <w:rFonts w:ascii="Courier New" w:cs="Courier New" w:eastAsia="Courier New" w:hAnsi="Courier New"/>
          <w:sz w:val="14"/>
          <w:szCs w:val="14"/>
          <w:color w:val="auto"/>
        </w:rPr>
        <w:t>The information on pages 34 through 45 is an integral part of the financial statements.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680"/>
          </w:cols>
          <w:pgMar w:left="300" w:top="259" w:right="919" w:bottom="1440" w:gutter="0" w:footer="0" w:header="0"/>
        </w:sectPr>
      </w:pPr>
    </w:p>
    <w:bookmarkStart w:id="34" w:name="page35"/>
    <w:bookmarkEnd w:id="34"/>
    <w:p>
      <w:pPr>
        <w:spacing w:after="0" w:line="9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 IN COMMON SHAREHOLDERS' EQUITY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rPr>
                <w:sz w:val="14"/>
                <w:szCs w:val="14"/>
                <w:color w:val="auto"/>
              </w:rPr>
            </w:pPr>
          </w:p>
        </w:tc>
        <w:tc>
          <w:tcPr>
            <w:tcW w:w="1560" w:type="dxa"/>
            <w:vAlign w:val="bottom"/>
          </w:tcPr>
          <w:p>
            <w:pPr>
              <w:ind w:left="1080"/>
              <w:spacing w:after="0"/>
              <w:rPr>
                <w:sz w:val="20"/>
                <w:szCs w:val="20"/>
                <w:color w:val="auto"/>
              </w:rPr>
            </w:pPr>
            <w:r>
              <w:rPr>
                <w:rFonts w:ascii="Courier New" w:cs="Courier New" w:eastAsia="Courier New" w:hAnsi="Courier New"/>
                <w:sz w:val="14"/>
                <w:szCs w:val="14"/>
                <w:color w:val="auto"/>
              </w:rPr>
              <w:t>Class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Class B</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Capital in</w:t>
            </w:r>
          </w:p>
        </w:tc>
        <w:tc>
          <w:tcPr>
            <w:tcW w:w="9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98"/>
              </w:rPr>
              <w:t>Retained</w:t>
            </w:r>
          </w:p>
        </w:tc>
        <w:tc>
          <w:tcPr>
            <w:tcW w:w="0" w:type="dxa"/>
            <w:vAlign w:val="bottom"/>
          </w:tcPr>
          <w:p>
            <w:pPr>
              <w:spacing w:after="0"/>
              <w:rPr>
                <w:sz w:val="1"/>
                <w:szCs w:val="1"/>
                <w:color w:val="auto"/>
              </w:rPr>
            </w:pPr>
          </w:p>
        </w:tc>
      </w:tr>
      <w:tr>
        <w:trPr>
          <w:trHeight w:val="166"/>
        </w:trPr>
        <w:tc>
          <w:tcPr>
            <w:tcW w:w="418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90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Common</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Common</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Excess of</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560" w:type="dxa"/>
            <w:vAlign w:val="bottom"/>
          </w:tcPr>
          <w:p>
            <w:pPr>
              <w:ind w:left="1080"/>
              <w:spacing w:after="0"/>
              <w:rPr>
                <w:sz w:val="20"/>
                <w:szCs w:val="20"/>
                <w:color w:val="auto"/>
              </w:rPr>
            </w:pPr>
            <w:r>
              <w:rPr>
                <w:rFonts w:ascii="Courier New" w:cs="Courier New" w:eastAsia="Courier New" w:hAnsi="Courier New"/>
                <w:sz w:val="14"/>
                <w:szCs w:val="14"/>
                <w:color w:val="auto"/>
              </w:rPr>
              <w:t>Stock</w:t>
            </w:r>
          </w:p>
        </w:tc>
        <w:tc>
          <w:tcPr>
            <w:tcW w:w="340" w:type="dxa"/>
            <w:vAlign w:val="bottom"/>
          </w:tcPr>
          <w:p>
            <w:pPr>
              <w:spacing w:after="0"/>
              <w:rPr>
                <w:sz w:val="16"/>
                <w:szCs w:val="16"/>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Stock</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Par Value</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Earnings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BALANCE, DECEMBER 29, 1996.................................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$1,779</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$18,221</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26,455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$2,002,359</w:t>
            </w:r>
          </w:p>
        </w:tc>
        <w:tc>
          <w:tcPr>
            <w:tcW w:w="0" w:type="dxa"/>
            <w:vAlign w:val="bottom"/>
          </w:tcPr>
          <w:p>
            <w:pPr>
              <w:spacing w:after="0"/>
              <w:rPr>
                <w:sz w:val="1"/>
                <w:szCs w:val="1"/>
                <w:color w:val="auto"/>
              </w:rPr>
            </w:pPr>
          </w:p>
        </w:tc>
      </w:tr>
      <w:tr>
        <w:trPr>
          <w:trHeight w:val="166"/>
        </w:trPr>
        <w:tc>
          <w:tcPr>
            <w:tcW w:w="51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Net income for the year.................................</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281,574</w:t>
            </w: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 on common stock--$4.80 per share.........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(51,636)</w:t>
            </w: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c>
          <w:tcPr>
            <w:tcW w:w="0" w:type="dxa"/>
            <w:vAlign w:val="bottom"/>
          </w:tcPr>
          <w:p>
            <w:pPr>
              <w:spacing w:after="0"/>
              <w:rPr>
                <w:sz w:val="1"/>
                <w:szCs w:val="1"/>
                <w:color w:val="auto"/>
              </w:rPr>
            </w:pPr>
          </w:p>
        </w:tc>
      </w:tr>
      <w:tr>
        <w:trPr>
          <w:trHeight w:val="166"/>
        </w:trPr>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Repurchase of 846,290 shares</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Class B</w:t>
            </w:r>
          </w:p>
        </w:tc>
        <w:tc>
          <w:tcPr>
            <w:tcW w:w="1680" w:type="dxa"/>
            <w:vAlign w:val="bottom"/>
          </w:tcPr>
          <w:p>
            <w:pPr>
              <w:ind w:left="40"/>
              <w:spacing w:after="0"/>
              <w:rPr>
                <w:sz w:val="20"/>
                <w:szCs w:val="20"/>
                <w:color w:val="auto"/>
              </w:rPr>
            </w:pPr>
            <w:r>
              <w:rPr>
                <w:rFonts w:ascii="Courier New" w:cs="Courier New" w:eastAsia="Courier New" w:hAnsi="Courier New"/>
                <w:sz w:val="8"/>
                <w:szCs w:val="8"/>
                <w:color w:val="auto"/>
                <w:w w:val="73"/>
              </w:rPr>
              <w:t>common stock..................................</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Class B common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24,962 shares of</w:t>
            </w:r>
          </w:p>
        </w:tc>
        <w:tc>
          <w:tcPr>
            <w:tcW w:w="24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6,025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 of restricted stock award forfeitures.....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520"/>
              <w:spacing w:after="0"/>
              <w:rPr>
                <w:sz w:val="20"/>
                <w:szCs w:val="20"/>
                <w:color w:val="auto"/>
              </w:rPr>
            </w:pPr>
            <w:r>
              <w:rPr>
                <w:rFonts w:ascii="Courier New" w:cs="Courier New" w:eastAsia="Courier New" w:hAnsi="Courier New"/>
                <w:sz w:val="9"/>
                <w:szCs w:val="9"/>
                <w:color w:val="auto"/>
                <w:w w:val="77"/>
              </w:rPr>
              <w:t>adjustment (net of taxes)............................</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available-for-sale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24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520"/>
              <w:spacing w:after="0"/>
              <w:rPr>
                <w:sz w:val="20"/>
                <w:szCs w:val="20"/>
                <w:color w:val="auto"/>
              </w:rPr>
            </w:pPr>
            <w:r>
              <w:rPr>
                <w:rFonts w:ascii="Courier New" w:cs="Courier New" w:eastAsia="Courier New" w:hAnsi="Courier New"/>
                <w:sz w:val="9"/>
                <w:szCs w:val="9"/>
                <w:color w:val="auto"/>
                <w:w w:val="77"/>
              </w:rPr>
              <w:t>securities (net of taxes)............................</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stock to</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Conversion of Class A common</w:t>
            </w:r>
          </w:p>
        </w:tc>
        <w:tc>
          <w:tcPr>
            <w:tcW w:w="2420" w:type="dxa"/>
            <w:vAlign w:val="bottom"/>
            <w:vMerge w:val="continue"/>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10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Class B common stock.................................</w:t>
            </w:r>
          </w:p>
        </w:tc>
        <w:tc>
          <w:tcPr>
            <w:tcW w:w="11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935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Tax benefits arising from employee stock plans..........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BALANCE, DECEMBER 28, 1997</w:t>
            </w:r>
          </w:p>
        </w:tc>
        <w:tc>
          <w:tcPr>
            <w:tcW w:w="242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gridSpan w:val="3"/>
            <w:vMerge w:val="continue"/>
          </w:tcPr>
          <w:p>
            <w:pPr>
              <w:jc w:val="right"/>
              <w:ind w:right="28"/>
              <w:spacing w:after="0" w:line="146" w:lineRule="exact"/>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1,739</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18,261</w:t>
            </w: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33,415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2,231,341</w:t>
            </w:r>
          </w:p>
        </w:tc>
        <w:tc>
          <w:tcPr>
            <w:tcW w:w="0" w:type="dxa"/>
            <w:vAlign w:val="bottom"/>
          </w:tcPr>
          <w:p>
            <w:pPr>
              <w:spacing w:after="0"/>
              <w:rPr>
                <w:sz w:val="1"/>
                <w:szCs w:val="1"/>
                <w:color w:val="auto"/>
              </w:rPr>
            </w:pPr>
          </w:p>
        </w:tc>
      </w:tr>
      <w:tr>
        <w:trPr>
          <w:trHeight w:val="166"/>
        </w:trPr>
        <w:tc>
          <w:tcPr>
            <w:tcW w:w="51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Net income for the year.................................</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417,259</w:t>
            </w: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 on common stock--$5.00 per share.........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(50,427)</w:t>
            </w: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c>
          <w:tcPr>
            <w:tcW w:w="0" w:type="dxa"/>
            <w:vAlign w:val="bottom"/>
          </w:tcPr>
          <w:p>
            <w:pPr>
              <w:spacing w:after="0"/>
              <w:rPr>
                <w:sz w:val="1"/>
                <w:szCs w:val="1"/>
                <w:color w:val="auto"/>
              </w:rPr>
            </w:pPr>
          </w:p>
        </w:tc>
      </w:tr>
      <w:tr>
        <w:trPr>
          <w:trHeight w:val="166"/>
        </w:trPr>
        <w:tc>
          <w:tcPr>
            <w:tcW w:w="51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Repurchase of 41,033 shares of</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Class B</w:t>
            </w:r>
          </w:p>
        </w:tc>
        <w:tc>
          <w:tcPr>
            <w:tcW w:w="1680" w:type="dxa"/>
            <w:vAlign w:val="bottom"/>
          </w:tcPr>
          <w:p>
            <w:pPr>
              <w:ind w:left="40"/>
              <w:spacing w:after="0"/>
              <w:rPr>
                <w:sz w:val="20"/>
                <w:szCs w:val="20"/>
                <w:color w:val="auto"/>
              </w:rPr>
            </w:pPr>
            <w:r>
              <w:rPr>
                <w:rFonts w:ascii="Courier New" w:cs="Courier New" w:eastAsia="Courier New" w:hAnsi="Courier New"/>
                <w:sz w:val="8"/>
                <w:szCs w:val="8"/>
                <w:color w:val="auto"/>
                <w:w w:val="73"/>
              </w:rPr>
              <w:t>common stock..................................</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Class B common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45,065 shares of</w:t>
            </w:r>
          </w:p>
        </w:tc>
        <w:tc>
          <w:tcPr>
            <w:tcW w:w="24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9,772</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 of restricted stock award forfeitures.....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520"/>
              <w:spacing w:after="0"/>
              <w:rPr>
                <w:sz w:val="20"/>
                <w:szCs w:val="20"/>
                <w:color w:val="auto"/>
              </w:rPr>
            </w:pPr>
            <w:r>
              <w:rPr>
                <w:rFonts w:ascii="Courier New" w:cs="Courier New" w:eastAsia="Courier New" w:hAnsi="Courier New"/>
                <w:sz w:val="9"/>
                <w:szCs w:val="9"/>
                <w:color w:val="auto"/>
                <w:w w:val="77"/>
              </w:rPr>
              <w:t>adjustment (net of taxes)............................</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available-for-sale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24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3,012</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Tax benefits arising from employee stock plans..........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BALANCE, JANUARY 3, 1999</w:t>
            </w:r>
          </w:p>
        </w:tc>
        <w:tc>
          <w:tcPr>
            <w:tcW w:w="242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gridSpan w:val="3"/>
            <w:vMerge w:val="continue"/>
          </w:tcPr>
          <w:p>
            <w:pPr>
              <w:jc w:val="right"/>
              <w:ind w:right="28"/>
              <w:spacing w:after="0" w:line="146" w:lineRule="exact"/>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1,739</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18,261</w:t>
            </w: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46,199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2,597,217</w:t>
            </w:r>
          </w:p>
        </w:tc>
        <w:tc>
          <w:tcPr>
            <w:tcW w:w="0" w:type="dxa"/>
            <w:vAlign w:val="bottom"/>
          </w:tcPr>
          <w:p>
            <w:pPr>
              <w:spacing w:after="0"/>
              <w:rPr>
                <w:sz w:val="1"/>
                <w:szCs w:val="1"/>
                <w:color w:val="auto"/>
              </w:rPr>
            </w:pPr>
          </w:p>
        </w:tc>
      </w:tr>
      <w:tr>
        <w:trPr>
          <w:trHeight w:val="166"/>
        </w:trPr>
        <w:tc>
          <w:tcPr>
            <w:tcW w:w="51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Net income for the year.................................</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225,785</w:t>
            </w: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 on common stock--$5.20 per share.........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(52,376)</w:t>
            </w: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0" w:type="dxa"/>
            <w:vAlign w:val="bottom"/>
          </w:tcPr>
          <w:p>
            <w:pPr>
              <w:spacing w:after="0"/>
              <w:rPr>
                <w:sz w:val="1"/>
                <w:szCs w:val="1"/>
                <w:color w:val="auto"/>
              </w:rPr>
            </w:pPr>
          </w:p>
        </w:tc>
      </w:tr>
      <w:tr>
        <w:trPr>
          <w:trHeight w:val="166"/>
        </w:trPr>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Repurchase of 744,095 shares</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Class B</w:t>
            </w:r>
          </w:p>
        </w:tc>
        <w:tc>
          <w:tcPr>
            <w:tcW w:w="1680" w:type="dxa"/>
            <w:vAlign w:val="bottom"/>
          </w:tcPr>
          <w:p>
            <w:pPr>
              <w:ind w:left="40"/>
              <w:spacing w:after="0"/>
              <w:rPr>
                <w:sz w:val="20"/>
                <w:szCs w:val="20"/>
                <w:color w:val="auto"/>
              </w:rPr>
            </w:pPr>
            <w:r>
              <w:rPr>
                <w:rFonts w:ascii="Courier New" w:cs="Courier New" w:eastAsia="Courier New" w:hAnsi="Courier New"/>
                <w:sz w:val="8"/>
                <w:szCs w:val="8"/>
                <w:color w:val="auto"/>
                <w:w w:val="73"/>
              </w:rPr>
              <w:t>common stock..................................</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Class B common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90,247 shares of</w:t>
            </w:r>
          </w:p>
        </w:tc>
        <w:tc>
          <w:tcPr>
            <w:tcW w:w="24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16,023</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 of restricted stock award forfeitures.....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520"/>
              <w:spacing w:after="0"/>
              <w:rPr>
                <w:sz w:val="20"/>
                <w:szCs w:val="20"/>
                <w:color w:val="auto"/>
              </w:rPr>
            </w:pPr>
            <w:r>
              <w:rPr>
                <w:rFonts w:ascii="Courier New" w:cs="Courier New" w:eastAsia="Courier New" w:hAnsi="Courier New"/>
                <w:sz w:val="9"/>
                <w:szCs w:val="9"/>
                <w:color w:val="auto"/>
                <w:w w:val="77"/>
              </w:rPr>
              <w:t>adjustment (net of taxes)............................</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available-for-sale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24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520"/>
              <w:spacing w:after="0"/>
              <w:rPr>
                <w:sz w:val="20"/>
                <w:szCs w:val="20"/>
                <w:color w:val="auto"/>
              </w:rPr>
            </w:pPr>
            <w:r>
              <w:rPr>
                <w:rFonts w:ascii="Courier New" w:cs="Courier New" w:eastAsia="Courier New" w:hAnsi="Courier New"/>
                <w:sz w:val="9"/>
                <w:szCs w:val="9"/>
                <w:color w:val="auto"/>
                <w:w w:val="77"/>
              </w:rPr>
              <w:t>securities (net of taxes)............................</w:t>
            </w:r>
          </w:p>
        </w:tc>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(net of taxes).............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34,571</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subsidiary stock</w:t>
            </w:r>
          </w:p>
        </w:tc>
        <w:tc>
          <w:tcPr>
            <w:tcW w:w="24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Tax benefits arising from employee stock plans..........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12,074</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BALANCE, JANUARY 2, 2000...................................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$1,739</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$18,261</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108,867</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$2,769,676</w:t>
            </w: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752"/>
        </w:trPr>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Cumulative</w:t>
            </w:r>
          </w:p>
        </w:tc>
        <w:tc>
          <w:tcPr>
            <w:tcW w:w="180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Unrealized</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Foreign</w:t>
            </w:r>
          </w:p>
        </w:tc>
        <w:tc>
          <w:tcPr>
            <w:tcW w:w="1020" w:type="dxa"/>
            <w:vAlign w:val="bottom"/>
          </w:tcPr>
          <w:p>
            <w:pPr>
              <w:ind w:left="420"/>
              <w:spacing w:after="0"/>
              <w:rPr>
                <w:sz w:val="20"/>
                <w:szCs w:val="20"/>
                <w:color w:val="auto"/>
              </w:rPr>
            </w:pPr>
            <w:r>
              <w:rPr>
                <w:rFonts w:ascii="Courier New" w:cs="Courier New" w:eastAsia="Courier New" w:hAnsi="Courier New"/>
                <w:sz w:val="14"/>
                <w:szCs w:val="14"/>
                <w:color w:val="auto"/>
                <w:w w:val="98"/>
              </w:rPr>
              <w:t>Gain 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Currency</w:t>
            </w:r>
          </w:p>
        </w:tc>
        <w:tc>
          <w:tcPr>
            <w:tcW w:w="18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Available-</w:t>
            </w:r>
          </w:p>
        </w:tc>
        <w:tc>
          <w:tcPr>
            <w:tcW w:w="13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Treasury</w:t>
            </w:r>
          </w:p>
        </w:tc>
        <w:tc>
          <w:tcPr>
            <w:tcW w:w="0" w:type="dxa"/>
            <w:vAlign w:val="bottom"/>
          </w:tcPr>
          <w:p>
            <w:pPr>
              <w:spacing w:after="0"/>
              <w:rPr>
                <w:sz w:val="1"/>
                <w:szCs w:val="1"/>
                <w:color w:val="auto"/>
              </w:rPr>
            </w:pPr>
          </w:p>
        </w:tc>
      </w:tr>
      <w:tr>
        <w:trPr>
          <w:trHeight w:val="166"/>
        </w:trPr>
        <w:tc>
          <w:tcPr>
            <w:tcW w:w="518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Translation</w:t>
            </w:r>
          </w:p>
        </w:tc>
        <w:tc>
          <w:tcPr>
            <w:tcW w:w="11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for-Sale</w:t>
            </w:r>
          </w:p>
        </w:tc>
        <w:tc>
          <w:tcPr>
            <w:tcW w:w="6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80" w:type="dxa"/>
            <w:vAlign w:val="bottom"/>
            <w:gridSpan w:val="3"/>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Adjustment</w:t>
            </w:r>
          </w:p>
        </w:tc>
        <w:tc>
          <w:tcPr>
            <w:tcW w:w="180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Securities</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Stock</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29,</w:t>
            </w:r>
          </w:p>
        </w:tc>
        <w:tc>
          <w:tcPr>
            <w:tcW w:w="900" w:type="dxa"/>
            <w:vAlign w:val="bottom"/>
          </w:tcPr>
          <w:p>
            <w:pPr>
              <w:ind w:left="40"/>
              <w:spacing w:after="0"/>
              <w:rPr>
                <w:sz w:val="20"/>
                <w:szCs w:val="20"/>
                <w:color w:val="auto"/>
              </w:rPr>
            </w:pPr>
            <w:r>
              <w:rPr>
                <w:rFonts w:ascii="Courier New" w:cs="Courier New" w:eastAsia="Courier New" w:hAnsi="Courier New"/>
                <w:sz w:val="5"/>
                <w:szCs w:val="5"/>
                <w:color w:val="auto"/>
                <w:w w:val="75"/>
              </w:rPr>
              <w:t>1996.................................</w:t>
            </w:r>
          </w:p>
        </w:tc>
        <w:tc>
          <w:tcPr>
            <w:tcW w:w="3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$ 4,663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3,155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(733,829)</w:t>
            </w:r>
          </w:p>
        </w:tc>
        <w:tc>
          <w:tcPr>
            <w:tcW w:w="0" w:type="dxa"/>
            <w:vAlign w:val="bottom"/>
          </w:tcPr>
          <w:p>
            <w:pPr>
              <w:spacing w:after="0"/>
              <w:rPr>
                <w:sz w:val="1"/>
                <w:szCs w:val="1"/>
                <w:color w:val="auto"/>
              </w:rPr>
            </w:pPr>
          </w:p>
        </w:tc>
      </w:tr>
      <w:tr>
        <w:trPr>
          <w:trHeight w:val="166"/>
        </w:trPr>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 for the</w:t>
            </w:r>
          </w:p>
        </w:tc>
        <w:tc>
          <w:tcPr>
            <w:tcW w:w="4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5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paid on common stock--$4.80 per share.........</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Repurchase of 846,290 shares</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3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(368,565)</w:t>
            </w:r>
          </w:p>
        </w:tc>
        <w:tc>
          <w:tcPr>
            <w:tcW w:w="0" w:type="dxa"/>
            <w:vAlign w:val="bottom"/>
          </w:tcPr>
          <w:p>
            <w:pPr>
              <w:spacing w:after="0"/>
              <w:rPr>
                <w:sz w:val="1"/>
                <w:szCs w:val="1"/>
                <w:color w:val="auto"/>
              </w:rPr>
            </w:pP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Class B</w:t>
            </w:r>
          </w:p>
        </w:tc>
        <w:tc>
          <w:tcPr>
            <w:tcW w:w="1680" w:type="dxa"/>
            <w:vAlign w:val="bottom"/>
            <w:gridSpan w:val="2"/>
          </w:tcPr>
          <w:p>
            <w:pPr>
              <w:ind w:left="40"/>
              <w:spacing w:after="0"/>
              <w:rPr>
                <w:sz w:val="20"/>
                <w:szCs w:val="20"/>
                <w:color w:val="auto"/>
              </w:rPr>
            </w:pPr>
            <w:r>
              <w:rPr>
                <w:rFonts w:ascii="Courier New" w:cs="Courier New" w:eastAsia="Courier New" w:hAnsi="Courier New"/>
                <w:sz w:val="8"/>
                <w:szCs w:val="8"/>
                <w:color w:val="auto"/>
                <w:w w:val="73"/>
              </w:rPr>
              <w:t>common stock..................................</w:t>
            </w:r>
          </w:p>
        </w:tc>
        <w:tc>
          <w:tcPr>
            <w:tcW w:w="3740" w:type="dxa"/>
            <w:vAlign w:val="bottom"/>
            <w:vMerge w:val="restart"/>
          </w:tcPr>
          <w:p>
            <w:pPr>
              <w:spacing w:after="0"/>
              <w:rPr>
                <w:sz w:val="20"/>
                <w:szCs w:val="20"/>
                <w:color w:val="auto"/>
              </w:rPr>
            </w:pPr>
            <w:r>
              <w:rPr>
                <w:rFonts w:ascii="Courier New" w:cs="Courier New" w:eastAsia="Courier New" w:hAnsi="Courier New"/>
                <w:sz w:val="14"/>
                <w:szCs w:val="14"/>
                <w:color w:val="auto"/>
              </w:rPr>
              <w:t>Class B common</w:t>
            </w:r>
          </w:p>
        </w:tc>
        <w:tc>
          <w:tcPr>
            <w:tcW w:w="1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24,962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shares of</w:t>
            </w:r>
          </w:p>
        </w:tc>
        <w:tc>
          <w:tcPr>
            <w:tcW w:w="37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2,145</w:t>
            </w:r>
          </w:p>
        </w:tc>
        <w:tc>
          <w:tcPr>
            <w:tcW w:w="0" w:type="dxa"/>
            <w:vAlign w:val="bottom"/>
          </w:tcPr>
          <w:p>
            <w:pPr>
              <w:spacing w:after="0"/>
              <w:rPr>
                <w:sz w:val="1"/>
                <w:szCs w:val="1"/>
                <w:color w:val="auto"/>
              </w:rPr>
            </w:pPr>
          </w:p>
        </w:tc>
      </w:tr>
      <w:tr>
        <w:trPr>
          <w:trHeight w:val="166"/>
        </w:trPr>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5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net of restricted stock award forfeitures.....</w:t>
            </w:r>
          </w:p>
        </w:tc>
        <w:tc>
          <w:tcPr>
            <w:tcW w:w="1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5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w:t>
            </w:r>
          </w:p>
        </w:tc>
        <w:tc>
          <w:tcPr>
            <w:tcW w:w="900" w:type="dxa"/>
            <w:vAlign w:val="bottom"/>
          </w:tcPr>
          <w:p>
            <w:pPr>
              <w:ind w:left="40"/>
              <w:spacing w:after="0"/>
              <w:rPr>
                <w:sz w:val="20"/>
                <w:szCs w:val="20"/>
                <w:color w:val="auto"/>
              </w:rPr>
            </w:pPr>
            <w:r>
              <w:rPr>
                <w:rFonts w:ascii="Courier New" w:cs="Courier New" w:eastAsia="Courier New" w:hAnsi="Courier New"/>
                <w:sz w:val="5"/>
                <w:szCs w:val="5"/>
                <w:color w:val="auto"/>
                <w:w w:val="75"/>
              </w:rPr>
              <w:t>of taxes)............................</w:t>
            </w:r>
          </w:p>
        </w:tc>
        <w:tc>
          <w:tcPr>
            <w:tcW w:w="3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(5,127)</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available-for-sale</w:t>
            </w:r>
          </w:p>
        </w:tc>
        <w:tc>
          <w:tcPr>
            <w:tcW w:w="13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(3,124)</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w:t>
            </w:r>
          </w:p>
        </w:tc>
        <w:tc>
          <w:tcPr>
            <w:tcW w:w="900" w:type="dxa"/>
            <w:vAlign w:val="bottom"/>
          </w:tcPr>
          <w:p>
            <w:pPr>
              <w:ind w:left="40"/>
              <w:spacing w:after="0"/>
              <w:rPr>
                <w:sz w:val="20"/>
                <w:szCs w:val="20"/>
                <w:color w:val="auto"/>
              </w:rPr>
            </w:pPr>
            <w:r>
              <w:rPr>
                <w:rFonts w:ascii="Courier New" w:cs="Courier New" w:eastAsia="Courier New" w:hAnsi="Courier New"/>
                <w:sz w:val="5"/>
                <w:szCs w:val="5"/>
                <w:color w:val="auto"/>
                <w:w w:val="75"/>
              </w:rPr>
              <w:t>of taxes)............................</w:t>
            </w:r>
          </w:p>
        </w:tc>
        <w:tc>
          <w:tcPr>
            <w:tcW w:w="3740" w:type="dxa"/>
            <w:vAlign w:val="bottom"/>
            <w:vMerge w:val="restart"/>
          </w:tcPr>
          <w:p>
            <w:pPr>
              <w:spacing w:after="0"/>
              <w:rPr>
                <w:sz w:val="20"/>
                <w:szCs w:val="20"/>
                <w:color w:val="auto"/>
              </w:rPr>
            </w:pPr>
            <w:r>
              <w:rPr>
                <w:rFonts w:ascii="Courier New" w:cs="Courier New" w:eastAsia="Courier New" w:hAnsi="Courier New"/>
                <w:sz w:val="14"/>
                <w:szCs w:val="14"/>
                <w:color w:val="auto"/>
              </w:rPr>
              <w:t>stock to</w:t>
            </w:r>
          </w:p>
        </w:tc>
        <w:tc>
          <w:tcPr>
            <w:tcW w:w="13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Conversion of Class A common</w:t>
            </w:r>
          </w:p>
        </w:tc>
        <w:tc>
          <w:tcPr>
            <w:tcW w:w="37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0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Class B common stock.................................</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Tax benefits arising from employee stock plans..........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BALANCE, DECEMBER 28,</w:t>
            </w:r>
          </w:p>
        </w:tc>
        <w:tc>
          <w:tcPr>
            <w:tcW w:w="900" w:type="dxa"/>
            <w:vAlign w:val="bottom"/>
            <w:vMerge w:val="restart"/>
          </w:tcPr>
          <w:p>
            <w:pPr>
              <w:ind w:left="40"/>
              <w:spacing w:after="0"/>
              <w:rPr>
                <w:sz w:val="20"/>
                <w:szCs w:val="20"/>
                <w:color w:val="auto"/>
              </w:rPr>
            </w:pPr>
            <w:r>
              <w:rPr>
                <w:rFonts w:ascii="Courier New" w:cs="Courier New" w:eastAsia="Courier New" w:hAnsi="Courier New"/>
                <w:sz w:val="5"/>
                <w:szCs w:val="5"/>
                <w:color w:val="auto"/>
                <w:w w:val="75"/>
              </w:rPr>
              <w:t>1997.................................</w:t>
            </w:r>
          </w:p>
        </w:tc>
        <w:tc>
          <w:tcPr>
            <w:tcW w:w="6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8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(1,100,249)</w:t>
            </w:r>
          </w:p>
        </w:tc>
        <w:tc>
          <w:tcPr>
            <w:tcW w:w="0" w:type="dxa"/>
            <w:vAlign w:val="bottom"/>
          </w:tcPr>
          <w:p>
            <w:pPr>
              <w:spacing w:after="0"/>
              <w:rPr>
                <w:sz w:val="1"/>
                <w:szCs w:val="1"/>
                <w:color w:val="auto"/>
              </w:rPr>
            </w:pPr>
          </w:p>
        </w:tc>
      </w:tr>
      <w:tr>
        <w:trPr>
          <w:trHeight w:val="166"/>
        </w:trPr>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 for the</w:t>
            </w:r>
          </w:p>
        </w:tc>
        <w:tc>
          <w:tcPr>
            <w:tcW w:w="4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5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paid on common stock--$5.00 per share.........</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Repurchase of 41,033 shares of</w:t>
            </w:r>
          </w:p>
        </w:tc>
        <w:tc>
          <w:tcPr>
            <w:tcW w:w="13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(20,512)</w:t>
            </w:r>
          </w:p>
        </w:tc>
        <w:tc>
          <w:tcPr>
            <w:tcW w:w="0" w:type="dxa"/>
            <w:vAlign w:val="bottom"/>
          </w:tcPr>
          <w:p>
            <w:pPr>
              <w:spacing w:after="0"/>
              <w:rPr>
                <w:sz w:val="1"/>
                <w:szCs w:val="1"/>
                <w:color w:val="auto"/>
              </w:rPr>
            </w:pP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Class B</w:t>
            </w:r>
          </w:p>
        </w:tc>
        <w:tc>
          <w:tcPr>
            <w:tcW w:w="1680" w:type="dxa"/>
            <w:vAlign w:val="bottom"/>
            <w:gridSpan w:val="2"/>
          </w:tcPr>
          <w:p>
            <w:pPr>
              <w:ind w:left="40"/>
              <w:spacing w:after="0"/>
              <w:rPr>
                <w:sz w:val="20"/>
                <w:szCs w:val="20"/>
                <w:color w:val="auto"/>
              </w:rPr>
            </w:pPr>
            <w:r>
              <w:rPr>
                <w:rFonts w:ascii="Courier New" w:cs="Courier New" w:eastAsia="Courier New" w:hAnsi="Courier New"/>
                <w:sz w:val="8"/>
                <w:szCs w:val="8"/>
                <w:color w:val="auto"/>
                <w:w w:val="73"/>
              </w:rPr>
              <w:t>common stock..................................</w:t>
            </w:r>
          </w:p>
        </w:tc>
        <w:tc>
          <w:tcPr>
            <w:tcW w:w="3740" w:type="dxa"/>
            <w:vAlign w:val="bottom"/>
            <w:vMerge w:val="restart"/>
          </w:tcPr>
          <w:p>
            <w:pPr>
              <w:spacing w:after="0"/>
              <w:rPr>
                <w:sz w:val="20"/>
                <w:szCs w:val="20"/>
                <w:color w:val="auto"/>
              </w:rPr>
            </w:pPr>
            <w:r>
              <w:rPr>
                <w:rFonts w:ascii="Courier New" w:cs="Courier New" w:eastAsia="Courier New" w:hAnsi="Courier New"/>
                <w:sz w:val="14"/>
                <w:szCs w:val="14"/>
                <w:color w:val="auto"/>
              </w:rPr>
              <w:t>Class B common</w:t>
            </w:r>
          </w:p>
        </w:tc>
        <w:tc>
          <w:tcPr>
            <w:tcW w:w="1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45,065</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shares of</w:t>
            </w:r>
          </w:p>
        </w:tc>
        <w:tc>
          <w:tcPr>
            <w:tcW w:w="37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5,068</w:t>
            </w:r>
          </w:p>
        </w:tc>
        <w:tc>
          <w:tcPr>
            <w:tcW w:w="0" w:type="dxa"/>
            <w:vAlign w:val="bottom"/>
          </w:tcPr>
          <w:p>
            <w:pPr>
              <w:spacing w:after="0"/>
              <w:rPr>
                <w:sz w:val="1"/>
                <w:szCs w:val="1"/>
                <w:color w:val="auto"/>
              </w:rPr>
            </w:pPr>
          </w:p>
        </w:tc>
      </w:tr>
      <w:tr>
        <w:trPr>
          <w:trHeight w:val="166"/>
        </w:trPr>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5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net of restricted stock award forfeitures.....</w:t>
            </w:r>
          </w:p>
        </w:tc>
        <w:tc>
          <w:tcPr>
            <w:tcW w:w="1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5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w:t>
            </w:r>
          </w:p>
        </w:tc>
        <w:tc>
          <w:tcPr>
            <w:tcW w:w="900" w:type="dxa"/>
            <w:vAlign w:val="bottom"/>
          </w:tcPr>
          <w:p>
            <w:pPr>
              <w:ind w:left="40"/>
              <w:spacing w:after="0"/>
              <w:rPr>
                <w:sz w:val="20"/>
                <w:szCs w:val="20"/>
                <w:color w:val="auto"/>
              </w:rPr>
            </w:pPr>
            <w:r>
              <w:rPr>
                <w:rFonts w:ascii="Courier New" w:cs="Courier New" w:eastAsia="Courier New" w:hAnsi="Courier New"/>
                <w:sz w:val="5"/>
                <w:szCs w:val="5"/>
                <w:color w:val="auto"/>
                <w:w w:val="75"/>
              </w:rPr>
              <w:t>of taxes)............................</w:t>
            </w:r>
          </w:p>
        </w:tc>
        <w:tc>
          <w:tcPr>
            <w:tcW w:w="3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(1,136)</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29" w:orient="portrait"/>
          <w:cols w:equalWidth="0" w:num="1">
            <w:col w:w="10159"/>
          </w:cols>
          <w:pgMar w:left="300" w:top="259"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gain on</w:t>
            </w:r>
          </w:p>
        </w:tc>
        <w:tc>
          <w:tcPr>
            <w:tcW w:w="3820" w:type="dxa"/>
            <w:vAlign w:val="bottom"/>
          </w:tcPr>
          <w:p>
            <w:pPr>
              <w:ind w:left="80"/>
              <w:spacing w:after="0"/>
              <w:rPr>
                <w:sz w:val="20"/>
                <w:szCs w:val="20"/>
                <w:color w:val="auto"/>
              </w:rPr>
            </w:pPr>
            <w:r>
              <w:rPr>
                <w:rFonts w:ascii="Courier New" w:cs="Courier New" w:eastAsia="Courier New" w:hAnsi="Courier New"/>
                <w:sz w:val="14"/>
                <w:szCs w:val="14"/>
                <w:color w:val="auto"/>
              </w:rPr>
              <w:t>available-for-sale</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41,949</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securities (net of taxes)</w:t>
            </w:r>
          </w:p>
        </w:tc>
        <w:tc>
          <w:tcPr>
            <w:tcW w:w="3820" w:type="dxa"/>
            <w:vAlign w:val="bottom"/>
          </w:tcPr>
          <w:p>
            <w:pPr>
              <w:jc w:val="right"/>
              <w:ind w:right="1354"/>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00" w:type="dxa"/>
            <w:vAlign w:val="bottom"/>
            <w:gridSpan w:val="2"/>
          </w:tcPr>
          <w:p>
            <w:pPr>
              <w:jc w:val="right"/>
              <w:ind w:right="1354"/>
              <w:spacing w:after="0"/>
              <w:rPr>
                <w:sz w:val="20"/>
                <w:szCs w:val="20"/>
                <w:color w:val="auto"/>
              </w:rPr>
            </w:pPr>
            <w:r>
              <w:rPr>
                <w:rFonts w:ascii="Courier New" w:cs="Courier New" w:eastAsia="Courier New" w:hAnsi="Courier New"/>
                <w:sz w:val="14"/>
                <w:szCs w:val="14"/>
                <w:color w:val="auto"/>
              </w:rPr>
              <w:t>Tax benefits arising from employee stock plans..........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BALANCE, JANUARY 3, 1999...................................</w:t>
            </w:r>
          </w:p>
        </w:tc>
        <w:tc>
          <w:tcPr>
            <w:tcW w:w="6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382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(1,600)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41,980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(1,115,693)</w:t>
            </w:r>
          </w:p>
        </w:tc>
        <w:tc>
          <w:tcPr>
            <w:tcW w:w="0" w:type="dxa"/>
            <w:vAlign w:val="bottom"/>
          </w:tcPr>
          <w:p>
            <w:pPr>
              <w:spacing w:after="0"/>
              <w:rPr>
                <w:sz w:val="1"/>
                <w:szCs w:val="1"/>
                <w:color w:val="auto"/>
              </w:rPr>
            </w:pPr>
          </w:p>
        </w:tc>
      </w:tr>
      <w:tr>
        <w:trPr>
          <w:trHeight w:val="166"/>
        </w:trPr>
        <w:tc>
          <w:tcPr>
            <w:tcW w:w="6500" w:type="dxa"/>
            <w:vAlign w:val="bottom"/>
            <w:gridSpan w:val="2"/>
          </w:tcPr>
          <w:p>
            <w:pPr>
              <w:jc w:val="right"/>
              <w:ind w:right="1354"/>
              <w:spacing w:after="0"/>
              <w:rPr>
                <w:sz w:val="20"/>
                <w:szCs w:val="20"/>
                <w:color w:val="auto"/>
              </w:rPr>
            </w:pPr>
            <w:r>
              <w:rPr>
                <w:rFonts w:ascii="Courier New" w:cs="Courier New" w:eastAsia="Courier New" w:hAnsi="Courier New"/>
                <w:sz w:val="14"/>
                <w:szCs w:val="14"/>
                <w:color w:val="auto"/>
              </w:rPr>
              <w:t>Net income for the year.................................</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00" w:type="dxa"/>
            <w:vAlign w:val="bottom"/>
            <w:gridSpan w:val="2"/>
          </w:tcPr>
          <w:p>
            <w:pPr>
              <w:jc w:val="right"/>
              <w:ind w:right="1354"/>
              <w:spacing w:after="0"/>
              <w:rPr>
                <w:sz w:val="20"/>
                <w:szCs w:val="20"/>
                <w:color w:val="auto"/>
              </w:rPr>
            </w:pPr>
            <w:r>
              <w:rPr>
                <w:rFonts w:ascii="Courier New" w:cs="Courier New" w:eastAsia="Courier New" w:hAnsi="Courier New"/>
                <w:sz w:val="14"/>
                <w:szCs w:val="14"/>
                <w:color w:val="auto"/>
              </w:rPr>
              <w:t>Dividends paid on common stock--$5.20 per share.........</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Dividends paid on redeemable</w:t>
            </w:r>
          </w:p>
        </w:tc>
        <w:tc>
          <w:tcPr>
            <w:tcW w:w="3820" w:type="dxa"/>
            <w:vAlign w:val="bottom"/>
          </w:tcPr>
          <w:p>
            <w:pPr>
              <w:jc w:val="right"/>
              <w:ind w:right="1354"/>
              <w:spacing w:after="0"/>
              <w:rPr>
                <w:sz w:val="20"/>
                <w:szCs w:val="20"/>
                <w:color w:val="auto"/>
              </w:rPr>
            </w:pPr>
            <w:r>
              <w:rPr>
                <w:rFonts w:ascii="Courier New" w:cs="Courier New" w:eastAsia="Courier New" w:hAnsi="Courier New"/>
                <w:sz w:val="14"/>
                <w:szCs w:val="14"/>
                <w:color w:val="auto"/>
              </w:rPr>
              <w:t>preferred stock............</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Repurchase of 744,095 shares</w:t>
            </w:r>
          </w:p>
        </w:tc>
        <w:tc>
          <w:tcPr>
            <w:tcW w:w="382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13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(425,865)</w:t>
            </w: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1"/>
                <w:szCs w:val="11"/>
                <w:color w:val="auto"/>
                <w:w w:val="74"/>
              </w:rPr>
              <w:t>Class B common stock..................................</w:t>
            </w:r>
          </w:p>
        </w:tc>
        <w:tc>
          <w:tcPr>
            <w:tcW w:w="38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Class B common</w:t>
            </w:r>
          </w:p>
        </w:tc>
        <w:tc>
          <w:tcPr>
            <w:tcW w:w="1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Issuance of 90,247 shares of</w:t>
            </w:r>
          </w:p>
        </w:tc>
        <w:tc>
          <w:tcPr>
            <w:tcW w:w="38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10,425</w:t>
            </w:r>
          </w:p>
        </w:tc>
        <w:tc>
          <w:tcPr>
            <w:tcW w:w="0" w:type="dxa"/>
            <w:vAlign w:val="bottom"/>
          </w:tcPr>
          <w:p>
            <w:pPr>
              <w:spacing w:after="0"/>
              <w:rPr>
                <w:sz w:val="1"/>
                <w:szCs w:val="1"/>
                <w:color w:val="auto"/>
              </w:rPr>
            </w:pPr>
          </w:p>
        </w:tc>
      </w:tr>
      <w:tr>
        <w:trPr>
          <w:trHeight w:val="166"/>
        </w:trPr>
        <w:tc>
          <w:tcPr>
            <w:tcW w:w="6500" w:type="dxa"/>
            <w:vAlign w:val="bottom"/>
            <w:gridSpan w:val="2"/>
          </w:tcPr>
          <w:p>
            <w:pPr>
              <w:jc w:val="right"/>
              <w:ind w:right="1354"/>
              <w:spacing w:after="0"/>
              <w:rPr>
                <w:sz w:val="20"/>
                <w:szCs w:val="20"/>
                <w:color w:val="auto"/>
              </w:rPr>
            </w:pPr>
            <w:r>
              <w:rPr>
                <w:rFonts w:ascii="Courier New" w:cs="Courier New" w:eastAsia="Courier New" w:hAnsi="Courier New"/>
                <w:sz w:val="14"/>
                <w:szCs w:val="14"/>
                <w:color w:val="auto"/>
              </w:rPr>
              <w:t>stock, net of restricted stock award forfeitures.....</w:t>
            </w:r>
          </w:p>
        </w:tc>
        <w:tc>
          <w:tcPr>
            <w:tcW w:w="1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Change in foreign currency translation</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adjustment (net of taxes)</w:t>
            </w:r>
          </w:p>
        </w:tc>
        <w:tc>
          <w:tcPr>
            <w:tcW w:w="382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............................(3,289)</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Change in unrealized gain on</w:t>
            </w:r>
          </w:p>
        </w:tc>
        <w:tc>
          <w:tcPr>
            <w:tcW w:w="3820" w:type="dxa"/>
            <w:vAlign w:val="bottom"/>
          </w:tcPr>
          <w:p>
            <w:pPr>
              <w:ind w:left="80"/>
              <w:spacing w:after="0"/>
              <w:rPr>
                <w:sz w:val="20"/>
                <w:szCs w:val="20"/>
                <w:color w:val="auto"/>
              </w:rPr>
            </w:pPr>
            <w:r>
              <w:rPr>
                <w:rFonts w:ascii="Courier New" w:cs="Courier New" w:eastAsia="Courier New" w:hAnsi="Courier New"/>
                <w:sz w:val="14"/>
                <w:szCs w:val="14"/>
                <w:color w:val="auto"/>
              </w:rPr>
              <w:t>available-for-sale</w:t>
            </w:r>
          </w:p>
        </w:tc>
        <w:tc>
          <w:tcPr>
            <w:tcW w:w="13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(36,711)</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securities (net of taxes)</w:t>
            </w:r>
          </w:p>
        </w:tc>
        <w:tc>
          <w:tcPr>
            <w:tcW w:w="3820" w:type="dxa"/>
            <w:vAlign w:val="bottom"/>
            <w:vMerge w:val="restart"/>
          </w:tcPr>
          <w:p>
            <w:pPr>
              <w:jc w:val="right"/>
              <w:ind w:right="1354"/>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6"/>
                <w:szCs w:val="16"/>
                <w:color w:val="auto"/>
                <w:w w:val="72"/>
                <w:vertAlign w:val="subscript"/>
              </w:rPr>
              <w:t>(netoftaxes).............</w:t>
            </w:r>
          </w:p>
        </w:tc>
        <w:tc>
          <w:tcPr>
            <w:tcW w:w="13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Issuance of subsidiary stock</w:t>
            </w:r>
          </w:p>
        </w:tc>
        <w:tc>
          <w:tcPr>
            <w:tcW w:w="38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00" w:type="dxa"/>
            <w:vAlign w:val="bottom"/>
            <w:gridSpan w:val="2"/>
          </w:tcPr>
          <w:p>
            <w:pPr>
              <w:jc w:val="right"/>
              <w:ind w:right="1354"/>
              <w:spacing w:after="0"/>
              <w:rPr>
                <w:sz w:val="20"/>
                <w:szCs w:val="20"/>
                <w:color w:val="auto"/>
              </w:rPr>
            </w:pPr>
            <w:r>
              <w:rPr>
                <w:rFonts w:ascii="Courier New" w:cs="Courier New" w:eastAsia="Courier New" w:hAnsi="Courier New"/>
                <w:sz w:val="14"/>
                <w:szCs w:val="14"/>
                <w:color w:val="auto"/>
              </w:rPr>
              <w:t>Tax benefits arising from employee stock plans..........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BALANCE, JANUARY 2, 2000...................................</w:t>
            </w:r>
          </w:p>
        </w:tc>
        <w:tc>
          <w:tcPr>
            <w:tcW w:w="6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382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$(4,889)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5,269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$(1,531,133)</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1"/>
                <w:szCs w:val="21"/>
                <w:color w:val="auto"/>
              </w:rPr>
            </w:pPr>
          </w:p>
        </w:tc>
        <w:tc>
          <w:tcPr>
            <w:tcW w:w="6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3699"/>
        <w:spacing w:after="0" w:line="376" w:lineRule="auto"/>
        <w:rPr>
          <w:sz w:val="20"/>
          <w:szCs w:val="20"/>
          <w:color w:val="auto"/>
        </w:rPr>
      </w:pPr>
      <w:r>
        <w:rPr>
          <w:rFonts w:ascii="Courier New" w:cs="Courier New" w:eastAsia="Courier New" w:hAnsi="Courier New"/>
          <w:sz w:val="14"/>
          <w:szCs w:val="14"/>
          <w:color w:val="auto"/>
        </w:rPr>
        <w:t>The information on pages 34 through 45 is an integral part of the financial statements.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115" w:right="1440" w:bottom="1440" w:gutter="0" w:footer="0" w:header="0"/>
        </w:sectPr>
      </w:pPr>
    </w:p>
    <w:bookmarkStart w:id="36" w:name="page37"/>
    <w:bookmarkEnd w:id="36"/>
    <w:p>
      <w:pPr>
        <w:spacing w:after="0" w:line="18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33"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The Washington Post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Through its subsidiary Kaplan, Inc., the Company provides educational and career services for individuals, schools and businesses. The Company also owns and operates a number of media web sites for the primary purpose of developing the Company's newspaper and magazine publishing businesses on the world wide web.</w:t>
      </w:r>
    </w:p>
    <w:p>
      <w:pPr>
        <w:spacing w:after="0" w:line="249" w:lineRule="exact"/>
        <w:rPr>
          <w:sz w:val="20"/>
          <w:szCs w:val="20"/>
          <w:color w:val="auto"/>
        </w:rPr>
      </w:pPr>
    </w:p>
    <w:p>
      <w:pPr>
        <w:ind w:right="3439"/>
        <w:spacing w:after="0" w:line="281" w:lineRule="auto"/>
        <w:rPr>
          <w:sz w:val="20"/>
          <w:szCs w:val="20"/>
          <w:color w:val="auto"/>
        </w:rPr>
      </w:pPr>
      <w:r>
        <w:rPr>
          <w:rFonts w:ascii="Courier New" w:cs="Courier New" w:eastAsia="Courier New" w:hAnsi="Courier New"/>
          <w:sz w:val="14"/>
          <w:szCs w:val="14"/>
          <w:color w:val="auto"/>
        </w:rPr>
        <w:t>FISCAL YEAR. The Company reports on a 52-53 week fiscal year ending on the Sunday nearest December 31. The fiscal year 1999, which ended on January 2, 2000, included 52 weeks, while 1998 included 53 weeks and 1997 included 52 weeks. With the exception of the newspaper publishing operations, subsidiaries of the Company report on a calendar-year basis.</w:t>
      </w:r>
    </w:p>
    <w:p>
      <w:pPr>
        <w:spacing w:after="0" w:line="65" w:lineRule="exact"/>
        <w:rPr>
          <w:sz w:val="20"/>
          <w:szCs w:val="20"/>
          <w:color w:val="auto"/>
        </w:rPr>
      </w:pPr>
    </w:p>
    <w:p>
      <w:pPr>
        <w:ind w:right="3439"/>
        <w:spacing w:after="0" w:line="313" w:lineRule="auto"/>
        <w:rPr>
          <w:sz w:val="20"/>
          <w:szCs w:val="20"/>
          <w:color w:val="auto"/>
        </w:rPr>
      </w:pPr>
      <w:r>
        <w:rPr>
          <w:rFonts w:ascii="Courier New" w:cs="Courier New" w:eastAsia="Courier New" w:hAnsi="Courier New"/>
          <w:sz w:val="14"/>
          <w:szCs w:val="14"/>
          <w:color w:val="auto"/>
        </w:rPr>
        <w:t>PRINCIPLES OF CONSOLIDATION. The accompanying financial statements include the accounts of the Company and its subsidiaries; significant intercompany transactions have been eliminated.</w:t>
      </w:r>
    </w:p>
    <w:p>
      <w:pPr>
        <w:spacing w:after="0" w:line="42"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PRESENTATION. Certain amounts in previously issued financial statements have been reclassified to conform to the 1999 presentation.</w:t>
      </w:r>
    </w:p>
    <w:p>
      <w:pPr>
        <w:spacing w:after="0" w:line="1" w:lineRule="exact"/>
        <w:rPr>
          <w:sz w:val="20"/>
          <w:szCs w:val="20"/>
          <w:color w:val="auto"/>
        </w:rPr>
      </w:pPr>
    </w:p>
    <w:p>
      <w:pPr>
        <w:ind w:right="3439"/>
        <w:spacing w:after="0" w:line="292"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financial statements. Actual results could differ from those estimates.</w:t>
      </w:r>
    </w:p>
    <w:p>
      <w:pPr>
        <w:spacing w:after="0" w:line="56"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CASH EQUIVALENTS. Short-term investments with original maturities of 90 days or less are considered cash equivalents.</w:t>
      </w:r>
    </w:p>
    <w:p>
      <w:pPr>
        <w:spacing w:after="0" w:line="1"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4"/>
          <w:szCs w:val="14"/>
          <w:color w:val="auto"/>
        </w:rPr>
        <w:t>INVESTMENTS IN MARKETABLE EQUITY SECURITIES. The Company's investments in marketable equity securities are classified as available-for-sale and therefore are recorded at fair value in the Consolidated Balance Sheets, with the change in fair value during the period excluded from earnings and recorded net of tax as a separate component of equity and comprehensive income.</w:t>
      </w:r>
    </w:p>
    <w:p>
      <w:pPr>
        <w:spacing w:after="0" w:line="65"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INVENTORIES. Inventories are valued at the lower of cost or market. Cost of newsprint is determined by the first-in, first-out method, and cost of magazine paper is determined by the specific-cost method.</w:t>
      </w:r>
    </w:p>
    <w:p>
      <w:pPr>
        <w:spacing w:after="0" w:line="42"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INVESTMENTS IN AFFILIATES. The Company uses the equity method of accounting for its investments in and earnings or losses of affiliates.</w:t>
      </w:r>
    </w:p>
    <w:p>
      <w:pPr>
        <w:spacing w:after="0" w:line="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56" w:lineRule="exact"/>
        <w:rPr>
          <w:sz w:val="20"/>
          <w:szCs w:val="20"/>
          <w:color w:val="auto"/>
        </w:rPr>
      </w:pPr>
    </w:p>
    <w:p>
      <w:pPr>
        <w:ind w:right="3339" w:firstLine="603"/>
        <w:spacing w:after="0" w:line="281" w:lineRule="auto"/>
        <w:rPr>
          <w:sz w:val="20"/>
          <w:szCs w:val="20"/>
          <w:color w:val="auto"/>
        </w:rPr>
      </w:pPr>
      <w:r>
        <w:rPr>
          <w:rFonts w:ascii="Courier New" w:cs="Courier New" w:eastAsia="Courier New" w:hAnsi="Courier New"/>
          <w:sz w:val="14"/>
          <w:szCs w:val="14"/>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65"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4"/>
          <w:szCs w:val="14"/>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are being amortized by use of the straight-line method over periods ranging from 15 to 40 years (with the majority being amortized over 15 to 20 years).</w:t>
      </w:r>
    </w:p>
    <w:p>
      <w:pPr>
        <w:spacing w:after="0" w:line="69"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LONG-LIVED ASSETS. The recoverability of long-lived assets, including goodwill and other intangibles, is assessed annually or whenever adverse events and changes in circumstances indicate that previously anticipated undiscounted cash flows warrant assessment.</w:t>
      </w:r>
    </w:p>
    <w:p>
      <w:pPr>
        <w:spacing w:after="0" w:line="56"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4"/>
          <w:szCs w:val="14"/>
          <w:color w:val="auto"/>
        </w:rPr>
        <w:t>PROGRAM RIGHTS. The broadcast subsidiaries are parties to agreements that entitle them to show syndicated and other programs on television. The cost of such program rights is recorded when the programs are available for broadcasting and such costs are charged to operations as the programming is aired.</w:t>
      </w:r>
    </w:p>
    <w:p>
      <w:pPr>
        <w:spacing w:after="0" w:line="5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DEFERRED SUBSCRIPTION REVENUE AND MAGAZINE SUBSCRIPTION PROCUREMENT COSTS. Deferred subscription revenue, which primarily represents amounts received from customers in advance of magazine and newspaper deliveries, is included in revenues over the related subscription term.</w:t>
      </w:r>
    </w:p>
    <w:p>
      <w:pPr>
        <w:spacing w:after="0" w:line="56" w:lineRule="exact"/>
        <w:rPr>
          <w:sz w:val="20"/>
          <w:szCs w:val="20"/>
          <w:color w:val="auto"/>
        </w:rPr>
      </w:pPr>
    </w:p>
    <w:p>
      <w:pPr>
        <w:ind w:right="3339" w:firstLine="603"/>
        <w:spacing w:after="0" w:line="313" w:lineRule="auto"/>
        <w:rPr>
          <w:sz w:val="20"/>
          <w:szCs w:val="20"/>
          <w:color w:val="auto"/>
        </w:rPr>
      </w:pPr>
      <w:r>
        <w:rPr>
          <w:rFonts w:ascii="Courier New" w:cs="Courier New" w:eastAsia="Courier New" w:hAnsi="Courier New"/>
          <w:sz w:val="14"/>
          <w:szCs w:val="14"/>
          <w:color w:val="auto"/>
        </w:rPr>
        <w:t>Deferred subscription revenue to be earned after one year is included in "Other liabilities" in the Consolidated Balance Sheets. Magazine subscription procurement costs are charged to operations as incurred.</w:t>
      </w:r>
    </w:p>
    <w:p>
      <w:pPr>
        <w:spacing w:after="0" w:line="42"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EDUCATION REVENUE. Education revenue in recognized ratably over the period during which educational services are delivered.</w:t>
      </w:r>
    </w:p>
    <w:p>
      <w:pPr>
        <w:spacing w:after="0" w:line="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4"/>
          <w:szCs w:val="14"/>
          <w:color w:val="auto"/>
        </w:rPr>
        <w:t>POSTRETIREMENT BENEFITS OTHER THAN PENSIONS. The Company provides certain health care and life insurance benefits for retired employees. The expected cost of providing these postretirement benefits is accrued over the years that employees render services.</w:t>
      </w:r>
    </w:p>
    <w:p>
      <w:pPr>
        <w:spacing w:after="0" w:line="56" w:lineRule="exact"/>
        <w:rPr>
          <w:sz w:val="20"/>
          <w:szCs w:val="20"/>
          <w:color w:val="auto"/>
        </w:rPr>
      </w:pPr>
    </w:p>
    <w:p>
      <w:pPr>
        <w:ind w:right="3439"/>
        <w:spacing w:after="0" w:line="376" w:lineRule="auto"/>
        <w:rPr>
          <w:sz w:val="20"/>
          <w:szCs w:val="20"/>
          <w:color w:val="auto"/>
        </w:rPr>
      </w:pPr>
      <w:r>
        <w:rPr>
          <w:rFonts w:ascii="Courier New" w:cs="Courier New" w:eastAsia="Courier New" w:hAnsi="Courier New"/>
          <w:sz w:val="14"/>
          <w:szCs w:val="14"/>
          <w:color w:val="auto"/>
        </w:rPr>
        <w:t>INCOME TAXES. The provision for income taxes is determined using the asset and liability approach. Under this approach, deferred income taxes represent the</w:t>
      </w:r>
    </w:p>
    <w:p>
      <w:pPr>
        <w:sectPr>
          <w:pgSz w:w="11900" w:h="17019" w:orient="portrait"/>
          <w:cols w:equalWidth="0" w:num="1">
            <w:col w:w="10159"/>
          </w:cols>
          <w:pgMar w:left="300" w:top="259"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expected future tax consequences of</w:t>
      </w:r>
    </w:p>
    <w:p>
      <w:pPr>
        <w:spacing w:after="0" w:line="200" w:lineRule="exact"/>
        <w:rPr>
          <w:sz w:val="20"/>
          <w:szCs w:val="20"/>
          <w:color w:val="auto"/>
        </w:rPr>
      </w:pPr>
    </w:p>
    <w:p>
      <w:pPr>
        <w:spacing w:after="0" w:line="304"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115" w:right="1440" w:bottom="1440" w:gutter="0" w:footer="0" w:header="0"/>
        </w:sectPr>
      </w:pPr>
    </w:p>
    <w:bookmarkStart w:id="38" w:name="page39"/>
    <w:bookmarkEnd w:id="38"/>
    <w:p>
      <w:pPr>
        <w:spacing w:after="0" w:line="10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right="3439"/>
        <w:spacing w:after="0" w:line="375" w:lineRule="auto"/>
        <w:rPr>
          <w:sz w:val="20"/>
          <w:szCs w:val="20"/>
          <w:color w:val="auto"/>
        </w:rPr>
      </w:pPr>
      <w:r>
        <w:rPr>
          <w:rFonts w:ascii="Courier New" w:cs="Courier New" w:eastAsia="Courier New" w:hAnsi="Courier New"/>
          <w:sz w:val="14"/>
          <w:szCs w:val="14"/>
          <w:color w:val="auto"/>
        </w:rPr>
        <w:t>temporary differences between the carrying amounts and tax bases of assets and liabilities.</w:t>
      </w:r>
    </w:p>
    <w:p>
      <w:pPr>
        <w:spacing w:after="0" w:line="1"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as a separate component of equity and comprehensive income.</w:t>
      </w:r>
    </w:p>
    <w:p>
      <w:pPr>
        <w:spacing w:after="0" w:line="74"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4"/>
          <w:szCs w:val="14"/>
          <w:color w:val="auto"/>
        </w:rPr>
        <w:t>STOCK-BASED COMPENSATION. The Company accounts for stock-based compensation using the intrinsic value method prescribed by Accounting Principles Board Opinion No. 25, "Accounting for Stock Issued to Employees." Pro forma disclosures of net income and earnings per share as if the fair-value based method prescribed by Statement of Financial Accounting Standards (SFAS) No. 123, "Accounting for Stock-Based Compensation" had been applied in measuring compensation expense are provided in Note H.</w:t>
      </w:r>
    </w:p>
    <w:p>
      <w:pPr>
        <w:spacing w:after="0" w:line="71"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SALE OF SUBSIDIARY SECURITIES. The Company's policy is to record investment basis gains arising from the sale of equity interests in subsidiaries that are in the early stages of building their operations as additional paid in capital, net of taxes.</w:t>
      </w:r>
    </w:p>
    <w:p>
      <w:pPr>
        <w:spacing w:after="0" w:line="56" w:lineRule="exact"/>
        <w:rPr>
          <w:sz w:val="20"/>
          <w:szCs w:val="20"/>
          <w:color w:val="auto"/>
        </w:rPr>
      </w:pPr>
    </w:p>
    <w:p>
      <w:pPr>
        <w:ind w:left="360" w:right="5319" w:hanging="352"/>
        <w:spacing w:after="0" w:line="37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AND ACCOUNTS PAYABLE AND ACCRUED LIABILITIES</w:t>
      </w:r>
    </w:p>
    <w:p>
      <w:pPr>
        <w:spacing w:after="0" w:line="1" w:lineRule="exact"/>
        <w:rPr>
          <w:sz w:val="20"/>
          <w:szCs w:val="20"/>
          <w:color w:val="auto"/>
        </w:rPr>
      </w:pPr>
    </w:p>
    <w:p>
      <w:pPr>
        <w:ind w:right="3859"/>
        <w:spacing w:after="0" w:line="376" w:lineRule="auto"/>
        <w:rPr>
          <w:sz w:val="20"/>
          <w:szCs w:val="20"/>
          <w:color w:val="auto"/>
        </w:rPr>
      </w:pPr>
      <w:r>
        <w:rPr>
          <w:rFonts w:ascii="Courier New" w:cs="Courier New" w:eastAsia="Courier New" w:hAnsi="Courier New"/>
          <w:sz w:val="14"/>
          <w:szCs w:val="14"/>
          <w:color w:val="auto"/>
        </w:rPr>
        <w:t>Accounts receivable at January 2, 2000 and January 3, 1999 consist of the following (in thousands):</w:t>
      </w:r>
    </w:p>
    <w:p>
      <w:pPr>
        <w:spacing w:after="0" w:line="331" w:lineRule="exact"/>
        <w:rPr>
          <w:sz w:val="20"/>
          <w:szCs w:val="20"/>
          <w:color w:val="auto"/>
        </w:rPr>
      </w:pPr>
    </w:p>
    <w:p>
      <w:pPr>
        <w:ind w:left="5260"/>
        <w:spacing w:after="0"/>
        <w:tabs>
          <w:tab w:leader="none" w:pos="63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Trade accounts receivable, less estimated</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returns, doubtful accounts and</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$ 248,279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216,500</w:t>
            </w:r>
          </w:p>
        </w:tc>
        <w:tc>
          <w:tcPr>
            <w:tcW w:w="0" w:type="dxa"/>
            <w:vAlign w:val="bottom"/>
          </w:tcPr>
          <w:p>
            <w:pPr>
              <w:spacing w:after="0"/>
              <w:rPr>
                <w:sz w:val="1"/>
                <w:szCs w:val="1"/>
                <w:color w:val="auto"/>
              </w:rPr>
            </w:pPr>
          </w:p>
        </w:tc>
      </w:tr>
      <w:tr>
        <w:trPr>
          <w:trHeight w:val="166"/>
        </w:trPr>
        <w:tc>
          <w:tcPr>
            <w:tcW w:w="4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allowances of $60,621 and $55,050.................</w:t>
            </w:r>
          </w:p>
        </w:tc>
        <w:tc>
          <w:tcPr>
            <w:tcW w:w="12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accounts receivable...........................</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21,985</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20,014</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$ 270,264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236,514</w:t>
            </w: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439" w:firstLine="603"/>
        <w:spacing w:after="0" w:line="376" w:lineRule="auto"/>
        <w:rPr>
          <w:sz w:val="20"/>
          <w:szCs w:val="20"/>
          <w:color w:val="auto"/>
        </w:rPr>
      </w:pPr>
      <w:r>
        <w:rPr>
          <w:rFonts w:ascii="Courier New" w:cs="Courier New" w:eastAsia="Courier New" w:hAnsi="Courier New"/>
          <w:sz w:val="14"/>
          <w:szCs w:val="14"/>
          <w:color w:val="auto"/>
        </w:rPr>
        <w:t>Accounts payable and accrued liabilities at January 2, 2000 and January 3, 1999 consist of the following (in thousands):</w:t>
      </w:r>
    </w:p>
    <w:p>
      <w:pPr>
        <w:spacing w:after="0" w:line="331" w:lineRule="exact"/>
        <w:rPr>
          <w:sz w:val="20"/>
          <w:szCs w:val="20"/>
          <w:color w:val="auto"/>
        </w:rPr>
      </w:pPr>
    </w:p>
    <w:p>
      <w:pPr>
        <w:ind w:left="5260"/>
        <w:spacing w:after="0"/>
        <w:tabs>
          <w:tab w:leader="none" w:pos="65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$ 158,197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170,018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Accrued payroll and related benefits....................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58,420</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55,133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Deferred tuition revenue................................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28,060</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13,166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Due to affiliates (newsprint)...........................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9,428</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6,751</w:t>
            </w:r>
          </w:p>
        </w:tc>
      </w:tr>
      <w:tr>
        <w:trPr>
          <w:trHeight w:val="166"/>
        </w:trPr>
        <w:tc>
          <w:tcPr>
            <w:tcW w:w="492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$ 254,105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245,068</w:t>
            </w:r>
          </w:p>
        </w:tc>
      </w:tr>
      <w:tr>
        <w:trPr>
          <w:trHeight w:val="242"/>
        </w:trPr>
        <w:tc>
          <w:tcPr>
            <w:tcW w:w="492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INVESTMENTS IN MARKETABLE EQUITY SECURITIES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marketable equity securities at January 2, 2000 and January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consist of the following (in thousands):</w:t>
      </w:r>
    </w:p>
    <w:p>
      <w:pPr>
        <w:spacing w:after="0" w:line="200" w:lineRule="exact"/>
        <w:rPr>
          <w:sz w:val="20"/>
          <w:szCs w:val="20"/>
          <w:color w:val="auto"/>
        </w:rPr>
      </w:pPr>
    </w:p>
    <w:p>
      <w:pPr>
        <w:spacing w:after="0" w:line="278" w:lineRule="exact"/>
        <w:rPr>
          <w:sz w:val="20"/>
          <w:szCs w:val="20"/>
          <w:color w:val="auto"/>
        </w:rPr>
      </w:pPr>
    </w:p>
    <w:p>
      <w:pPr>
        <w:ind w:left="5440"/>
        <w:spacing w:after="0"/>
        <w:tabs>
          <w:tab w:leader="none" w:pos="64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cost</w:t>
            </w:r>
          </w:p>
        </w:tc>
        <w:tc>
          <w:tcPr>
            <w:tcW w:w="41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194,364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187,297</w:t>
            </w:r>
          </w:p>
        </w:tc>
        <w:tc>
          <w:tcPr>
            <w:tcW w:w="0" w:type="dxa"/>
            <w:vAlign w:val="bottom"/>
          </w:tcPr>
          <w:p>
            <w:pPr>
              <w:spacing w:after="0"/>
              <w:rPr>
                <w:sz w:val="1"/>
                <w:szCs w:val="1"/>
                <w:color w:val="auto"/>
              </w:rPr>
            </w:pPr>
          </w:p>
        </w:tc>
      </w:tr>
      <w:tr>
        <w:trPr>
          <w:trHeight w:val="166"/>
        </w:trPr>
        <w:tc>
          <w:tcPr>
            <w:tcW w:w="50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Net unrealized gains....................................</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8,648</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68,819</w:t>
            </w:r>
          </w:p>
        </w:tc>
        <w:tc>
          <w:tcPr>
            <w:tcW w:w="0" w:type="dxa"/>
            <w:vAlign w:val="bottom"/>
          </w:tcPr>
          <w:p>
            <w:pPr>
              <w:spacing w:after="0"/>
              <w:rPr>
                <w:sz w:val="1"/>
                <w:szCs w:val="1"/>
                <w:color w:val="auto"/>
              </w:rPr>
            </w:pPr>
          </w:p>
        </w:tc>
      </w:tr>
      <w:tr>
        <w:trPr>
          <w:trHeight w:val="166"/>
        </w:trPr>
        <w:tc>
          <w:tcPr>
            <w:tcW w:w="48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5"/>
              </w:rPr>
              <w:t>fair</w:t>
            </w:r>
          </w:p>
        </w:tc>
        <w:tc>
          <w:tcPr>
            <w:tcW w:w="41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value........................................</w:t>
            </w:r>
          </w:p>
        </w:tc>
        <w:tc>
          <w:tcPr>
            <w:tcW w:w="19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203,012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256,116</w:t>
            </w: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259" w:firstLine="603"/>
        <w:spacing w:after="0" w:line="264" w:lineRule="auto"/>
        <w:rPr>
          <w:sz w:val="20"/>
          <w:szCs w:val="20"/>
          <w:color w:val="auto"/>
        </w:rPr>
      </w:pPr>
      <w:r>
        <w:rPr>
          <w:rFonts w:ascii="Courier New" w:cs="Courier New" w:eastAsia="Courier New" w:hAnsi="Courier New"/>
          <w:sz w:val="14"/>
          <w:szCs w:val="14"/>
          <w:color w:val="auto"/>
        </w:rPr>
        <w:t>At January 2, 2000, the Company's ownership of 2,634 shares of Berkshire Hathaway, Inc. ("Berkshire") Class A common stock and 9,845 shares of Berkshire Class B common stock accounted for $165,800,000 or 82 percent of the total fair value of the Company's investments in marketable equity securities. The remaining investments in marketable equity securities at January 2, 2000 consist of common stock investments in various publicly traded companies, most of which have concentrations in Internet business activities. In most cases, the Company obtained ownership of these common stocks as a result of merger or acquisition transactions in which these companies merged or acquired various small Internet related companies in which the Company held minor investments.</w:t>
      </w:r>
    </w:p>
    <w:p>
      <w:pPr>
        <w:spacing w:after="0" w:line="77" w:lineRule="exact"/>
        <w:rPr>
          <w:sz w:val="20"/>
          <w:szCs w:val="20"/>
          <w:color w:val="auto"/>
        </w:rPr>
      </w:pPr>
    </w:p>
    <w:p>
      <w:pPr>
        <w:ind w:right="3259" w:firstLine="603"/>
        <w:spacing w:after="0" w:line="268" w:lineRule="auto"/>
        <w:rPr>
          <w:sz w:val="20"/>
          <w:szCs w:val="20"/>
          <w:color w:val="auto"/>
        </w:rPr>
      </w:pPr>
      <w:r>
        <w:rPr>
          <w:rFonts w:ascii="Courier New" w:cs="Courier New" w:eastAsia="Courier New" w:hAnsi="Courier New"/>
          <w:sz w:val="14"/>
          <w:szCs w:val="14"/>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18 percent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w:t>
      </w:r>
    </w:p>
    <w:p>
      <w:pPr>
        <w:sectPr>
          <w:pgSz w:w="11900" w:h="16945" w:orient="portrait"/>
          <w:cols w:equalWidth="0" w:num="1">
            <w:col w:w="10159"/>
          </w:cols>
          <w:pgMar w:left="300" w:top="259" w:right="1440" w:bottom="0" w:gutter="0" w:footer="0" w:header="0"/>
        </w:sectPr>
      </w:pPr>
    </w:p>
    <w:bookmarkStart w:id="39" w:name="page40"/>
    <w:bookmarkEnd w:id="39"/>
    <w:p>
      <w:pPr>
        <w:ind w:right="3519"/>
        <w:spacing w:after="0" w:line="292" w:lineRule="auto"/>
        <w:rPr>
          <w:sz w:val="20"/>
          <w:szCs w:val="20"/>
          <w:color w:val="auto"/>
        </w:rPr>
      </w:pPr>
      <w:r>
        <w:rPr>
          <w:rFonts w:ascii="Courier New" w:cs="Courier New" w:eastAsia="Courier New" w:hAnsi="Courier New"/>
          <w:sz w:val="14"/>
          <w:szCs w:val="14"/>
          <w:color w:val="auto"/>
        </w:rPr>
        <w:t>Company's investment in Berkshire common stock is less than 1 percent of the consolidated equity of Berkshire. At present, the Company intends to hold the Berkshire common stock investment long-term; thus this investment has been classified as a non-current asset in the Consolidated Balance Sheets.</w:t>
      </w:r>
    </w:p>
    <w:p>
      <w:pPr>
        <w:spacing w:after="0" w:line="56" w:lineRule="exact"/>
        <w:rPr>
          <w:sz w:val="20"/>
          <w:szCs w:val="20"/>
          <w:color w:val="auto"/>
        </w:rPr>
      </w:pPr>
    </w:p>
    <w:p>
      <w:pPr>
        <w:ind w:right="3339" w:firstLine="603"/>
        <w:spacing w:after="0" w:line="281" w:lineRule="auto"/>
        <w:rPr>
          <w:sz w:val="20"/>
          <w:szCs w:val="20"/>
          <w:color w:val="auto"/>
        </w:rPr>
      </w:pPr>
      <w:r>
        <w:rPr>
          <w:rFonts w:ascii="Courier New" w:cs="Courier New" w:eastAsia="Courier New" w:hAnsi="Courier New"/>
          <w:sz w:val="14"/>
          <w:szCs w:val="14"/>
          <w:color w:val="auto"/>
        </w:rPr>
        <w:t>At January 2, 2000, net unrealized gains consisted of unrealized gains totaling $27,782,000 on various common stock investments offset in part by $19,134,000 in unrealized losses on the company's investment in Berskshire common stock. The company intends to hold the Berkshire common stock investment long-term and views the unrealized loss position at January 2,000 as temporary.</w:t>
      </w:r>
    </w:p>
    <w:p>
      <w:pPr>
        <w:spacing w:after="0" w:line="65" w:lineRule="exact"/>
        <w:rPr>
          <w:sz w:val="20"/>
          <w:szCs w:val="20"/>
          <w:color w:val="auto"/>
        </w:rPr>
      </w:pPr>
    </w:p>
    <w:p>
      <w:pPr>
        <w:ind w:right="3259" w:firstLine="603"/>
        <w:spacing w:after="0" w:line="275" w:lineRule="auto"/>
        <w:rPr>
          <w:sz w:val="20"/>
          <w:szCs w:val="20"/>
          <w:color w:val="auto"/>
        </w:rPr>
      </w:pPr>
      <w:r>
        <w:rPr>
          <w:rFonts w:ascii="Courier New" w:cs="Courier New" w:eastAsia="Courier New" w:hAnsi="Courier New"/>
          <w:sz w:val="14"/>
          <w:szCs w:val="14"/>
          <w:color w:val="auto"/>
        </w:rPr>
        <w:t>During 1999 and 1998, proceeds from sales of marketable equity securities were $54,805,000 and $38,246,000, respectively, and gross realized gains on such sales were $38,799,000 and $2,168,000, respectively. There were no sales of marketable equity securities during 1997. Gross realized gains or losses upon the sale of marketable equity securities are included in "Other income, net" in the Consolidated Statements of Income. For purposes of comput-</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115" w:right="1440" w:bottom="1440" w:gutter="0" w:footer="0" w:header="0"/>
        </w:sectPr>
      </w:pPr>
    </w:p>
    <w:bookmarkStart w:id="40" w:name="page41"/>
    <w:bookmarkEnd w:id="40"/>
    <w:p>
      <w:pPr>
        <w:spacing w:after="0" w:line="9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right="3439"/>
        <w:spacing w:after="0" w:line="375" w:lineRule="auto"/>
        <w:rPr>
          <w:sz w:val="20"/>
          <w:szCs w:val="20"/>
          <w:color w:val="auto"/>
        </w:rPr>
      </w:pPr>
      <w:r>
        <w:rPr>
          <w:rFonts w:ascii="Courier New" w:cs="Courier New" w:eastAsia="Courier New" w:hAnsi="Courier New"/>
          <w:sz w:val="14"/>
          <w:szCs w:val="14"/>
          <w:color w:val="auto"/>
        </w:rPr>
        <w:t>ing realized gains and losses, the cost basis of securities sold is determined by specific identification.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INVESTMENTS IN AFFILIATES</w:t>
      </w:r>
    </w:p>
    <w:p>
      <w:pPr>
        <w:spacing w:after="0" w:line="33" w:lineRule="exact"/>
        <w:rPr>
          <w:sz w:val="20"/>
          <w:szCs w:val="20"/>
          <w:color w:val="auto"/>
        </w:rPr>
      </w:pPr>
    </w:p>
    <w:p>
      <w:pPr>
        <w:ind w:right="3439"/>
        <w:spacing w:after="0" w:line="336" w:lineRule="auto"/>
        <w:rPr>
          <w:sz w:val="20"/>
          <w:szCs w:val="20"/>
          <w:color w:val="auto"/>
        </w:rPr>
      </w:pPr>
      <w:r>
        <w:rPr>
          <w:rFonts w:ascii="Courier New" w:cs="Courier New" w:eastAsia="Courier New" w:hAnsi="Courier New"/>
          <w:sz w:val="14"/>
          <w:szCs w:val="14"/>
          <w:color w:val="auto"/>
        </w:rPr>
        <w:t>The Company's investments in affiliates at January 2, 2000 and January 3, 1999 include the following (in thousands):</w:t>
      </w:r>
    </w:p>
    <w:p>
      <w:pPr>
        <w:spacing w:after="0" w:line="358" w:lineRule="exact"/>
        <w:rPr>
          <w:sz w:val="20"/>
          <w:szCs w:val="20"/>
          <w:color w:val="auto"/>
        </w:rPr>
      </w:pPr>
    </w:p>
    <w:p>
      <w:pPr>
        <w:ind w:left="5260"/>
        <w:spacing w:after="0"/>
        <w:tabs>
          <w:tab w:leader="none" w:pos="63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BrassRing, Inc. .......................................</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75,842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Bowater Mersey Paper Company...........................</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39,885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$ 40,121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International Herald Tribune...........................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19,890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23,026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5,052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5,383</w:t>
            </w:r>
          </w:p>
        </w:tc>
      </w:tr>
      <w:tr>
        <w:trPr>
          <w:trHeight w:val="166"/>
        </w:trPr>
        <w:tc>
          <w:tcPr>
            <w:tcW w:w="48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$ 140,669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$ 68,530</w:t>
            </w:r>
          </w:p>
        </w:tc>
      </w:tr>
      <w:tr>
        <w:trPr>
          <w:trHeight w:val="242"/>
        </w:trPr>
        <w:tc>
          <w:tcPr>
            <w:tcW w:w="4840" w:type="dxa"/>
            <w:vAlign w:val="bottom"/>
          </w:tcPr>
          <w:p>
            <w:pPr>
              <w:spacing w:after="0"/>
              <w:rPr>
                <w:sz w:val="21"/>
                <w:szCs w:val="21"/>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5" w:lineRule="exact"/>
        <w:rPr>
          <w:sz w:val="20"/>
          <w:szCs w:val="20"/>
          <w:color w:val="auto"/>
        </w:rPr>
      </w:pPr>
    </w:p>
    <w:p>
      <w:pPr>
        <w:ind w:right="3259" w:firstLine="603"/>
        <w:spacing w:after="0" w:line="268" w:lineRule="auto"/>
        <w:rPr>
          <w:sz w:val="20"/>
          <w:szCs w:val="20"/>
          <w:color w:val="auto"/>
        </w:rPr>
      </w:pPr>
      <w:r>
        <w:rPr>
          <w:rFonts w:ascii="Courier New" w:cs="Courier New" w:eastAsia="Courier New" w:hAnsi="Courier New"/>
          <w:sz w:val="14"/>
          <w:szCs w:val="14"/>
          <w:color w:val="auto"/>
        </w:rPr>
        <w:t>The Company's investments in affiliates consist of a 54 percent non-controlling interest in BrassRing, Inc., a recently established company which provides recruiting, career development and hiring management services for employers and job candidates; a 49 percent interest in the common stock of Bowater Mersey Paper Company Limited, which owns and operates a newsprint mill in Nova Scotia; a 50 percent common stock interest in The International Herald Tribune Newspaper, published near Paris, France; and a 50 percent common stock interest in the Los Angeles Times-Washington Post News Service, Inc.</w:t>
      </w:r>
    </w:p>
    <w:p>
      <w:pPr>
        <w:spacing w:after="0" w:line="74"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Operating costs and expenses of the Company include newsprint supplied by Bowater, Inc. (parent to Bowater Mersey Paper Company Limited), the cost of which was approximately $36,300,000 in 1999, $39,800,000 in 1998 and $40,100,000 in 1997.</w:t>
      </w:r>
    </w:p>
    <w:p>
      <w:pPr>
        <w:spacing w:after="0" w:line="56" w:lineRule="exact"/>
        <w:rPr>
          <w:sz w:val="20"/>
          <w:szCs w:val="20"/>
          <w:color w:val="auto"/>
        </w:rPr>
      </w:pPr>
    </w:p>
    <w:p>
      <w:pPr>
        <w:ind w:right="3519" w:firstLine="603"/>
        <w:spacing w:after="0" w:line="376" w:lineRule="auto"/>
        <w:rPr>
          <w:sz w:val="20"/>
          <w:szCs w:val="20"/>
          <w:color w:val="auto"/>
        </w:rPr>
      </w:pPr>
      <w:r>
        <w:rPr>
          <w:rFonts w:ascii="Courier New" w:cs="Courier New" w:eastAsia="Courier New" w:hAnsi="Courier New"/>
          <w:sz w:val="14"/>
          <w:szCs w:val="14"/>
          <w:color w:val="auto"/>
        </w:rPr>
        <w:t>The following table summarizes the status and results of the Company's investments in affiliates (in thousands):</w:t>
      </w:r>
    </w:p>
    <w:p>
      <w:pPr>
        <w:spacing w:after="0" w:line="331" w:lineRule="exact"/>
        <w:rPr>
          <w:sz w:val="20"/>
          <w:szCs w:val="20"/>
          <w:color w:val="auto"/>
        </w:rPr>
      </w:pPr>
    </w:p>
    <w:p>
      <w:pPr>
        <w:ind w:left="4480"/>
        <w:spacing w:after="0"/>
        <w:tabs>
          <w:tab w:leader="none" w:pos="57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Beginning investment .......................</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68,530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154,791</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BrassRing, Inc. ............................</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83,493</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Additional investment ......................</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8,734</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15,187</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Equity in losses ...........................</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(8,814)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(5,140)</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Dividends and distributions received .......</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(1,587)</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(3,289)</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(1,134)</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Sale of interest in Cowles .................</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(93,587)</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(7,055)</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restart"/>
          </w:tcPr>
          <w:p>
            <w:pPr>
              <w:spacing w:after="0"/>
              <w:rPr>
                <w:sz w:val="20"/>
                <w:szCs w:val="20"/>
                <w:color w:val="auto"/>
              </w:rPr>
            </w:pPr>
            <w:r>
              <w:rPr>
                <w:rFonts w:ascii="Courier New" w:cs="Courier New" w:eastAsia="Courier New" w:hAnsi="Courier New"/>
                <w:sz w:val="14"/>
                <w:szCs w:val="14"/>
                <w:color w:val="auto"/>
              </w:rPr>
              <w:t>Ending investment ..........................</w:t>
            </w:r>
          </w:p>
        </w:tc>
        <w:tc>
          <w:tcPr>
            <w:tcW w:w="24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$ 140,669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68,530</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24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259" w:firstLine="603"/>
        <w:spacing w:after="0" w:line="263" w:lineRule="auto"/>
        <w:rPr>
          <w:sz w:val="20"/>
          <w:szCs w:val="20"/>
          <w:color w:val="auto"/>
        </w:rPr>
      </w:pPr>
      <w:r>
        <w:rPr>
          <w:rFonts w:ascii="Courier New" w:cs="Courier New" w:eastAsia="Courier New" w:hAnsi="Courier New"/>
          <w:sz w:val="14"/>
          <w:szCs w:val="14"/>
          <w:color w:val="auto"/>
        </w:rPr>
        <w:t>On September 29, 1999, the Company merged its career fair and HireSystems businesses together and renamed the combined operations BrassRing, Inc. On the same date, BrassRing issued stock representing a 46 percent equity interest to two parties under two separate transactions for cash and businesses with an aggregate fair value of $87,000,000. As a result of this transaction, the Company's ownership of BrassRing was reduced to 54 percent and the minority investors were granted certain participatory rights. As such, the Company has prospectively de-consolidated BrassRing and recorded its investment under the equity method of accounting. The increase in the basis of the Company's investment in BrassRing resulting from this transaction of $34,571,000, net of taxes, has been recorded as contributed capital.</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INCOME TAXES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278" w:lineRule="exact"/>
        <w:rPr>
          <w:sz w:val="20"/>
          <w:szCs w:val="20"/>
          <w:color w:val="auto"/>
        </w:rPr>
      </w:pPr>
    </w:p>
    <w:p>
      <w:pPr>
        <w:ind w:left="5080"/>
        <w:spacing w:after="0"/>
        <w:tabs>
          <w:tab w:leader="none" w:pos="6180" w:val="left"/>
        </w:tabs>
        <w:rPr>
          <w:sz w:val="20"/>
          <w:szCs w:val="20"/>
          <w:color w:val="auto"/>
        </w:rPr>
      </w:pP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Deferred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94,609</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30,346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1,306</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23,697</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2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$ 119,612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29,988</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2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$ 200,898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20,446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1,233</w:t>
            </w:r>
          </w:p>
        </w:tc>
        <w:tc>
          <w:tcPr>
            <w:tcW w:w="3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21,682</w:t>
            </w:r>
          </w:p>
        </w:tc>
        <w:tc>
          <w:tcPr>
            <w:tcW w:w="3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2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$ 223,813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26,987</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2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$ 149,003</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2,210</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28,493</w:t>
            </w:r>
          </w:p>
        </w:tc>
        <w:tc>
          <w:tcPr>
            <w:tcW w:w="3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2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929" w:orient="portrait"/>
          <w:cols w:equalWidth="0" w:num="1">
            <w:col w:w="10159"/>
          </w:cols>
          <w:pgMar w:left="300" w:top="259" w:right="1440" w:bottom="0" w:gutter="0" w:footer="0" w:header="0"/>
        </w:sectPr>
      </w:pPr>
    </w:p>
    <w:bookmarkStart w:id="41" w:name="page42"/>
    <w:bookmarkEnd w:id="41"/>
    <w:p>
      <w:pPr>
        <w:ind w:left="5000"/>
        <w:spacing w:after="0"/>
        <w:tabs>
          <w:tab w:leader="none" w:pos="6180" w:val="left"/>
          <w:tab w:leader="none" w:pos="6440" w:val="left"/>
        </w:tabs>
        <w:rPr>
          <w:sz w:val="20"/>
          <w:szCs w:val="20"/>
          <w:color w:val="auto"/>
        </w:rPr>
      </w:pPr>
      <w:r>
        <w:rPr>
          <w:rFonts w:ascii="Courier New" w:cs="Courier New" w:eastAsia="Courier New" w:hAnsi="Courier New"/>
          <w:sz w:val="14"/>
          <w:szCs w:val="14"/>
          <w:color w:val="auto"/>
        </w:rPr>
        <w:t>$ 178,411</w:t>
      </w:r>
      <w:r>
        <w:rPr>
          <w:sz w:val="20"/>
          <w:szCs w:val="20"/>
          <w:color w:val="auto"/>
        </w:rPr>
        <w:tab/>
      </w:r>
      <w:r>
        <w:rPr>
          <w:rFonts w:ascii="Courier New" w:cs="Courier New" w:eastAsia="Courier New" w:hAnsi="Courier New"/>
          <w:sz w:val="14"/>
          <w:szCs w:val="14"/>
          <w:color w:val="auto"/>
        </w:rPr>
        <w:t>$</w:t>
        <w:tab/>
        <w:t>3,089</w:t>
      </w:r>
    </w:p>
    <w:p>
      <w:pPr>
        <w:spacing w:after="0" w:line="3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3439" w:firstLine="603"/>
        <w:spacing w:after="0" w:line="313" w:lineRule="auto"/>
        <w:rPr>
          <w:sz w:val="20"/>
          <w:szCs w:val="20"/>
          <w:color w:val="auto"/>
        </w:rPr>
      </w:pPr>
      <w:r>
        <w:rPr>
          <w:rFonts w:ascii="Courier New" w:cs="Courier New" w:eastAsia="Courier New" w:hAnsi="Courier New"/>
          <w:sz w:val="14"/>
          <w:szCs w:val="14"/>
          <w:color w:val="auto"/>
        </w:rPr>
        <w:t>The provision for income taxes exceeds the amount of income tax determined by applying the U.S. Federal statutory rate of 35 percent to income before taxes as a result of the following (in thousands):</w:t>
      </w:r>
    </w:p>
    <w:p>
      <w:pPr>
        <w:spacing w:after="0" w:line="373" w:lineRule="exact"/>
        <w:rPr>
          <w:sz w:val="20"/>
          <w:szCs w:val="20"/>
          <w:color w:val="auto"/>
        </w:rPr>
      </w:pPr>
    </w:p>
    <w:p>
      <w:pPr>
        <w:ind w:left="3960"/>
        <w:spacing w:after="0"/>
        <w:tabs>
          <w:tab w:leader="none" w:pos="5420" w:val="left"/>
          <w:tab w:leader="none" w:pos="68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statutory taxes</w:t>
            </w:r>
          </w:p>
        </w:tc>
        <w:tc>
          <w:tcPr>
            <w:tcW w:w="2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$ 131,385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$ 233,821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162,076</w:t>
            </w:r>
          </w:p>
        </w:tc>
        <w:tc>
          <w:tcPr>
            <w:tcW w:w="0" w:type="dxa"/>
            <w:vAlign w:val="bottom"/>
          </w:tcPr>
          <w:p>
            <w:pPr>
              <w:spacing w:after="0"/>
              <w:rPr>
                <w:sz w:val="1"/>
                <w:szCs w:val="1"/>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State and local taxes,</w:t>
            </w:r>
          </w:p>
        </w:tc>
        <w:tc>
          <w:tcPr>
            <w:tcW w:w="2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ind w:left="180"/>
              <w:spacing w:after="0" w:line="166" w:lineRule="exact"/>
              <w:rPr>
                <w:sz w:val="20"/>
                <w:szCs w:val="20"/>
                <w:color w:val="auto"/>
              </w:rPr>
            </w:pPr>
            <w:r>
              <w:rPr>
                <w:rFonts w:ascii="Courier New" w:cs="Courier New" w:eastAsia="Courier New" w:hAnsi="Courier New"/>
                <w:sz w:val="19"/>
                <w:szCs w:val="19"/>
                <w:color w:val="auto"/>
                <w:w w:val="78"/>
                <w:vertAlign w:val="superscript"/>
              </w:rPr>
              <w:t>net of U.S. Federal</w:t>
            </w:r>
            <w:r>
              <w:rPr>
                <w:rFonts w:ascii="Courier New" w:cs="Courier New" w:eastAsia="Courier New" w:hAnsi="Courier New"/>
                <w:sz w:val="11"/>
                <w:szCs w:val="11"/>
                <w:color w:val="auto"/>
                <w:w w:val="78"/>
              </w:rPr>
              <w:t>.....................</w:t>
            </w:r>
          </w:p>
        </w:tc>
        <w:tc>
          <w:tcPr>
            <w:tcW w:w="25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15,185</w:t>
            </w:r>
          </w:p>
        </w:tc>
        <w:tc>
          <w:tcPr>
            <w:tcW w:w="13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18,179</w:t>
            </w:r>
          </w:p>
        </w:tc>
        <w:tc>
          <w:tcPr>
            <w:tcW w:w="38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19,199</w:t>
            </w:r>
          </w:p>
        </w:tc>
        <w:tc>
          <w:tcPr>
            <w:tcW w:w="0" w:type="dxa"/>
            <w:vAlign w:val="bottom"/>
          </w:tcPr>
          <w:p>
            <w:pPr>
              <w:spacing w:after="0"/>
              <w:rPr>
                <w:sz w:val="1"/>
                <w:szCs w:val="1"/>
                <w:color w:val="auto"/>
              </w:rPr>
            </w:pP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income tax</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2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of goodwill</w:t>
            </w:r>
          </w:p>
        </w:tc>
        <w:tc>
          <w:tcPr>
            <w:tcW w:w="2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ind w:left="180"/>
              <w:spacing w:after="0" w:line="166" w:lineRule="exact"/>
              <w:rPr>
                <w:sz w:val="20"/>
                <w:szCs w:val="20"/>
                <w:color w:val="auto"/>
              </w:rPr>
            </w:pPr>
            <w:r>
              <w:rPr>
                <w:rFonts w:ascii="Courier New" w:cs="Courier New" w:eastAsia="Courier New" w:hAnsi="Courier New"/>
                <w:sz w:val="19"/>
                <w:szCs w:val="19"/>
                <w:color w:val="auto"/>
                <w:w w:val="80"/>
                <w:vertAlign w:val="superscript"/>
              </w:rPr>
              <w:t>not deductible for</w:t>
            </w:r>
            <w:r>
              <w:rPr>
                <w:rFonts w:ascii="Courier New" w:cs="Courier New" w:eastAsia="Courier New" w:hAnsi="Courier New"/>
                <w:sz w:val="11"/>
                <w:szCs w:val="11"/>
                <w:color w:val="auto"/>
                <w:w w:val="80"/>
              </w:rPr>
              <w:t xml:space="preserve"> ....................</w:t>
            </w:r>
          </w:p>
        </w:tc>
        <w:tc>
          <w:tcPr>
            <w:tcW w:w="25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4,178</w:t>
            </w:r>
          </w:p>
        </w:tc>
        <w:tc>
          <w:tcPr>
            <w:tcW w:w="13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5,644</w:t>
            </w:r>
          </w:p>
        </w:tc>
        <w:tc>
          <w:tcPr>
            <w:tcW w:w="38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2,492</w:t>
            </w:r>
          </w:p>
        </w:tc>
        <w:tc>
          <w:tcPr>
            <w:tcW w:w="0" w:type="dxa"/>
            <w:vAlign w:val="bottom"/>
          </w:tcPr>
          <w:p>
            <w:pPr>
              <w:spacing w:after="0"/>
              <w:rPr>
                <w:sz w:val="1"/>
                <w:szCs w:val="1"/>
                <w:color w:val="auto"/>
              </w:rPr>
            </w:pP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income tax</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purposes</w:t>
            </w:r>
          </w:p>
        </w:tc>
        <w:tc>
          <w:tcPr>
            <w:tcW w:w="2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7"/>
                <w:szCs w:val="7"/>
                <w:color w:val="auto"/>
                <w:w w:val="97"/>
                <w:vertAlign w:val="superscript"/>
              </w:rPr>
              <w:t>IRS approved</w:t>
            </w:r>
            <w:r>
              <w:rPr>
                <w:rFonts w:ascii="Courier New" w:cs="Courier New" w:eastAsia="Courier New" w:hAnsi="Courier New"/>
                <w:sz w:val="4"/>
                <w:szCs w:val="4"/>
                <w:color w:val="auto"/>
                <w:w w:val="97"/>
              </w:rPr>
              <w:t>.................................</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accounting</w:t>
            </w:r>
          </w:p>
        </w:tc>
        <w:tc>
          <w:tcPr>
            <w:tcW w:w="25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(3,550)</w:t>
            </w:r>
          </w:p>
        </w:tc>
        <w:tc>
          <w:tcPr>
            <w:tcW w:w="38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change</w:t>
            </w:r>
          </w:p>
        </w:tc>
        <w:tc>
          <w:tcPr>
            <w:tcW w:w="130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3"/>
                <w:szCs w:val="13"/>
                <w:color w:val="auto"/>
                <w:w w:val="75"/>
              </w:rPr>
              <w:t>Other, net...............................</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(3,294)</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(2,267)</w:t>
            </w:r>
          </w:p>
        </w:tc>
        <w:tc>
          <w:tcPr>
            <w:tcW w:w="0" w:type="dxa"/>
            <w:vAlign w:val="bottom"/>
          </w:tcPr>
          <w:p>
            <w:pPr>
              <w:spacing w:after="0"/>
              <w:rPr>
                <w:sz w:val="1"/>
                <w:szCs w:val="1"/>
                <w:color w:val="auto"/>
              </w:rPr>
            </w:pPr>
          </w:p>
        </w:tc>
      </w:tr>
      <w:tr>
        <w:trPr>
          <w:trHeight w:val="166"/>
        </w:trPr>
        <w:tc>
          <w:tcPr>
            <w:tcW w:w="24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Provision for income taxes</w:t>
            </w:r>
          </w:p>
        </w:tc>
        <w:tc>
          <w:tcPr>
            <w:tcW w:w="50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20" w:type="dxa"/>
            <w:vAlign w:val="bottom"/>
            <w:gridSpan w:val="2"/>
            <w:vMerge w:val="continue"/>
          </w:tcPr>
          <w:p>
            <w:pPr>
              <w:jc w:val="right"/>
              <w:spacing w:after="0" w:line="146" w:lineRule="exact"/>
              <w:rPr>
                <w:sz w:val="20"/>
                <w:szCs w:val="20"/>
                <w:color w:val="auto"/>
              </w:rPr>
            </w:pPr>
            <w:r>
              <w:rPr>
                <w:rFonts w:ascii="Courier New" w:cs="Courier New" w:eastAsia="Courier New" w:hAnsi="Courier New"/>
                <w:sz w:val="14"/>
                <w:szCs w:val="14"/>
                <w:color w:val="auto"/>
              </w:rPr>
              <w:t>...............</w:t>
            </w:r>
          </w:p>
        </w:tc>
        <w:tc>
          <w:tcPr>
            <w:tcW w:w="2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$ 149,600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$ 250,800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181,500</w:t>
            </w: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2"/>
        </w:trPr>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36</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15" w:right="1440" w:bottom="1440" w:gutter="0" w:footer="0" w:header="0"/>
        </w:sectPr>
      </w:pPr>
    </w:p>
    <w:bookmarkStart w:id="42" w:name="page43"/>
    <w:bookmarkEnd w:id="42"/>
    <w:p>
      <w:pPr>
        <w:spacing w:after="0" w:line="13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439" w:firstLine="603"/>
        <w:spacing w:after="0" w:line="376" w:lineRule="auto"/>
        <w:rPr>
          <w:sz w:val="20"/>
          <w:szCs w:val="20"/>
          <w:color w:val="auto"/>
        </w:rPr>
      </w:pPr>
      <w:r>
        <w:rPr>
          <w:rFonts w:ascii="Courier New" w:cs="Courier New" w:eastAsia="Courier New" w:hAnsi="Courier New"/>
          <w:sz w:val="14"/>
          <w:szCs w:val="14"/>
          <w:color w:val="auto"/>
        </w:rPr>
        <w:t>Deferred income taxes at January 2, 2000 and January 3, 1999 consist of the following (in thousands):</w:t>
      </w:r>
    </w:p>
    <w:p>
      <w:pPr>
        <w:spacing w:after="0" w:line="331" w:lineRule="exact"/>
        <w:rPr>
          <w:sz w:val="20"/>
          <w:szCs w:val="20"/>
          <w:color w:val="auto"/>
        </w:rPr>
      </w:pPr>
    </w:p>
    <w:p>
      <w:pPr>
        <w:ind w:left="5440"/>
        <w:spacing w:after="0"/>
        <w:tabs>
          <w:tab w:leader="none" w:pos="67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Accrued postretirement benefits.........................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53,819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52,971</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benefit obligations...............................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54,101</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37,450</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14,016</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13,695</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16,848</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9,656</w:t>
            </w:r>
          </w:p>
        </w:tc>
        <w:tc>
          <w:tcPr>
            <w:tcW w:w="0" w:type="dxa"/>
            <w:vAlign w:val="bottom"/>
          </w:tcPr>
          <w:p>
            <w:pPr>
              <w:spacing w:after="0"/>
              <w:rPr>
                <w:sz w:val="1"/>
                <w:szCs w:val="1"/>
                <w:color w:val="auto"/>
              </w:rPr>
            </w:pPr>
          </w:p>
        </w:tc>
      </w:tr>
      <w:tr>
        <w:trPr>
          <w:trHeight w:val="166"/>
        </w:trPr>
        <w:tc>
          <w:tcPr>
            <w:tcW w:w="500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tax asset......................................</w:t>
            </w: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138,784</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113,772</w:t>
            </w:r>
          </w:p>
        </w:tc>
        <w:tc>
          <w:tcPr>
            <w:tcW w:w="0" w:type="dxa"/>
            <w:vAlign w:val="bottom"/>
          </w:tcPr>
          <w:p>
            <w:pPr>
              <w:spacing w:after="0"/>
              <w:rPr>
                <w:sz w:val="1"/>
                <w:szCs w:val="1"/>
                <w:color w:val="auto"/>
              </w:rPr>
            </w:pPr>
          </w:p>
        </w:tc>
      </w:tr>
      <w:tr>
        <w:trPr>
          <w:trHeight w:val="166"/>
        </w:trPr>
        <w:tc>
          <w:tcPr>
            <w:tcW w:w="5000" w:type="dxa"/>
            <w:vAlign w:val="bottom"/>
            <w:vMerge w:val="restart"/>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77,907</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60,793</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Prepaid pension cost....................................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140,640</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101,884</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Affiliate operations....................................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21,741</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4,797</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Unrealized gain on available-</w:t>
            </w:r>
          </w:p>
        </w:tc>
        <w:tc>
          <w:tcPr>
            <w:tcW w:w="12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3,379</w:t>
            </w:r>
          </w:p>
        </w:tc>
        <w:tc>
          <w:tcPr>
            <w:tcW w:w="4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26,839</w:t>
            </w:r>
          </w:p>
        </w:tc>
        <w:tc>
          <w:tcPr>
            <w:tcW w:w="0" w:type="dxa"/>
            <w:vAlign w:val="bottom"/>
          </w:tcPr>
          <w:p>
            <w:pPr>
              <w:spacing w:after="0"/>
              <w:rPr>
                <w:sz w:val="1"/>
                <w:szCs w:val="1"/>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for-sale securities...................................</w:t>
            </w:r>
          </w:p>
        </w:tc>
        <w:tc>
          <w:tcPr>
            <w:tcW w:w="1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9,120</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3,169</w:t>
            </w:r>
          </w:p>
        </w:tc>
        <w:tc>
          <w:tcPr>
            <w:tcW w:w="0" w:type="dxa"/>
            <w:vAlign w:val="bottom"/>
          </w:tcPr>
          <w:p>
            <w:pPr>
              <w:spacing w:after="0"/>
              <w:rPr>
                <w:sz w:val="1"/>
                <w:szCs w:val="1"/>
                <w:color w:val="auto"/>
              </w:rPr>
            </w:pPr>
          </w:p>
        </w:tc>
      </w:tr>
      <w:tr>
        <w:trPr>
          <w:trHeight w:val="166"/>
        </w:trPr>
        <w:tc>
          <w:tcPr>
            <w:tcW w:w="500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tax liability..................................</w:t>
            </w: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252,787</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197,482</w:t>
            </w:r>
          </w:p>
        </w:tc>
        <w:tc>
          <w:tcPr>
            <w:tcW w:w="0" w:type="dxa"/>
            <w:vAlign w:val="bottom"/>
          </w:tcPr>
          <w:p>
            <w:pPr>
              <w:spacing w:after="0"/>
              <w:rPr>
                <w:sz w:val="1"/>
                <w:szCs w:val="1"/>
                <w:color w:val="auto"/>
              </w:rPr>
            </w:pPr>
          </w:p>
        </w:tc>
      </w:tr>
      <w:tr>
        <w:trPr>
          <w:trHeight w:val="166"/>
        </w:trPr>
        <w:tc>
          <w:tcPr>
            <w:tcW w:w="500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income taxes...................................</w:t>
            </w: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$ 114,003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83,710</w:t>
            </w: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DEBT</w:t>
      </w:r>
    </w:p>
    <w:p>
      <w:pPr>
        <w:spacing w:after="0" w:line="33"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At January 2, 2000, the Company had $885,297,000 in total debt outstanding including long-term debt of $397,620,000 and short-term commercial paper borrowings of $487,677,000. At January 3, 1999, the Company had $453,362,000 in commercial paper borrowings outstanding.</w:t>
      </w:r>
    </w:p>
    <w:p>
      <w:pPr>
        <w:spacing w:after="0" w:line="64" w:lineRule="exact"/>
        <w:rPr>
          <w:sz w:val="20"/>
          <w:szCs w:val="20"/>
          <w:color w:val="auto"/>
        </w:rPr>
      </w:pPr>
    </w:p>
    <w:p>
      <w:pPr>
        <w:ind w:right="3339" w:firstLine="603"/>
        <w:spacing w:after="0" w:line="313" w:lineRule="auto"/>
        <w:rPr>
          <w:sz w:val="20"/>
          <w:szCs w:val="20"/>
          <w:color w:val="auto"/>
        </w:rPr>
      </w:pPr>
      <w:r>
        <w:rPr>
          <w:rFonts w:ascii="Courier New" w:cs="Courier New" w:eastAsia="Courier New" w:hAnsi="Courier New"/>
          <w:sz w:val="14"/>
          <w:szCs w:val="14"/>
          <w:color w:val="auto"/>
        </w:rPr>
        <w:t>The Company's long-term debt, stated net of unamortized original issue discount, consists of $400,000,000 5.5 percent unsecured notes due February 15, 2009. Interest is payable semi-annually on February 15 and August 15.</w:t>
      </w:r>
    </w:p>
    <w:p>
      <w:pPr>
        <w:spacing w:after="0" w:line="42" w:lineRule="exact"/>
        <w:rPr>
          <w:sz w:val="20"/>
          <w:szCs w:val="20"/>
          <w:color w:val="auto"/>
        </w:rPr>
      </w:pPr>
    </w:p>
    <w:p>
      <w:pPr>
        <w:ind w:right="3259" w:firstLine="603"/>
        <w:spacing w:after="0" w:line="271" w:lineRule="auto"/>
        <w:rPr>
          <w:sz w:val="20"/>
          <w:szCs w:val="20"/>
          <w:color w:val="auto"/>
        </w:rPr>
      </w:pPr>
      <w:r>
        <w:rPr>
          <w:rFonts w:ascii="Courier New" w:cs="Courier New" w:eastAsia="Courier New" w:hAnsi="Courier New"/>
          <w:sz w:val="14"/>
          <w:szCs w:val="14"/>
          <w:color w:val="auto"/>
        </w:rPr>
        <w:t>At January 2, 2000 and January 3, 1999, the average interest rate on the Company's outstanding commercial paper borrowings was 6.4 percent and 5.4 percent, respectively. The Company's commercial paper borrowings are supported by a five-year $500,000,000 revolving credit facility. Under the terms of the revolving credit facility, interest on borrowings are at floating rates, and the Company is required to pay an annual facility fee of 0.055 percent and 0.15 percent on the unused and used portions of the facility, respectively.</w:t>
      </w:r>
    </w:p>
    <w:p>
      <w:pPr>
        <w:spacing w:after="0" w:line="71" w:lineRule="exact"/>
        <w:rPr>
          <w:sz w:val="20"/>
          <w:szCs w:val="20"/>
          <w:color w:val="auto"/>
        </w:rPr>
      </w:pPr>
    </w:p>
    <w:p>
      <w:pPr>
        <w:ind w:right="3339" w:firstLine="603"/>
        <w:spacing w:after="0" w:line="292" w:lineRule="auto"/>
        <w:rPr>
          <w:sz w:val="20"/>
          <w:szCs w:val="20"/>
          <w:color w:val="auto"/>
        </w:rPr>
      </w:pPr>
      <w:r>
        <w:rPr>
          <w:rFonts w:ascii="Courier New" w:cs="Courier New" w:eastAsia="Courier New" w:hAnsi="Courier New"/>
          <w:sz w:val="14"/>
          <w:szCs w:val="14"/>
          <w:color w:val="auto"/>
        </w:rPr>
        <w:t>The Company incurred interest costs on its borrowings of $25,700,000 and $13,800,000 during 1999 and 1998, respectively, of which $1,800,000 and $5,600,000 were capitalized in connection with the construction and upgrade of qualifying assets.</w:t>
      </w:r>
    </w:p>
    <w:p>
      <w:pPr>
        <w:spacing w:after="0" w:line="56" w:lineRule="exact"/>
        <w:rPr>
          <w:sz w:val="20"/>
          <w:szCs w:val="20"/>
          <w:color w:val="auto"/>
        </w:rPr>
      </w:pPr>
    </w:p>
    <w:p>
      <w:pPr>
        <w:ind w:right="3259" w:firstLine="603"/>
        <w:spacing w:after="0" w:line="275" w:lineRule="auto"/>
        <w:rPr>
          <w:sz w:val="20"/>
          <w:szCs w:val="20"/>
          <w:color w:val="auto"/>
        </w:rPr>
      </w:pPr>
      <w:r>
        <w:rPr>
          <w:rFonts w:ascii="Courier New" w:cs="Courier New" w:eastAsia="Courier New" w:hAnsi="Courier New"/>
          <w:sz w:val="14"/>
          <w:szCs w:val="14"/>
          <w:color w:val="auto"/>
        </w:rPr>
        <w:t>At January 2, 2000, the fair value of the Company's long-term debt, based upon quoted market prices, totalled $353,920,000 compared with the carrying amount of $397,620,000. At January 3, 1999, the Company's long-term debt of $395,000,000 consisted of commercial paper borrowings classified as long-term due to the Company's ability and intent to refinance such borrowings with long-term debt; the carrying value of these borrowings approximated fair value.</w:t>
      </w:r>
    </w:p>
    <w:p>
      <w:pPr>
        <w:spacing w:after="0" w:line="69" w:lineRule="exact"/>
        <w:rPr>
          <w:sz w:val="20"/>
          <w:szCs w:val="20"/>
          <w:color w:val="auto"/>
        </w:rPr>
      </w:pPr>
    </w:p>
    <w:p>
      <w:pPr>
        <w:ind w:right="3439" w:firstLine="603"/>
        <w:spacing w:after="0" w:line="375" w:lineRule="auto"/>
        <w:rPr>
          <w:sz w:val="20"/>
          <w:szCs w:val="20"/>
          <w:color w:val="auto"/>
        </w:rPr>
      </w:pPr>
      <w:r>
        <w:rPr>
          <w:rFonts w:ascii="Courier New" w:cs="Courier New" w:eastAsia="Courier New" w:hAnsi="Courier New"/>
          <w:sz w:val="14"/>
          <w:szCs w:val="14"/>
          <w:color w:val="auto"/>
        </w:rPr>
        <w:t>The carrying value of the Company's short-term borrowings at January 2, 2000 and January 3, 1999 approximates fair value.</w:t>
      </w:r>
    </w:p>
    <w:p>
      <w:pPr>
        <w:spacing w:after="0" w:line="1" w:lineRule="exact"/>
        <w:rPr>
          <w:sz w:val="20"/>
          <w:szCs w:val="20"/>
          <w:color w:val="auto"/>
        </w:rPr>
      </w:pPr>
    </w:p>
    <w:p>
      <w:pPr>
        <w:ind w:right="3259" w:firstLine="603"/>
        <w:spacing w:after="0" w:line="313" w:lineRule="auto"/>
        <w:rPr>
          <w:sz w:val="20"/>
          <w:szCs w:val="20"/>
          <w:color w:val="auto"/>
        </w:rPr>
      </w:pPr>
      <w:r>
        <w:rPr>
          <w:rFonts w:ascii="Courier New" w:cs="Courier New" w:eastAsia="Courier New" w:hAnsi="Courier New"/>
          <w:sz w:val="14"/>
          <w:szCs w:val="14"/>
          <w:color w:val="auto"/>
        </w:rPr>
        <w:t>The Company's borrowing arrangements contain various covenants, including financial covenants that require the Company to maintain at least $850,000,000 of consolidated shareholders' equity.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REDEEMABLE PREFERRED STOCK</w:t>
      </w:r>
    </w:p>
    <w:p>
      <w:pPr>
        <w:spacing w:after="0" w:line="33" w:lineRule="exact"/>
        <w:rPr>
          <w:sz w:val="20"/>
          <w:szCs w:val="20"/>
          <w:color w:val="auto"/>
        </w:rPr>
      </w:pPr>
    </w:p>
    <w:p>
      <w:pPr>
        <w:ind w:right="3259"/>
        <w:spacing w:after="0" w:line="264" w:lineRule="auto"/>
        <w:rPr>
          <w:sz w:val="20"/>
          <w:szCs w:val="20"/>
          <w:color w:val="auto"/>
        </w:rPr>
      </w:pPr>
      <w:r>
        <w:rPr>
          <w:rFonts w:ascii="Courier New" w:cs="Courier New" w:eastAsia="Courier New" w:hAnsi="Courier New"/>
          <w:sz w:val="14"/>
          <w:szCs w:val="14"/>
          <w:color w:val="auto"/>
        </w:rPr>
        <w:t>In connection with the acquisition of a cable television system in 1996, the Company issued 11,947 shares of its Series A Preferred Stock and agreed to issue an additional 1,282 shares of such stock on February 23, 2000 (which additional number of shares is subject to reduction in the event of any breach of the representations and warranties made by the seller in the acquisition agreement). During 1998, the Company redeemed 74 shares of the Series A Preferred Stock at the request of a Series A Preferred Stockholder.</w:t>
      </w:r>
    </w:p>
    <w:p>
      <w:pPr>
        <w:spacing w:after="0" w:line="78" w:lineRule="exact"/>
        <w:rPr>
          <w:sz w:val="20"/>
          <w:szCs w:val="20"/>
          <w:color w:val="auto"/>
        </w:rPr>
      </w:pPr>
    </w:p>
    <w:p>
      <w:pPr>
        <w:ind w:right="3259" w:firstLine="603"/>
        <w:spacing w:after="0" w:line="262" w:lineRule="auto"/>
        <w:rPr>
          <w:sz w:val="20"/>
          <w:szCs w:val="20"/>
          <w:color w:val="auto"/>
        </w:rPr>
      </w:pPr>
      <w:r>
        <w:rPr>
          <w:rFonts w:ascii="Courier New" w:cs="Courier New" w:eastAsia="Courier New" w:hAnsi="Courier New"/>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with the first such period beginning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CAPITAL STOCK, STOCK AWARDS AND STOCK OPTIONS</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w:t>
      </w:r>
    </w:p>
    <w:p>
      <w:pPr>
        <w:spacing w:after="0" w:line="69" w:lineRule="exact"/>
        <w:rPr>
          <w:sz w:val="20"/>
          <w:szCs w:val="20"/>
          <w:color w:val="auto"/>
        </w:rPr>
      </w:pPr>
    </w:p>
    <w:p>
      <w:pPr>
        <w:ind w:right="3439" w:firstLine="603"/>
        <w:spacing w:after="0" w:line="313" w:lineRule="auto"/>
        <w:rPr>
          <w:sz w:val="20"/>
          <w:szCs w:val="20"/>
          <w:color w:val="auto"/>
        </w:rPr>
      </w:pPr>
      <w:r>
        <w:rPr>
          <w:rFonts w:ascii="Courier New" w:cs="Courier New" w:eastAsia="Courier New" w:hAnsi="Courier New"/>
          <w:sz w:val="14"/>
          <w:szCs w:val="14"/>
          <w:color w:val="auto"/>
        </w:rPr>
        <w:t>During 1999, 1998 and 1997, the Company purchased a total of 744,095, 41,033 and 846,290 shares, respectively, of its Class B common stock at a cost of approximately $425,865,000, $20,512,000 and $368,565,000.</w:t>
      </w:r>
    </w:p>
    <w:p>
      <w:pPr>
        <w:sectPr>
          <w:pgSz w:w="11900" w:h="16977" w:orient="portrait"/>
          <w:cols w:equalWidth="0" w:num="1">
            <w:col w:w="10159"/>
          </w:cols>
          <w:pgMar w:left="300" w:top="259" w:right="1440" w:bottom="0" w:gutter="0" w:footer="0" w:header="0"/>
        </w:sectPr>
      </w:pPr>
    </w:p>
    <w:bookmarkStart w:id="43" w:name="page44"/>
    <w:bookmarkEnd w:id="43"/>
    <w:p>
      <w:pPr>
        <w:ind w:right="3259"/>
        <w:spacing w:after="0" w:line="271" w:lineRule="auto"/>
        <w:rPr>
          <w:sz w:val="20"/>
          <w:szCs w:val="20"/>
          <w:color w:val="auto"/>
        </w:rPr>
      </w:pPr>
      <w:r>
        <w:rPr>
          <w:rFonts w:ascii="Courier New" w:cs="Courier New" w:eastAsia="Courier New" w:hAnsi="Courier New"/>
          <w:sz w:val="14"/>
          <w:szCs w:val="14"/>
          <w:color w:val="auto"/>
        </w:rPr>
        <w:t>STOCK AWARDS. In 1982, the Company adopted a long-term incentive compensation plan that, among other provisions, authorizes the awarding of Class B 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January 2, 2000, there were 90,260 shares reserved</w:t>
      </w: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281" w:right="1440" w:bottom="1440" w:gutter="0" w:footer="0" w:header="0"/>
        </w:sectPr>
      </w:pPr>
    </w:p>
    <w:bookmarkStart w:id="44" w:name="page45"/>
    <w:bookmarkEnd w:id="44"/>
    <w:p>
      <w:pPr>
        <w:spacing w:after="0" w:line="1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4"/>
          <w:szCs w:val="14"/>
          <w:color w:val="auto"/>
        </w:rPr>
        <w:t>for issuance under the incentive compensation plan. Of this number, 31,360 shares were subject to awards outstanding, and 58,900 shares were available for future awards. Activity related to stock awards under the long-term incentive compensation plan for the years ended January 2, 2000, January 3, 1999 and December 28, 1997 was as follows:</w:t>
      </w:r>
    </w:p>
    <w:p>
      <w:pPr>
        <w:spacing w:after="0" w:line="396" w:lineRule="exact"/>
        <w:rPr>
          <w:sz w:val="20"/>
          <w:szCs w:val="20"/>
          <w:color w:val="auto"/>
        </w:rPr>
      </w:pPr>
    </w:p>
    <w:p>
      <w:pPr>
        <w:ind w:left="2500"/>
        <w:spacing w:after="0"/>
        <w:tabs>
          <w:tab w:leader="none" w:pos="4380" w:val="left"/>
          <w:tab w:leader="none" w:pos="63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1900" w:type="dxa"/>
        <w:tblCellMar>
          <w:top w:w="0" w:type="dxa"/>
          <w:left w:w="0" w:type="dxa"/>
          <w:bottom w:w="0" w:type="dxa"/>
          <w:right w:w="0" w:type="dxa"/>
        </w:tblCellMar>
      </w:tblPr>
      <w:tr>
        <w:trPr>
          <w:trHeight w:val="147"/>
        </w:trPr>
        <w:tc>
          <w:tcPr>
            <w:tcW w:w="740" w:type="dxa"/>
            <w:vAlign w:val="bottom"/>
          </w:tcPr>
          <w:p>
            <w:pPr>
              <w:jc w:val="center"/>
              <w:ind w:right="148"/>
              <w:spacing w:after="0" w:line="147" w:lineRule="exact"/>
              <w:rPr>
                <w:sz w:val="20"/>
                <w:szCs w:val="20"/>
                <w:color w:val="auto"/>
              </w:rPr>
            </w:pPr>
            <w:r>
              <w:rPr>
                <w:rFonts w:ascii="Courier New" w:cs="Courier New" w:eastAsia="Courier New" w:hAnsi="Courier New"/>
                <w:sz w:val="14"/>
                <w:szCs w:val="14"/>
                <w:color w:val="auto"/>
              </w:rPr>
              <w:t>Number</w:t>
            </w:r>
          </w:p>
        </w:tc>
        <w:tc>
          <w:tcPr>
            <w:tcW w:w="980" w:type="dxa"/>
            <w:vAlign w:val="bottom"/>
          </w:tcPr>
          <w:p>
            <w:pPr>
              <w:jc w:val="center"/>
              <w:spacing w:after="0" w:line="147" w:lineRule="exact"/>
              <w:rPr>
                <w:sz w:val="20"/>
                <w:szCs w:val="20"/>
                <w:color w:val="auto"/>
              </w:rPr>
            </w:pPr>
            <w:r>
              <w:rPr>
                <w:rFonts w:ascii="Courier New" w:cs="Courier New" w:eastAsia="Courier New" w:hAnsi="Courier New"/>
                <w:sz w:val="14"/>
                <w:szCs w:val="14"/>
                <w:color w:val="auto"/>
              </w:rPr>
              <w:t>Average</w:t>
            </w:r>
          </w:p>
        </w:tc>
        <w:tc>
          <w:tcPr>
            <w:tcW w:w="960" w:type="dxa"/>
            <w:vAlign w:val="bottom"/>
          </w:tcPr>
          <w:p>
            <w:pPr>
              <w:jc w:val="center"/>
              <w:ind w:right="8"/>
              <w:spacing w:after="0" w:line="147" w:lineRule="exact"/>
              <w:rPr>
                <w:sz w:val="20"/>
                <w:szCs w:val="20"/>
                <w:color w:val="auto"/>
              </w:rPr>
            </w:pPr>
            <w:r>
              <w:rPr>
                <w:rFonts w:ascii="Courier New" w:cs="Courier New" w:eastAsia="Courier New" w:hAnsi="Courier New"/>
                <w:sz w:val="14"/>
                <w:szCs w:val="14"/>
                <w:color w:val="auto"/>
              </w:rPr>
              <w:t>Number</w:t>
            </w:r>
          </w:p>
        </w:tc>
        <w:tc>
          <w:tcPr>
            <w:tcW w:w="1060" w:type="dxa"/>
            <w:vAlign w:val="bottom"/>
          </w:tcPr>
          <w:p>
            <w:pPr>
              <w:jc w:val="center"/>
              <w:spacing w:after="0" w:line="147" w:lineRule="exact"/>
              <w:rPr>
                <w:sz w:val="20"/>
                <w:szCs w:val="20"/>
                <w:color w:val="auto"/>
              </w:rPr>
            </w:pPr>
            <w:r>
              <w:rPr>
                <w:rFonts w:ascii="Courier New" w:cs="Courier New" w:eastAsia="Courier New" w:hAnsi="Courier New"/>
                <w:sz w:val="14"/>
                <w:szCs w:val="14"/>
                <w:color w:val="auto"/>
              </w:rPr>
              <w:t>Average</w:t>
            </w:r>
          </w:p>
        </w:tc>
        <w:tc>
          <w:tcPr>
            <w:tcW w:w="960" w:type="dxa"/>
            <w:vAlign w:val="bottom"/>
          </w:tcPr>
          <w:p>
            <w:pPr>
              <w:jc w:val="center"/>
              <w:spacing w:after="0" w:line="147" w:lineRule="exact"/>
              <w:rPr>
                <w:sz w:val="20"/>
                <w:szCs w:val="20"/>
                <w:color w:val="auto"/>
              </w:rPr>
            </w:pPr>
            <w:r>
              <w:rPr>
                <w:rFonts w:ascii="Courier New" w:cs="Courier New" w:eastAsia="Courier New" w:hAnsi="Courier New"/>
                <w:sz w:val="14"/>
                <w:szCs w:val="14"/>
                <w:color w:val="auto"/>
              </w:rPr>
              <w:t>Number</w:t>
            </w:r>
          </w:p>
        </w:tc>
        <w:tc>
          <w:tcPr>
            <w:tcW w:w="820" w:type="dxa"/>
            <w:vAlign w:val="bottom"/>
          </w:tcPr>
          <w:p>
            <w:pPr>
              <w:jc w:val="center"/>
              <w:ind w:left="148"/>
              <w:spacing w:after="0" w:line="147" w:lineRule="exact"/>
              <w:rPr>
                <w:sz w:val="20"/>
                <w:szCs w:val="20"/>
                <w:color w:val="auto"/>
              </w:rPr>
            </w:pPr>
            <w:r>
              <w:rPr>
                <w:rFonts w:ascii="Courier New" w:cs="Courier New" w:eastAsia="Courier New" w:hAnsi="Courier New"/>
                <w:sz w:val="14"/>
                <w:szCs w:val="14"/>
                <w:color w:val="auto"/>
              </w:rPr>
              <w:t>Average</w:t>
            </w:r>
          </w:p>
        </w:tc>
      </w:tr>
      <w:tr>
        <w:trPr>
          <w:trHeight w:val="166"/>
        </w:trPr>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of</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w w:val="99"/>
              </w:rPr>
              <w:t>Award</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of</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w w:val="99"/>
              </w:rPr>
              <w:t>Award</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82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9"/>
              </w:rPr>
              <w:t>Award</w:t>
            </w:r>
          </w:p>
        </w:tc>
      </w:tr>
      <w:tr>
        <w:trPr>
          <w:trHeight w:val="192"/>
        </w:trPr>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Shares</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w w:val="99"/>
              </w:rPr>
              <w:t>Price</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Shares</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w w:val="99"/>
              </w:rPr>
              <w:t>Price</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9"/>
              </w:rPr>
              <w:t>Price</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Awards Outstanding</w:t>
            </w: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30,730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405.40</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32,331</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$ 281.19</w:t>
            </w:r>
          </w:p>
        </w:tc>
        <w:tc>
          <w:tcPr>
            <w:tcW w:w="10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30,490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$ 237.83</w:t>
            </w:r>
          </w:p>
        </w:tc>
        <w:tc>
          <w:tcPr>
            <w:tcW w:w="0" w:type="dxa"/>
            <w:vAlign w:val="bottom"/>
          </w:tcPr>
          <w:p>
            <w:pPr>
              <w:spacing w:after="0"/>
              <w:rPr>
                <w:sz w:val="1"/>
                <w:szCs w:val="1"/>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8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Awarded...........</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2,615</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543.02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14,120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522.56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351.68</w:t>
            </w:r>
          </w:p>
        </w:tc>
        <w:tc>
          <w:tcPr>
            <w:tcW w:w="0" w:type="dxa"/>
            <w:vAlign w:val="bottom"/>
          </w:tcPr>
          <w:p>
            <w:pPr>
              <w:spacing w:after="0"/>
              <w:rPr>
                <w:sz w:val="1"/>
                <w:szCs w:val="1"/>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Vested............</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349.00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244.10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228.96</w:t>
            </w:r>
          </w:p>
        </w:tc>
        <w:tc>
          <w:tcPr>
            <w:tcW w:w="0" w:type="dxa"/>
            <w:vAlign w:val="bottom"/>
          </w:tcPr>
          <w:p>
            <w:pPr>
              <w:spacing w:after="0"/>
              <w:rPr>
                <w:sz w:val="1"/>
                <w:szCs w:val="1"/>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Forfeited.........</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(1,818)</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479.90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293.83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285.35</w:t>
            </w:r>
          </w:p>
        </w:tc>
        <w:tc>
          <w:tcPr>
            <w:tcW w:w="0" w:type="dxa"/>
            <w:vAlign w:val="bottom"/>
          </w:tcPr>
          <w:p>
            <w:pPr>
              <w:spacing w:after="0"/>
              <w:rPr>
                <w:sz w:val="1"/>
                <w:szCs w:val="1"/>
                <w:color w:val="auto"/>
              </w:rPr>
            </w:pPr>
          </w:p>
        </w:tc>
      </w:tr>
      <w:tr>
        <w:trPr>
          <w:trHeight w:val="166"/>
        </w:trPr>
        <w:tc>
          <w:tcPr>
            <w:tcW w:w="1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End of year.........</w:t>
            </w:r>
          </w:p>
        </w:tc>
        <w:tc>
          <w:tcPr>
            <w:tcW w:w="57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780" w:type="dxa"/>
            <w:vAlign w:val="bottom"/>
            <w:vMerge w:val="continue"/>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412.86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30,730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$ 405.40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$ 281.19</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57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439" w:firstLine="603"/>
        <w:spacing w:after="0" w:line="313" w:lineRule="auto"/>
        <w:rPr>
          <w:sz w:val="20"/>
          <w:szCs w:val="20"/>
          <w:color w:val="auto"/>
        </w:rPr>
      </w:pPr>
      <w:r>
        <w:rPr>
          <w:rFonts w:ascii="Courier New" w:cs="Courier New" w:eastAsia="Courier New" w:hAnsi="Courier New"/>
          <w:sz w:val="14"/>
          <w:szCs w:val="14"/>
          <w:color w:val="auto"/>
        </w:rPr>
        <w:t>In addition to stock awards granted under the long-term incentive compensation plan, the Company also made stock awards of 1,750 shares in 1999, 938 shares in 1998, and 2,000 shares in 1997.</w:t>
      </w:r>
    </w:p>
    <w:p>
      <w:pPr>
        <w:spacing w:after="0" w:line="42" w:lineRule="exact"/>
        <w:rPr>
          <w:sz w:val="20"/>
          <w:szCs w:val="20"/>
          <w:color w:val="auto"/>
        </w:rPr>
      </w:pPr>
    </w:p>
    <w:p>
      <w:pPr>
        <w:ind w:right="3339" w:firstLine="603"/>
        <w:spacing w:after="0" w:line="271" w:lineRule="auto"/>
        <w:rPr>
          <w:sz w:val="20"/>
          <w:szCs w:val="20"/>
          <w:color w:val="auto"/>
        </w:rPr>
      </w:pPr>
      <w:r>
        <w:rPr>
          <w:rFonts w:ascii="Courier New" w:cs="Courier New" w:eastAsia="Courier New" w:hAnsi="Courier New"/>
          <w:sz w:val="14"/>
          <w:szCs w:val="14"/>
          <w:color w:val="auto"/>
        </w:rPr>
        <w:t>For the share awards outstanding at January 2, 2000, the aforementioned restriction will lapse in 2000 for 100 shares, 2001 for 17,683 shares, 2002 for 1,371 shares, 2003 for 15,794 shares, and 2004 for 1,100 shares. Stock-based compensation costs resulting from stock awards reduced net income by $2.2 million ($0.22 per share, basic and diluted), $1.9 million ($0.19 per share, basic and diluted), and $1.2 million ($0.11 per share, basic and diluted) in 1999, 1998 and 1997, respectively.</w:t>
      </w:r>
    </w:p>
    <w:p>
      <w:pPr>
        <w:spacing w:after="0" w:line="71"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4"/>
          <w:szCs w:val="14"/>
          <w:color w:val="auto"/>
        </w:rPr>
        <w:t>STOCK OPTIONS. The Company's employee stock option plan, which was adopted in 1971 and amended in 1993, reserves 1,900,000 shares of the Company's Class B common stock for options to be granted under the plan. The purchase price of the shares covered by an option cannot be less than the fair value on the granting date. At January 2, 2000, there were 524,000 shares reserved for issuance under the stock option plan, of which 156,497 shares were subject to options outstanding and 367,503 shares were available for future grants.</w:t>
      </w:r>
    </w:p>
    <w:p>
      <w:pPr>
        <w:spacing w:after="0" w:line="7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Changes in options outstanding for the years ended January 2, 2000,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 1999 and December 28, 1997 were as follows:</w:t>
      </w:r>
    </w:p>
    <w:p>
      <w:pPr>
        <w:spacing w:after="0" w:line="200" w:lineRule="exact"/>
        <w:rPr>
          <w:sz w:val="20"/>
          <w:szCs w:val="20"/>
          <w:color w:val="auto"/>
        </w:rPr>
      </w:pPr>
    </w:p>
    <w:p>
      <w:pPr>
        <w:spacing w:after="0" w:line="278" w:lineRule="exact"/>
        <w:rPr>
          <w:sz w:val="20"/>
          <w:szCs w:val="20"/>
          <w:color w:val="auto"/>
        </w:rPr>
      </w:pPr>
    </w:p>
    <w:p>
      <w:pPr>
        <w:ind w:left="2600"/>
        <w:spacing w:after="0"/>
        <w:tabs>
          <w:tab w:leader="none" w:pos="4460" w:val="left"/>
          <w:tab w:leader="none" w:pos="64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1980" w:type="dxa"/>
        <w:tblCellMar>
          <w:top w:w="0" w:type="dxa"/>
          <w:left w:w="0" w:type="dxa"/>
          <w:bottom w:w="0" w:type="dxa"/>
          <w:right w:w="0" w:type="dxa"/>
        </w:tblCellMar>
      </w:tblPr>
      <w:tr>
        <w:trPr>
          <w:trHeight w:val="147"/>
        </w:trPr>
        <w:tc>
          <w:tcPr>
            <w:tcW w:w="740" w:type="dxa"/>
            <w:vAlign w:val="bottom"/>
          </w:tcPr>
          <w:p>
            <w:pPr>
              <w:jc w:val="center"/>
              <w:ind w:right="148"/>
              <w:spacing w:after="0" w:line="147" w:lineRule="exact"/>
              <w:rPr>
                <w:sz w:val="20"/>
                <w:szCs w:val="20"/>
                <w:color w:val="auto"/>
              </w:rPr>
            </w:pPr>
            <w:r>
              <w:rPr>
                <w:rFonts w:ascii="Courier New" w:cs="Courier New" w:eastAsia="Courier New" w:hAnsi="Courier New"/>
                <w:sz w:val="14"/>
                <w:szCs w:val="14"/>
                <w:color w:val="auto"/>
              </w:rPr>
              <w:t>Number</w:t>
            </w:r>
          </w:p>
        </w:tc>
        <w:tc>
          <w:tcPr>
            <w:tcW w:w="100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rPr>
              <w:t>Average</w:t>
            </w:r>
          </w:p>
        </w:tc>
        <w:tc>
          <w:tcPr>
            <w:tcW w:w="940" w:type="dxa"/>
            <w:vAlign w:val="bottom"/>
          </w:tcPr>
          <w:p>
            <w:pPr>
              <w:jc w:val="center"/>
              <w:ind w:right="28"/>
              <w:spacing w:after="0" w:line="147" w:lineRule="exact"/>
              <w:rPr>
                <w:sz w:val="20"/>
                <w:szCs w:val="20"/>
                <w:color w:val="auto"/>
              </w:rPr>
            </w:pPr>
            <w:r>
              <w:rPr>
                <w:rFonts w:ascii="Courier New" w:cs="Courier New" w:eastAsia="Courier New" w:hAnsi="Courier New"/>
                <w:sz w:val="14"/>
                <w:szCs w:val="14"/>
                <w:color w:val="auto"/>
              </w:rPr>
              <w:t>Number</w:t>
            </w:r>
          </w:p>
        </w:tc>
        <w:tc>
          <w:tcPr>
            <w:tcW w:w="108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Average</w:t>
            </w:r>
          </w:p>
        </w:tc>
        <w:tc>
          <w:tcPr>
            <w:tcW w:w="940" w:type="dxa"/>
            <w:vAlign w:val="bottom"/>
          </w:tcPr>
          <w:p>
            <w:pPr>
              <w:jc w:val="center"/>
              <w:spacing w:after="0" w:line="147" w:lineRule="exact"/>
              <w:rPr>
                <w:sz w:val="20"/>
                <w:szCs w:val="20"/>
                <w:color w:val="auto"/>
              </w:rPr>
            </w:pPr>
            <w:r>
              <w:rPr>
                <w:rFonts w:ascii="Courier New" w:cs="Courier New" w:eastAsia="Courier New" w:hAnsi="Courier New"/>
                <w:sz w:val="14"/>
                <w:szCs w:val="14"/>
                <w:color w:val="auto"/>
              </w:rPr>
              <w:t>Number</w:t>
            </w:r>
          </w:p>
        </w:tc>
        <w:tc>
          <w:tcPr>
            <w:tcW w:w="8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Average</w:t>
            </w:r>
          </w:p>
        </w:tc>
      </w:tr>
      <w:tr>
        <w:trPr>
          <w:trHeight w:val="166"/>
        </w:trPr>
        <w:tc>
          <w:tcPr>
            <w:tcW w:w="7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of</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w:t>
            </w:r>
          </w:p>
        </w:tc>
        <w:tc>
          <w:tcPr>
            <w:tcW w:w="9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of</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Option</w:t>
            </w:r>
          </w:p>
        </w:tc>
      </w:tr>
      <w:tr>
        <w:trPr>
          <w:trHeight w:val="192"/>
        </w:trPr>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Shares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9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Beginning of year...</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246,072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404.482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371.35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178,625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270.21</w:t>
            </w:r>
          </w:p>
        </w:tc>
        <w:tc>
          <w:tcPr>
            <w:tcW w:w="0" w:type="dxa"/>
            <w:vAlign w:val="bottom"/>
          </w:tcPr>
          <w:p>
            <w:pPr>
              <w:spacing w:after="0"/>
              <w:rPr>
                <w:sz w:val="1"/>
                <w:szCs w:val="1"/>
                <w:color w:val="auto"/>
              </w:rPr>
            </w:pPr>
          </w:p>
        </w:tc>
      </w:tr>
      <w:tr>
        <w:trPr>
          <w:trHeight w:val="166"/>
        </w:trPr>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Granted...........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25,500</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519.32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80,200</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583.62</w:t>
            </w:r>
          </w:p>
        </w:tc>
        <w:tc>
          <w:tcPr>
            <w:tcW w:w="0" w:type="dxa"/>
            <w:vAlign w:val="bottom"/>
          </w:tcPr>
          <w:p>
            <w:pPr>
              <w:spacing w:after="0"/>
              <w:rPr>
                <w:sz w:val="1"/>
                <w:szCs w:val="1"/>
                <w:color w:val="auto"/>
              </w:rPr>
            </w:pPr>
          </w:p>
        </w:tc>
      </w:tr>
      <w:tr>
        <w:trPr>
          <w:trHeight w:val="166"/>
        </w:trPr>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Exercised.........</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(87,825)</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288.43</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(30,653)</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228.53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(7,600)</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234.20</w:t>
            </w:r>
          </w:p>
        </w:tc>
        <w:tc>
          <w:tcPr>
            <w:tcW w:w="0" w:type="dxa"/>
            <w:vAlign w:val="bottom"/>
          </w:tcPr>
          <w:p>
            <w:pPr>
              <w:spacing w:after="0"/>
              <w:rPr>
                <w:sz w:val="1"/>
                <w:szCs w:val="1"/>
                <w:color w:val="auto"/>
              </w:rPr>
            </w:pPr>
          </w:p>
        </w:tc>
      </w:tr>
      <w:tr>
        <w:trPr>
          <w:trHeight w:val="166"/>
        </w:trPr>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Forfeited.........</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450.86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End of year.........</w:t>
            </w:r>
          </w:p>
        </w:tc>
        <w:tc>
          <w:tcPr>
            <w:tcW w:w="5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820" w:type="dxa"/>
            <w:vAlign w:val="bottom"/>
            <w:vMerge w:val="continue"/>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156,497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470.642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46,072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404.48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251,225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371.35</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57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3339" w:firstLine="603"/>
        <w:spacing w:after="0" w:line="292" w:lineRule="auto"/>
        <w:rPr>
          <w:sz w:val="20"/>
          <w:szCs w:val="20"/>
          <w:color w:val="auto"/>
        </w:rPr>
      </w:pPr>
      <w:r>
        <w:rPr>
          <w:rFonts w:ascii="Courier New" w:cs="Courier New" w:eastAsia="Courier New" w:hAnsi="Courier New"/>
          <w:sz w:val="14"/>
          <w:szCs w:val="14"/>
          <w:color w:val="auto"/>
        </w:rPr>
        <w:t>Of the shares covered by options outstanding at the end of 1999, 109,022 are now exercisable, 22,342 will become exercisable in 2000, 17,925 will become exercisable in 2001, 6,625 will become exercisable in 2002, and 583 will become exercisable in 2003.</w:t>
      </w:r>
    </w:p>
    <w:p>
      <w:pPr>
        <w:spacing w:after="0" w:line="56" w:lineRule="exact"/>
        <w:rPr>
          <w:sz w:val="20"/>
          <w:szCs w:val="20"/>
          <w:color w:val="auto"/>
        </w:rPr>
      </w:pPr>
    </w:p>
    <w:p>
      <w:pPr>
        <w:ind w:right="3259" w:firstLine="603"/>
        <w:spacing w:after="0" w:line="376" w:lineRule="auto"/>
        <w:rPr>
          <w:sz w:val="20"/>
          <w:szCs w:val="20"/>
          <w:color w:val="auto"/>
        </w:rPr>
      </w:pPr>
      <w:r>
        <w:rPr>
          <w:rFonts w:ascii="Courier New" w:cs="Courier New" w:eastAsia="Courier New" w:hAnsi="Courier New"/>
          <w:sz w:val="14"/>
          <w:szCs w:val="14"/>
          <w:color w:val="auto"/>
        </w:rPr>
        <w:t>Information related to stock options outstanding at January 2, 2000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Weighted</w:t>
            </w:r>
          </w:p>
        </w:tc>
        <w:tc>
          <w:tcPr>
            <w:tcW w:w="10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Number</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average</w:t>
            </w:r>
          </w:p>
        </w:tc>
        <w:tc>
          <w:tcPr>
            <w:tcW w:w="1020" w:type="dxa"/>
            <w:vAlign w:val="bottom"/>
            <w:vMerge w:val="continue"/>
          </w:tcPr>
          <w:p>
            <w:pPr>
              <w:spacing w:after="0"/>
              <w:rPr>
                <w:sz w:val="14"/>
                <w:szCs w:val="14"/>
                <w:color w:val="auto"/>
              </w:rPr>
            </w:pPr>
          </w:p>
        </w:tc>
        <w:tc>
          <w:tcPr>
            <w:tcW w:w="13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Number</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spacing w:after="0"/>
              <w:rPr>
                <w:sz w:val="20"/>
                <w:szCs w:val="20"/>
                <w:color w:val="auto"/>
              </w:rPr>
            </w:pPr>
            <w:r>
              <w:rPr>
                <w:rFonts w:ascii="Courier New" w:cs="Courier New" w:eastAsia="Courier New" w:hAnsi="Courier New"/>
                <w:sz w:val="14"/>
                <w:szCs w:val="14"/>
                <w:color w:val="auto"/>
              </w:rPr>
              <w:t>Range of</w:t>
            </w:r>
          </w:p>
        </w:tc>
        <w:tc>
          <w:tcPr>
            <w:tcW w:w="1240" w:type="dxa"/>
            <w:vAlign w:val="bottom"/>
            <w:vMerge w:val="continue"/>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remaining</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c>
          <w:tcPr>
            <w:tcW w:w="1300" w:type="dxa"/>
            <w:vAlign w:val="bottom"/>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contractual</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exercisable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exercise prices</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at 1/2/00</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life (yrs.)</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at 1/2/00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$ 173</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$ 173.00</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$ 173.00</w:t>
            </w: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222-299</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30,675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247.70</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30,675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247.70</w:t>
            </w: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344-350</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17,497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344.44</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12,347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344.29</w:t>
            </w: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472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41,575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472.00</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472.00</w:t>
            </w: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509-570</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519.10</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520.70</w:t>
            </w:r>
          </w:p>
        </w:tc>
      </w:tr>
      <w:tr>
        <w:trPr>
          <w:trHeight w:val="242"/>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733</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733.00</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733.00</w:t>
            </w:r>
          </w:p>
        </w:tc>
      </w:tr>
    </w:tbl>
    <w:p>
      <w:pPr>
        <w:spacing w:after="0" w:line="255" w:lineRule="exact"/>
        <w:rPr>
          <w:sz w:val="20"/>
          <w:szCs w:val="20"/>
          <w:color w:val="auto"/>
        </w:rPr>
      </w:pPr>
    </w:p>
    <w:p>
      <w:pPr>
        <w:ind w:right="3339" w:firstLine="603"/>
        <w:spacing w:after="0" w:line="275" w:lineRule="auto"/>
        <w:rPr>
          <w:sz w:val="20"/>
          <w:szCs w:val="20"/>
          <w:color w:val="auto"/>
        </w:rPr>
      </w:pPr>
      <w:r>
        <w:rPr>
          <w:rFonts w:ascii="Courier New" w:cs="Courier New" w:eastAsia="Courier New" w:hAnsi="Courier New"/>
          <w:sz w:val="14"/>
          <w:szCs w:val="14"/>
          <w:color w:val="auto"/>
        </w:rPr>
        <w:t>All options were granted at an exercise price equal to or greater than the fair market value of the Company's common stock at the date of grant. The weighted-average fair value for options granted during 1999, 1998 and 1997 was $157.77, $126.57 and $87.94, respectively. The fair value of options at date of grant was estimated using the Black-Scholes method utilizing the following assumptions:</w:t>
      </w:r>
    </w:p>
    <w:p>
      <w:pPr>
        <w:sectPr>
          <w:pgSz w:w="11900" w:h="16950" w:orient="portrait"/>
          <w:cols w:equalWidth="0" w:num="1">
            <w:col w:w="10159"/>
          </w:cols>
          <w:pgMar w:left="300" w:top="259" w:right="1440" w:bottom="0" w:gutter="0" w:footer="0" w:header="0"/>
        </w:sectPr>
      </w:pPr>
    </w:p>
    <w:bookmarkStart w:id="45" w:name="page46"/>
    <w:bookmarkEnd w:id="45"/>
    <w:p>
      <w:pPr>
        <w:ind w:left="4480"/>
        <w:spacing w:after="0"/>
        <w:tabs>
          <w:tab w:leader="none" w:pos="5760" w:val="left"/>
          <w:tab w:leader="none" w:pos="70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Expected life (years)..........................</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Volatility.....................................</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r>
      <w:tr>
        <w:trPr>
          <w:trHeight w:val="242"/>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200" w:lineRule="exact"/>
        <w:rPr>
          <w:sz w:val="20"/>
          <w:szCs w:val="20"/>
          <w:color w:val="auto"/>
        </w:rPr>
      </w:pPr>
    </w:p>
    <w:p>
      <w:pPr>
        <w:spacing w:after="0" w:line="221" w:lineRule="exact"/>
        <w:rPr>
          <w:sz w:val="20"/>
          <w:szCs w:val="20"/>
          <w:color w:val="auto"/>
        </w:rPr>
      </w:pPr>
    </w:p>
    <w:p>
      <w:pPr>
        <w:ind w:right="3259" w:firstLine="603"/>
        <w:spacing w:after="0" w:line="281" w:lineRule="auto"/>
        <w:rPr>
          <w:sz w:val="20"/>
          <w:szCs w:val="20"/>
          <w:color w:val="auto"/>
        </w:rPr>
      </w:pPr>
      <w:r>
        <w:rPr>
          <w:rFonts w:ascii="Courier New" w:cs="Courier New" w:eastAsia="Courier New" w:hAnsi="Courier New"/>
          <w:sz w:val="14"/>
          <w:szCs w:val="14"/>
          <w:color w:val="auto"/>
        </w:rPr>
        <w:t>Had the fair values of option granted after 1995 been recognized as compensation expense, net income would have been reduced by $1.9 million ($0.19 per share, basic and diluted), $2.0 million ($0.19 per share, basic and diluted) and $1.6 million ($0.15 per share, basic and diluted) in 1999, 1998 and 1997 respectively.</w:t>
      </w:r>
    </w:p>
    <w:p>
      <w:pPr>
        <w:spacing w:after="0" w:line="65" w:lineRule="exact"/>
        <w:rPr>
          <w:sz w:val="20"/>
          <w:szCs w:val="20"/>
          <w:color w:val="auto"/>
        </w:rPr>
      </w:pPr>
    </w:p>
    <w:p>
      <w:pPr>
        <w:ind w:right="3259" w:firstLine="603"/>
        <w:spacing w:after="0" w:line="272" w:lineRule="auto"/>
        <w:rPr>
          <w:sz w:val="20"/>
          <w:szCs w:val="20"/>
          <w:color w:val="auto"/>
        </w:rPr>
      </w:pPr>
      <w:r>
        <w:rPr>
          <w:rFonts w:ascii="Courier New" w:cs="Courier New" w:eastAsia="Courier New" w:hAnsi="Courier New"/>
          <w:sz w:val="14"/>
          <w:szCs w:val="14"/>
          <w:color w:val="auto"/>
        </w:rPr>
        <w:t>The Company also maintains stock option and stock appreciation right plans at its Kaplan subsidiary that provide for the issuance of stock options representing 10 percent of Kaplan, Inc. stock and the issuance of stock appreciation rights to certain members of Kaplan's management. These options and appreciation rights vest ratably over five years from issuance. For 1999 and 1998, the Company recorded expense of $7,200,000 and $6,000,000 related to these plans.</w:t>
      </w:r>
    </w:p>
    <w:p>
      <w:pPr>
        <w:spacing w:after="0" w:line="246" w:lineRule="exact"/>
        <w:rPr>
          <w:sz w:val="20"/>
          <w:szCs w:val="20"/>
          <w:color w:val="auto"/>
        </w:rPr>
      </w:pPr>
    </w:p>
    <w:p>
      <w:pPr>
        <w:jc w:val="both"/>
        <w:ind w:right="3339"/>
        <w:spacing w:after="0" w:line="281" w:lineRule="auto"/>
        <w:rPr>
          <w:sz w:val="20"/>
          <w:szCs w:val="20"/>
          <w:color w:val="auto"/>
        </w:rPr>
      </w:pPr>
      <w:r>
        <w:rPr>
          <w:rFonts w:ascii="Courier New" w:cs="Courier New" w:eastAsia="Courier New" w:hAnsi="Courier New"/>
          <w:sz w:val="14"/>
          <w:szCs w:val="14"/>
          <w:color w:val="auto"/>
        </w:rPr>
        <w:t>AVERAGE NUMBER OF SHARES OUTSTANDING. Basic earnings per share are based on the weighted average number of shares of common stock outstanding during each year. Diluted earnings per common share are based upon the weighted average number of shares of common stock outstanding each year, adjusted for the dilutive effect of shares</w:t>
      </w:r>
    </w:p>
    <w:p>
      <w:pPr>
        <w:spacing w:after="0" w:line="3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12"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40</w:t>
      </w:r>
    </w:p>
    <w:p>
      <w:pPr>
        <w:spacing w:after="0" w:line="33" w:lineRule="exact"/>
        <w:rPr>
          <w:sz w:val="20"/>
          <w:szCs w:val="20"/>
          <w:color w:val="auto"/>
        </w:rPr>
      </w:pPr>
    </w:p>
    <w:p>
      <w:pPr>
        <w:ind w:right="4120"/>
        <w:spacing w:after="0" w:line="336" w:lineRule="auto"/>
        <w:rPr>
          <w:sz w:val="20"/>
          <w:szCs w:val="20"/>
          <w:color w:val="auto"/>
        </w:rPr>
      </w:pPr>
      <w:r>
        <w:rPr>
          <w:rFonts w:ascii="Courier New" w:cs="Courier New" w:eastAsia="Courier New" w:hAnsi="Courier New"/>
          <w:sz w:val="14"/>
          <w:szCs w:val="14"/>
          <w:color w:val="auto"/>
        </w:rPr>
        <w:t>issuable under outstanding stock options. Basic and diluted weighted average share information for 1999, 1998 and 1997 is as follows:</w:t>
      </w:r>
    </w:p>
    <w:p>
      <w:pPr>
        <w:spacing w:after="0" w:line="358" w:lineRule="exact"/>
        <w:rPr>
          <w:sz w:val="20"/>
          <w:szCs w:val="20"/>
          <w:color w:val="auto"/>
        </w:rPr>
      </w:pPr>
    </w:p>
    <w:tbl>
      <w:tblPr>
        <w:tblLayout w:type="fixed"/>
        <w:tblInd w:w="3360" w:type="dxa"/>
        <w:tblCellMar>
          <w:top w:w="0" w:type="dxa"/>
          <w:left w:w="0" w:type="dxa"/>
          <w:bottom w:w="0" w:type="dxa"/>
          <w:right w:w="0" w:type="dxa"/>
        </w:tblCellMar>
      </w:tblPr>
      <w:tr>
        <w:trPr>
          <w:trHeight w:val="166"/>
        </w:trPr>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Basic</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Dilutive</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w w:val="98"/>
              </w:rPr>
              <w:t>Diluted</w:t>
            </w:r>
          </w:p>
        </w:tc>
      </w:tr>
      <w:tr>
        <w:trPr>
          <w:trHeight w:val="166"/>
        </w:trPr>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Weighted</w:t>
            </w:r>
          </w:p>
        </w:tc>
        <w:tc>
          <w:tcPr>
            <w:tcW w:w="15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Effect of</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w w:val="98"/>
              </w:rPr>
              <w:t>Average</w:t>
            </w:r>
          </w:p>
        </w:tc>
      </w:tr>
      <w:tr>
        <w:trPr>
          <w:trHeight w:val="192"/>
        </w:trPr>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Options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Shares</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40" w:type="dxa"/>
            <w:vAlign w:val="bottom"/>
          </w:tcPr>
          <w:p>
            <w:pPr>
              <w:spacing w:after="0"/>
              <w:rPr>
                <w:sz w:val="20"/>
                <w:szCs w:val="20"/>
                <w:color w:val="auto"/>
              </w:rPr>
            </w:pPr>
            <w:r>
              <w:rPr>
                <w:rFonts w:ascii="Courier New" w:cs="Courier New" w:eastAsia="Courier New" w:hAnsi="Courier New"/>
                <w:sz w:val="6"/>
                <w:szCs w:val="6"/>
                <w:color w:val="auto"/>
                <w:w w:val="80"/>
              </w:rPr>
              <w:t>1999...............................</w:t>
            </w:r>
          </w:p>
        </w:tc>
        <w:tc>
          <w:tcPr>
            <w:tcW w:w="3660" w:type="dxa"/>
            <w:vAlign w:val="bottom"/>
          </w:tcPr>
          <w:p>
            <w:pPr>
              <w:ind w:left="2420"/>
              <w:spacing w:after="0"/>
              <w:rPr>
                <w:sz w:val="20"/>
                <w:szCs w:val="20"/>
                <w:color w:val="auto"/>
              </w:rPr>
            </w:pPr>
            <w:r>
              <w:rPr>
                <w:rFonts w:ascii="Courier New" w:cs="Courier New" w:eastAsia="Courier New" w:hAnsi="Courier New"/>
                <w:sz w:val="14"/>
                <w:szCs w:val="14"/>
                <w:color w:val="auto"/>
              </w:rPr>
              <w:t>10,060,578</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21,206</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10,081,784</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6"/>
                <w:szCs w:val="6"/>
                <w:color w:val="auto"/>
                <w:w w:val="80"/>
              </w:rPr>
              <w:t>1998...............................</w:t>
            </w:r>
          </w:p>
        </w:tc>
        <w:tc>
          <w:tcPr>
            <w:tcW w:w="3660" w:type="dxa"/>
            <w:vAlign w:val="bottom"/>
          </w:tcPr>
          <w:p>
            <w:pPr>
              <w:ind w:left="2420"/>
              <w:spacing w:after="0"/>
              <w:rPr>
                <w:sz w:val="20"/>
                <w:szCs w:val="20"/>
                <w:color w:val="auto"/>
              </w:rPr>
            </w:pPr>
            <w:r>
              <w:rPr>
                <w:rFonts w:ascii="Courier New" w:cs="Courier New" w:eastAsia="Courier New" w:hAnsi="Courier New"/>
                <w:sz w:val="14"/>
                <w:szCs w:val="14"/>
                <w:color w:val="auto"/>
              </w:rPr>
              <w:t>10,086,786</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42,170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10,128,956</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Courier New" w:cs="Courier New" w:eastAsia="Courier New" w:hAnsi="Courier New"/>
                <w:sz w:val="6"/>
                <w:szCs w:val="6"/>
                <w:color w:val="auto"/>
                <w:w w:val="80"/>
              </w:rPr>
              <w:t>1997...............................</w:t>
            </w:r>
          </w:p>
        </w:tc>
        <w:tc>
          <w:tcPr>
            <w:tcW w:w="3660" w:type="dxa"/>
            <w:vAlign w:val="bottom"/>
          </w:tcPr>
          <w:p>
            <w:pPr>
              <w:ind w:left="2420"/>
              <w:spacing w:after="0"/>
              <w:rPr>
                <w:sz w:val="20"/>
                <w:szCs w:val="20"/>
                <w:color w:val="auto"/>
              </w:rPr>
            </w:pPr>
            <w:r>
              <w:rPr>
                <w:rFonts w:ascii="Courier New" w:cs="Courier New" w:eastAsia="Courier New" w:hAnsi="Courier New"/>
                <w:sz w:val="14"/>
                <w:szCs w:val="14"/>
                <w:color w:val="auto"/>
              </w:rPr>
              <w:t>10,699,713</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33,278</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10,732,991</w:t>
            </w:r>
          </w:p>
        </w:tc>
        <w:tc>
          <w:tcPr>
            <w:tcW w:w="0" w:type="dxa"/>
            <w:vAlign w:val="bottom"/>
          </w:tcPr>
          <w:p>
            <w:pPr>
              <w:spacing w:after="0"/>
              <w:rPr>
                <w:sz w:val="1"/>
                <w:szCs w:val="1"/>
                <w:color w:val="auto"/>
              </w:rPr>
            </w:pPr>
          </w:p>
        </w:tc>
      </w:tr>
      <w:tr>
        <w:trPr>
          <w:trHeight w:val="421"/>
        </w:trPr>
        <w:tc>
          <w:tcPr>
            <w:tcW w:w="1040" w:type="dxa"/>
            <w:vAlign w:val="bottom"/>
          </w:tcPr>
          <w:p>
            <w:pPr>
              <w:spacing w:after="0"/>
              <w:rPr>
                <w:sz w:val="20"/>
                <w:szCs w:val="20"/>
                <w:color w:val="auto"/>
              </w:rPr>
            </w:pPr>
            <w:r>
              <w:rPr>
                <w:rFonts w:ascii="Courier New" w:cs="Courier New" w:eastAsia="Courier New" w:hAnsi="Courier New"/>
                <w:sz w:val="14"/>
                <w:szCs w:val="14"/>
                <w:color w:val="auto"/>
              </w:rPr>
              <w:t>I. PENSIONS</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AND OTHER POSTRETIREMENT PLANS</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maintains various pension and incentive savings plans and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contributes</w:t>
            </w:r>
          </w:p>
        </w:tc>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to several multi-employer plans on behalf of certain union</w:t>
            </w:r>
          </w:p>
        </w:tc>
        <w:tc>
          <w:tcPr>
            <w:tcW w:w="9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are</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Courier New" w:cs="Courier New" w:eastAsia="Courier New" w:hAnsi="Courier New"/>
                <w:sz w:val="14"/>
                <w:szCs w:val="14"/>
                <w:color w:val="auto"/>
              </w:rPr>
              <w:t>represented</w:t>
            </w:r>
          </w:p>
        </w:tc>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employee groups. Substantially all of the Company's employees</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covered by these plans.</w:t>
      </w:r>
    </w:p>
    <w:p>
      <w:pPr>
        <w:spacing w:after="0" w:line="147" w:lineRule="exact"/>
        <w:rPr>
          <w:sz w:val="20"/>
          <w:szCs w:val="20"/>
          <w:color w:val="auto"/>
        </w:rPr>
      </w:pPr>
    </w:p>
    <w:p>
      <w:pPr>
        <w:ind w:right="4040" w:firstLine="603"/>
        <w:spacing w:after="0" w:line="313" w:lineRule="auto"/>
        <w:rPr>
          <w:sz w:val="20"/>
          <w:szCs w:val="20"/>
          <w:color w:val="auto"/>
        </w:rPr>
      </w:pPr>
      <w:r>
        <w:rPr>
          <w:rFonts w:ascii="Courier New" w:cs="Courier New" w:eastAsia="Courier New" w:hAnsi="Courier New"/>
          <w:sz w:val="14"/>
          <w:szCs w:val="14"/>
          <w:color w:val="auto"/>
        </w:rPr>
        <w:t>The Company also provides health care and life insurance benefits to certain retired employees. These employees become eligible for benefits after meeting age and service requirements.</w:t>
      </w:r>
    </w:p>
    <w:p>
      <w:pPr>
        <w:spacing w:after="0" w:line="42" w:lineRule="exact"/>
        <w:rPr>
          <w:sz w:val="20"/>
          <w:szCs w:val="20"/>
          <w:color w:val="auto"/>
        </w:rPr>
      </w:pPr>
    </w:p>
    <w:p>
      <w:pPr>
        <w:ind w:right="3780" w:firstLine="603"/>
        <w:spacing w:after="0" w:line="313" w:lineRule="auto"/>
        <w:rPr>
          <w:sz w:val="20"/>
          <w:szCs w:val="20"/>
          <w:color w:val="auto"/>
        </w:rPr>
      </w:pPr>
      <w:r>
        <w:rPr>
          <w:rFonts w:ascii="Courier New" w:cs="Courier New" w:eastAsia="Courier New" w:hAnsi="Courier New"/>
          <w:sz w:val="14"/>
          <w:szCs w:val="14"/>
          <w:color w:val="auto"/>
        </w:rPr>
        <w:t>The following table sets forth obligation, asset and funding information for the Company's defined benefit pension and postretirement plans at January 2, 2000 and January 3, 1999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3"/>
          </w:tcPr>
          <w:p>
            <w:pPr>
              <w:jc w:val="right"/>
              <w:ind w:right="688"/>
              <w:spacing w:after="0"/>
              <w:rPr>
                <w:sz w:val="20"/>
                <w:szCs w:val="20"/>
                <w:color w:val="auto"/>
              </w:rPr>
            </w:pPr>
            <w:r>
              <w:rPr>
                <w:rFonts w:ascii="Courier New" w:cs="Courier New" w:eastAsia="Courier New" w:hAnsi="Courier New"/>
                <w:sz w:val="14"/>
                <w:szCs w:val="14"/>
                <w:color w:val="auto"/>
              </w:rPr>
              <w:t>Pension Plans</w:t>
            </w:r>
          </w:p>
        </w:tc>
        <w:tc>
          <w:tcPr>
            <w:tcW w:w="260" w:type="dxa"/>
            <w:vAlign w:val="bottom"/>
          </w:tcPr>
          <w:p>
            <w:pPr>
              <w:spacing w:after="0"/>
              <w:rPr>
                <w:sz w:val="14"/>
                <w:szCs w:val="14"/>
                <w:color w:val="auto"/>
              </w:rPr>
            </w:pPr>
          </w:p>
        </w:tc>
        <w:tc>
          <w:tcPr>
            <w:tcW w:w="2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Postretirement Benefits</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5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21"/>
                <w:szCs w:val="21"/>
                <w:color w:val="auto"/>
              </w:rPr>
            </w:pPr>
          </w:p>
        </w:tc>
        <w:tc>
          <w:tcPr>
            <w:tcW w:w="49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338,045</w:t>
            </w:r>
          </w:p>
        </w:tc>
        <w:tc>
          <w:tcPr>
            <w:tcW w:w="3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284,278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107,779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101,255</w:t>
            </w:r>
          </w:p>
        </w:tc>
        <w:tc>
          <w:tcPr>
            <w:tcW w:w="0" w:type="dxa"/>
            <w:vAlign w:val="bottom"/>
          </w:tcPr>
          <w:p>
            <w:pPr>
              <w:spacing w:after="0"/>
              <w:rPr>
                <w:sz w:val="1"/>
                <w:szCs w:val="1"/>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of year.............................</w:t>
            </w: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14,756</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11,335</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3,585</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3,764</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Interest cost.........................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23,584</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21,344</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6,039</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7,417</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Amendments............................</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3,205</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4,690</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2,379</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Actuarial (gain) loss.................</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(22,281)</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26,871</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(27,981)</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(12,698)</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(10,473)</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(4,863)</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(4,812)</w:t>
            </w:r>
          </w:p>
        </w:tc>
        <w:tc>
          <w:tcPr>
            <w:tcW w:w="0" w:type="dxa"/>
            <w:vAlign w:val="bottom"/>
          </w:tcPr>
          <w:p>
            <w:pPr>
              <w:spacing w:after="0"/>
              <w:rPr>
                <w:sz w:val="1"/>
                <w:szCs w:val="1"/>
                <w:color w:val="auto"/>
              </w:rPr>
            </w:pPr>
          </w:p>
        </w:tc>
      </w:tr>
      <w:tr>
        <w:trPr>
          <w:trHeight w:val="242"/>
        </w:trPr>
        <w:tc>
          <w:tcPr>
            <w:tcW w:w="35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Benefit obligation at end</w:t>
            </w:r>
          </w:p>
        </w:tc>
        <w:tc>
          <w:tcPr>
            <w:tcW w:w="5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580" w:type="dxa"/>
            <w:vAlign w:val="bottom"/>
            <w:vMerge w:val="continue"/>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344,611</w:t>
            </w:r>
          </w:p>
        </w:tc>
        <w:tc>
          <w:tcPr>
            <w:tcW w:w="3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338,045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86,938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107,779</w:t>
            </w:r>
          </w:p>
        </w:tc>
        <w:tc>
          <w:tcPr>
            <w:tcW w:w="0" w:type="dxa"/>
            <w:vAlign w:val="bottom"/>
          </w:tcPr>
          <w:p>
            <w:pPr>
              <w:spacing w:after="0"/>
              <w:rPr>
                <w:sz w:val="1"/>
                <w:szCs w:val="1"/>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of year.............................</w:t>
            </w: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rPr>
              <w:t>CHANGE IN PLAN ASSETS</w:t>
            </w:r>
          </w:p>
        </w:tc>
        <w:tc>
          <w:tcPr>
            <w:tcW w:w="5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Fair value of assets at beginning</w:t>
            </w:r>
          </w:p>
        </w:tc>
        <w:tc>
          <w:tcPr>
            <w:tcW w:w="13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$ 1,308,418</w:t>
            </w:r>
          </w:p>
        </w:tc>
        <w:tc>
          <w:tcPr>
            <w:tcW w:w="132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$ 1,014,531</w:t>
            </w:r>
          </w:p>
        </w:tc>
        <w:tc>
          <w:tcPr>
            <w:tcW w:w="260" w:type="dxa"/>
            <w:vAlign w:val="bottom"/>
          </w:tcPr>
          <w:p>
            <w:pPr>
              <w:spacing w:after="0"/>
              <w:rPr>
                <w:sz w:val="14"/>
                <w:szCs w:val="14"/>
                <w:color w:val="auto"/>
              </w:rPr>
            </w:pP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of year.............................</w:t>
            </w: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Actual return on plan assets..........</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(175,804)</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304,360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continue"/>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4,863</w:t>
            </w:r>
          </w:p>
        </w:tc>
        <w:tc>
          <w:tcPr>
            <w:tcW w:w="300" w:type="dxa"/>
            <w:vAlign w:val="bottom"/>
            <w:vMerge w:val="continue"/>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4,812</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(12,698)</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(10,473)</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(4,863)</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(4,812)</w:t>
            </w:r>
          </w:p>
        </w:tc>
        <w:tc>
          <w:tcPr>
            <w:tcW w:w="0" w:type="dxa"/>
            <w:vAlign w:val="bottom"/>
          </w:tcPr>
          <w:p>
            <w:pPr>
              <w:spacing w:after="0"/>
              <w:rPr>
                <w:sz w:val="1"/>
                <w:szCs w:val="1"/>
                <w:color w:val="auto"/>
              </w:rPr>
            </w:pPr>
          </w:p>
        </w:tc>
      </w:tr>
      <w:tr>
        <w:trPr>
          <w:trHeight w:val="166"/>
        </w:trPr>
        <w:tc>
          <w:tcPr>
            <w:tcW w:w="35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Fair value of assets at end of year</w:t>
            </w:r>
          </w:p>
        </w:tc>
        <w:tc>
          <w:tcPr>
            <w:tcW w:w="5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$ 1,119,916</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$ 1,308,418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Funded status.........................</w:t>
            </w:r>
          </w:p>
        </w:tc>
        <w:tc>
          <w:tcPr>
            <w:tcW w:w="5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$775,305</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$970,373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(86,938)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(107,779)</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Unrecognized transition asset.........</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(22,941)</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(30,606)</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Unrecognized prior service cost.......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18,930</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17,835</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(825)</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(3,366)</w:t>
            </w: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Unrecognized actuarial gain...........</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(433,476)</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(701,468)</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(36,528)</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(11,433)</w:t>
            </w:r>
          </w:p>
        </w:tc>
        <w:tc>
          <w:tcPr>
            <w:tcW w:w="0" w:type="dxa"/>
            <w:vAlign w:val="bottom"/>
          </w:tcPr>
          <w:p>
            <w:pPr>
              <w:spacing w:after="0"/>
              <w:rPr>
                <w:sz w:val="1"/>
                <w:szCs w:val="1"/>
                <w:color w:val="auto"/>
              </w:rPr>
            </w:pPr>
          </w:p>
        </w:tc>
      </w:tr>
      <w:tr>
        <w:trPr>
          <w:trHeight w:val="166"/>
        </w:trPr>
        <w:tc>
          <w:tcPr>
            <w:tcW w:w="35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prepaid (accrued) cost............</w:t>
            </w:r>
          </w:p>
        </w:tc>
        <w:tc>
          <w:tcPr>
            <w:tcW w:w="5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337,818</w:t>
            </w:r>
          </w:p>
        </w:tc>
        <w:tc>
          <w:tcPr>
            <w:tcW w:w="3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$256,134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(124,291)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(122,578)</w:t>
            </w: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5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960"/>
        <w:spacing w:after="0" w:line="313" w:lineRule="auto"/>
        <w:rPr>
          <w:sz w:val="20"/>
          <w:szCs w:val="20"/>
          <w:color w:val="auto"/>
        </w:rPr>
      </w:pPr>
      <w:r>
        <w:rPr>
          <w:rFonts w:ascii="Courier New" w:cs="Courier New" w:eastAsia="Courier New" w:hAnsi="Courier New"/>
          <w:sz w:val="14"/>
          <w:szCs w:val="14"/>
          <w:color w:val="auto"/>
        </w:rPr>
        <w:t>The total (income) cost arising from the Company's defined benefit pension and postretirement plans for the years ended January 2, 2000, January 3, 1999 and December 28, 1997, consists of the following components (in thousands):</w:t>
      </w:r>
    </w:p>
    <w:p>
      <w:pPr>
        <w:spacing w:after="0" w:line="373" w:lineRule="exact"/>
        <w:rPr>
          <w:sz w:val="20"/>
          <w:szCs w:val="20"/>
          <w:color w:val="auto"/>
        </w:rPr>
      </w:pPr>
    </w:p>
    <w:p>
      <w:pPr>
        <w:ind w:left="4400"/>
        <w:spacing w:after="0"/>
        <w:tabs>
          <w:tab w:leader="none" w:pos="808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Plans</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820" w:val="left"/>
          <w:tab w:leader="none" w:pos="6180" w:val="left"/>
          <w:tab w:leader="none" w:pos="7480" w:val="left"/>
          <w:tab w:leader="none" w:pos="8780" w:val="left"/>
          <w:tab w:leader="none" w:pos="100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Service cost .................</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$ 14,756</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$ 11,335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$ 10,567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3,585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3,764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3,511</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cost ................</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23,584</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21,344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19,433</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6,039</w:t>
            </w:r>
          </w:p>
        </w:tc>
        <w:tc>
          <w:tcPr>
            <w:tcW w:w="3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7,417</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6,973</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138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(92,566)</w:t>
            </w:r>
          </w:p>
        </w:tc>
        <w:tc>
          <w:tcPr>
            <w:tcW w:w="13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(71,814)</w:t>
            </w:r>
          </w:p>
        </w:tc>
        <w:tc>
          <w:tcPr>
            <w:tcW w:w="13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(51,842)</w:t>
            </w:r>
          </w:p>
        </w:tc>
        <w:tc>
          <w:tcPr>
            <w:tcW w:w="400" w:type="dxa"/>
            <w:vAlign w:val="bottom"/>
          </w:tcPr>
          <w:p>
            <w:pPr>
              <w:spacing w:after="0"/>
              <w:rPr>
                <w:sz w:val="14"/>
                <w:szCs w:val="14"/>
                <w:color w:val="auto"/>
              </w:rPr>
            </w:pP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on assets ..................</w:t>
            </w: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38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(7,665)</w:t>
            </w:r>
          </w:p>
        </w:tc>
        <w:tc>
          <w:tcPr>
            <w:tcW w:w="13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(7,665)</w:t>
            </w:r>
          </w:p>
        </w:tc>
        <w:tc>
          <w:tcPr>
            <w:tcW w:w="13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(7,665)</w:t>
            </w:r>
          </w:p>
        </w:tc>
        <w:tc>
          <w:tcPr>
            <w:tcW w:w="400" w:type="dxa"/>
            <w:vAlign w:val="bottom"/>
          </w:tcPr>
          <w:p>
            <w:pPr>
              <w:spacing w:after="0"/>
              <w:rPr>
                <w:sz w:val="14"/>
                <w:szCs w:val="14"/>
                <w:color w:val="auto"/>
              </w:rPr>
            </w:pP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transition asset ...........</w:t>
            </w: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3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2,110</w:t>
            </w: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1,679</w:t>
            </w:r>
          </w:p>
        </w:tc>
        <w:tc>
          <w:tcPr>
            <w:tcW w:w="13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1,512</w:t>
            </w:r>
          </w:p>
        </w:tc>
        <w:tc>
          <w:tcPr>
            <w:tcW w:w="40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38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(378)</w:t>
            </w: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(378)</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prior service cost .........</w:t>
            </w: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Recognized</w:t>
            </w:r>
          </w:p>
        </w:tc>
        <w:tc>
          <w:tcPr>
            <w:tcW w:w="138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(21,902)</w:t>
            </w:r>
          </w:p>
        </w:tc>
        <w:tc>
          <w:tcPr>
            <w:tcW w:w="13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(16,876)</w:t>
            </w:r>
          </w:p>
        </w:tc>
        <w:tc>
          <w:tcPr>
            <w:tcW w:w="13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(2,232)</w:t>
            </w:r>
          </w:p>
        </w:tc>
        <w:tc>
          <w:tcPr>
            <w:tcW w:w="40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8"/>
              </w:rPr>
              <w:t>(2,886)</w:t>
            </w:r>
          </w:p>
        </w:tc>
        <w:tc>
          <w:tcPr>
            <w:tcW w:w="38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8"/>
              </w:rPr>
              <w:t>(1,379)</w:t>
            </w: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(1,576)</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actuarial gain .............</w:t>
            </w: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Total (benefit) cost</w:t>
            </w:r>
          </w:p>
        </w:tc>
        <w:tc>
          <w:tcPr>
            <w:tcW w:w="770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900" w:type="dxa"/>
            <w:vAlign w:val="bottom"/>
            <w:vMerge w:val="continue"/>
          </w:tcPr>
          <w:p>
            <w:pPr>
              <w:spacing w:after="0"/>
              <w:rPr>
                <w:sz w:val="7"/>
                <w:szCs w:val="7"/>
                <w:color w:val="auto"/>
              </w:rPr>
            </w:pPr>
          </w:p>
        </w:tc>
        <w:tc>
          <w:tcPr>
            <w:tcW w:w="138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$(81,683)</w:t>
            </w:r>
          </w:p>
        </w:tc>
        <w:tc>
          <w:tcPr>
            <w:tcW w:w="13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$(61,997)</w:t>
            </w:r>
          </w:p>
        </w:tc>
        <w:tc>
          <w:tcPr>
            <w:tcW w:w="13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$(30,227)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6,576</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9,424</w:t>
            </w:r>
          </w:p>
        </w:tc>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8,530</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for the year ...............</w:t>
            </w: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770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960" w:firstLine="603"/>
        <w:spacing w:after="0" w:line="313" w:lineRule="auto"/>
        <w:rPr>
          <w:sz w:val="20"/>
          <w:szCs w:val="20"/>
          <w:color w:val="auto"/>
        </w:rPr>
      </w:pPr>
      <w:r>
        <w:rPr>
          <w:rFonts w:ascii="Courier New" w:cs="Courier New" w:eastAsia="Courier New" w:hAnsi="Courier New"/>
          <w:sz w:val="14"/>
          <w:szCs w:val="14"/>
          <w:color w:val="auto"/>
        </w:rPr>
        <w:t>The cost for the Company's defined benefit pension and postretirement plans are actuarially determined. Key assumptions utilized at January 2, 2000, January 3, 1999 and December 28, 1997 include the following:</w:t>
      </w:r>
    </w:p>
    <w:p>
      <w:pPr>
        <w:sectPr>
          <w:pgSz w:w="11900" w:h="16838" w:orient="portrait"/>
          <w:cols w:equalWidth="0" w:num="1">
            <w:col w:w="10680"/>
          </w:cols>
          <w:pgMar w:left="300" w:top="259" w:right="919" w:bottom="0" w:gutter="0" w:footer="0" w:header="0"/>
        </w:sectPr>
      </w:pPr>
    </w:p>
    <w:bookmarkStart w:id="47" w:name="page48"/>
    <w:bookmarkEnd w:id="47"/>
    <w:p>
      <w:pPr>
        <w:ind w:left="3540"/>
        <w:spacing w:after="0"/>
        <w:tabs>
          <w:tab w:leader="none" w:pos="558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Plans</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940" w:val="left"/>
          <w:tab w:leader="none" w:pos="4720" w:val="left"/>
          <w:tab w:leader="none" w:pos="5500" w:val="left"/>
          <w:tab w:leader="none" w:pos="6280" w:val="left"/>
          <w:tab w:leader="none" w:pos="70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Discount rate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return on</w:t>
            </w: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7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9.0%</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plan assets ................</w:t>
            </w: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Rate of compensation</w:t>
            </w: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7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4.0%</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increase ...................</w:t>
            </w:r>
          </w:p>
        </w:tc>
        <w:tc>
          <w:tcPr>
            <w:tcW w:w="86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The assumed health care cost trend rate used in measuring the postretirement benefit obligation at January 2, 2000 was 7.6 percent for pre-age 65 benefits ( 7.1 percent for post-age 65 benefits) decreasing to 5 percent in the year 2005 and thereafter.</w:t>
      </w:r>
    </w:p>
    <w:p>
      <w:pPr>
        <w:spacing w:after="0" w:line="56"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Assumed health care cost trend rates have a significant effect on the amounts reported for the health care plans. A one-percentage point change in the assumed health care cost trend rates would have the following effects (in thousands):</w:t>
      </w:r>
    </w:p>
    <w:p>
      <w:pPr>
        <w:spacing w:after="0" w:line="387" w:lineRule="exact"/>
        <w:rPr>
          <w:sz w:val="20"/>
          <w:szCs w:val="20"/>
          <w:color w:val="auto"/>
        </w:rPr>
      </w:pPr>
    </w:p>
    <w:p>
      <w:pPr>
        <w:jc w:val="center"/>
        <w:ind w:left="1200"/>
        <w:spacing w:after="0"/>
        <w:tabs>
          <w:tab w:leader="none" w:pos="162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1%</w:t>
      </w:r>
    </w:p>
    <w:p>
      <w:pPr>
        <w:spacing w:after="0" w:line="33" w:lineRule="exact"/>
        <w:rPr>
          <w:sz w:val="20"/>
          <w:szCs w:val="20"/>
          <w:color w:val="auto"/>
        </w:rPr>
      </w:pPr>
    </w:p>
    <w:p>
      <w:pPr>
        <w:jc w:val="center"/>
        <w:ind w:left="940"/>
        <w:spacing w:after="0"/>
        <w:tabs>
          <w:tab w:leader="none" w:pos="1100" w:val="left"/>
        </w:tabs>
        <w:rPr>
          <w:sz w:val="20"/>
          <w:szCs w:val="20"/>
          <w:color w:val="auto"/>
        </w:rPr>
      </w:pP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Decrease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obligation at end of year</w:t>
            </w:r>
          </w:p>
        </w:tc>
        <w:tc>
          <w:tcPr>
            <w:tcW w:w="3020" w:type="dxa"/>
            <w:vAlign w:val="bottom"/>
          </w:tcPr>
          <w:p>
            <w:pPr>
              <w:jc w:val="right"/>
              <w:ind w:right="463"/>
              <w:spacing w:after="0"/>
              <w:rPr>
                <w:sz w:val="20"/>
                <w:szCs w:val="20"/>
                <w:color w:val="auto"/>
              </w:rPr>
            </w:pPr>
            <w:r>
              <w:rPr>
                <w:rFonts w:ascii="Courier New" w:cs="Courier New" w:eastAsia="Courier New" w:hAnsi="Courier New"/>
                <w:sz w:val="14"/>
                <w:szCs w:val="14"/>
                <w:color w:val="auto"/>
              </w:rPr>
              <w:t>..............$ 12,944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(12,091)</w:t>
            </w:r>
          </w:p>
        </w:tc>
      </w:tr>
      <w:tr>
        <w:trPr>
          <w:trHeight w:val="242"/>
        </w:trPr>
        <w:tc>
          <w:tcPr>
            <w:tcW w:w="660" w:type="dxa"/>
            <w:vAlign w:val="bottom"/>
          </w:tcPr>
          <w:p>
            <w:pPr>
              <w:spacing w:after="0"/>
              <w:rPr>
                <w:sz w:val="20"/>
                <w:szCs w:val="20"/>
                <w:color w:val="auto"/>
              </w:rPr>
            </w:pPr>
            <w:r>
              <w:rPr>
                <w:rFonts w:ascii="Courier New" w:cs="Courier New" w:eastAsia="Courier New" w:hAnsi="Courier New"/>
                <w:sz w:val="14"/>
                <w:szCs w:val="14"/>
                <w:color w:val="auto"/>
              </w:rPr>
              <w:t>Service</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w w:val="75"/>
              </w:rPr>
              <w:t>cost plus interest cost................</w:t>
            </w:r>
          </w:p>
        </w:tc>
        <w:tc>
          <w:tcPr>
            <w:tcW w:w="3020" w:type="dxa"/>
            <w:vAlign w:val="bottom"/>
          </w:tcPr>
          <w:p>
            <w:pPr>
              <w:jc w:val="right"/>
              <w:ind w:right="463"/>
              <w:spacing w:after="0"/>
              <w:rPr>
                <w:sz w:val="20"/>
                <w:szCs w:val="20"/>
                <w:color w:val="auto"/>
              </w:rPr>
            </w:pPr>
            <w:r>
              <w:rPr>
                <w:rFonts w:ascii="Courier New" w:cs="Courier New" w:eastAsia="Courier New" w:hAnsi="Courier New"/>
                <w:sz w:val="14"/>
                <w:szCs w:val="14"/>
                <w:color w:val="auto"/>
              </w:rPr>
              <w:t>1,510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(1,464)</w:t>
            </w:r>
          </w:p>
        </w:tc>
      </w:tr>
      <w:tr>
        <w:trPr>
          <w:trHeight w:val="662"/>
        </w:trPr>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20" w:type="dxa"/>
            <w:vAlign w:val="bottom"/>
          </w:tcPr>
          <w:p>
            <w:pPr>
              <w:jc w:val="right"/>
              <w:ind w:right="2263"/>
              <w:spacing w:after="0"/>
              <w:rPr>
                <w:sz w:val="20"/>
                <w:szCs w:val="20"/>
                <w:color w:val="auto"/>
              </w:rPr>
            </w:pPr>
            <w:r>
              <w:rPr>
                <w:rFonts w:ascii="Courier New" w:cs="Courier New" w:eastAsia="Courier New" w:hAnsi="Courier New"/>
                <w:sz w:val="14"/>
                <w:szCs w:val="14"/>
                <w:color w:val="auto"/>
              </w:rPr>
              <w:t>39</w:t>
            </w:r>
          </w:p>
        </w:tc>
        <w:tc>
          <w:tcPr>
            <w:tcW w:w="1380" w:type="dxa"/>
            <w:vAlign w:val="bottom"/>
          </w:tcPr>
          <w:p>
            <w:pPr>
              <w:spacing w:after="0"/>
              <w:rPr>
                <w:sz w:val="24"/>
                <w:szCs w:val="24"/>
                <w:color w:val="auto"/>
              </w:rPr>
            </w:pPr>
          </w:p>
        </w:tc>
      </w:tr>
    </w:tbl>
    <w:p>
      <w:pPr>
        <w:sectPr>
          <w:pgSz w:w="11900" w:h="16838" w:orient="portrait"/>
          <w:cols w:equalWidth="0" w:num="1">
            <w:col w:w="10159"/>
          </w:cols>
          <w:pgMar w:left="300" w:top="447" w:right="1440" w:bottom="1440" w:gutter="0" w:footer="0" w:header="0"/>
        </w:sectPr>
      </w:pPr>
    </w:p>
    <w:bookmarkStart w:id="48" w:name="page49"/>
    <w:bookmarkEnd w:id="48"/>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339" w:firstLine="603"/>
        <w:spacing w:after="0" w:line="337" w:lineRule="auto"/>
        <w:rPr>
          <w:sz w:val="20"/>
          <w:szCs w:val="20"/>
          <w:color w:val="auto"/>
        </w:rPr>
      </w:pPr>
      <w:r>
        <w:rPr>
          <w:rFonts w:ascii="Courier New" w:cs="Courier New" w:eastAsia="Courier New" w:hAnsi="Courier New"/>
          <w:sz w:val="14"/>
          <w:szCs w:val="14"/>
          <w:color w:val="auto"/>
        </w:rPr>
        <w:t>Contributions to multi-employer pension plans, which are generally based on hours worked, amounted to $2,300,000 in 1999 and 1998, and $2,000,000 in 1997.</w:t>
      </w:r>
    </w:p>
    <w:p>
      <w:pPr>
        <w:spacing w:after="0" w:line="217" w:lineRule="exact"/>
        <w:rPr>
          <w:sz w:val="20"/>
          <w:szCs w:val="20"/>
          <w:color w:val="auto"/>
        </w:rPr>
      </w:pPr>
    </w:p>
    <w:p>
      <w:pPr>
        <w:ind w:right="3259" w:firstLine="603"/>
        <w:spacing w:after="0" w:line="313" w:lineRule="auto"/>
        <w:rPr>
          <w:sz w:val="20"/>
          <w:szCs w:val="20"/>
          <w:color w:val="auto"/>
        </w:rPr>
      </w:pPr>
      <w:r>
        <w:rPr>
          <w:rFonts w:ascii="Courier New" w:cs="Courier New" w:eastAsia="Courier New" w:hAnsi="Courier New"/>
          <w:sz w:val="14"/>
          <w:szCs w:val="14"/>
          <w:color w:val="auto"/>
        </w:rPr>
        <w:t>The Company recorded expense associated with retirement benefits provided under incentive savings plans (primarily 401k plans) of approximately $13,300,000 in 1999 and 1998, and $12,400,000 in 1997.</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LEASE AND OTHER COMMITMENTS</w:t>
      </w:r>
    </w:p>
    <w:p>
      <w:pPr>
        <w:spacing w:after="0" w:line="33"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56" w:lineRule="exact"/>
        <w:rPr>
          <w:sz w:val="20"/>
          <w:szCs w:val="20"/>
          <w:color w:val="auto"/>
        </w:rPr>
      </w:pPr>
    </w:p>
    <w:p>
      <w:pPr>
        <w:ind w:right="3519" w:firstLine="603"/>
        <w:spacing w:after="0" w:line="376" w:lineRule="auto"/>
        <w:rPr>
          <w:sz w:val="20"/>
          <w:szCs w:val="20"/>
          <w:color w:val="auto"/>
        </w:rPr>
      </w:pPr>
      <w:r>
        <w:rPr>
          <w:rFonts w:ascii="Courier New" w:cs="Courier New" w:eastAsia="Courier New" w:hAnsi="Courier New"/>
          <w:sz w:val="14"/>
          <w:szCs w:val="14"/>
          <w:color w:val="auto"/>
        </w:rPr>
        <w:t>At January 2, 2000, future minimum rental payments under noncancelable operating leases approximate the following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2000 ..................................................................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31,300</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26,600</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23,000</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2003 ..................................................................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19,100</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2004 ..................................................................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16,500</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Thereafter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50,600</w:t>
            </w:r>
          </w:p>
        </w:tc>
      </w:tr>
      <w:tr>
        <w:trPr>
          <w:trHeight w:val="192"/>
        </w:trPr>
        <w:tc>
          <w:tcPr>
            <w:tcW w:w="6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jc w:val="right"/>
        <w:ind w:right="2919"/>
        <w:spacing w:after="0"/>
        <w:rPr>
          <w:sz w:val="20"/>
          <w:szCs w:val="20"/>
          <w:color w:val="auto"/>
        </w:rPr>
      </w:pPr>
      <w:r>
        <w:rPr>
          <w:rFonts w:ascii="Courier New" w:cs="Courier New" w:eastAsia="Courier New" w:hAnsi="Courier New"/>
          <w:sz w:val="14"/>
          <w:szCs w:val="14"/>
          <w:color w:val="auto"/>
        </w:rPr>
        <w:t>$ 167,100</w:t>
      </w:r>
    </w:p>
    <w:p>
      <w:pPr>
        <w:spacing w:after="0" w:line="7"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3599" w:firstLine="603"/>
        <w:spacing w:after="0" w:line="375" w:lineRule="auto"/>
        <w:rPr>
          <w:sz w:val="20"/>
          <w:szCs w:val="20"/>
          <w:color w:val="auto"/>
        </w:rPr>
      </w:pPr>
      <w:r>
        <w:rPr>
          <w:rFonts w:ascii="Courier New" w:cs="Courier New" w:eastAsia="Courier New" w:hAnsi="Courier New"/>
          <w:sz w:val="14"/>
          <w:szCs w:val="14"/>
          <w:color w:val="auto"/>
        </w:rPr>
        <w:t>Minimum payments have not been reduced by minimum sublease rentals of $1,900,000 due in the future under noncancelable subleases.</w:t>
      </w:r>
    </w:p>
    <w:p>
      <w:pPr>
        <w:spacing w:after="0" w:line="1" w:lineRule="exact"/>
        <w:rPr>
          <w:sz w:val="20"/>
          <w:szCs w:val="20"/>
          <w:color w:val="auto"/>
        </w:rPr>
      </w:pPr>
    </w:p>
    <w:p>
      <w:pPr>
        <w:ind w:right="3599" w:firstLine="603"/>
        <w:spacing w:after="0" w:line="292" w:lineRule="auto"/>
        <w:rPr>
          <w:sz w:val="20"/>
          <w:szCs w:val="20"/>
          <w:color w:val="auto"/>
        </w:rPr>
      </w:pPr>
      <w:r>
        <w:rPr>
          <w:rFonts w:ascii="Courier New" w:cs="Courier New" w:eastAsia="Courier New" w:hAnsi="Courier New"/>
          <w:sz w:val="14"/>
          <w:szCs w:val="14"/>
          <w:color w:val="auto"/>
        </w:rPr>
        <w:t>Rent expense under operating leases included in operating costs and expenses was approximately $33,600,000, $31,800,000 and $27,800,000 in 1999, 1998 and 1997, respectively. Sublease income was approximately $433,000, $500,000 and $400,000 in 1999, 1998 and 1997, respectively.</w:t>
      </w:r>
    </w:p>
    <w:p>
      <w:pPr>
        <w:spacing w:after="0" w:line="56" w:lineRule="exact"/>
        <w:rPr>
          <w:sz w:val="20"/>
          <w:szCs w:val="20"/>
          <w:color w:val="auto"/>
        </w:rPr>
      </w:pPr>
    </w:p>
    <w:p>
      <w:pPr>
        <w:ind w:right="3259" w:firstLine="603"/>
        <w:spacing w:after="0" w:line="281" w:lineRule="auto"/>
        <w:rPr>
          <w:sz w:val="20"/>
          <w:szCs w:val="20"/>
          <w:color w:val="auto"/>
        </w:rPr>
      </w:pPr>
      <w:r>
        <w:rPr>
          <w:rFonts w:ascii="Courier New" w:cs="Courier New" w:eastAsia="Courier New" w:hAnsi="Courier New"/>
          <w:sz w:val="14"/>
          <w:szCs w:val="14"/>
          <w:color w:val="auto"/>
        </w:rPr>
        <w:t>The Company's broadcast subsidiaries are parties to certain agreements that commit them to purchase programming to be produced in future years. At January 2, 2000, such commitments amounted to approximately $47,000,000. If such programs are not produced, the Company's commitment would expire without obligation.</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ACQUISITIONS, EXCHANGES AND DISPOSITIONS</w:t>
      </w:r>
    </w:p>
    <w:p>
      <w:pPr>
        <w:spacing w:after="0" w:line="33"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4"/>
          <w:szCs w:val="14"/>
          <w:color w:val="auto"/>
        </w:rPr>
        <w:t>ACQUISITIONS. The Company completed acquisitions totaling approximately $90,500,000 in 1999, $320,600,000 in 1998 and $118,900,000 in 1997. All of these acquisitions were accounted for using the purchase method and, accordingly, the assets and liabilities of the companies acquired have been recorded at their estimated fair values at the date of acquisition.</w:t>
      </w:r>
    </w:p>
    <w:p>
      <w:pPr>
        <w:spacing w:after="0" w:line="69" w:lineRule="exact"/>
        <w:rPr>
          <w:sz w:val="20"/>
          <w:szCs w:val="20"/>
          <w:color w:val="auto"/>
        </w:rPr>
      </w:pPr>
    </w:p>
    <w:p>
      <w:pPr>
        <w:ind w:right="3339" w:firstLine="603"/>
        <w:spacing w:after="0" w:line="271" w:lineRule="auto"/>
        <w:rPr>
          <w:sz w:val="20"/>
          <w:szCs w:val="20"/>
          <w:color w:val="auto"/>
        </w:rPr>
      </w:pPr>
      <w:r>
        <w:rPr>
          <w:rFonts w:ascii="Courier New" w:cs="Courier New" w:eastAsia="Courier New" w:hAnsi="Courier New"/>
          <w:sz w:val="14"/>
          <w:szCs w:val="14"/>
          <w:color w:val="auto"/>
        </w:rPr>
        <w:t>During 1999, the Company acquired cable systems serving 10,300 subscribers in North Dakota, Oklahoma and Arizona (April and August 1999 for $18,300,000); two Certified Financial Analyst test preparation companies (November and December 1999 for $16,000,000) and a travel guide magazine (in December 1999 for $10,200,000). In addition, the Company acquired various other smaller businesses throughout 1999 for $46,000,000 (principally consisting of educational services companies).</w:t>
      </w:r>
    </w:p>
    <w:p>
      <w:pPr>
        <w:spacing w:after="0" w:line="71" w:lineRule="exact"/>
        <w:rPr>
          <w:sz w:val="20"/>
          <w:szCs w:val="20"/>
          <w:color w:val="auto"/>
        </w:rPr>
      </w:pPr>
    </w:p>
    <w:p>
      <w:pPr>
        <w:ind w:right="3259" w:firstLine="603"/>
        <w:spacing w:after="0" w:line="266" w:lineRule="auto"/>
        <w:rPr>
          <w:sz w:val="20"/>
          <w:szCs w:val="20"/>
          <w:color w:val="auto"/>
        </w:rPr>
      </w:pPr>
      <w:r>
        <w:rPr>
          <w:rFonts w:ascii="Courier New" w:cs="Courier New" w:eastAsia="Courier New" w:hAnsi="Courier New"/>
          <w:sz w:val="14"/>
          <w:szCs w:val="14"/>
          <w:color w:val="auto"/>
        </w:rPr>
        <w:t>Acquisitions in 1998 included an educational services company that provides English language study programs (in January 1998 for $16,100,000); a 36,000 subscriber cable system serving Anniston, Alabama (in June 1998 for $66,500,000); cable systems serving 72,000 subscribers in Mississippi, Louisiana, Texas and Oklahoma (in July 1998 for $130,100,000); and a publisher and provider of licensing training for securities, insurance and real estate professionals (in July 1998 for $35,200,000). In addition, the Company acquired various other smaller businesses throughout 1998 for $72,700,000 (principally consisting of educational and career service companies and small cable systems).</w:t>
      </w:r>
    </w:p>
    <w:p>
      <w:pPr>
        <w:spacing w:after="0" w:line="74" w:lineRule="exact"/>
        <w:rPr>
          <w:sz w:val="20"/>
          <w:szCs w:val="20"/>
          <w:color w:val="auto"/>
        </w:rPr>
      </w:pPr>
    </w:p>
    <w:p>
      <w:pPr>
        <w:ind w:right="3339" w:firstLine="603"/>
        <w:spacing w:after="0" w:line="275" w:lineRule="auto"/>
        <w:rPr>
          <w:sz w:val="20"/>
          <w:szCs w:val="20"/>
          <w:color w:val="auto"/>
        </w:rPr>
      </w:pPr>
      <w:r>
        <w:rPr>
          <w:rFonts w:ascii="Courier New" w:cs="Courier New" w:eastAsia="Courier New" w:hAnsi="Courier New"/>
          <w:sz w:val="14"/>
          <w:szCs w:val="14"/>
          <w:color w:val="auto"/>
        </w:rPr>
        <w:t>In 1997, the Company acquired cable systems serving approximately 16,000 subscribers in Cleveland, Mississippi (in February 1997 for $23,900,000), the publishing rights to two computer service industry trade periodicals and the rights to conduct two computer industry trade shows (in December 1997 for $84,500,000), and various other smaller businesses throughout 1997 for $10,500,000.</w:t>
      </w:r>
    </w:p>
    <w:p>
      <w:pPr>
        <w:spacing w:after="0" w:line="69" w:lineRule="exact"/>
        <w:rPr>
          <w:sz w:val="20"/>
          <w:szCs w:val="20"/>
          <w:color w:val="auto"/>
        </w:rPr>
      </w:pPr>
    </w:p>
    <w:p>
      <w:pPr>
        <w:ind w:right="3259" w:firstLine="603"/>
        <w:spacing w:after="0" w:line="281" w:lineRule="auto"/>
        <w:rPr>
          <w:sz w:val="20"/>
          <w:szCs w:val="20"/>
          <w:color w:val="auto"/>
        </w:rPr>
      </w:pPr>
      <w:r>
        <w:rPr>
          <w:rFonts w:ascii="Courier New" w:cs="Courier New" w:eastAsia="Courier New" w:hAnsi="Courier New"/>
          <w:sz w:val="14"/>
          <w:szCs w:val="14"/>
          <w:color w:val="auto"/>
        </w:rPr>
        <w:t>The results of operations for each of the businesses acquired are included in the Consolidated Statements of Income from their respective dates of acquisition. Pro forma results of operations for 1999, 1998 and 1997, assuming the acquisitions occurred at the beginning of 1997, are not materially different from reported results of operations.</w:t>
      </w:r>
    </w:p>
    <w:p>
      <w:pPr>
        <w:spacing w:after="0" w:line="65"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EXCHANGES. In June 1997, the Company exchanged the assets of certain cable systems with Tele-Communications, Inc. This trade resulted in an increase of about 21,000 subscribers for the Company.</w:t>
      </w:r>
    </w:p>
    <w:p>
      <w:pPr>
        <w:spacing w:after="0" w:line="42"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In September 1997, the Company completed a transaction with Meredith Corporation whereby the Company exchanged the assets of WFSB-TV, the CBS affiliate in Hartford, Connecticut, and approximately $60,000,000 for the assets of WCPX-TV, the CBS affiliate in Orlando, Florida.</w:t>
      </w:r>
    </w:p>
    <w:p>
      <w:pPr>
        <w:spacing w:after="0" w:line="56" w:lineRule="exact"/>
        <w:rPr>
          <w:sz w:val="20"/>
          <w:szCs w:val="20"/>
          <w:color w:val="auto"/>
        </w:rPr>
      </w:pPr>
    </w:p>
    <w:p>
      <w:pPr>
        <w:jc w:val="both"/>
        <w:ind w:right="3339" w:firstLine="603"/>
        <w:spacing w:after="0" w:line="313" w:lineRule="auto"/>
        <w:rPr>
          <w:sz w:val="20"/>
          <w:szCs w:val="20"/>
          <w:color w:val="auto"/>
        </w:rPr>
      </w:pPr>
      <w:r>
        <w:rPr>
          <w:rFonts w:ascii="Courier New" w:cs="Courier New" w:eastAsia="Courier New" w:hAnsi="Courier New"/>
          <w:sz w:val="14"/>
          <w:szCs w:val="14"/>
          <w:color w:val="auto"/>
        </w:rPr>
        <w:t>The assets obtained in these transactions were recorded at the carrying value of the assets exchanged plus cash consideration. No gain or loss resulted from these exchange transactions.</w:t>
      </w:r>
    </w:p>
    <w:p>
      <w:pPr>
        <w:sectPr>
          <w:pgSz w:w="11900" w:h="16846" w:orient="portrait"/>
          <w:cols w:equalWidth="0" w:num="1">
            <w:col w:w="10159"/>
          </w:cols>
          <w:pgMar w:left="300" w:top="259" w:right="1440" w:bottom="0" w:gutter="0" w:footer="0" w:header="0"/>
        </w:sectPr>
      </w:pP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46" w:orient="portrait"/>
          <w:cols w:equalWidth="0" w:num="1">
            <w:col w:w="10159"/>
          </w:cols>
          <w:pgMar w:left="300" w:top="259" w:right="1440" w:bottom="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right="3259"/>
        <w:spacing w:after="0" w:line="313" w:lineRule="auto"/>
        <w:rPr>
          <w:sz w:val="20"/>
          <w:szCs w:val="20"/>
          <w:color w:val="auto"/>
        </w:rPr>
      </w:pPr>
      <w:r>
        <w:rPr>
          <w:rFonts w:ascii="Courier New" w:cs="Courier New" w:eastAsia="Courier New" w:hAnsi="Courier New"/>
          <w:sz w:val="14"/>
          <w:szCs w:val="14"/>
          <w:color w:val="auto"/>
        </w:rPr>
        <w:t>DISPOSITIONS. In June 1999, the Company sold the assets of Legi-Slate, Inc., its on-line services subsidiary that covered federal legislation and regulation. No significant gain or loss was realized as a result of the sale.</w:t>
      </w:r>
    </w:p>
    <w:p>
      <w:pPr>
        <w:spacing w:after="0" w:line="42" w:lineRule="exact"/>
        <w:rPr>
          <w:sz w:val="20"/>
          <w:szCs w:val="20"/>
          <w:color w:val="auto"/>
        </w:rPr>
      </w:pPr>
    </w:p>
    <w:p>
      <w:pPr>
        <w:ind w:right="3259" w:firstLine="603"/>
        <w:spacing w:after="0" w:line="260" w:lineRule="auto"/>
        <w:rPr>
          <w:sz w:val="20"/>
          <w:szCs w:val="20"/>
          <w:color w:val="auto"/>
        </w:rPr>
      </w:pPr>
      <w:r>
        <w:rPr>
          <w:rFonts w:ascii="Courier New" w:cs="Courier New" w:eastAsia="Courier New" w:hAnsi="Courier New"/>
          <w:sz w:val="14"/>
          <w:szCs w:val="14"/>
          <w:color w:val="auto"/>
        </w:rPr>
        <w:t>In March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 As of the date of the Cowles and McClatchy merger transaction, a wholly-owned subsidiary of the Company owned 3,893,796 (equal to about 28 percent) of the outstanding common stock of Cowles, most of which was acquired in 1985. As a result of the transaction, the Company's subsidiary received $330,500,000 in cash from McClatchy and 730,525 shares of McClatchy Class A common stock. The market value of the McClatchy stock received approximated $21,600,000. The gain resulting from this transaction, which is included in 1998 "Other income, net" in the Consolidated Statements of Income, increased net income by approximately $162,800,000 and basic and diluted earnings per share by $16.14 and $16.07 respectively.</w:t>
      </w:r>
    </w:p>
    <w:p>
      <w:pPr>
        <w:spacing w:after="0" w:line="78" w:lineRule="exact"/>
        <w:rPr>
          <w:sz w:val="20"/>
          <w:szCs w:val="20"/>
          <w:color w:val="auto"/>
        </w:rPr>
      </w:pPr>
    </w:p>
    <w:p>
      <w:pPr>
        <w:ind w:right="3259" w:firstLine="603"/>
        <w:spacing w:after="0" w:line="275" w:lineRule="auto"/>
        <w:rPr>
          <w:sz w:val="20"/>
          <w:szCs w:val="20"/>
          <w:color w:val="auto"/>
        </w:rPr>
      </w:pPr>
      <w:r>
        <w:rPr>
          <w:rFonts w:ascii="Courier New" w:cs="Courier New" w:eastAsia="Courier New" w:hAnsi="Courier New"/>
          <w:sz w:val="14"/>
          <w:szCs w:val="14"/>
          <w:color w:val="auto"/>
        </w:rPr>
        <w:t>In July 1998, the Company completed the sale of 14 small cable systems in Texas, Missouri and Kansas serving approximately 29,000 subscribers for approximately $41,900,000. The gain resulting from this transaction, which is included in 1998 "Other income, net" in the Consolidated Statements of Income, increased net income by approximately $17,300,000 and basic and diluted earnings per share by $1.71.</w:t>
      </w:r>
    </w:p>
    <w:p>
      <w:pPr>
        <w:spacing w:after="0" w:line="69" w:lineRule="exact"/>
        <w:rPr>
          <w:sz w:val="20"/>
          <w:szCs w:val="20"/>
          <w:color w:val="auto"/>
        </w:rPr>
      </w:pPr>
    </w:p>
    <w:p>
      <w:pPr>
        <w:ind w:right="3259" w:firstLine="603"/>
        <w:spacing w:after="0" w:line="263" w:lineRule="auto"/>
        <w:rPr>
          <w:sz w:val="20"/>
          <w:szCs w:val="20"/>
          <w:color w:val="auto"/>
        </w:rPr>
      </w:pPr>
      <w:r>
        <w:rPr>
          <w:rFonts w:ascii="Courier New" w:cs="Courier New" w:eastAsia="Courier New" w:hAnsi="Courier New"/>
          <w:sz w:val="14"/>
          <w:szCs w:val="14"/>
          <w:color w:val="auto"/>
        </w:rPr>
        <w:t>In August 1998, Junglee Corporation ("Junglee") merged with a wholly owned subsidiary of Amazon.com Inc. ("Amazon.com"). As a result, each share of Junglee common and preferred stock was converted into shares of Amazon.com. On the date of the merger, a wholly-owned subsidiary of the Company owned 750,000 common shares and 750,000 preferred shares of Junglee. As a result of the merger, the Company's subsidiary received 202,961 shares of Amazon.com common stock. The market value of the Amazon.com stock received approximated $25,200,000 on the date of the merger. The gain resulting from this transaction, which is included in 1998 "Other income (expense), net" in the Consolidated Statements of Income, increased net income by approximately $14,300,000 and basic and diluted earnings per share by $1.42 and $1.41, respectively.</w:t>
      </w:r>
    </w:p>
    <w:p>
      <w:pPr>
        <w:spacing w:after="0" w:line="75" w:lineRule="exact"/>
        <w:rPr>
          <w:sz w:val="20"/>
          <w:szCs w:val="20"/>
          <w:color w:val="auto"/>
        </w:rPr>
      </w:pPr>
    </w:p>
    <w:p>
      <w:pPr>
        <w:ind w:right="3259" w:firstLine="603"/>
        <w:spacing w:after="0" w:line="269" w:lineRule="auto"/>
        <w:rPr>
          <w:sz w:val="20"/>
          <w:szCs w:val="20"/>
          <w:color w:val="auto"/>
        </w:rPr>
      </w:pPr>
      <w:r>
        <w:rPr>
          <w:rFonts w:ascii="Courier New" w:cs="Courier New" w:eastAsia="Courier New" w:hAnsi="Courier New"/>
          <w:sz w:val="14"/>
          <w:szCs w:val="14"/>
          <w:color w:val="auto"/>
        </w:rPr>
        <w:t>In September 1997, the Company sold the assets of its PASS regional sports network for approximately $27,400,000. In December 1997, the Company sold its 35 percent limited partnership interest in both Bear Island Paper Company and Bear Island Timberlands Company for approximately $92,800,000. The gains resulting from these dispositions, which are included in "Other income, net" in the Consolidated Statements of Income, increased 1997 net income by approximately $44,500,000 and basic and diluted earnings per share by $4.16 and $4.15, respectively.</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CONTINGENCIES</w:t>
      </w:r>
    </w:p>
    <w:p>
      <w:pPr>
        <w:spacing w:after="0" w:line="33"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BUSINESS SEGMENTS</w:t>
      </w:r>
    </w:p>
    <w:p>
      <w:pPr>
        <w:spacing w:after="0" w:line="33" w:lineRule="exact"/>
        <w:rPr>
          <w:sz w:val="20"/>
          <w:szCs w:val="20"/>
          <w:color w:val="auto"/>
        </w:rPr>
      </w:pPr>
    </w:p>
    <w:p>
      <w:pPr>
        <w:jc w:val="both"/>
        <w:ind w:right="3339"/>
        <w:spacing w:after="0" w:line="279" w:lineRule="auto"/>
        <w:rPr>
          <w:sz w:val="20"/>
          <w:szCs w:val="20"/>
          <w:color w:val="auto"/>
        </w:rPr>
      </w:pPr>
      <w:r>
        <w:rPr>
          <w:rFonts w:ascii="Courier New" w:cs="Courier New" w:eastAsia="Courier New" w:hAnsi="Courier New"/>
          <w:sz w:val="14"/>
          <w:szCs w:val="14"/>
          <w:color w:val="auto"/>
        </w:rPr>
        <w:t>The Company operates principally in four areas of the media business: newspaper publishing, television broadcasting, magazine publishing, and cable television. Through its subsidiary Kaplan, Inc., the Company also provides educational and career services for individuals, schools and businesses.</w:t>
      </w:r>
    </w:p>
    <w:p>
      <w:pPr>
        <w:spacing w:after="0" w:line="64" w:lineRule="exact"/>
        <w:rPr>
          <w:sz w:val="20"/>
          <w:szCs w:val="20"/>
          <w:color w:val="auto"/>
        </w:rPr>
      </w:pPr>
    </w:p>
    <w:p>
      <w:pPr>
        <w:ind w:right="3599" w:firstLine="603"/>
        <w:spacing w:after="0" w:line="292" w:lineRule="auto"/>
        <w:rPr>
          <w:sz w:val="20"/>
          <w:szCs w:val="20"/>
          <w:color w:val="auto"/>
        </w:rPr>
      </w:pPr>
      <w:r>
        <w:rPr>
          <w:rFonts w:ascii="Courier New" w:cs="Courier New" w:eastAsia="Courier New" w:hAnsi="Courier New"/>
          <w:sz w:val="14"/>
          <w:szCs w:val="14"/>
          <w:color w:val="auto"/>
        </w:rPr>
        <w:t>Newspaper operations involve the publication of newspapers in the Washington, D.C. area and Everett, Washington, newsprint warehousing and recycling facilities, and the Company's electronic media publishing business (primarily washingtonpost.com).</w:t>
      </w:r>
    </w:p>
    <w:p>
      <w:pPr>
        <w:spacing w:after="0" w:line="56"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Magazine operations consist of the publication of a weekly news magazine, Newsweek, which has one domestic and three international editions and the publication of business periodicals for the computer services industry and the Washington-area technology community.</w:t>
      </w:r>
    </w:p>
    <w:p>
      <w:pPr>
        <w:spacing w:after="0" w:line="56" w:lineRule="exact"/>
        <w:rPr>
          <w:sz w:val="20"/>
          <w:szCs w:val="20"/>
          <w:color w:val="auto"/>
        </w:rPr>
      </w:pPr>
    </w:p>
    <w:p>
      <w:pPr>
        <w:ind w:right="3779" w:firstLine="603"/>
        <w:spacing w:after="0" w:line="375" w:lineRule="auto"/>
        <w:rPr>
          <w:sz w:val="20"/>
          <w:szCs w:val="20"/>
          <w:color w:val="auto"/>
        </w:rPr>
      </w:pPr>
      <w:r>
        <w:rPr>
          <w:rFonts w:ascii="Courier New" w:cs="Courier New" w:eastAsia="Courier New" w:hAnsi="Courier New"/>
          <w:sz w:val="14"/>
          <w:szCs w:val="14"/>
          <w:color w:val="auto"/>
        </w:rPr>
        <w:t>Revenues from both newspaper and magazine publishing operations are derived from advertising and, to a lesser extent, from circulation.</w:t>
      </w:r>
    </w:p>
    <w:p>
      <w:pPr>
        <w:spacing w:after="0" w:line="1" w:lineRule="exact"/>
        <w:rPr>
          <w:sz w:val="20"/>
          <w:szCs w:val="20"/>
          <w:color w:val="auto"/>
        </w:rPr>
      </w:pPr>
    </w:p>
    <w:p>
      <w:pPr>
        <w:jc w:val="both"/>
        <w:ind w:right="3439" w:firstLine="603"/>
        <w:spacing w:after="0" w:line="313" w:lineRule="auto"/>
        <w:rPr>
          <w:sz w:val="20"/>
          <w:szCs w:val="20"/>
          <w:color w:val="auto"/>
        </w:rPr>
      </w:pPr>
      <w:r>
        <w:rPr>
          <w:rFonts w:ascii="Courier New" w:cs="Courier New" w:eastAsia="Courier New" w:hAnsi="Courier New"/>
          <w:sz w:val="14"/>
          <w:szCs w:val="14"/>
          <w:color w:val="auto"/>
        </w:rPr>
        <w:t>Broadcast operations are conducted primarily through six VHF television stations. All stations are network-affiliated, with revenues derived primarily from sales of advertising time.</w:t>
      </w:r>
    </w:p>
    <w:p>
      <w:pPr>
        <w:spacing w:after="0" w:line="42"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Cable television operations consist of more than 50 cable systems offering basic cable and pay television services to approximately 740,000 subscribers in midwestern, western, and southern states. The principal source of revenues is monthly subscription fees charged for services.</w:t>
      </w:r>
    </w:p>
    <w:p>
      <w:pPr>
        <w:sectPr>
          <w:pgSz w:w="11900" w:h="16838" w:orient="portrait"/>
          <w:cols w:equalWidth="0" w:num="1">
            <w:col w:w="10159"/>
          </w:cols>
          <w:pgMar w:left="300" w:top="25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259"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259" w:firstLine="603"/>
        <w:spacing w:after="0" w:line="266" w:lineRule="auto"/>
        <w:rPr>
          <w:sz w:val="20"/>
          <w:szCs w:val="20"/>
          <w:color w:val="auto"/>
        </w:rPr>
      </w:pPr>
      <w:r>
        <w:rPr>
          <w:rFonts w:ascii="Courier New" w:cs="Courier New" w:eastAsia="Courier New" w:hAnsi="Courier New"/>
          <w:sz w:val="14"/>
          <w:szCs w:val="14"/>
          <w:color w:val="auto"/>
        </w:rPr>
        <w:t>Education and career services are provided through the Company's wholly-owned subsidiary Kaplan, Inc. Kaplan's four major lines of businesses include Test Preparation and Admissions, providing test preparation services for college and graduate school entrance exams; Kaplan Professional, providing education and career services to business people and other professionals; SCORE!, offering multi-media learning and private tutoring to children in kindergarten through twelfth grade; and KaplanCollege.com, Kaplan's distance learning business, including Concord University School of Law, the country's first online Law School.</w:t>
      </w:r>
    </w:p>
    <w:p>
      <w:pPr>
        <w:spacing w:after="0" w:line="250" w:lineRule="exact"/>
        <w:rPr>
          <w:sz w:val="20"/>
          <w:szCs w:val="20"/>
          <w:color w:val="auto"/>
        </w:rPr>
      </w:pPr>
    </w:p>
    <w:p>
      <w:pPr>
        <w:ind w:right="3439" w:firstLine="603"/>
        <w:spacing w:after="0" w:line="281" w:lineRule="auto"/>
        <w:rPr>
          <w:sz w:val="20"/>
          <w:szCs w:val="20"/>
          <w:color w:val="auto"/>
        </w:rPr>
      </w:pPr>
      <w:r>
        <w:rPr>
          <w:rFonts w:ascii="Courier New" w:cs="Courier New" w:eastAsia="Courier New" w:hAnsi="Courier New"/>
          <w:sz w:val="14"/>
          <w:szCs w:val="14"/>
          <w:color w:val="auto"/>
        </w:rPr>
        <w:t>Other businesses and corporate office includes the Company's corporate office. Through the first half of 1999, the other businesses and corporate office segment also includes the result of Legi-Slate, Inc., which was sold in June 1999. The 1998 results for other businesses and corporate office include Moffet, Larson &amp; Johnson, which was sold in July 1998.</w:t>
      </w:r>
    </w:p>
    <w:p>
      <w:pPr>
        <w:spacing w:after="0" w:line="65"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56" w:lineRule="exact"/>
        <w:rPr>
          <w:sz w:val="20"/>
          <w:szCs w:val="20"/>
          <w:color w:val="auto"/>
        </w:rPr>
      </w:pPr>
    </w:p>
    <w:p>
      <w:pPr>
        <w:ind w:right="3259" w:firstLine="603"/>
        <w:spacing w:after="0" w:line="313" w:lineRule="auto"/>
        <w:rPr>
          <w:sz w:val="20"/>
          <w:szCs w:val="20"/>
          <w:color w:val="auto"/>
        </w:rPr>
      </w:pPr>
      <w:r>
        <w:rPr>
          <w:rFonts w:ascii="Courier New" w:cs="Courier New" w:eastAsia="Courier New" w:hAnsi="Courier New"/>
          <w:sz w:val="14"/>
          <w:szCs w:val="14"/>
          <w:color w:val="auto"/>
        </w:rPr>
        <w:t>Identifiable assets by segment are those assets used in the Company's operations in each business segment. Investments in marketable equity securities and investments in affiliates are discussed in Notes C and D, respectively.</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259" w:right="1440" w:bottom="1440" w:gutter="0" w:footer="0" w:header="0"/>
        </w:sectPr>
      </w:pPr>
    </w:p>
    <w:bookmarkStart w:id="51" w:name="page52"/>
    <w:bookmarkEnd w:id="51"/>
    <w:p>
      <w:pPr>
        <w:spacing w:after="0" w:line="9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80"/>
        <w:spacing w:after="0"/>
        <w:tabs>
          <w:tab w:leader="none" w:pos="6020" w:val="left"/>
          <w:tab w:leader="none" w:pos="7660" w:val="left"/>
          <w:tab w:leader="none" w:pos="9380" w:val="left"/>
        </w:tabs>
        <w:rPr>
          <w:sz w:val="20"/>
          <w:szCs w:val="20"/>
          <w:color w:val="auto"/>
        </w:rPr>
      </w:pPr>
      <w:r>
        <w:rPr>
          <w:rFonts w:ascii="Courier New" w:cs="Courier New" w:eastAsia="Courier New" w:hAnsi="Courier New"/>
          <w:sz w:val="14"/>
          <w:szCs w:val="14"/>
          <w:color w:val="auto"/>
        </w:rPr>
        <w:t>Newspaper</w:t>
      </w:r>
      <w:r>
        <w:rPr>
          <w:sz w:val="20"/>
          <w:szCs w:val="20"/>
          <w:color w:val="auto"/>
        </w:rPr>
        <w:tab/>
      </w:r>
      <w:r>
        <w:rPr>
          <w:rFonts w:ascii="Courier New" w:cs="Courier New" w:eastAsia="Courier New" w:hAnsi="Courier New"/>
          <w:sz w:val="14"/>
          <w:szCs w:val="14"/>
          <w:color w:val="auto"/>
        </w:rPr>
        <w:t>Television</w:t>
      </w:r>
      <w:r>
        <w:rPr>
          <w:sz w:val="20"/>
          <w:szCs w:val="20"/>
          <w:color w:val="auto"/>
        </w:rPr>
        <w:tab/>
      </w:r>
      <w:r>
        <w:rPr>
          <w:rFonts w:ascii="Courier New" w:cs="Courier New" w:eastAsia="Courier New" w:hAnsi="Courier New"/>
          <w:sz w:val="14"/>
          <w:szCs w:val="14"/>
          <w:color w:val="auto"/>
        </w:rPr>
        <w:t>Magazine</w:t>
      </w:r>
      <w:r>
        <w:rPr>
          <w:sz w:val="20"/>
          <w:szCs w:val="20"/>
          <w:color w:val="auto"/>
        </w:rPr>
        <w:tab/>
      </w:r>
      <w:r>
        <w:rPr>
          <w:rFonts w:ascii="Courier New" w:cs="Courier New" w:eastAsia="Courier New" w:hAnsi="Courier New"/>
          <w:sz w:val="14"/>
          <w:szCs w:val="14"/>
          <w:color w:val="auto"/>
        </w:rPr>
        <w:t>Cable</w:t>
      </w:r>
    </w:p>
    <w:p>
      <w:pPr>
        <w:spacing w:after="0" w:line="33" w:lineRule="exact"/>
        <w:rPr>
          <w:sz w:val="20"/>
          <w:szCs w:val="20"/>
          <w:color w:val="auto"/>
        </w:rPr>
      </w:pPr>
    </w:p>
    <w:p>
      <w:pPr>
        <w:ind w:left="4480"/>
        <w:spacing w:after="0"/>
        <w:tabs>
          <w:tab w:leader="none" w:pos="5920" w:val="left"/>
          <w:tab w:leader="none" w:pos="7560" w:val="left"/>
          <w:tab w:leader="none" w:pos="9200" w:val="left"/>
        </w:tabs>
        <w:rPr>
          <w:sz w:val="20"/>
          <w:szCs w:val="20"/>
          <w:color w:val="auto"/>
        </w:rPr>
      </w:pPr>
      <w:r>
        <w:rPr>
          <w:rFonts w:ascii="Courier New" w:cs="Courier New" w:eastAsia="Courier New" w:hAnsi="Courier New"/>
          <w:sz w:val="14"/>
          <w:szCs w:val="14"/>
          <w:color w:val="auto"/>
        </w:rPr>
        <w:t>Publishing</w:t>
      </w:r>
      <w:r>
        <w:rPr>
          <w:sz w:val="20"/>
          <w:szCs w:val="20"/>
          <w:color w:val="auto"/>
        </w:rPr>
        <w:tab/>
      </w:r>
      <w:r>
        <w:rPr>
          <w:rFonts w:ascii="Courier New" w:cs="Courier New" w:eastAsia="Courier New" w:hAnsi="Courier New"/>
          <w:sz w:val="14"/>
          <w:szCs w:val="14"/>
          <w:color w:val="auto"/>
        </w:rPr>
        <w:t>Broadcasting</w:t>
      </w:r>
      <w:r>
        <w:rPr>
          <w:sz w:val="20"/>
          <w:szCs w:val="20"/>
          <w:color w:val="auto"/>
        </w:rPr>
        <w:tab/>
      </w:r>
      <w:r>
        <w:rPr>
          <w:rFonts w:ascii="Courier New" w:cs="Courier New" w:eastAsia="Courier New" w:hAnsi="Courier New"/>
          <w:sz w:val="14"/>
          <w:szCs w:val="14"/>
          <w:color w:val="auto"/>
        </w:rPr>
        <w:t>Publishing</w:t>
      </w:r>
      <w:r>
        <w:rPr>
          <w:sz w:val="20"/>
          <w:szCs w:val="20"/>
          <w:color w:val="auto"/>
        </w:rPr>
        <w:tab/>
      </w:r>
      <w:r>
        <w:rPr>
          <w:rFonts w:ascii="Courier New" w:cs="Courier New" w:eastAsia="Courier New" w:hAnsi="Courier New"/>
          <w:sz w:val="14"/>
          <w:szCs w:val="14"/>
          <w:color w:val="auto"/>
        </w:rPr>
        <w:t>Television</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revenues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875,109</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341,761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401,096</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336,259</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(loss) from operations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156,731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167,639</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62,057</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67,145</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losses of affiliates ............</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expense, net .....................</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net .........................</w:t>
            </w: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6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Identifiable assets .......................</w:t>
            </w:r>
          </w:p>
        </w:tc>
        <w:tc>
          <w:tcPr>
            <w:tcW w:w="6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672,609</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444,372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409,404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718,230</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w:t>
            </w: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Total assets ...........................</w:t>
            </w:r>
          </w:p>
        </w:tc>
        <w:tc>
          <w:tcPr>
            <w:tcW w:w="6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&amp; equipment</w:t>
            </w:r>
          </w:p>
        </w:tc>
        <w:tc>
          <w:tcPr>
            <w:tcW w:w="6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35,363</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11,719</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4,972</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43,092</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1,535</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14,248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5,912</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30,007</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Pension credit (expense)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26,440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8,191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48,309</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w:t>
            </w: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expenditures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19,279</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17,839</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62,586</w:t>
            </w:r>
          </w:p>
        </w:tc>
        <w:tc>
          <w:tcPr>
            <w:tcW w:w="0" w:type="dxa"/>
            <w:vAlign w:val="bottom"/>
          </w:tcPr>
          <w:p>
            <w:pPr>
              <w:spacing w:after="0"/>
              <w:rPr>
                <w:sz w:val="1"/>
                <w:szCs w:val="1"/>
                <w:color w:val="auto"/>
              </w:rPr>
            </w:pPr>
          </w:p>
        </w:tc>
      </w:tr>
      <w:tr>
        <w:trPr>
          <w:trHeight w:val="255"/>
        </w:trPr>
        <w:tc>
          <w:tcPr>
            <w:tcW w:w="402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1998</w:t>
            </w:r>
          </w:p>
        </w:tc>
        <w:tc>
          <w:tcPr>
            <w:tcW w:w="50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848,934</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357,616</w:t>
            </w:r>
          </w:p>
        </w:tc>
        <w:tc>
          <w:tcPr>
            <w:tcW w:w="5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399,483</w:t>
            </w:r>
          </w:p>
        </w:tc>
        <w:tc>
          <w:tcPr>
            <w:tcW w:w="5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297,980</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revenues ........................</w:t>
            </w: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(loss) from operations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139,032</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171,194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44,524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65,022</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losses of affiliates ............</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expense, net .....................</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net .........................</w:t>
            </w: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6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Identifiable assets .......................</w:t>
            </w:r>
          </w:p>
        </w:tc>
        <w:tc>
          <w:tcPr>
            <w:tcW w:w="6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646,151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437,506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355,176</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710,641</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w:t>
            </w: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Total assets ...........................</w:t>
            </w:r>
          </w:p>
        </w:tc>
        <w:tc>
          <w:tcPr>
            <w:tcW w:w="6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&amp; equipment</w:t>
            </w:r>
          </w:p>
        </w:tc>
        <w:tc>
          <w:tcPr>
            <w:tcW w:w="6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29,033</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11,378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4,888</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37,271</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1,372</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14,368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5,912</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24,178</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Pension credit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19,828</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35,913</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expenditures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122,667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14,492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3,666</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80,795</w:t>
            </w:r>
          </w:p>
        </w:tc>
        <w:tc>
          <w:tcPr>
            <w:tcW w:w="0" w:type="dxa"/>
            <w:vAlign w:val="bottom"/>
          </w:tcPr>
          <w:p>
            <w:pPr>
              <w:spacing w:after="0"/>
              <w:rPr>
                <w:sz w:val="1"/>
                <w:szCs w:val="1"/>
                <w:color w:val="auto"/>
              </w:rPr>
            </w:pPr>
          </w:p>
        </w:tc>
      </w:tr>
      <w:tr>
        <w:trPr>
          <w:trHeight w:val="255"/>
        </w:trPr>
        <w:tc>
          <w:tcPr>
            <w:tcW w:w="402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1997</w:t>
            </w:r>
          </w:p>
        </w:tc>
        <w:tc>
          <w:tcPr>
            <w:tcW w:w="50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814,263</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338,373</w:t>
            </w:r>
          </w:p>
        </w:tc>
        <w:tc>
          <w:tcPr>
            <w:tcW w:w="5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389,853</w:t>
            </w:r>
          </w:p>
        </w:tc>
        <w:tc>
          <w:tcPr>
            <w:tcW w:w="5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257,732</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revenues ........................</w:t>
            </w: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(loss) from operations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154,512</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163,703</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42,719</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54,659</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earnings of affiliates ..........</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income, net ......................</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net .........................</w:t>
            </w: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6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Identifiable assets .......................</w:t>
            </w:r>
          </w:p>
        </w:tc>
        <w:tc>
          <w:tcPr>
            <w:tcW w:w="6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522,210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436,760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323,573</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502,642</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w:t>
            </w: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Total assets ...........................</w:t>
            </w:r>
          </w:p>
        </w:tc>
        <w:tc>
          <w:tcPr>
            <w:tcW w:w="6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6320" w:type="dxa"/>
            <w:vAlign w:val="bottom"/>
            <w:gridSpan w:val="8"/>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&amp; equipment</w:t>
            </w:r>
          </w:p>
        </w:tc>
        <w:tc>
          <w:tcPr>
            <w:tcW w:w="6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20,234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11,011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4,484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30,672</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12,213</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19,371</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Pension credit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6,843</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20,497</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expenditures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114,187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11,651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3,022</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400" w:type="dxa"/>
        <w:tblCellMar>
          <w:top w:w="0" w:type="dxa"/>
          <w:left w:w="0" w:type="dxa"/>
          <w:bottom w:w="0" w:type="dxa"/>
          <w:right w:w="0" w:type="dxa"/>
        </w:tblCellMar>
      </w:tblPr>
      <w:tr>
        <w:trPr>
          <w:trHeight w:val="166"/>
        </w:trPr>
        <w:tc>
          <w:tcPr>
            <w:tcW w:w="1120" w:type="dxa"/>
            <w:vAlign w:val="bottom"/>
            <w:vMerge w:val="restart"/>
          </w:tcPr>
          <w:p>
            <w:pPr>
              <w:spacing w:after="0"/>
              <w:rPr>
                <w:sz w:val="20"/>
                <w:szCs w:val="20"/>
                <w:color w:val="auto"/>
              </w:rPr>
            </w:pPr>
            <w:r>
              <w:rPr>
                <w:rFonts w:ascii="Courier New" w:cs="Courier New" w:eastAsia="Courier New" w:hAnsi="Courier New"/>
                <w:sz w:val="14"/>
                <w:szCs w:val="14"/>
                <w:color w:val="auto"/>
              </w:rPr>
              <w:t>Education</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Business</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and Career</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and Corporate</w:t>
            </w:r>
          </w:p>
        </w:tc>
        <w:tc>
          <w:tcPr>
            <w:tcW w:w="13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Consolidated</w:t>
            </w:r>
          </w:p>
        </w:tc>
        <w:tc>
          <w:tcPr>
            <w:tcW w:w="0" w:type="dxa"/>
            <w:vAlign w:val="bottom"/>
          </w:tcPr>
          <w:p>
            <w:pPr>
              <w:spacing w:after="0"/>
              <w:rPr>
                <w:sz w:val="1"/>
                <w:szCs w:val="1"/>
                <w:color w:val="auto"/>
              </w:rPr>
            </w:pPr>
          </w:p>
        </w:tc>
      </w:tr>
      <w:tr>
        <w:trPr>
          <w:trHeight w:val="192"/>
        </w:trPr>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Services</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Office</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revenues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257,503</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2,215,571</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(loss) from operations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(37,998)</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(27,121)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388,453</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losses of affiliates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(8,814)</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expense, net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(25,689)</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net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21,435</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375,385</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Identifiable assets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265,960</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132,688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2,643,263</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203,012</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140,669</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Total assets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2,986,944</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&amp; equipment</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8,850</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104,235</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6,861</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58,563</w:t>
            </w: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Pension credit (expense)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(603)</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81,683</w:t>
            </w:r>
          </w:p>
        </w:tc>
        <w:tc>
          <w:tcPr>
            <w:tcW w:w="0" w:type="dxa"/>
            <w:vAlign w:val="bottom"/>
          </w:tcPr>
          <w:p>
            <w:pPr>
              <w:spacing w:after="0"/>
              <w:rPr>
                <w:sz w:val="1"/>
                <w:szCs w:val="1"/>
                <w:color w:val="auto"/>
              </w:rPr>
            </w:pPr>
          </w:p>
        </w:tc>
      </w:tr>
    </w:tbl>
    <w:p>
      <w:pPr>
        <w:sectPr>
          <w:pgSz w:w="11900" w:h="16929" w:orient="portrait"/>
          <w:cols w:equalWidth="0" w:num="1">
            <w:col w:w="10520"/>
          </w:cols>
          <w:pgMar w:left="300" w:top="259" w:right="107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expenditures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26,977</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130,045</w:t>
            </w:r>
          </w:p>
        </w:tc>
        <w:tc>
          <w:tcPr>
            <w:tcW w:w="0" w:type="dxa"/>
            <w:vAlign w:val="bottom"/>
          </w:tcPr>
          <w:p>
            <w:pPr>
              <w:spacing w:after="0"/>
              <w:rPr>
                <w:sz w:val="1"/>
                <w:szCs w:val="1"/>
                <w:color w:val="auto"/>
              </w:rPr>
            </w:pPr>
          </w:p>
        </w:tc>
      </w:tr>
      <w:tr>
        <w:trPr>
          <w:trHeight w:val="255"/>
        </w:trPr>
        <w:tc>
          <w:tcPr>
            <w:tcW w:w="402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1998</w:t>
            </w:r>
          </w:p>
        </w:tc>
        <w:tc>
          <w:tcPr>
            <w:tcW w:w="50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194,854</w:t>
            </w:r>
          </w:p>
        </w:tc>
        <w:tc>
          <w:tcPr>
            <w:tcW w:w="5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11,492</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2,110,359</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revenues ........................</w:t>
            </w:r>
          </w:p>
        </w:tc>
        <w:tc>
          <w:tcPr>
            <w:tcW w:w="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(loss) from operations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(7,453)</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(33,422)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378,897</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losses of affiliates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(5,140)</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expense, net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(10,401)</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net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304,703</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668,059</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Identifiable assets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196,702</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58,839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2,405,015</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256,116</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68,530</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Total assets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2,729,661</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&amp; equipment</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5,925</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89,248</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4,057</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49,889</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Pension credit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61,997</w:t>
            </w: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expenditures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21,411</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244,219</w:t>
            </w:r>
          </w:p>
        </w:tc>
        <w:tc>
          <w:tcPr>
            <w:tcW w:w="0" w:type="dxa"/>
            <w:vAlign w:val="bottom"/>
          </w:tcPr>
          <w:p>
            <w:pPr>
              <w:spacing w:after="0"/>
              <w:rPr>
                <w:sz w:val="1"/>
                <w:szCs w:val="1"/>
                <w:color w:val="auto"/>
              </w:rPr>
            </w:pPr>
          </w:p>
        </w:tc>
      </w:tr>
      <w:tr>
        <w:trPr>
          <w:trHeight w:val="255"/>
        </w:trPr>
        <w:tc>
          <w:tcPr>
            <w:tcW w:w="402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1997</w:t>
            </w:r>
          </w:p>
        </w:tc>
        <w:tc>
          <w:tcPr>
            <w:tcW w:w="50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117,268</w:t>
            </w:r>
          </w:p>
        </w:tc>
        <w:tc>
          <w:tcPr>
            <w:tcW w:w="5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38,764</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1,956,253</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revenues ........................</w:t>
            </w:r>
          </w:p>
        </w:tc>
        <w:tc>
          <w:tcPr>
            <w:tcW w:w="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(loss) from operations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(8,436)</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(25,806)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381,351</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earnings of affiliates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9,955</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income, net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2,219</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net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69,549</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463,074</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Identifiable assets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75,045</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58,930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1,919,160</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3,366</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154,791</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Total assets ...........................</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2,077,317</w:t>
            </w:r>
          </w:p>
        </w:tc>
        <w:tc>
          <w:tcPr>
            <w:tcW w:w="0" w:type="dxa"/>
            <w:vAlign w:val="bottom"/>
          </w:tcPr>
          <w:p>
            <w:pPr>
              <w:spacing w:after="0"/>
              <w:rPr>
                <w:sz w:val="1"/>
                <w:szCs w:val="1"/>
                <w:color w:val="auto"/>
              </w:rPr>
            </w:pPr>
          </w:p>
        </w:tc>
      </w:tr>
      <w:tr>
        <w:trPr>
          <w:trHeight w:val="166"/>
        </w:trPr>
        <w:tc>
          <w:tcPr>
            <w:tcW w:w="4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&amp; equipment</w:t>
            </w:r>
          </w:p>
        </w:tc>
        <w:tc>
          <w:tcPr>
            <w:tcW w:w="468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3,699</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71,478</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936</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33,559</w:t>
            </w:r>
          </w:p>
        </w:tc>
        <w:tc>
          <w:tcPr>
            <w:tcW w:w="0" w:type="dxa"/>
            <w:vAlign w:val="bottom"/>
          </w:tcPr>
          <w:p>
            <w:pPr>
              <w:spacing w:after="0"/>
              <w:rPr>
                <w:sz w:val="1"/>
                <w:szCs w:val="1"/>
                <w:color w:val="auto"/>
              </w:rPr>
            </w:pPr>
          </w:p>
        </w:tc>
      </w:tr>
      <w:tr>
        <w:trPr>
          <w:trHeight w:val="166"/>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Pension credit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30,227</w:t>
            </w:r>
          </w:p>
        </w:tc>
        <w:tc>
          <w:tcPr>
            <w:tcW w:w="0" w:type="dxa"/>
            <w:vAlign w:val="bottom"/>
          </w:tcPr>
          <w:p>
            <w:pPr>
              <w:spacing w:after="0"/>
              <w:rPr>
                <w:sz w:val="1"/>
                <w:szCs w:val="1"/>
                <w:color w:val="auto"/>
              </w:rPr>
            </w:pPr>
          </w:p>
        </w:tc>
      </w:tr>
      <w:tr>
        <w:trPr>
          <w:trHeight w:val="242"/>
        </w:trPr>
        <w:tc>
          <w:tcPr>
            <w:tcW w:w="4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expenditures ......................</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10,121</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214,573</w:t>
            </w:r>
          </w:p>
        </w:tc>
        <w:tc>
          <w:tcPr>
            <w:tcW w:w="0" w:type="dxa"/>
            <w:vAlign w:val="bottom"/>
          </w:tcPr>
          <w:p>
            <w:pPr>
              <w:spacing w:after="0"/>
              <w:rPr>
                <w:sz w:val="1"/>
                <w:szCs w:val="1"/>
                <w:color w:val="auto"/>
              </w:rPr>
            </w:pPr>
          </w:p>
        </w:tc>
      </w:tr>
      <w:tr>
        <w:trPr>
          <w:trHeight w:val="662"/>
        </w:trPr>
        <w:tc>
          <w:tcPr>
            <w:tcW w:w="4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1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SUMMARY OF QUARTERLY OPERATING RESULTS AND COMPREHENSIVE INCOME (UNAUDITED)</w:t>
      </w:r>
    </w:p>
    <w:p>
      <w:pPr>
        <w:spacing w:after="0" w:line="173" w:lineRule="exact"/>
        <w:rPr>
          <w:sz w:val="20"/>
          <w:szCs w:val="20"/>
          <w:color w:val="auto"/>
        </w:rPr>
      </w:pPr>
    </w:p>
    <w:p>
      <w:pPr>
        <w:jc w:val="both"/>
        <w:ind w:right="3960"/>
        <w:spacing w:after="0" w:line="313" w:lineRule="auto"/>
        <w:rPr>
          <w:sz w:val="20"/>
          <w:szCs w:val="20"/>
          <w:color w:val="auto"/>
        </w:rPr>
      </w:pPr>
      <w:r>
        <w:rPr>
          <w:rFonts w:ascii="Courier New" w:cs="Courier New" w:eastAsia="Courier New" w:hAnsi="Courier New"/>
          <w:sz w:val="14"/>
          <w:szCs w:val="14"/>
          <w:color w:val="auto"/>
        </w:rPr>
        <w:t>Quarterly results of operations and comprehensive income for the years ended January 2, 2000 and January 3, 1999 are as follows (in thousands, except per share amounts):</w:t>
      </w:r>
    </w:p>
    <w:p>
      <w:pPr>
        <w:spacing w:after="0" w:line="373" w:lineRule="exact"/>
        <w:rPr>
          <w:sz w:val="20"/>
          <w:szCs w:val="20"/>
          <w:color w:val="auto"/>
        </w:rPr>
      </w:pPr>
    </w:p>
    <w:p>
      <w:pPr>
        <w:jc w:val="center"/>
        <w:ind w:left="3960"/>
        <w:spacing w:after="0"/>
        <w:tabs>
          <w:tab w:leader="none" w:pos="1100" w:val="left"/>
          <w:tab w:leader="none" w:pos="840" w:val="left"/>
          <w:tab w:leader="none" w:pos="100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33" w:lineRule="exact"/>
        <w:rPr>
          <w:sz w:val="20"/>
          <w:szCs w:val="20"/>
          <w:color w:val="auto"/>
        </w:rPr>
      </w:pPr>
    </w:p>
    <w:p>
      <w:pPr>
        <w:jc w:val="center"/>
        <w:ind w:left="3940"/>
        <w:spacing w:after="0"/>
        <w:tabs>
          <w:tab w:leader="none" w:pos="920" w:val="left"/>
          <w:tab w:leader="none" w:pos="760" w:val="left"/>
          <w:tab w:leader="none" w:pos="92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right="7760"/>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1999 QUARTERLY OPERATING RESULTS Operating revenues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Advertising ....................................</w:t>
            </w: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$ 300,002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341,602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311,891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377,065</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Circulation and subscriber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141,431</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142,854</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147,016</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148,393</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Education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52,018</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55,284</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67,522</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65,251</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26,946</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17,455</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13,151</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7,691</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520,397</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557,195</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539,580</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598,400</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Operating costs and expenses</w:t>
            </w:r>
          </w:p>
        </w:tc>
        <w:tc>
          <w:tcPr>
            <w:tcW w:w="440" w:type="dxa"/>
            <w:vAlign w:val="bottom"/>
          </w:tcPr>
          <w:p>
            <w:pPr>
              <w:spacing w:after="0"/>
              <w:rPr>
                <w:sz w:val="22"/>
                <w:szCs w:val="22"/>
                <w:color w:val="auto"/>
              </w:rPr>
            </w:pPr>
          </w:p>
        </w:tc>
        <w:tc>
          <w:tcPr>
            <w:tcW w:w="10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286,583</w:t>
            </w:r>
          </w:p>
        </w:tc>
        <w:tc>
          <w:tcPr>
            <w:tcW w:w="440" w:type="dxa"/>
            <w:vAlign w:val="bottom"/>
          </w:tcPr>
          <w:p>
            <w:pPr>
              <w:spacing w:after="0"/>
              <w:rPr>
                <w:sz w:val="22"/>
                <w:szCs w:val="22"/>
                <w:color w:val="auto"/>
              </w:rPr>
            </w:pPr>
          </w:p>
        </w:tc>
        <w:tc>
          <w:tcPr>
            <w:tcW w:w="10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294,172</w:t>
            </w:r>
          </w:p>
        </w:tc>
        <w:tc>
          <w:tcPr>
            <w:tcW w:w="440" w:type="dxa"/>
            <w:vAlign w:val="bottom"/>
          </w:tcPr>
          <w:p>
            <w:pPr>
              <w:spacing w:after="0"/>
              <w:rPr>
                <w:sz w:val="22"/>
                <w:szCs w:val="22"/>
                <w:color w:val="auto"/>
              </w:rPr>
            </w:pPr>
          </w:p>
        </w:tc>
        <w:tc>
          <w:tcPr>
            <w:tcW w:w="10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293,948</w:t>
            </w:r>
          </w:p>
        </w:tc>
        <w:tc>
          <w:tcPr>
            <w:tcW w:w="420" w:type="dxa"/>
            <w:vAlign w:val="bottom"/>
          </w:tcPr>
          <w:p>
            <w:pPr>
              <w:spacing w:after="0"/>
              <w:rPr>
                <w:sz w:val="22"/>
                <w:szCs w:val="22"/>
                <w:color w:val="auto"/>
              </w:rPr>
            </w:pP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314,698</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Selling, general and administrative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116,997</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116,414</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118,198</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123,311</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25,118</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25,305</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26,265</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27,547</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14,425</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14,619</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14,813</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14,706</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443,123</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450,510</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453,224</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480,262</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from operations ............................</w:t>
            </w:r>
          </w:p>
        </w:tc>
        <w:tc>
          <w:tcPr>
            <w:tcW w:w="440" w:type="dxa"/>
            <w:vAlign w:val="bottom"/>
          </w:tcPr>
          <w:p>
            <w:pPr>
              <w:spacing w:after="0"/>
              <w:rPr>
                <w:sz w:val="22"/>
                <w:szCs w:val="22"/>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77,274</w:t>
            </w:r>
          </w:p>
        </w:tc>
        <w:tc>
          <w:tcPr>
            <w:tcW w:w="440" w:type="dxa"/>
            <w:vAlign w:val="bottom"/>
          </w:tcPr>
          <w:p>
            <w:pPr>
              <w:spacing w:after="0"/>
              <w:rPr>
                <w:sz w:val="22"/>
                <w:szCs w:val="22"/>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106,685</w:t>
            </w:r>
          </w:p>
        </w:tc>
        <w:tc>
          <w:tcPr>
            <w:tcW w:w="440" w:type="dxa"/>
            <w:vAlign w:val="bottom"/>
          </w:tcPr>
          <w:p>
            <w:pPr>
              <w:spacing w:after="0"/>
              <w:rPr>
                <w:sz w:val="22"/>
                <w:szCs w:val="22"/>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86,356</w:t>
            </w:r>
          </w:p>
        </w:tc>
        <w:tc>
          <w:tcPr>
            <w:tcW w:w="42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118,138</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(losses) earnings of affiliates ......</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(2,510)</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731</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4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(6,975)</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income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186</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expense ...............................</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(6,813)</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(5,441)</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(6,473)</w:t>
            </w:r>
          </w:p>
        </w:tc>
        <w:tc>
          <w:tcPr>
            <w:tcW w:w="4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(8,059)</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(expense), net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6,143</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9,471</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8,279</w:t>
            </w:r>
          </w:p>
        </w:tc>
        <w:tc>
          <w:tcPr>
            <w:tcW w:w="4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(2,458)</w:t>
            </w:r>
          </w:p>
        </w:tc>
        <w:tc>
          <w:tcPr>
            <w:tcW w:w="0" w:type="dxa"/>
            <w:vAlign w:val="bottom"/>
          </w:tcPr>
          <w:p>
            <w:pPr>
              <w:spacing w:after="0"/>
              <w:rPr>
                <w:sz w:val="1"/>
                <w:szCs w:val="1"/>
                <w:color w:val="auto"/>
              </w:rPr>
            </w:pPr>
          </w:p>
        </w:tc>
      </w:tr>
      <w:tr>
        <w:trPr>
          <w:trHeight w:val="166"/>
        </w:trPr>
        <w:tc>
          <w:tcPr>
            <w:tcW w:w="47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74,340</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111,659</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88,289</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101,098</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Provision for income taxes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29,150</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43,750</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36,600</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40,100</w:t>
            </w:r>
          </w:p>
        </w:tc>
        <w:tc>
          <w:tcPr>
            <w:tcW w:w="0" w:type="dxa"/>
            <w:vAlign w:val="bottom"/>
          </w:tcPr>
          <w:p>
            <w:pPr>
              <w:spacing w:after="0"/>
              <w:rPr>
                <w:sz w:val="1"/>
                <w:szCs w:val="1"/>
                <w:color w:val="auto"/>
              </w:rPr>
            </w:pPr>
          </w:p>
        </w:tc>
      </w:tr>
      <w:tr>
        <w:trPr>
          <w:trHeight w:val="166"/>
        </w:trPr>
        <w:tc>
          <w:tcPr>
            <w:tcW w:w="47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Net income ........................................</w:t>
            </w: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45,190</w:t>
            </w:r>
          </w:p>
        </w:tc>
        <w:tc>
          <w:tcPr>
            <w:tcW w:w="440" w:type="dxa"/>
            <w:vAlign w:val="bottom"/>
          </w:tcPr>
          <w:p>
            <w:pPr>
              <w:spacing w:after="0"/>
              <w:rPr>
                <w:sz w:val="21"/>
                <w:szCs w:val="21"/>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67,909</w:t>
            </w:r>
          </w:p>
        </w:tc>
        <w:tc>
          <w:tcPr>
            <w:tcW w:w="440" w:type="dxa"/>
            <w:vAlign w:val="bottom"/>
          </w:tcPr>
          <w:p>
            <w:pPr>
              <w:spacing w:after="0"/>
              <w:rPr>
                <w:sz w:val="21"/>
                <w:szCs w:val="21"/>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51,689</w:t>
            </w:r>
          </w:p>
        </w:tc>
        <w:tc>
          <w:tcPr>
            <w:tcW w:w="420" w:type="dxa"/>
            <w:vAlign w:val="bottom"/>
          </w:tcPr>
          <w:p>
            <w:pPr>
              <w:spacing w:after="0"/>
              <w:rPr>
                <w:sz w:val="21"/>
                <w:szCs w:val="21"/>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60,998</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Redeemable preferred stock dividends ..............</w:t>
            </w:r>
          </w:p>
        </w:tc>
        <w:tc>
          <w:tcPr>
            <w:tcW w:w="440" w:type="dxa"/>
            <w:vAlign w:val="bottom"/>
          </w:tcPr>
          <w:p>
            <w:pPr>
              <w:spacing w:after="0"/>
              <w:rPr>
                <w:sz w:val="22"/>
                <w:szCs w:val="22"/>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440" w:type="dxa"/>
            <w:vAlign w:val="bottom"/>
          </w:tcPr>
          <w:p>
            <w:pPr>
              <w:spacing w:after="0"/>
              <w:rPr>
                <w:sz w:val="22"/>
                <w:szCs w:val="22"/>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w:t>
            </w:r>
          </w:p>
        </w:tc>
        <w:tc>
          <w:tcPr>
            <w:tcW w:w="440" w:type="dxa"/>
            <w:vAlign w:val="bottom"/>
          </w:tcPr>
          <w:p>
            <w:pPr>
              <w:spacing w:after="0"/>
              <w:rPr>
                <w:sz w:val="22"/>
                <w:szCs w:val="22"/>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w:t>
            </w:r>
          </w:p>
        </w:tc>
        <w:tc>
          <w:tcPr>
            <w:tcW w:w="42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available for common shares ............</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44,715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67,672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51,452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60,998</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earnings per common share ...................</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Diluted earnings per common share .................</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average number of common shares outstanding .</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10,098</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10,098</w:t>
            </w:r>
          </w:p>
        </w:tc>
        <w:tc>
          <w:tcPr>
            <w:tcW w:w="440" w:type="dxa"/>
            <w:vAlign w:val="bottom"/>
          </w:tcPr>
          <w:p>
            <w:pPr>
              <w:spacing w:after="0"/>
              <w:rPr>
                <w:sz w:val="24"/>
                <w:szCs w:val="2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10,060</w:t>
            </w:r>
          </w:p>
        </w:tc>
        <w:tc>
          <w:tcPr>
            <w:tcW w:w="4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9,988</w:t>
            </w:r>
          </w:p>
        </w:tc>
        <w:tc>
          <w:tcPr>
            <w:tcW w:w="0" w:type="dxa"/>
            <w:vAlign w:val="bottom"/>
          </w:tcPr>
          <w:p>
            <w:pPr>
              <w:spacing w:after="0"/>
              <w:rPr>
                <w:sz w:val="1"/>
                <w:szCs w:val="1"/>
                <w:color w:val="auto"/>
              </w:rPr>
            </w:pPr>
          </w:p>
        </w:tc>
      </w:tr>
      <w:tr>
        <w:trPr>
          <w:trHeight w:val="331"/>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Diluted average number of common shares outstanding</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10,143</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10,140</w:t>
            </w:r>
          </w:p>
        </w:tc>
        <w:tc>
          <w:tcPr>
            <w:tcW w:w="440" w:type="dxa"/>
            <w:vAlign w:val="bottom"/>
          </w:tcPr>
          <w:p>
            <w:pPr>
              <w:spacing w:after="0"/>
              <w:rPr>
                <w:sz w:val="24"/>
                <w:szCs w:val="2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10,101</w:t>
            </w:r>
          </w:p>
        </w:tc>
        <w:tc>
          <w:tcPr>
            <w:tcW w:w="4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10,008</w:t>
            </w:r>
          </w:p>
        </w:tc>
        <w:tc>
          <w:tcPr>
            <w:tcW w:w="0" w:type="dxa"/>
            <w:vAlign w:val="bottom"/>
          </w:tcPr>
          <w:p>
            <w:pPr>
              <w:spacing w:after="0"/>
              <w:rPr>
                <w:sz w:val="1"/>
                <w:szCs w:val="1"/>
                <w:color w:val="auto"/>
              </w:rPr>
            </w:pPr>
          </w:p>
        </w:tc>
      </w:tr>
      <w:tr>
        <w:trPr>
          <w:trHeight w:val="421"/>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 QUARTERLY COMPREHENSIVE INCOME ...............</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47,803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50,808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19,615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67,559</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520"/>
          </w:cols>
          <w:pgMar w:left="300" w:top="259" w:right="1079"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46</w:t>
      </w:r>
    </w:p>
    <w:p>
      <w:pPr>
        <w:spacing w:after="0" w:line="200" w:lineRule="exact"/>
        <w:rPr>
          <w:sz w:val="20"/>
          <w:szCs w:val="20"/>
          <w:color w:val="auto"/>
        </w:rPr>
      </w:pPr>
    </w:p>
    <w:p>
      <w:pPr>
        <w:spacing w:after="0" w:line="304" w:lineRule="exact"/>
        <w:rPr>
          <w:sz w:val="20"/>
          <w:szCs w:val="20"/>
          <w:color w:val="auto"/>
        </w:rPr>
      </w:pPr>
    </w:p>
    <w:p>
      <w:pPr>
        <w:jc w:val="center"/>
        <w:ind w:left="3700"/>
        <w:spacing w:after="0"/>
        <w:tabs>
          <w:tab w:leader="none" w:pos="1100" w:val="left"/>
          <w:tab w:leader="none" w:pos="940" w:val="left"/>
          <w:tab w:leader="none" w:pos="102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33" w:lineRule="exact"/>
        <w:rPr>
          <w:sz w:val="20"/>
          <w:szCs w:val="20"/>
          <w:color w:val="auto"/>
        </w:rPr>
      </w:pPr>
    </w:p>
    <w:p>
      <w:pPr>
        <w:jc w:val="center"/>
        <w:ind w:left="3700"/>
        <w:spacing w:after="0"/>
        <w:tabs>
          <w:tab w:leader="none" w:pos="1020" w:val="left"/>
          <w:tab w:leader="none" w:pos="840" w:val="left"/>
          <w:tab w:leader="none" w:pos="84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QUARTERLY OPERATING RESULTS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Advertising ....................................</w:t>
            </w: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$ 292,685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342,247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293,277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369,412</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Circulation and subscriber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130,341</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133,365</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138,783</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144,961</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Education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31,845</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28,226</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52,864</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58,438</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29,084</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21,919</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24,357</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18,555</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483,955</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525,757</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509,281</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591,366</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Operating costs and expenses</w:t>
            </w:r>
          </w:p>
        </w:tc>
        <w:tc>
          <w:tcPr>
            <w:tcW w:w="440" w:type="dxa"/>
            <w:vAlign w:val="bottom"/>
          </w:tcPr>
          <w:p>
            <w:pPr>
              <w:spacing w:after="0"/>
              <w:rPr>
                <w:sz w:val="22"/>
                <w:szCs w:val="22"/>
                <w:color w:val="auto"/>
              </w:rPr>
            </w:pPr>
          </w:p>
        </w:tc>
        <w:tc>
          <w:tcPr>
            <w:tcW w:w="10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267,587</w:t>
            </w:r>
          </w:p>
        </w:tc>
        <w:tc>
          <w:tcPr>
            <w:tcW w:w="440" w:type="dxa"/>
            <w:vAlign w:val="bottom"/>
          </w:tcPr>
          <w:p>
            <w:pPr>
              <w:spacing w:after="0"/>
              <w:rPr>
                <w:sz w:val="22"/>
                <w:szCs w:val="22"/>
                <w:color w:val="auto"/>
              </w:rPr>
            </w:pPr>
          </w:p>
        </w:tc>
        <w:tc>
          <w:tcPr>
            <w:tcW w:w="10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276,399</w:t>
            </w:r>
          </w:p>
        </w:tc>
        <w:tc>
          <w:tcPr>
            <w:tcW w:w="440" w:type="dxa"/>
            <w:vAlign w:val="bottom"/>
          </w:tcPr>
          <w:p>
            <w:pPr>
              <w:spacing w:after="0"/>
              <w:rPr>
                <w:sz w:val="22"/>
                <w:szCs w:val="22"/>
                <w:color w:val="auto"/>
              </w:rPr>
            </w:pPr>
          </w:p>
        </w:tc>
        <w:tc>
          <w:tcPr>
            <w:tcW w:w="10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278,241</w:t>
            </w:r>
          </w:p>
        </w:tc>
        <w:tc>
          <w:tcPr>
            <w:tcW w:w="420" w:type="dxa"/>
            <w:vAlign w:val="bottom"/>
          </w:tcPr>
          <w:p>
            <w:pPr>
              <w:spacing w:after="0"/>
              <w:rPr>
                <w:sz w:val="22"/>
                <w:szCs w:val="22"/>
                <w:color w:val="auto"/>
              </w:rPr>
            </w:pP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316,950</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Selling, general and administrative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109,930</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111,005</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107,533</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124,681</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20,378</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20,733</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22,058</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26,079</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10,743</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11,127</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13,853</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14,166</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408,638</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419,264</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421,685</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481,876</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from operations ............................</w:t>
            </w:r>
          </w:p>
        </w:tc>
        <w:tc>
          <w:tcPr>
            <w:tcW w:w="440" w:type="dxa"/>
            <w:vAlign w:val="bottom"/>
          </w:tcPr>
          <w:p>
            <w:pPr>
              <w:spacing w:after="0"/>
              <w:rPr>
                <w:sz w:val="22"/>
                <w:szCs w:val="22"/>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75,317</w:t>
            </w:r>
          </w:p>
        </w:tc>
        <w:tc>
          <w:tcPr>
            <w:tcW w:w="440" w:type="dxa"/>
            <w:vAlign w:val="bottom"/>
          </w:tcPr>
          <w:p>
            <w:pPr>
              <w:spacing w:after="0"/>
              <w:rPr>
                <w:sz w:val="22"/>
                <w:szCs w:val="22"/>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106,493</w:t>
            </w:r>
          </w:p>
        </w:tc>
        <w:tc>
          <w:tcPr>
            <w:tcW w:w="440" w:type="dxa"/>
            <w:vAlign w:val="bottom"/>
          </w:tcPr>
          <w:p>
            <w:pPr>
              <w:spacing w:after="0"/>
              <w:rPr>
                <w:sz w:val="22"/>
                <w:szCs w:val="22"/>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87,596</w:t>
            </w:r>
          </w:p>
        </w:tc>
        <w:tc>
          <w:tcPr>
            <w:tcW w:w="42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109,490</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earnings (losses) of affiliates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988</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(4,060)</w:t>
            </w:r>
          </w:p>
        </w:tc>
        <w:tc>
          <w:tcPr>
            <w:tcW w:w="4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income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384</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217</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expense ...............................</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(2,244)</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(2,246)</w:t>
            </w:r>
          </w:p>
        </w:tc>
        <w:tc>
          <w:tcPr>
            <w:tcW w:w="4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(6,717)</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income (expense), net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258,106</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(1,594)</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50,241</w:t>
            </w:r>
          </w:p>
        </w:tc>
        <w:tc>
          <w:tcPr>
            <w:tcW w:w="4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w:t>
            </w:r>
          </w:p>
        </w:tc>
        <w:tc>
          <w:tcPr>
            <w:tcW w:w="0" w:type="dxa"/>
            <w:vAlign w:val="bottom"/>
          </w:tcPr>
          <w:p>
            <w:pPr>
              <w:spacing w:after="0"/>
              <w:rPr>
                <w:sz w:val="1"/>
                <w:szCs w:val="1"/>
                <w:color w:val="auto"/>
              </w:rPr>
            </w:pPr>
          </w:p>
        </w:tc>
      </w:tr>
      <w:tr>
        <w:trPr>
          <w:trHeight w:val="166"/>
        </w:trPr>
        <w:tc>
          <w:tcPr>
            <w:tcW w:w="47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332,374</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104,882</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131,748</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99,055</w:t>
            </w:r>
          </w:p>
        </w:tc>
        <w:tc>
          <w:tcPr>
            <w:tcW w:w="0" w:type="dxa"/>
            <w:vAlign w:val="bottom"/>
          </w:tcPr>
          <w:p>
            <w:pPr>
              <w:spacing w:after="0"/>
              <w:rPr>
                <w:sz w:val="1"/>
                <w:szCs w:val="1"/>
                <w:color w:val="auto"/>
              </w:rPr>
            </w:pPr>
          </w:p>
        </w:tc>
      </w:tr>
      <w:tr>
        <w:trPr>
          <w:trHeight w:val="166"/>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Provision for income taxes ........................</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124,500</w:t>
            </w:r>
          </w:p>
        </w:tc>
        <w:tc>
          <w:tcPr>
            <w:tcW w:w="44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41,100</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49,900</w:t>
            </w:r>
          </w:p>
        </w:tc>
        <w:tc>
          <w:tcPr>
            <w:tcW w:w="4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35,300</w:t>
            </w:r>
          </w:p>
        </w:tc>
        <w:tc>
          <w:tcPr>
            <w:tcW w:w="0" w:type="dxa"/>
            <w:vAlign w:val="bottom"/>
          </w:tcPr>
          <w:p>
            <w:pPr>
              <w:spacing w:after="0"/>
              <w:rPr>
                <w:sz w:val="1"/>
                <w:szCs w:val="1"/>
                <w:color w:val="auto"/>
              </w:rPr>
            </w:pPr>
          </w:p>
        </w:tc>
      </w:tr>
      <w:tr>
        <w:trPr>
          <w:trHeight w:val="166"/>
        </w:trPr>
        <w:tc>
          <w:tcPr>
            <w:tcW w:w="47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Net income ........................................</w:t>
            </w: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207,874</w:t>
            </w:r>
          </w:p>
        </w:tc>
        <w:tc>
          <w:tcPr>
            <w:tcW w:w="440" w:type="dxa"/>
            <w:vAlign w:val="bottom"/>
          </w:tcPr>
          <w:p>
            <w:pPr>
              <w:spacing w:after="0"/>
              <w:rPr>
                <w:sz w:val="21"/>
                <w:szCs w:val="21"/>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63,782</w:t>
            </w:r>
          </w:p>
        </w:tc>
        <w:tc>
          <w:tcPr>
            <w:tcW w:w="440" w:type="dxa"/>
            <w:vAlign w:val="bottom"/>
          </w:tcPr>
          <w:p>
            <w:pPr>
              <w:spacing w:after="0"/>
              <w:rPr>
                <w:sz w:val="21"/>
                <w:szCs w:val="21"/>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81,848</w:t>
            </w:r>
          </w:p>
        </w:tc>
        <w:tc>
          <w:tcPr>
            <w:tcW w:w="420" w:type="dxa"/>
            <w:vAlign w:val="bottom"/>
          </w:tcPr>
          <w:p>
            <w:pPr>
              <w:spacing w:after="0"/>
              <w:rPr>
                <w:sz w:val="21"/>
                <w:szCs w:val="21"/>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63,755</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Redeemable preferred stock dividends ..............</w:t>
            </w:r>
          </w:p>
        </w:tc>
        <w:tc>
          <w:tcPr>
            <w:tcW w:w="440" w:type="dxa"/>
            <w:vAlign w:val="bottom"/>
          </w:tcPr>
          <w:p>
            <w:pPr>
              <w:spacing w:after="0"/>
              <w:rPr>
                <w:sz w:val="22"/>
                <w:szCs w:val="22"/>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w:t>
            </w:r>
          </w:p>
        </w:tc>
        <w:tc>
          <w:tcPr>
            <w:tcW w:w="440" w:type="dxa"/>
            <w:vAlign w:val="bottom"/>
          </w:tcPr>
          <w:p>
            <w:pPr>
              <w:spacing w:after="0"/>
              <w:rPr>
                <w:sz w:val="22"/>
                <w:szCs w:val="22"/>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440" w:type="dxa"/>
            <w:vAlign w:val="bottom"/>
          </w:tcPr>
          <w:p>
            <w:pPr>
              <w:spacing w:after="0"/>
              <w:rPr>
                <w:sz w:val="22"/>
                <w:szCs w:val="22"/>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42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available for common shares ............</w:t>
            </w: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$ 207,396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63,543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81,609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63,755</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earnings per common share ...................</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20.57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Diluted earnings per common share .................</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6.30</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average number of common shares outstanding .</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10,084</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10,088</w:t>
            </w:r>
          </w:p>
        </w:tc>
        <w:tc>
          <w:tcPr>
            <w:tcW w:w="440" w:type="dxa"/>
            <w:vAlign w:val="bottom"/>
          </w:tcPr>
          <w:p>
            <w:pPr>
              <w:spacing w:after="0"/>
              <w:rPr>
                <w:sz w:val="24"/>
                <w:szCs w:val="2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10,093</w:t>
            </w:r>
          </w:p>
        </w:tc>
        <w:tc>
          <w:tcPr>
            <w:tcW w:w="4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10,082</w:t>
            </w:r>
          </w:p>
        </w:tc>
        <w:tc>
          <w:tcPr>
            <w:tcW w:w="0" w:type="dxa"/>
            <w:vAlign w:val="bottom"/>
          </w:tcPr>
          <w:p>
            <w:pPr>
              <w:spacing w:after="0"/>
              <w:rPr>
                <w:sz w:val="1"/>
                <w:szCs w:val="1"/>
                <w:color w:val="auto"/>
              </w:rPr>
            </w:pPr>
          </w:p>
        </w:tc>
      </w:tr>
      <w:tr>
        <w:trPr>
          <w:trHeight w:val="331"/>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Diluted average number of common shares outstanding</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10,131</w:t>
            </w:r>
          </w:p>
        </w:tc>
        <w:tc>
          <w:tcPr>
            <w:tcW w:w="44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10,136</w:t>
            </w:r>
          </w:p>
        </w:tc>
        <w:tc>
          <w:tcPr>
            <w:tcW w:w="440" w:type="dxa"/>
            <w:vAlign w:val="bottom"/>
          </w:tcPr>
          <w:p>
            <w:pPr>
              <w:spacing w:after="0"/>
              <w:rPr>
                <w:sz w:val="24"/>
                <w:szCs w:val="2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10,139</w:t>
            </w:r>
          </w:p>
        </w:tc>
        <w:tc>
          <w:tcPr>
            <w:tcW w:w="4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10,124</w:t>
            </w:r>
          </w:p>
        </w:tc>
        <w:tc>
          <w:tcPr>
            <w:tcW w:w="0" w:type="dxa"/>
            <w:vAlign w:val="bottom"/>
          </w:tcPr>
          <w:p>
            <w:pPr>
              <w:spacing w:after="0"/>
              <w:rPr>
                <w:sz w:val="1"/>
                <w:szCs w:val="1"/>
                <w:color w:val="auto"/>
              </w:rPr>
            </w:pPr>
          </w:p>
        </w:tc>
      </w:tr>
      <w:tr>
        <w:trPr>
          <w:trHeight w:val="421"/>
        </w:trPr>
        <w:tc>
          <w:tcPr>
            <w:tcW w:w="4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 QUARTERLY COMPREHENSIVE INCOME ...............</w:t>
            </w: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$ 207,814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64,253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74,503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111,502</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564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780"/>
        <w:spacing w:after="0" w:line="376" w:lineRule="auto"/>
        <w:rPr>
          <w:sz w:val="20"/>
          <w:szCs w:val="20"/>
          <w:color w:val="auto"/>
        </w:rPr>
      </w:pPr>
      <w:r>
        <w:rPr>
          <w:rFonts w:ascii="Courier New" w:cs="Courier New" w:eastAsia="Courier New" w:hAnsi="Courier New"/>
          <w:sz w:val="14"/>
          <w:szCs w:val="14"/>
          <w:color w:val="auto"/>
        </w:rPr>
        <w:t>The sum of the four quarters may not necessarily be equal to the annual amounts reported in the Consolidated Statements of Income due to rounding.</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600"/>
          </w:cols>
          <w:pgMar w:left="300" w:top="259" w:right="999"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30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SCHEDULE II</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700"/>
        <w:spacing w:after="0"/>
        <w:tabs>
          <w:tab w:leader="none" w:pos="5580" w:val="left"/>
          <w:tab w:leader="none" w:pos="7140" w:val="left"/>
          <w:tab w:leader="none" w:pos="8680" w:val="left"/>
          <w:tab w:leader="none" w:pos="1014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4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 w:lineRule="exact"/>
        <w:rPr>
          <w:rFonts w:ascii="Courier New" w:cs="Courier New" w:eastAsia="Courier New" w:hAnsi="Courier New"/>
          <w:sz w:val="14"/>
          <w:szCs w:val="14"/>
          <w:color w:val="auto"/>
        </w:rPr>
      </w:pPr>
    </w:p>
    <w:p>
      <w:pPr>
        <w:ind w:left="7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w:t>
      </w:r>
    </w:p>
    <w:tbl>
      <w:tblPr>
        <w:tblLayout w:type="fixed"/>
        <w:tblInd w:w="700" w:type="dxa"/>
        <w:tblCellMar>
          <w:top w:w="0" w:type="dxa"/>
          <w:left w:w="0" w:type="dxa"/>
          <w:bottom w:w="0" w:type="dxa"/>
          <w:right w:w="0" w:type="dxa"/>
        </w:tblCellMar>
      </w:tblPr>
      <w:tr>
        <w:trPr>
          <w:trHeight w:val="147"/>
        </w:trPr>
        <w:tc>
          <w:tcPr>
            <w:tcW w:w="2920" w:type="dxa"/>
            <w:vAlign w:val="bottom"/>
          </w:tcPr>
          <w:p>
            <w:pPr>
              <w:spacing w:after="0"/>
              <w:rPr>
                <w:sz w:val="12"/>
                <w:szCs w:val="12"/>
                <w:color w:val="auto"/>
              </w:rPr>
            </w:pPr>
          </w:p>
        </w:tc>
        <w:tc>
          <w:tcPr>
            <w:tcW w:w="3240" w:type="dxa"/>
            <w:vAlign w:val="bottom"/>
          </w:tcPr>
          <w:p>
            <w:pPr>
              <w:ind w:left="1980"/>
              <w:spacing w:after="0" w:line="147" w:lineRule="exact"/>
              <w:rPr>
                <w:sz w:val="20"/>
                <w:szCs w:val="20"/>
                <w:color w:val="auto"/>
              </w:rPr>
            </w:pPr>
            <w:r>
              <w:rPr>
                <w:rFonts w:ascii="Courier New" w:cs="Courier New" w:eastAsia="Courier New" w:hAnsi="Courier New"/>
                <w:sz w:val="14"/>
                <w:szCs w:val="14"/>
                <w:color w:val="auto"/>
              </w:rPr>
              <w:t>BALANCE AT</w:t>
            </w:r>
          </w:p>
        </w:tc>
        <w:tc>
          <w:tcPr>
            <w:tcW w:w="154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CHARGED TO</w:t>
            </w:r>
          </w:p>
        </w:tc>
        <w:tc>
          <w:tcPr>
            <w:tcW w:w="1420" w:type="dxa"/>
            <w:vAlign w:val="bottom"/>
          </w:tcPr>
          <w:p>
            <w:pPr>
              <w:spacing w:after="0"/>
              <w:rPr>
                <w:sz w:val="12"/>
                <w:szCs w:val="12"/>
                <w:color w:val="auto"/>
              </w:rPr>
            </w:pPr>
          </w:p>
        </w:tc>
        <w:tc>
          <w:tcPr>
            <w:tcW w:w="1120" w:type="dxa"/>
            <w:vAlign w:val="bottom"/>
          </w:tcPr>
          <w:p>
            <w:pPr>
              <w:ind w:left="260"/>
              <w:spacing w:after="0" w:line="147" w:lineRule="exact"/>
              <w:rPr>
                <w:sz w:val="20"/>
                <w:szCs w:val="20"/>
                <w:color w:val="auto"/>
              </w:rPr>
            </w:pPr>
            <w:r>
              <w:rPr>
                <w:rFonts w:ascii="Courier New" w:cs="Courier New" w:eastAsia="Courier New" w:hAnsi="Courier New"/>
                <w:sz w:val="14"/>
                <w:szCs w:val="14"/>
                <w:color w:val="auto"/>
                <w:w w:val="99"/>
              </w:rPr>
              <w:t>BALANCE AT</w:t>
            </w:r>
          </w:p>
        </w:tc>
        <w:tc>
          <w:tcPr>
            <w:tcW w:w="0" w:type="dxa"/>
            <w:vAlign w:val="bottom"/>
          </w:tcPr>
          <w:p>
            <w:pPr>
              <w:spacing w:after="0"/>
              <w:rPr>
                <w:sz w:val="1"/>
                <w:szCs w:val="1"/>
                <w:color w:val="auto"/>
              </w:rPr>
            </w:pPr>
          </w:p>
        </w:tc>
      </w:tr>
      <w:tr>
        <w:trPr>
          <w:trHeight w:val="166"/>
        </w:trPr>
        <w:tc>
          <w:tcPr>
            <w:tcW w:w="2920" w:type="dxa"/>
            <w:vAlign w:val="bottom"/>
            <w:vMerge w:val="restart"/>
          </w:tcPr>
          <w:p>
            <w:pPr>
              <w:spacing w:after="0"/>
              <w:rPr>
                <w:sz w:val="20"/>
                <w:szCs w:val="20"/>
                <w:color w:val="auto"/>
              </w:rPr>
            </w:pPr>
            <w:r>
              <w:rPr>
                <w:rFonts w:ascii="Courier New" w:cs="Courier New" w:eastAsia="Courier New" w:hAnsi="Courier New"/>
                <w:sz w:val="14"/>
                <w:szCs w:val="14"/>
                <w:color w:val="auto"/>
              </w:rPr>
              <w:t>DESCRIPTION</w:t>
            </w:r>
          </w:p>
        </w:tc>
        <w:tc>
          <w:tcPr>
            <w:tcW w:w="3240" w:type="dxa"/>
            <w:vAlign w:val="bottom"/>
          </w:tcPr>
          <w:p>
            <w:pPr>
              <w:ind w:left="1980"/>
              <w:spacing w:after="0"/>
              <w:rPr>
                <w:sz w:val="20"/>
                <w:szCs w:val="20"/>
                <w:color w:val="auto"/>
              </w:rPr>
            </w:pPr>
            <w:r>
              <w:rPr>
                <w:rFonts w:ascii="Courier New" w:cs="Courier New" w:eastAsia="Courier New" w:hAnsi="Courier New"/>
                <w:sz w:val="14"/>
                <w:szCs w:val="14"/>
                <w:color w:val="auto"/>
              </w:rPr>
              <w:t>BEGINNING</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COSTS AND</w:t>
            </w:r>
          </w:p>
        </w:tc>
        <w:tc>
          <w:tcPr>
            <w:tcW w:w="142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DEDUCTIONS</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END OF</w:t>
            </w:r>
          </w:p>
        </w:tc>
        <w:tc>
          <w:tcPr>
            <w:tcW w:w="0" w:type="dxa"/>
            <w:vAlign w:val="bottom"/>
          </w:tcPr>
          <w:p>
            <w:pPr>
              <w:spacing w:after="0"/>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3240" w:type="dxa"/>
            <w:vAlign w:val="bottom"/>
          </w:tcPr>
          <w:p>
            <w:pPr>
              <w:ind w:left="1980"/>
              <w:spacing w:after="0"/>
              <w:rPr>
                <w:sz w:val="20"/>
                <w:szCs w:val="20"/>
                <w:color w:val="auto"/>
              </w:rPr>
            </w:pPr>
            <w:r>
              <w:rPr>
                <w:rFonts w:ascii="Courier New" w:cs="Courier New" w:eastAsia="Courier New" w:hAnsi="Courier New"/>
                <w:sz w:val="14"/>
                <w:szCs w:val="14"/>
                <w:color w:val="auto"/>
              </w:rPr>
              <w:t>OF PERIOD</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EXPENSES</w:t>
            </w:r>
          </w:p>
        </w:tc>
        <w:tc>
          <w:tcPr>
            <w:tcW w:w="1420" w:type="dxa"/>
            <w:vAlign w:val="bottom"/>
            <w:vMerge w:val="continue"/>
          </w:tcPr>
          <w:p>
            <w:pPr>
              <w:spacing w:after="0"/>
              <w:rPr>
                <w:sz w:val="16"/>
                <w:szCs w:val="16"/>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28, 1997</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4"/>
                <w:szCs w:val="14"/>
                <w:color w:val="auto"/>
              </w:rPr>
              <w:t>$39,661,000</w:t>
            </w:r>
          </w:p>
        </w:tc>
        <w:tc>
          <w:tcPr>
            <w:tcW w:w="15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$54,163,000</w:t>
            </w:r>
          </w:p>
        </w:tc>
        <w:tc>
          <w:tcPr>
            <w:tcW w:w="15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$53,990,000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$39,834,000</w:t>
            </w:r>
          </w:p>
        </w:tc>
        <w:tc>
          <w:tcPr>
            <w:tcW w:w="0" w:type="dxa"/>
            <w:vAlign w:val="bottom"/>
          </w:tcPr>
          <w:p>
            <w:pPr>
              <w:spacing w:after="0"/>
              <w:rPr>
                <w:sz w:val="1"/>
                <w:szCs w:val="1"/>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doubtful accounts and returns ............</w:t>
            </w:r>
          </w:p>
        </w:tc>
        <w:tc>
          <w:tcPr>
            <w:tcW w:w="14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42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8,727,000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11,095,000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9,950,000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9,872,000</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48,388,000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$65,258,000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$63,940,000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$49,706,000</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3, 1999</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4"/>
                <w:szCs w:val="14"/>
                <w:color w:val="auto"/>
              </w:rPr>
              <w:t>$39,834,000</w:t>
            </w:r>
          </w:p>
        </w:tc>
        <w:tc>
          <w:tcPr>
            <w:tcW w:w="15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$58,100,000</w:t>
            </w:r>
          </w:p>
        </w:tc>
        <w:tc>
          <w:tcPr>
            <w:tcW w:w="15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$51,242,000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$46,692,000</w:t>
            </w:r>
          </w:p>
        </w:tc>
        <w:tc>
          <w:tcPr>
            <w:tcW w:w="0" w:type="dxa"/>
            <w:vAlign w:val="bottom"/>
          </w:tcPr>
          <w:p>
            <w:pPr>
              <w:spacing w:after="0"/>
              <w:rPr>
                <w:sz w:val="1"/>
                <w:szCs w:val="1"/>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doubtful accounts and returns ............</w:t>
            </w:r>
          </w:p>
        </w:tc>
        <w:tc>
          <w:tcPr>
            <w:tcW w:w="14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42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9,872,000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9,792,000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11,306,000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8,358,000</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49,706,000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$67,892,000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$65,548,000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$55,050,000</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2, 2000</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4"/>
                <w:szCs w:val="14"/>
                <w:color w:val="auto"/>
              </w:rPr>
              <w:t>$46,692,000</w:t>
            </w:r>
          </w:p>
        </w:tc>
        <w:tc>
          <w:tcPr>
            <w:tcW w:w="15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$62,824,000</w:t>
            </w:r>
          </w:p>
        </w:tc>
        <w:tc>
          <w:tcPr>
            <w:tcW w:w="15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$58,337,000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$51,179,000</w:t>
            </w:r>
          </w:p>
        </w:tc>
        <w:tc>
          <w:tcPr>
            <w:tcW w:w="0" w:type="dxa"/>
            <w:vAlign w:val="bottom"/>
          </w:tcPr>
          <w:p>
            <w:pPr>
              <w:spacing w:after="0"/>
              <w:rPr>
                <w:sz w:val="1"/>
                <w:szCs w:val="1"/>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doubtful accounts and returns ............</w:t>
            </w:r>
          </w:p>
        </w:tc>
        <w:tc>
          <w:tcPr>
            <w:tcW w:w="14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42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8,358,000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9,136,000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8,052,000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9,442,000</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55,050,000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$71,960,000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$66,389,000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$60,621,000</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28"/>
        </w:trPr>
        <w:tc>
          <w:tcPr>
            <w:tcW w:w="1600" w:type="dxa"/>
            <w:vAlign w:val="bottom"/>
          </w:tcPr>
          <w:p>
            <w:pPr>
              <w:spacing w:after="0"/>
              <w:rPr>
                <w:sz w:val="24"/>
                <w:szCs w:val="24"/>
                <w:color w:val="auto"/>
              </w:rPr>
            </w:pPr>
          </w:p>
        </w:tc>
        <w:tc>
          <w:tcPr>
            <w:tcW w:w="3840" w:type="dxa"/>
            <w:vAlign w:val="bottom"/>
          </w:tcPr>
          <w:p>
            <w:pPr>
              <w:ind w:left="1760"/>
              <w:spacing w:after="0"/>
              <w:rPr>
                <w:sz w:val="20"/>
                <w:szCs w:val="20"/>
                <w:color w:val="auto"/>
              </w:rPr>
            </w:pPr>
            <w:r>
              <w:rPr>
                <w:rFonts w:ascii="Courier New" w:cs="Courier New" w:eastAsia="Courier New" w:hAnsi="Courier New"/>
                <w:sz w:val="14"/>
                <w:szCs w:val="14"/>
                <w:color w:val="auto"/>
              </w:rPr>
              <w:t>46</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259" w:right="23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48</w:t>
      </w:r>
    </w:p>
    <w:p>
      <w:pPr>
        <w:spacing w:after="0" w:line="338" w:lineRule="exact"/>
        <w:rPr>
          <w:sz w:val="20"/>
          <w:szCs w:val="20"/>
          <w:color w:val="auto"/>
        </w:rPr>
      </w:pPr>
    </w:p>
    <w:p>
      <w:pPr>
        <w:ind w:right="4899"/>
        <w:spacing w:after="0" w:line="376"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CONDITION</w:t>
      </w:r>
    </w:p>
    <w:p>
      <w:pPr>
        <w:spacing w:after="0" w:line="165" w:lineRule="exact"/>
        <w:rPr>
          <w:sz w:val="20"/>
          <w:szCs w:val="20"/>
          <w:color w:val="auto"/>
        </w:rPr>
      </w:pPr>
    </w:p>
    <w:p>
      <w:pPr>
        <w:ind w:right="3699"/>
        <w:spacing w:after="0" w:line="375"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OPERATIONS--1999 COMPARED TO 1998</w:t>
      </w:r>
    </w:p>
    <w:p>
      <w:pPr>
        <w:spacing w:after="0" w:line="173"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Net income in 1999 was $225.8 million, compared with net income of $417.3 million for 1998. Basic and diluted earnings per share totaled $22.35 and $22.30 in 1999, respectively, compared to $41.27 and $41.10 in 1998. The Company's 1998 net income includes $194.4 million from the disposition of the Company's 28 percent interest in Cowles Media Company, the sale of 14 small cable systems and the disposition of the Company's investment in Junglee, a facilitator of Internet commerce. Excluding the effect of these one time items from 1998 net income, the Company's 1999 net income of $225.8 million increased 1 percent, from net income of $222.9 million in 1998. On the same basis of presentation, diluted earnings per share for 1999 of $22.30 increased 2 percent compared to $21.90 in 1998, with fewer average shares outstanding.</w:t>
      </w:r>
    </w:p>
    <w:p>
      <w:pPr>
        <w:spacing w:after="0" w:line="75" w:lineRule="exact"/>
        <w:rPr>
          <w:sz w:val="20"/>
          <w:szCs w:val="20"/>
          <w:color w:val="auto"/>
        </w:rPr>
      </w:pPr>
    </w:p>
    <w:p>
      <w:pPr>
        <w:ind w:right="3259" w:firstLine="603"/>
        <w:spacing w:after="0" w:line="263" w:lineRule="auto"/>
        <w:rPr>
          <w:sz w:val="20"/>
          <w:szCs w:val="20"/>
          <w:color w:val="auto"/>
        </w:rPr>
      </w:pPr>
      <w:r>
        <w:rPr>
          <w:rFonts w:ascii="Courier New" w:cs="Courier New" w:eastAsia="Courier New" w:hAnsi="Courier New"/>
          <w:sz w:val="14"/>
          <w:szCs w:val="14"/>
          <w:color w:val="auto"/>
        </w:rPr>
        <w:t>Revenues for 1999 totaled $2,215.6 million, an increase of 5 percent from $2,110.4 million in 1998. Advertising revenues increased 3 percent in 1999, and circulation and subscriber revenues increased 6 percent. Education revenues increased 40 percent in 1999, and other revenues decreased 31 percent. The newspaper and magazine divisions generated most of the increase in advertising revenues. The increase in circulation and subscriber revenues is primarily due to a 13 percent increase in subscriber revenues at the cable division. Revenue growth at Kaplan, Inc. (about two-thirds of which was from acquisitions) accounted for the increase in education revenues. The decline in other revenues is principally due to the disposition of MLJ (July 1998) and Legi-Slate (June 1999).</w:t>
      </w:r>
    </w:p>
    <w:p>
      <w:pPr>
        <w:spacing w:after="0" w:line="249" w:lineRule="exact"/>
        <w:rPr>
          <w:sz w:val="20"/>
          <w:szCs w:val="20"/>
          <w:color w:val="auto"/>
        </w:rPr>
      </w:pPr>
    </w:p>
    <w:p>
      <w:pPr>
        <w:ind w:right="3259" w:firstLine="603"/>
        <w:spacing w:after="0" w:line="268" w:lineRule="auto"/>
        <w:rPr>
          <w:sz w:val="20"/>
          <w:szCs w:val="20"/>
          <w:color w:val="auto"/>
        </w:rPr>
      </w:pPr>
      <w:r>
        <w:rPr>
          <w:rFonts w:ascii="Courier New" w:cs="Courier New" w:eastAsia="Courier New" w:hAnsi="Courier New"/>
          <w:sz w:val="14"/>
          <w:szCs w:val="14"/>
          <w:color w:val="auto"/>
        </w:rPr>
        <w:t>Operating costs and expenses for the year increased 6 percent to $1,827.1 million, from $1,731.5 million in 1998. The cost and expense increase is primarily due to companies acquired in 1999 and 1998, greater spending for Internet-related businesses (approximately $34 million increase), higher depreciation and amortization expense and increased spending for new business initiatives at the education and career services division. These expense increases were offset in part by a 19 percent decline in newsprint expense and an increase in the Company's pension credit.</w:t>
      </w:r>
    </w:p>
    <w:p>
      <w:pPr>
        <w:spacing w:after="0" w:line="74" w:lineRule="exact"/>
        <w:rPr>
          <w:sz w:val="20"/>
          <w:szCs w:val="20"/>
          <w:color w:val="auto"/>
        </w:rPr>
      </w:pPr>
    </w:p>
    <w:p>
      <w:pPr>
        <w:ind w:right="3699" w:firstLine="603"/>
        <w:spacing w:after="0" w:line="375" w:lineRule="auto"/>
        <w:rPr>
          <w:sz w:val="20"/>
          <w:szCs w:val="20"/>
          <w:color w:val="auto"/>
        </w:rPr>
      </w:pPr>
      <w:r>
        <w:rPr>
          <w:rFonts w:ascii="Courier New" w:cs="Courier New" w:eastAsia="Courier New" w:hAnsi="Courier New"/>
          <w:sz w:val="14"/>
          <w:szCs w:val="14"/>
          <w:color w:val="auto"/>
        </w:rPr>
        <w:t>Operating income increased 3 percent to $388.5 million in 1999, from $378.9 million in 1998.</w:t>
      </w:r>
    </w:p>
    <w:p>
      <w:pPr>
        <w:spacing w:after="0" w:line="1" w:lineRule="exact"/>
        <w:rPr>
          <w:sz w:val="20"/>
          <w:szCs w:val="20"/>
          <w:color w:val="auto"/>
        </w:rPr>
      </w:pPr>
    </w:p>
    <w:p>
      <w:pPr>
        <w:ind w:right="3259" w:firstLine="603"/>
        <w:spacing w:after="0" w:line="375" w:lineRule="auto"/>
        <w:rPr>
          <w:sz w:val="20"/>
          <w:szCs w:val="20"/>
          <w:color w:val="auto"/>
        </w:rPr>
      </w:pPr>
      <w:r>
        <w:rPr>
          <w:rFonts w:ascii="Courier New" w:cs="Courier New" w:eastAsia="Courier New" w:hAnsi="Courier New"/>
          <w:sz w:val="14"/>
          <w:szCs w:val="14"/>
          <w:color w:val="auto"/>
        </w:rPr>
        <w:t>The Company's 1999 operating income includes $81.7 million of net pension credits, compared to $62.0 million in 1998.</w:t>
      </w:r>
    </w:p>
    <w:p>
      <w:pPr>
        <w:spacing w:after="0" w:line="1"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4"/>
          <w:szCs w:val="14"/>
          <w:color w:val="auto"/>
        </w:rPr>
        <w:t>DIVISION RESULTS. The Company now includes the results of its electronic media publishing operations (primarily washingtonpost.com) within the newspaper publishing division. Previously, these operating results were included in the "other businesses and corporate office" segment. All prior year division results have been restated to reflect this change in reporting.</w:t>
      </w:r>
    </w:p>
    <w:p>
      <w:pPr>
        <w:spacing w:after="0" w:line="65"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NEWSPAPER PUBLISHING DIVISION. At the newspaper division, 1999 included 52 weeks, compared to 53 weeks in 1998. Newspaper division revenues increased 3 percent to $875.1 million, from $848.9 million in 1998. Advertising revenues at the newspaper division rose 5 percent over the previous year. At The Washington Post, advertising revenues increased 3 percent as a result of higher rates and volume. Classified advertising revenues at The Washington Post increased 2 percent primarily due to higher rates. Retail advertising revenues at The Post remained essentially even with the previous year. Other advertising revenues (including general and preprint) at The Post increased 7 percent due mainly to increased general advertising volume and higher rates.</w:t>
      </w:r>
    </w:p>
    <w:p>
      <w:pPr>
        <w:spacing w:after="0" w:line="77" w:lineRule="exact"/>
        <w:rPr>
          <w:sz w:val="20"/>
          <w:szCs w:val="20"/>
          <w:color w:val="auto"/>
        </w:rPr>
      </w:pPr>
    </w:p>
    <w:p>
      <w:pPr>
        <w:ind w:right="3339" w:firstLine="603"/>
        <w:spacing w:after="0" w:line="292" w:lineRule="auto"/>
        <w:rPr>
          <w:sz w:val="20"/>
          <w:szCs w:val="20"/>
          <w:color w:val="auto"/>
        </w:rPr>
      </w:pPr>
      <w:r>
        <w:rPr>
          <w:rFonts w:ascii="Courier New" w:cs="Courier New" w:eastAsia="Courier New" w:hAnsi="Courier New"/>
          <w:sz w:val="14"/>
          <w:szCs w:val="14"/>
          <w:color w:val="auto"/>
        </w:rPr>
        <w:t>Circulation revenues for the newspaper division declined by 3 percent in 1999 due primarily to the extra week in 1998 versus 1999. At The Washington Post, daily circulation for 1999 remained essentially even with 1998; Sunday circulation declined by 1 percent.</w:t>
      </w:r>
    </w:p>
    <w:p>
      <w:pPr>
        <w:spacing w:after="0" w:line="56" w:lineRule="exact"/>
        <w:rPr>
          <w:sz w:val="20"/>
          <w:szCs w:val="20"/>
          <w:color w:val="auto"/>
        </w:rPr>
      </w:pPr>
    </w:p>
    <w:p>
      <w:pPr>
        <w:ind w:right="3259" w:firstLine="603"/>
        <w:spacing w:after="0" w:line="263" w:lineRule="auto"/>
        <w:rPr>
          <w:sz w:val="20"/>
          <w:szCs w:val="20"/>
          <w:color w:val="auto"/>
        </w:rPr>
      </w:pPr>
      <w:r>
        <w:rPr>
          <w:rFonts w:ascii="Courier New" w:cs="Courier New" w:eastAsia="Courier New" w:hAnsi="Courier New"/>
          <w:sz w:val="14"/>
          <w:szCs w:val="14"/>
          <w:color w:val="auto"/>
        </w:rPr>
        <w:t>Newspaper division operating margin in 1999 increased to 18 percent, from 16 percent in 1998. The improvement in operating margin resulted mostly from an improvement in the operating results of The Washington Post, offset in part by increased electronic media spending for the continued development of washingtonpost.com. The Post's 1999 operating results benefited from the higher advertising revenues discussed above, a 19 percent reduction in newsprint expense and larger pension credits ($28.0 million in 1999 versus $19.0 million in 1998). These operating income improvements were offset in part by higher depreciation expense (arising from the recently completed expansion of The Post's printing facilities) and other general expense increases including increased promotion and marketing.</w:t>
      </w:r>
    </w:p>
    <w:p>
      <w:pPr>
        <w:spacing w:after="0" w:line="75"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TELEVISION BROADCASTING DIVISION. Revenues at the broadcast division declined 4 percent to $341.8 million in 1999, compared to $357.6 million in 1998. The decline in 1999 revenues is due to softness in national advertising revenues and the absence of Winter Olympic advertising revenues (first quarter of 1998) and political advertising revenues (third and fourth quarter of 1998), offset in part by growth in local advertising revenues.</w:t>
      </w:r>
    </w:p>
    <w:p>
      <w:pPr>
        <w:spacing w:after="0" w:line="69" w:lineRule="exact"/>
        <w:rPr>
          <w:sz w:val="20"/>
          <w:szCs w:val="20"/>
          <w:color w:val="auto"/>
        </w:rPr>
      </w:pPr>
    </w:p>
    <w:p>
      <w:pPr>
        <w:ind w:right="3339" w:firstLine="603"/>
        <w:spacing w:after="0" w:line="275" w:lineRule="auto"/>
        <w:rPr>
          <w:sz w:val="20"/>
          <w:szCs w:val="20"/>
          <w:color w:val="auto"/>
        </w:rPr>
      </w:pPr>
      <w:r>
        <w:rPr>
          <w:rFonts w:ascii="Courier New" w:cs="Courier New" w:eastAsia="Courier New" w:hAnsi="Courier New"/>
          <w:sz w:val="14"/>
          <w:szCs w:val="14"/>
          <w:color w:val="auto"/>
        </w:rPr>
        <w:t>Competitive market position remained strong for the Company's television stations. WJXT in Jacksonville and KSAT in San Antonio continued to be ranked number one in the latest ratings period, sign-on to sign-off, in their markets; WPLG in Miami achieved the top ranking among English-language stations in the Miami market; WDIV in Detroit was ranked second in the Detroit market with very little distance between it and the first place ranking; and KPRC in</w:t>
      </w:r>
    </w:p>
    <w:p>
      <w:pPr>
        <w:sectPr>
          <w:pgSz w:w="11900" w:h="16838" w:orient="portrait"/>
          <w:cols w:equalWidth="0" w:num="1">
            <w:col w:w="10159"/>
          </w:cols>
          <w:pgMar w:left="300" w:top="259" w:right="1440" w:bottom="0" w:gutter="0" w:footer="0" w:header="0"/>
        </w:sectPr>
      </w:pPr>
    </w:p>
    <w:bookmarkStart w:id="57" w:name="page58"/>
    <w:bookmarkEnd w:id="57"/>
    <w:p>
      <w:pPr>
        <w:ind w:left="22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019"/>
          </w:cols>
          <w:pgMar w:left="1440" w:top="281"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959"/>
        <w:spacing w:after="0" w:line="375" w:lineRule="auto"/>
        <w:rPr>
          <w:sz w:val="20"/>
          <w:szCs w:val="20"/>
          <w:color w:val="auto"/>
        </w:rPr>
      </w:pPr>
      <w:r>
        <w:rPr>
          <w:rFonts w:ascii="Courier New" w:cs="Courier New" w:eastAsia="Courier New" w:hAnsi="Courier New"/>
          <w:sz w:val="14"/>
          <w:szCs w:val="14"/>
          <w:color w:val="auto"/>
        </w:rPr>
        <w:t>Houston and WKMG in Orlando ranked third in their respective markets but continued to make good progress in improving market share.</w:t>
      </w:r>
    </w:p>
    <w:p>
      <w:pPr>
        <w:spacing w:after="0" w:line="1" w:lineRule="exact"/>
        <w:rPr>
          <w:sz w:val="20"/>
          <w:szCs w:val="20"/>
          <w:color w:val="auto"/>
        </w:rPr>
      </w:pPr>
    </w:p>
    <w:p>
      <w:pPr>
        <w:ind w:right="3259" w:firstLine="603"/>
        <w:spacing w:after="0" w:line="275" w:lineRule="auto"/>
        <w:rPr>
          <w:sz w:val="20"/>
          <w:szCs w:val="20"/>
          <w:color w:val="auto"/>
        </w:rPr>
      </w:pPr>
      <w:r>
        <w:rPr>
          <w:rFonts w:ascii="Courier New" w:cs="Courier New" w:eastAsia="Courier New" w:hAnsi="Courier New"/>
          <w:sz w:val="14"/>
          <w:szCs w:val="14"/>
          <w:color w:val="auto"/>
        </w:rPr>
        <w:t>The operating margin at the broadcast division was 49 percent in 1999, compared to 48 percent in 1998. Excluding amortization of goodwill and intangibles, the operating margin was 53 percent in 1999 and 52 percent in 1998. The improvement in 1999 operating margin is attributable to 1999 expense control initiatives, the benefits of which were offset in part by the decline in national advertising revenues.</w:t>
      </w:r>
    </w:p>
    <w:p>
      <w:pPr>
        <w:spacing w:after="0" w:line="69" w:lineRule="exact"/>
        <w:rPr>
          <w:sz w:val="20"/>
          <w:szCs w:val="20"/>
          <w:color w:val="auto"/>
        </w:rPr>
      </w:pPr>
    </w:p>
    <w:p>
      <w:pPr>
        <w:ind w:right="3259"/>
        <w:spacing w:after="0" w:line="264" w:lineRule="auto"/>
        <w:rPr>
          <w:sz w:val="20"/>
          <w:szCs w:val="20"/>
          <w:color w:val="auto"/>
        </w:rPr>
      </w:pPr>
      <w:r>
        <w:rPr>
          <w:rFonts w:ascii="Courier New" w:cs="Courier New" w:eastAsia="Courier New" w:hAnsi="Courier New"/>
          <w:sz w:val="14"/>
          <w:szCs w:val="14"/>
          <w:color w:val="auto"/>
        </w:rPr>
        <w:t>MAGAZINE PUBLISHING DIVISION. Magazine division revenues were $401.1 million for 1999, up slightly over 1998 revenues of $399.5 million. Operating income for the magazine division totaled $62.1 million in 1999, an increase of 39 percent over operating income of $44.5 million in 1998. The 39 percent increase in operating income is primarily attributable to the operating results of Newsweek. At Newsweek, operating income improved as a result of an increase in the number of advertising pages at the domestic edition, higher pension credits ($48.3 million in 1999 versus $35.9 million in 1998) and a reduction in other operating expenses. Offsetting these improvements were the effects of a decline in advertising revenues at the Company's trade periodicals unit.</w:t>
      </w:r>
    </w:p>
    <w:p>
      <w:pPr>
        <w:spacing w:after="0" w:line="77" w:lineRule="exact"/>
        <w:rPr>
          <w:sz w:val="20"/>
          <w:szCs w:val="20"/>
          <w:color w:val="auto"/>
        </w:rPr>
      </w:pPr>
    </w:p>
    <w:p>
      <w:pPr>
        <w:ind w:right="3699" w:firstLine="603"/>
        <w:spacing w:after="0" w:line="375" w:lineRule="auto"/>
        <w:rPr>
          <w:sz w:val="20"/>
          <w:szCs w:val="20"/>
          <w:color w:val="auto"/>
        </w:rPr>
      </w:pPr>
      <w:r>
        <w:rPr>
          <w:rFonts w:ascii="Courier New" w:cs="Courier New" w:eastAsia="Courier New" w:hAnsi="Courier New"/>
          <w:sz w:val="14"/>
          <w:szCs w:val="14"/>
          <w:color w:val="auto"/>
        </w:rPr>
        <w:t>Operating margin of the magazine division increased to 15 percent in 1999, from 11 percent in 1998.</w:t>
      </w:r>
    </w:p>
    <w:p>
      <w:pPr>
        <w:spacing w:after="0" w:line="1"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CABLE DIVISION. Revenues at the cable division increased 13 percent to $336.3 million in 1999, from $298.0 million in 1998. Basic, tier, pay and advertising revenue categories showed improvement over 1998. Increased subscribers in 1999, primarily from acquisitions, and higher rates accounted for most of the increase in revenues. The number of basic subscribers at the end of the year increased to 739,850 from 733,000 at the end of 1998.</w:t>
      </w:r>
    </w:p>
    <w:p>
      <w:pPr>
        <w:spacing w:after="0" w:line="69" w:lineRule="exact"/>
        <w:rPr>
          <w:sz w:val="20"/>
          <w:szCs w:val="20"/>
          <w:color w:val="auto"/>
        </w:rPr>
      </w:pPr>
    </w:p>
    <w:p>
      <w:pPr>
        <w:ind w:right="3259" w:firstLine="603"/>
        <w:spacing w:after="0" w:line="269" w:lineRule="auto"/>
        <w:rPr>
          <w:sz w:val="20"/>
          <w:szCs w:val="20"/>
          <w:color w:val="auto"/>
        </w:rPr>
      </w:pPr>
      <w:r>
        <w:rPr>
          <w:rFonts w:ascii="Courier New" w:cs="Courier New" w:eastAsia="Courier New" w:hAnsi="Courier New"/>
          <w:sz w:val="14"/>
          <w:szCs w:val="14"/>
          <w:color w:val="auto"/>
        </w:rPr>
        <w:t>Operating margin at the cable division before amortization expense was 29 percent for 1999, compared to 30 percent for 1998. The decline in operating margin is primarily attributable to a 16 percent increase in depreciation expense arising from system rebuilds and upgrades, offset in part by higher revenues. Cable operating cash flow increased 11 percent to $140.2 million, from $126.5 million in 1998. Approximately 70 percent of the 1999 improvement in operating cash flow is due to the results of cable systems acquired in 1999 and 1998.</w:t>
      </w:r>
    </w:p>
    <w:p>
      <w:pPr>
        <w:spacing w:after="0" w:line="246"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EDUCATION AND CAREER SERVICES DIVISION. The Company provides education and career services through its subsidiary Kaplan, Inc. Kaplan provides test preparation programs in the U.S. and abroad for individuals taking admissions and professional licensing exams. Kaplan also provides on-site educational programs to students and teachers at elementary, secondary and post-secondary institutions, and offers a growing number of distance learning programs. In addition, Kaplan publishes books, software and other materials.</w:t>
      </w:r>
    </w:p>
    <w:p>
      <w:pPr>
        <w:spacing w:after="0" w:line="71" w:lineRule="exact"/>
        <w:rPr>
          <w:sz w:val="20"/>
          <w:szCs w:val="20"/>
          <w:color w:val="auto"/>
        </w:rPr>
      </w:pPr>
    </w:p>
    <w:p>
      <w:pPr>
        <w:ind w:right="3259" w:firstLine="603"/>
        <w:spacing w:after="0" w:line="272" w:lineRule="auto"/>
        <w:rPr>
          <w:sz w:val="20"/>
          <w:szCs w:val="20"/>
          <w:color w:val="auto"/>
        </w:rPr>
      </w:pPr>
      <w:r>
        <w:rPr>
          <w:rFonts w:ascii="Courier New" w:cs="Courier New" w:eastAsia="Courier New" w:hAnsi="Courier New"/>
          <w:sz w:val="14"/>
          <w:szCs w:val="14"/>
          <w:color w:val="auto"/>
        </w:rPr>
        <w:t>Kaplan also owns SCORE! Learning Corporation, a provider of after-school learning opportunities for students in kindergarten through the twelfth grade. SCORE! presently operates 100 SCORE! Educational Centers (most opened within the last two years) and plans to open an additional 45 centers in 2000. In September 1999, SCORE! announced the launch of a new e-commerce site, eSCORE.com, to provide customized online educational resources and services to parents and children.</w:t>
      </w:r>
    </w:p>
    <w:p>
      <w:pPr>
        <w:spacing w:after="0" w:line="246" w:lineRule="exact"/>
        <w:rPr>
          <w:sz w:val="20"/>
          <w:szCs w:val="20"/>
          <w:color w:val="auto"/>
        </w:rPr>
      </w:pPr>
    </w:p>
    <w:p>
      <w:pPr>
        <w:ind w:right="3259" w:firstLine="603"/>
        <w:spacing w:after="0" w:line="261" w:lineRule="auto"/>
        <w:rPr>
          <w:sz w:val="20"/>
          <w:szCs w:val="20"/>
          <w:color w:val="auto"/>
        </w:rPr>
      </w:pPr>
      <w:r>
        <w:rPr>
          <w:rFonts w:ascii="Courier New" w:cs="Courier New" w:eastAsia="Courier New" w:hAnsi="Courier New"/>
          <w:sz w:val="14"/>
          <w:szCs w:val="14"/>
          <w:color w:val="auto"/>
        </w:rPr>
        <w:t>For the first nine months of 1999 and all of 1998, Kaplan, through its career services division, was the leading provider of career fairs in North America, bringing together technical, sales and diversity candidates with corporate recruiters. Kaplan, through its subsidiary HireSystems, also provided corporate clients with web-based tools to streamline the recruitment and hiring process. On September 29, 1999, Kaplan contributed its ownership of these two businesses to a newly formed company named BrassRing, Inc. (BrassRing). Partnering with Kaplan in the formation of this new business are the Tribune Company and Accel Partners, which each contributed cash and/or other assets to BrassRing. From September 30, 1999, the operating results of the career fair businesses and HireSystems have been included in BrassRing, of which the Company records its 54 percent non-controlling interest in accordance with the equity method of accounting.</w:t>
      </w:r>
    </w:p>
    <w:p>
      <w:pPr>
        <w:spacing w:after="0" w:line="76" w:lineRule="exact"/>
        <w:rPr>
          <w:sz w:val="20"/>
          <w:szCs w:val="20"/>
          <w:color w:val="auto"/>
        </w:rPr>
      </w:pPr>
    </w:p>
    <w:p>
      <w:pPr>
        <w:ind w:right="3259" w:firstLine="603"/>
        <w:spacing w:after="0" w:line="263" w:lineRule="auto"/>
        <w:rPr>
          <w:sz w:val="20"/>
          <w:szCs w:val="20"/>
          <w:color w:val="auto"/>
        </w:rPr>
      </w:pPr>
      <w:r>
        <w:rPr>
          <w:rFonts w:ascii="Courier New" w:cs="Courier New" w:eastAsia="Courier New" w:hAnsi="Courier New"/>
          <w:sz w:val="14"/>
          <w:szCs w:val="14"/>
          <w:color w:val="auto"/>
        </w:rPr>
        <w:t>Excluding the operating results of the career fair and HireSystems businesses, the 1999 revenues for the education and career services division totaled $240.1 million, a 40 percent increase from 1998 revenues of $171.4 million. Approximately two-thirds of the 1999 revenue increase is attributable to businesses acquired in 1999 and 1998. The remaining increase in revenue is due to growth in the test preparation and SCORE! businesses. Operating losses for 1999 totaled $17.4 million, compared to $6.0 million in 1998. The decline in 1999 operating results is primarily attributable to the opening of new SCORE! centers, start-up costs associated with eSCORE.com and the development of various distance learning initiatives, offset in part by operating income improvements in the traditional test preparation business.</w:t>
      </w:r>
    </w:p>
    <w:p>
      <w:pPr>
        <w:spacing w:after="0" w:line="75" w:lineRule="exact"/>
        <w:rPr>
          <w:sz w:val="20"/>
          <w:szCs w:val="20"/>
          <w:color w:val="auto"/>
        </w:rPr>
      </w:pPr>
    </w:p>
    <w:p>
      <w:pPr>
        <w:ind w:right="3259" w:firstLine="603"/>
        <w:spacing w:after="0" w:line="264" w:lineRule="auto"/>
        <w:rPr>
          <w:sz w:val="20"/>
          <w:szCs w:val="20"/>
          <w:color w:val="auto"/>
        </w:rPr>
      </w:pPr>
      <w:r>
        <w:rPr>
          <w:rFonts w:ascii="Courier New" w:cs="Courier New" w:eastAsia="Courier New" w:hAnsi="Courier New"/>
          <w:sz w:val="14"/>
          <w:szCs w:val="14"/>
          <w:color w:val="auto"/>
        </w:rPr>
        <w:t>Including the results of the career fair businesses and HireSystems, the education and career services division's 1999 revenues totaled $257.5 million, a 32 percent increase over the same period in the prior year. Approximately two-thirds of the increase is due to business acquisitions completed in 1999 and 1998. The remaining increase in 1999 revenue is due to growth in the test preparation business and SCORE! businesses. Division operating losses of $38.0 million represent a $30.5 million increase in operating losses from 1998. The decline in 1999 operating results is primarily attributable to start-up costs associated with opening new SCORE! centers and the launch of the eSCORE.com web site,</w:t>
      </w:r>
    </w:p>
    <w:p>
      <w:pPr>
        <w:sectPr>
          <w:pgSz w:w="11900" w:h="16838" w:orient="portrait"/>
          <w:cols w:equalWidth="0" w:num="1">
            <w:col w:w="10159"/>
          </w:cols>
          <w:pgMar w:left="300" w:top="259" w:right="1440" w:bottom="124" w:gutter="0" w:footer="0" w:header="0"/>
        </w:sectPr>
      </w:pPr>
    </w:p>
    <w:p>
      <w:pPr>
        <w:spacing w:after="0" w:line="2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159"/>
          </w:cols>
          <w:pgMar w:left="300" w:top="259" w:right="1440" w:bottom="124"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right="3439"/>
        <w:spacing w:after="0" w:line="313" w:lineRule="auto"/>
        <w:rPr>
          <w:sz w:val="20"/>
          <w:szCs w:val="20"/>
          <w:color w:val="auto"/>
        </w:rPr>
      </w:pPr>
      <w:r>
        <w:rPr>
          <w:rFonts w:ascii="Courier New" w:cs="Courier New" w:eastAsia="Courier New" w:hAnsi="Courier New"/>
          <w:sz w:val="14"/>
          <w:szCs w:val="14"/>
          <w:color w:val="auto"/>
        </w:rPr>
        <w:t>as well as increased spending for HireSystems and the development of various distance learning initiatives, offset in part by operating income improvements in the traditional test preparation business.</w:t>
      </w:r>
    </w:p>
    <w:p>
      <w:pPr>
        <w:spacing w:after="0" w:line="42"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OTHER BUSINESSES AND CORPORATE OFFICE. For 1999, other businesses and corporate office includes the expenses associated with the Company's corporate office and the operating results of Legi-Slate through June 30, 1999, the date of its sale. For 1998, other businesses and corporate office includes the Company's corporate office, the operating results of Legi-Slate, and the results of MLJ through July 1998, the date of its sale.</w:t>
      </w:r>
    </w:p>
    <w:p>
      <w:pPr>
        <w:spacing w:after="0" w:line="69" w:lineRule="exact"/>
        <w:rPr>
          <w:sz w:val="20"/>
          <w:szCs w:val="20"/>
          <w:color w:val="auto"/>
        </w:rPr>
      </w:pPr>
    </w:p>
    <w:p>
      <w:pPr>
        <w:ind w:right="3259" w:firstLine="603"/>
        <w:spacing w:after="0" w:line="281" w:lineRule="auto"/>
        <w:rPr>
          <w:sz w:val="20"/>
          <w:szCs w:val="20"/>
          <w:color w:val="auto"/>
        </w:rPr>
      </w:pPr>
      <w:r>
        <w:rPr>
          <w:rFonts w:ascii="Courier New" w:cs="Courier New" w:eastAsia="Courier New" w:hAnsi="Courier New"/>
          <w:sz w:val="14"/>
          <w:szCs w:val="14"/>
          <w:color w:val="auto"/>
        </w:rPr>
        <w:t>Revenue for other businesses totaled $3.8 million and $11.5 million in 1999 and 1998, respectively. Operating losses for other businesses and corporate office were $27.1 million for 1999 and $33.4 million for 1998. The decrease in operating losses in 1999 is due to the absence of full-year operating losses of MLJ (sold in July 1998) and Legi-Slate (sold in June 1999).</w:t>
      </w:r>
    </w:p>
    <w:p>
      <w:pPr>
        <w:spacing w:after="0" w:line="65"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4"/>
          <w:szCs w:val="14"/>
          <w:color w:val="auto"/>
        </w:rPr>
        <w:t>EQUITY IN LOSSES OF AFFILIATES. The Company's equity in losses of affiliates in 1999 was $8.8 million, compared to losses of $5.1 million in 1998. The Company's affiliate investments consists primarily of a 54 percent non-controlling interest in BrassRing (formed in late September 1999), a 50 percent interest in the International Herald Tribune, and a 49 percent interest in Bowater Mersey Paper Company Limited. The decline in 1999 affiliate results is primarily attributable to BrassRing, Inc., which is in the development and marketing phase of its operations.</w:t>
      </w:r>
    </w:p>
    <w:p>
      <w:pPr>
        <w:spacing w:after="0" w:line="74"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4"/>
          <w:szCs w:val="14"/>
          <w:color w:val="auto"/>
        </w:rPr>
        <w:t>NON-OPERATING ITEMS. In 1999, the Company incurred net interest expense of $25.7 million, compared to $10.4 million of net interest expense in 1998. The 1999 increase in net interest expense is attributable to borrowings executed by the Company to fund capital improvements, acquisition activities and share repurchases.</w:t>
      </w:r>
    </w:p>
    <w:p>
      <w:pPr>
        <w:spacing w:after="0" w:line="65" w:lineRule="exact"/>
        <w:rPr>
          <w:sz w:val="20"/>
          <w:szCs w:val="20"/>
          <w:color w:val="auto"/>
        </w:rPr>
      </w:pPr>
    </w:p>
    <w:p>
      <w:pPr>
        <w:ind w:right="3259" w:firstLine="603"/>
        <w:spacing w:after="0" w:line="269" w:lineRule="auto"/>
        <w:rPr>
          <w:sz w:val="20"/>
          <w:szCs w:val="20"/>
          <w:color w:val="auto"/>
        </w:rPr>
      </w:pPr>
      <w:r>
        <w:rPr>
          <w:rFonts w:ascii="Courier New" w:cs="Courier New" w:eastAsia="Courier New" w:hAnsi="Courier New"/>
          <w:sz w:val="14"/>
          <w:szCs w:val="14"/>
          <w:color w:val="auto"/>
        </w:rPr>
        <w:t>The Company recorded other non-operating income of $21.4 million in 1999, compared to $304.7 million in 1998. The Company's 1999 other non-operating income consists principally of gains on the sale of marketable equity securities (mostly various Internet-related securities). The Company's 1998 other non-operating income consisted mostly of the non-recurring gains resulting from the Company's disposition of its 28 percent interest in Cowles Media Company, sale of 14 small cable systems and disposition of its investment interest in Junglee.</w:t>
      </w:r>
    </w:p>
    <w:p>
      <w:pPr>
        <w:spacing w:after="0" w:line="24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INCOME TAXES. The effective tax rate in 1999 was 39.9 percent, as compared to 37.5 percent in 1998. The increase in the effective tax rate is principally due to the 1998 disposition of Cowles Media Company being subject to state income tax in jurisdictions with lower tax rates.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OPERATIONS--1998 COMPARED TO 1997</w:t>
      </w:r>
    </w:p>
    <w:p>
      <w:pPr>
        <w:spacing w:after="0" w:line="173"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Net income in 1998 was $417.3 million, an increase of 48 percent over net income of $281.6 million in 1997. Basic and diluted earnings per share both rose 57 percent to $41.27 and $41.10, respectively, in 1998. The Company's 1998 net income includes $194.4 million from the disposition of the Company's 28 percent interest in Cowles Media Company, the sale of 14 small cable systems and the disposition of the Company's investment interest in Junglee, a facilitator of Internet commerce. The Company's 1997 net income includes $44.5 million from the sale of the Company's investment in Bear Island Paper Company, L.P., and Bear Island Timberlands Company, L.P., and the sale of the assets of its PASS regional cable sports network. Excluding these non-recurring gains, net income decreased 6 percent in 1998 and basic and diluted earnings per share remained essentially unchanged with fewer average shares outstanding.</w:t>
      </w:r>
    </w:p>
    <w:p>
      <w:pPr>
        <w:spacing w:after="0" w:line="83" w:lineRule="exact"/>
        <w:rPr>
          <w:sz w:val="20"/>
          <w:szCs w:val="20"/>
          <w:color w:val="auto"/>
        </w:rPr>
      </w:pPr>
    </w:p>
    <w:p>
      <w:pPr>
        <w:ind w:right="3259" w:firstLine="603"/>
        <w:spacing w:after="0" w:line="264" w:lineRule="auto"/>
        <w:rPr>
          <w:sz w:val="20"/>
          <w:szCs w:val="20"/>
          <w:color w:val="auto"/>
        </w:rPr>
      </w:pPr>
      <w:r>
        <w:rPr>
          <w:rFonts w:ascii="Courier New" w:cs="Courier New" w:eastAsia="Courier New" w:hAnsi="Courier New"/>
          <w:sz w:val="14"/>
          <w:szCs w:val="14"/>
          <w:color w:val="auto"/>
        </w:rPr>
        <w:t>Revenues for 1998 totaled $2,110.4 million, an increase of 8 percent from $1,956.3 million in 1997. Advertising revenues increased 5 percent in 1998, and circulation and subscriber revenues increased 5 percent. Education revenues increased 46 percent in 1998 and other revenues increased 14 percent. The newspaper and broadcast divisions generated most of the increase in advertising revenues. The increase in circulation and subscriber revenues is primarily due to a 15 percent increase in subscriber revenues at the cable division (arising mostly from cable system acquisitions in 1998 and 1997). Revenue growth at Kaplan, Inc. (about two-thirds of which was from acquisitions) accounted for the increase in education revenues.</w:t>
      </w:r>
    </w:p>
    <w:p>
      <w:pPr>
        <w:spacing w:after="0" w:line="77" w:lineRule="exact"/>
        <w:rPr>
          <w:sz w:val="20"/>
          <w:szCs w:val="20"/>
          <w:color w:val="auto"/>
        </w:rPr>
      </w:pPr>
    </w:p>
    <w:p>
      <w:pPr>
        <w:ind w:right="3339" w:firstLine="603"/>
        <w:spacing w:after="0" w:line="271" w:lineRule="auto"/>
        <w:rPr>
          <w:sz w:val="20"/>
          <w:szCs w:val="20"/>
          <w:color w:val="auto"/>
        </w:rPr>
      </w:pPr>
      <w:r>
        <w:rPr>
          <w:rFonts w:ascii="Courier New" w:cs="Courier New" w:eastAsia="Courier New" w:hAnsi="Courier New"/>
          <w:sz w:val="14"/>
          <w:szCs w:val="14"/>
          <w:color w:val="auto"/>
        </w:rPr>
        <w:t>Operating costs and expenses for the year increased 10 percent to $1,731.5 million, from $1,574.9 million in 1997. The cost and expense increase is primarily due to companies acquired in 1998 and 1997, increased spending for new media activities, a 10 percent increase in newsprint expense, and expenses arising from the expansion of the printing facilities of The Washington Post. These expense increases were partially offset by an increase in the Company's pension credit.</w:t>
      </w:r>
    </w:p>
    <w:p>
      <w:pPr>
        <w:spacing w:after="0" w:line="71" w:lineRule="exact"/>
        <w:rPr>
          <w:sz w:val="20"/>
          <w:szCs w:val="20"/>
          <w:color w:val="auto"/>
        </w:rPr>
      </w:pPr>
    </w:p>
    <w:p>
      <w:pPr>
        <w:ind w:right="3699" w:firstLine="603"/>
        <w:spacing w:after="0" w:line="375" w:lineRule="auto"/>
        <w:rPr>
          <w:sz w:val="20"/>
          <w:szCs w:val="20"/>
          <w:color w:val="auto"/>
        </w:rPr>
      </w:pPr>
      <w:r>
        <w:rPr>
          <w:rFonts w:ascii="Courier New" w:cs="Courier New" w:eastAsia="Courier New" w:hAnsi="Courier New"/>
          <w:sz w:val="14"/>
          <w:szCs w:val="14"/>
          <w:color w:val="auto"/>
        </w:rPr>
        <w:t>Operating income decreased 1 percent to $378.9 million in 1998, from $381.4 million in 1997.</w:t>
      </w:r>
    </w:p>
    <w:p>
      <w:pPr>
        <w:spacing w:after="0" w:line="1" w:lineRule="exact"/>
        <w:rPr>
          <w:sz w:val="20"/>
          <w:szCs w:val="20"/>
          <w:color w:val="auto"/>
        </w:rPr>
      </w:pPr>
    </w:p>
    <w:p>
      <w:pPr>
        <w:ind w:right="3259" w:firstLine="603"/>
        <w:spacing w:after="0" w:line="375" w:lineRule="auto"/>
        <w:rPr>
          <w:sz w:val="20"/>
          <w:szCs w:val="20"/>
          <w:color w:val="auto"/>
        </w:rPr>
      </w:pPr>
      <w:r>
        <w:rPr>
          <w:rFonts w:ascii="Courier New" w:cs="Courier New" w:eastAsia="Courier New" w:hAnsi="Courier New"/>
          <w:sz w:val="14"/>
          <w:szCs w:val="14"/>
          <w:color w:val="auto"/>
        </w:rPr>
        <w:t>The Company's 1998 operating income includes $62.0 million of net pension credits, compared to $30.2 million in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RESULTS</w:t>
      </w:r>
    </w:p>
    <w:p>
      <w:pPr>
        <w:spacing w:after="0" w:line="173"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4"/>
          <w:szCs w:val="14"/>
          <w:color w:val="auto"/>
        </w:rPr>
        <w:t>NEWSPAPER PUBLISHING DIVISION. At the newspaper division, 1998 included 53 weeks as compared to 52 weeks in 1997. Newspaper division revenues increased 4 percent to $848.9 million, from $814.3 million in 1997. Advertising revenues at the newspaper division rose 5 percent over the previous year. At The Washington Post, advertising revenues increased 4 percent as a result of higher rates</w:t>
      </w:r>
    </w:p>
    <w:p>
      <w:pPr>
        <w:sectPr>
          <w:pgSz w:w="11900" w:h="16838" w:orient="portrait"/>
          <w:cols w:equalWidth="0" w:num="1">
            <w:col w:w="10159"/>
          </w:cols>
          <w:pgMar w:left="300" w:top="259" w:right="1440" w:bottom="0" w:gutter="0" w:footer="0" w:header="0"/>
        </w:sectPr>
      </w:pPr>
    </w:p>
    <w:p>
      <w:pPr>
        <w:spacing w:after="0" w:line="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159"/>
          </w:cols>
          <w:pgMar w:left="300" w:top="259" w:right="1440" w:bottom="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4"/>
          <w:szCs w:val="14"/>
          <w:color w:val="auto"/>
        </w:rPr>
        <w:t>and a slight increase in volume. Classified advertising revenues at The Washington Post increased 5 percent primarily due to higher rates and higher recruitment volume. Retail advertising revenues at The Post declined 3 percent primarily as a result of a 7.5 percent decline in inches. Other advertising revenues (including general and preprint) at The Post increased 11 percent; general advertising volume was essentially unchanged for 1998; however, preprint volume increased 6 percent.</w:t>
      </w:r>
    </w:p>
    <w:p>
      <w:pPr>
        <w:spacing w:after="0" w:line="246" w:lineRule="exact"/>
        <w:rPr>
          <w:sz w:val="20"/>
          <w:szCs w:val="20"/>
          <w:color w:val="auto"/>
        </w:rPr>
      </w:pPr>
    </w:p>
    <w:p>
      <w:pPr>
        <w:ind w:right="3259" w:firstLine="603"/>
        <w:spacing w:after="0" w:line="313" w:lineRule="auto"/>
        <w:rPr>
          <w:sz w:val="20"/>
          <w:szCs w:val="20"/>
          <w:color w:val="auto"/>
        </w:rPr>
      </w:pPr>
      <w:r>
        <w:rPr>
          <w:rFonts w:ascii="Courier New" w:cs="Courier New" w:eastAsia="Courier New" w:hAnsi="Courier New"/>
          <w:sz w:val="14"/>
          <w:szCs w:val="14"/>
          <w:color w:val="auto"/>
        </w:rPr>
        <w:t>Circulation revenues for the newspaper division remained essentially unchanged from 1997, with the extra week in 1998 offsetting the effects of a 1.3 percent decline in daily and Sunday circulation at The Washington Post.</w:t>
      </w:r>
    </w:p>
    <w:p>
      <w:pPr>
        <w:spacing w:after="0" w:line="42" w:lineRule="exact"/>
        <w:rPr>
          <w:sz w:val="20"/>
          <w:szCs w:val="20"/>
          <w:color w:val="auto"/>
        </w:rPr>
      </w:pPr>
    </w:p>
    <w:p>
      <w:pPr>
        <w:ind w:right="3259" w:firstLine="603"/>
        <w:spacing w:after="0" w:line="266" w:lineRule="auto"/>
        <w:rPr>
          <w:sz w:val="20"/>
          <w:szCs w:val="20"/>
          <w:color w:val="auto"/>
        </w:rPr>
      </w:pPr>
      <w:r>
        <w:rPr>
          <w:rFonts w:ascii="Courier New" w:cs="Courier New" w:eastAsia="Courier New" w:hAnsi="Courier New"/>
          <w:sz w:val="14"/>
          <w:szCs w:val="14"/>
          <w:color w:val="auto"/>
        </w:rPr>
        <w:t>Newspaper division operating margin in 1998 decreased to 16 percent, from 19 percent in 1997. The decrease in 1998 operating margin is primarily attributable to increased costs arising from the expansion of the printing facilities of The Washington Post, a 10 percent increase in newsprint costs, and increased electronic media spending for the continued development of washingtonpost.com. The 10 percent increase in newsprint costs is comprised of a 4 percent increase in newsprint consumed (driven primarily by expanded suburban community coverage at The Washington Post) and a 6 percent increase in newsprint prices.</w:t>
      </w:r>
    </w:p>
    <w:p>
      <w:pPr>
        <w:spacing w:after="0" w:line="74"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4"/>
          <w:szCs w:val="14"/>
          <w:color w:val="auto"/>
        </w:rPr>
        <w:t>TELEVISION BROADCASTING DIVISION. Revenues at the broadcast division rose 6 percent to $357.6 million in 1998, compared to $338.4 million in 1997. The increase in revenues is primarily attributable to 1998 political advertising and increased local advertising revenues.</w:t>
      </w:r>
    </w:p>
    <w:p>
      <w:pPr>
        <w:spacing w:after="0" w:line="56" w:lineRule="exact"/>
        <w:rPr>
          <w:sz w:val="20"/>
          <w:szCs w:val="20"/>
          <w:color w:val="auto"/>
        </w:rPr>
      </w:pPr>
    </w:p>
    <w:p>
      <w:pPr>
        <w:ind w:right="3339" w:firstLine="603"/>
        <w:spacing w:after="0" w:line="266" w:lineRule="auto"/>
        <w:rPr>
          <w:sz w:val="20"/>
          <w:szCs w:val="20"/>
          <w:color w:val="auto"/>
        </w:rPr>
      </w:pPr>
      <w:r>
        <w:rPr>
          <w:rFonts w:ascii="Courier New" w:cs="Courier New" w:eastAsia="Courier New" w:hAnsi="Courier New"/>
          <w:sz w:val="14"/>
          <w:szCs w:val="14"/>
          <w:color w:val="auto"/>
        </w:rPr>
        <w:t>Competitive market position remained strong for the Company's television stations. In the November 1998 Nielsen ratings book, WDIV, WJXT and KSAT continued to rank number one in audience share sign-on to sign-off, while WPLG tied for first place among English-language stations in the Miami market. KPRC, although still ranked third in the market, has narrowed the gap significantly and now challenges its closest competitors by as little as two audience share points. WKMG, which the broadcast division took over in September 1997, has remained in third place in Orlando while moving aggressively to build a strong news franchise.</w:t>
      </w:r>
    </w:p>
    <w:p>
      <w:pPr>
        <w:spacing w:after="0" w:line="74" w:lineRule="exact"/>
        <w:rPr>
          <w:sz w:val="20"/>
          <w:szCs w:val="20"/>
          <w:color w:val="auto"/>
        </w:rPr>
      </w:pPr>
    </w:p>
    <w:p>
      <w:pPr>
        <w:ind w:right="3259" w:firstLine="603"/>
        <w:spacing w:after="0" w:line="313" w:lineRule="auto"/>
        <w:rPr>
          <w:sz w:val="20"/>
          <w:szCs w:val="20"/>
          <w:color w:val="auto"/>
        </w:rPr>
      </w:pPr>
      <w:r>
        <w:rPr>
          <w:rFonts w:ascii="Courier New" w:cs="Courier New" w:eastAsia="Courier New" w:hAnsi="Courier New"/>
          <w:sz w:val="14"/>
          <w:szCs w:val="14"/>
          <w:color w:val="auto"/>
        </w:rPr>
        <w:t>The operating margin at the broadcast division was 48 percent in 1998 and 1997. Excluding amortization of goodwill and intangibles, the operating margin was 52 percent in 1998 and 1997.</w:t>
      </w:r>
    </w:p>
    <w:p>
      <w:pPr>
        <w:spacing w:after="0" w:line="42"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MAGAZINE PUBLISHING DIVISION. Magazine division revenues rose 2 percent to $399.5 million, from $389.9 million in 1997. The increase in revenue is attributable to revenue contributed by the business information trade periodicals acquired in December 1997, offset partially by a decline in revenue at Newsweek. Advertising revenues at Newsweek declined 7 percent primarily as the result of two fewer Newsweek domestic special issues in 1998 versus 1997 and softness in advertising at the international editions of Newsweek (particularly the Asian and Latin American editions). Total circulation revenue for the magazine division decreased 6 percent in 1998 due predominantly to the newsstand sales of two Newsweek domestic edition special issues in 1997, which were not recurring in 1998, as well as currency deflation at most of the international editions of Newsweek.</w:t>
      </w:r>
    </w:p>
    <w:p>
      <w:pPr>
        <w:spacing w:after="0" w:line="248" w:lineRule="exact"/>
        <w:rPr>
          <w:sz w:val="20"/>
          <w:szCs w:val="20"/>
          <w:color w:val="auto"/>
        </w:rPr>
      </w:pPr>
    </w:p>
    <w:p>
      <w:pPr>
        <w:ind w:right="3259" w:firstLine="603"/>
        <w:spacing w:after="0" w:line="281" w:lineRule="auto"/>
        <w:rPr>
          <w:sz w:val="20"/>
          <w:szCs w:val="20"/>
          <w:color w:val="auto"/>
        </w:rPr>
      </w:pPr>
      <w:r>
        <w:rPr>
          <w:rFonts w:ascii="Courier New" w:cs="Courier New" w:eastAsia="Courier New" w:hAnsi="Courier New"/>
          <w:sz w:val="14"/>
          <w:szCs w:val="14"/>
          <w:color w:val="auto"/>
        </w:rPr>
        <w:t>Operating margin at the magazine division was 11 percent in both 1998 and 1997. The 2 percent increase in 1998 revenues combined with an increase in the pension credit at Newsweek were offset by normal expense growth and the amortization expense arising from the December 1997 acquisition of the business unit trade periodicals.</w:t>
      </w:r>
    </w:p>
    <w:p>
      <w:pPr>
        <w:spacing w:after="0" w:line="65"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CABLE DIVISION. Revenues at the cable division increased 16 percent to $298.0 million in 1998, from $257.7 million in 1997. Basic, tier, pay and advertising revenue categories showed improvement over 1997. Increased subscribers in 1998, primarily from acquisitions, and higher rates accounted for most of the 15 percent increase in subscriber revenues. The number of basic subscribers at the end of the year increased to 733,000, from 637,300 at the end of 1997. During 1998, the cable division acquired cable systems serving approximately 115,400 subscribers and sold cable systems serving approximately 29,000 subscribers.</w:t>
      </w:r>
    </w:p>
    <w:p>
      <w:pPr>
        <w:spacing w:after="0" w:line="74" w:lineRule="exact"/>
        <w:rPr>
          <w:sz w:val="20"/>
          <w:szCs w:val="20"/>
          <w:color w:val="auto"/>
        </w:rPr>
      </w:pPr>
    </w:p>
    <w:p>
      <w:pPr>
        <w:ind w:right="3339" w:firstLine="603"/>
        <w:spacing w:after="0" w:line="281" w:lineRule="auto"/>
        <w:rPr>
          <w:sz w:val="20"/>
          <w:szCs w:val="20"/>
          <w:color w:val="auto"/>
        </w:rPr>
      </w:pPr>
      <w:r>
        <w:rPr>
          <w:rFonts w:ascii="Courier New" w:cs="Courier New" w:eastAsia="Courier New" w:hAnsi="Courier New"/>
          <w:sz w:val="14"/>
          <w:szCs w:val="14"/>
          <w:color w:val="auto"/>
        </w:rPr>
        <w:t>Operating margin at the cable division was 22 percent in 1998, compared to 21 percent in 1997. Cable operating cash flow increased 21 percent to $126.5 million, from $104.7 million in 1997. Approximately 40 percent of the 1998 improvement in operating cash flow is attributable to the results of cable systems acquired in 1998 and 1997.</w:t>
      </w:r>
    </w:p>
    <w:p>
      <w:pPr>
        <w:spacing w:after="0" w:line="65"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4"/>
          <w:szCs w:val="14"/>
          <w:color w:val="auto"/>
        </w:rPr>
        <w:t>EDUCATION AND CAREER SERVICES DIVISION. The education and career services division's 1998 revenues totaled $194.9 million, a 66 percent increase over 1997 (with acquisitions accounting for approximately two-thirds of the increase). The remaining growth in revenue was primarily generated by the traditional test preparation and SCORE! businesses. Operating losses totaled $7.5 million for 1998, compared to $8.4 million in 1997. The 1998 operating results reflect improvements in operating income arising from the traditional test preparation business and acquisitions, offset by start-up costs associated with the opening of new SCORE! centers.</w:t>
      </w:r>
    </w:p>
    <w:p>
      <w:pPr>
        <w:spacing w:after="0" w:line="74"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4"/>
          <w:szCs w:val="14"/>
          <w:color w:val="auto"/>
        </w:rPr>
        <w:t>OTHER BUSINESSES AND CORPORATE OFFICE. Revenues from other businesses, including Legi-Slate, MLJ (sold in July 1998) and PASS Sports (nine months of 1997) totaled $11.5 million in 1998, compared to $38.8 million in 1997. The decline in revenue is due to the sale of PASS and MLJ.</w:t>
      </w:r>
    </w:p>
    <w:p>
      <w:pPr>
        <w:spacing w:after="0" w:line="56" w:lineRule="exact"/>
        <w:rPr>
          <w:sz w:val="20"/>
          <w:szCs w:val="20"/>
          <w:color w:val="auto"/>
        </w:rPr>
      </w:pPr>
    </w:p>
    <w:p>
      <w:pPr>
        <w:ind w:right="3439" w:firstLine="603"/>
        <w:spacing w:after="0" w:line="375" w:lineRule="auto"/>
        <w:rPr>
          <w:sz w:val="20"/>
          <w:szCs w:val="20"/>
          <w:color w:val="auto"/>
        </w:rPr>
      </w:pPr>
      <w:r>
        <w:rPr>
          <w:rFonts w:ascii="Courier New" w:cs="Courier New" w:eastAsia="Courier New" w:hAnsi="Courier New"/>
          <w:sz w:val="14"/>
          <w:szCs w:val="14"/>
          <w:color w:val="auto"/>
        </w:rPr>
        <w:t>Other businesses and the corporate office recorded an operating loss in 1998 of $33.4 million, compared to a loss of $25.8 million in 1997.</w:t>
      </w:r>
    </w:p>
    <w:p>
      <w:pPr>
        <w:sectPr>
          <w:pgSz w:w="11900" w:h="16838" w:orient="portrait"/>
          <w:cols w:equalWidth="0" w:num="1">
            <w:col w:w="10159"/>
          </w:cols>
          <w:pgMar w:left="300" w:top="259" w:right="1440" w:bottom="124" w:gutter="0" w:footer="0" w:header="0"/>
        </w:sectPr>
      </w:pP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259" w:right="1440" w:bottom="124"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EQUITY IN (LOSSES) EARNINGS OF AFFILIATES. The Company's equity in losses of affiliates in 1998 was $5.1 million, compared with income of $10.0 million in 1997. The $15.1 million decline in affiliate earnings resulted from increased spending at new media joint ventures (principally Classified Ventures and CareerPath.com) and the absence of affiliate earnings that were provided in the prior year from the Company's investment interest in the Bear Island Partnerships (sold in November 1997) and Cowles Media Company (disposed of in March 1998).</w:t>
      </w:r>
    </w:p>
    <w:p>
      <w:pPr>
        <w:spacing w:after="0" w:line="246"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4"/>
          <w:szCs w:val="14"/>
          <w:color w:val="auto"/>
        </w:rPr>
        <w:t>NON-OPERATING ITEMS. In 1998, the Company incurred net interest expense of $10.4 million, compared to $2.2 million of net interest income in 1997. The average short-term borrowings outstanding in 1998 was $231.8 million, as compared to $10.7 million in average borrowings outstanding in 1997.</w:t>
      </w:r>
    </w:p>
    <w:p>
      <w:pPr>
        <w:spacing w:after="0" w:line="56" w:lineRule="exact"/>
        <w:rPr>
          <w:sz w:val="20"/>
          <w:szCs w:val="20"/>
          <w:color w:val="auto"/>
        </w:rPr>
      </w:pPr>
    </w:p>
    <w:p>
      <w:pPr>
        <w:ind w:right="3339" w:firstLine="603"/>
        <w:spacing w:after="0" w:line="268" w:lineRule="auto"/>
        <w:rPr>
          <w:sz w:val="20"/>
          <w:szCs w:val="20"/>
          <w:color w:val="auto"/>
        </w:rPr>
      </w:pPr>
      <w:r>
        <w:rPr>
          <w:rFonts w:ascii="Courier New" w:cs="Courier New" w:eastAsia="Courier New" w:hAnsi="Courier New"/>
          <w:sz w:val="14"/>
          <w:szCs w:val="14"/>
          <w:color w:val="auto"/>
        </w:rPr>
        <w:t>Other income, net, in 1998 was $304.7 million, compared to $69.5 million in 1997. For 1998, other income, net, includes $309.7 million arising from the disposition of the Company's 28 percent interest in Cowles Media Company, the sale of 14 small cable systems and the disposition of the Company's interest in Junglee, a facilitator of Internet commerce. For 1997, other income, net, includes $74.8 million in gains arising from the sale of the Bear Island partnerships and the sale of the assets of the Company's PASS regional cable sports network.</w:t>
      </w:r>
    </w:p>
    <w:p>
      <w:pPr>
        <w:spacing w:after="0" w:line="74"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4"/>
          <w:szCs w:val="14"/>
          <w:color w:val="auto"/>
        </w:rPr>
        <w:t>INCOME TAXES. The effective tax rate in 1998 was 37.5 percent, as compared to 39 percent in 1997. The decrease in the effective income tax rate is principally the result of the disposition of Cowles Media Company being subject to state income tax in jurisdictions with lower tax rates, and to a lesser extent, from a favorable IRS-approved income tax change in the fourth quarter of 1998.</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CAPITAL RESOURCES AND LIQUIDITY</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ACQUISITIONS. During 1999, the Company acquired various businesses for about $90.5 million, which included, among others, $18.3 million for cable systems serving approximately 10,300 subscribers and $61.8 million for various educational and training companies to expand Kaplan, Inc.'s business offerings.</w:t>
      </w:r>
    </w:p>
    <w:p>
      <w:pPr>
        <w:spacing w:after="0" w:line="56" w:lineRule="exact"/>
        <w:rPr>
          <w:sz w:val="20"/>
          <w:szCs w:val="20"/>
          <w:color w:val="auto"/>
        </w:rPr>
      </w:pPr>
    </w:p>
    <w:p>
      <w:pPr>
        <w:ind w:right="3339" w:firstLine="603"/>
        <w:spacing w:after="0" w:line="292" w:lineRule="auto"/>
        <w:rPr>
          <w:sz w:val="20"/>
          <w:szCs w:val="20"/>
          <w:color w:val="auto"/>
        </w:rPr>
      </w:pPr>
      <w:r>
        <w:rPr>
          <w:rFonts w:ascii="Courier New" w:cs="Courier New" w:eastAsia="Courier New" w:hAnsi="Courier New"/>
          <w:sz w:val="14"/>
          <w:szCs w:val="14"/>
          <w:color w:val="auto"/>
        </w:rPr>
        <w:t>During 1998, the Company acquired various businesses for about $320.6 million, which included, among others, $209.0 million for cable systems serving approximately 115,400 subscribers and $100.4 million for educational, training and career services companies.</w:t>
      </w:r>
    </w:p>
    <w:p>
      <w:pPr>
        <w:spacing w:after="0" w:line="56" w:lineRule="exact"/>
        <w:rPr>
          <w:sz w:val="20"/>
          <w:szCs w:val="20"/>
          <w:color w:val="auto"/>
        </w:rPr>
      </w:pPr>
    </w:p>
    <w:p>
      <w:pPr>
        <w:ind w:right="3259" w:firstLine="603"/>
        <w:spacing w:after="0" w:line="281" w:lineRule="auto"/>
        <w:rPr>
          <w:sz w:val="20"/>
          <w:szCs w:val="20"/>
          <w:color w:val="auto"/>
        </w:rPr>
      </w:pPr>
      <w:r>
        <w:rPr>
          <w:rFonts w:ascii="Courier New" w:cs="Courier New" w:eastAsia="Courier New" w:hAnsi="Courier New"/>
          <w:sz w:val="14"/>
          <w:szCs w:val="14"/>
          <w:color w:val="auto"/>
        </w:rPr>
        <w:t>In 1997, the Company spent $118.9 million on business acquisitions. These acquisitions included, among others, $23.9 million for cable systems serving approximately 16,000 subscribers and $84.5 million for the publishing rights to two computer services industry periodicals and the rights to conduct two computer industry trade shows.</w:t>
      </w:r>
    </w:p>
    <w:p>
      <w:pPr>
        <w:spacing w:after="0" w:line="65" w:lineRule="exact"/>
        <w:rPr>
          <w:sz w:val="20"/>
          <w:szCs w:val="20"/>
          <w:color w:val="auto"/>
        </w:rPr>
      </w:pPr>
    </w:p>
    <w:p>
      <w:pPr>
        <w:ind w:right="3259" w:firstLine="603"/>
        <w:spacing w:after="0" w:line="275" w:lineRule="auto"/>
        <w:rPr>
          <w:sz w:val="20"/>
          <w:szCs w:val="20"/>
          <w:color w:val="auto"/>
        </w:rPr>
      </w:pPr>
      <w:r>
        <w:rPr>
          <w:rFonts w:ascii="Courier New" w:cs="Courier New" w:eastAsia="Courier New" w:hAnsi="Courier New"/>
          <w:sz w:val="14"/>
          <w:szCs w:val="14"/>
          <w:color w:val="auto"/>
        </w:rPr>
        <w:t>On February 10, 2000, BrassRing, Inc. announced an agreement to acquire from Central Newspapers, Inc. the Westech Group of Companies in exchange for BrassRing, Inc. stock representing a 23 percent equity ownership in BrassRing, Inc. Westech provides Internet recruitment services and high-tech career fairs. Upon the closing of this transaction, the Company's ownership in BrassRing, Inc. will decline from 54 percent to 42 percent.</w:t>
      </w:r>
    </w:p>
    <w:p>
      <w:pPr>
        <w:spacing w:after="0" w:line="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EXCHANGES. During 1997, the Company exchanged the assets of certain cable systems with Tele-Communications, Inc., resulting in an increase of about 21,000 subscribers for the Company. The Company also completed, in 1997, a transaction with Meredith Corporation whereby the Company exchanged the assets of WFSB-TV, the CBS affiliate in Hartford, Connecticut, and $60.0 million in cash for the assets of WCPX-TV (renamed WKMG), the CBS affiliate in Orlando, Florida.</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DISPOSITIONS</w:t>
      </w:r>
    </w:p>
    <w:p>
      <w:pPr>
        <w:spacing w:after="0" w:line="173"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In March 1998, the Company received $330.5 million in cash and 730,525 shares of McClatchy Newspapers, Inc. Class A common stock as a result of the merger of Cowles and McClatchy. The market value of the McClatchy stock received was $21.6 million, based upon publicly quoted market prices. During the last three quarters of 1998, the Company sold 464,700 shares of the McClatchy stock (64 percent of the total shares received) for $15.4 million.</w:t>
      </w:r>
    </w:p>
    <w:p>
      <w:pPr>
        <w:spacing w:after="0" w:line="69" w:lineRule="exact"/>
        <w:rPr>
          <w:sz w:val="20"/>
          <w:szCs w:val="20"/>
          <w:color w:val="auto"/>
        </w:rPr>
      </w:pPr>
    </w:p>
    <w:p>
      <w:pPr>
        <w:ind w:right="3259" w:firstLine="603"/>
        <w:spacing w:after="0" w:line="271" w:lineRule="auto"/>
        <w:rPr>
          <w:sz w:val="20"/>
          <w:szCs w:val="20"/>
          <w:color w:val="auto"/>
        </w:rPr>
      </w:pPr>
      <w:r>
        <w:rPr>
          <w:rFonts w:ascii="Courier New" w:cs="Courier New" w:eastAsia="Courier New" w:hAnsi="Courier New"/>
          <w:sz w:val="14"/>
          <w:szCs w:val="14"/>
          <w:color w:val="auto"/>
        </w:rPr>
        <w:t>In July 1998, the Company completed the sale of 14 small cable systems in Texas, Missouri and Kansas serving approximately 29,000 subscribers for $41.9 million. In August 1998, the Company received 202,961 shares of Amazon.com common stock as a result of the merger of Amazon.com and Junglee Corporation. At the time of the merger transaction, the Company owned a minority investment interest in Junglee Corporation, a facilitator of Internet commerce. The market value of the Amazon.com stock received was $25.2 million.</w:t>
      </w:r>
    </w:p>
    <w:p>
      <w:pPr>
        <w:spacing w:after="0" w:line="71"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In November 1997, the Company sold its 35 percent interest in Bear Island Paper Company, L.P., and Bear Island Timberlands Company, L.P., for approximately $92.8 million. In September 1997, the Company sold the assets of its PASS regional cable sports network for $27.4 million.</w:t>
      </w:r>
    </w:p>
    <w:p>
      <w:pPr>
        <w:spacing w:after="0" w:line="56"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4"/>
          <w:szCs w:val="14"/>
          <w:color w:val="auto"/>
        </w:rPr>
        <w:t>CAPITAL EXPENDITURES. During 1999, the Company's capital expenditures totaled $130.0 million, about half of which related to plant upgrades at the Company's cable subsidiary. The Company estimates that in 2000 it will spend approximately $145.0 million for property and equipment, primarily for various projects at the cable, broadcasting and newspaper divisions.</w:t>
      </w:r>
    </w:p>
    <w:p>
      <w:pPr>
        <w:spacing w:after="0" w:line="65" w:lineRule="exact"/>
        <w:rPr>
          <w:sz w:val="20"/>
          <w:szCs w:val="20"/>
          <w:color w:val="auto"/>
        </w:rPr>
      </w:pPr>
    </w:p>
    <w:p>
      <w:pPr>
        <w:ind w:right="3259"/>
        <w:spacing w:after="0" w:line="313" w:lineRule="auto"/>
        <w:rPr>
          <w:sz w:val="20"/>
          <w:szCs w:val="20"/>
          <w:color w:val="auto"/>
        </w:rPr>
      </w:pPr>
      <w:r>
        <w:rPr>
          <w:rFonts w:ascii="Courier New" w:cs="Courier New" w:eastAsia="Courier New" w:hAnsi="Courier New"/>
          <w:sz w:val="14"/>
          <w:szCs w:val="14"/>
          <w:color w:val="auto"/>
        </w:rPr>
        <w:t>INVESTMENTS IN MARKETABLE EQUITY SECURITIES. At January 2, 2000, the fair value of the Company's investments in marketable equity securities was $203.0 million, which includes $165.8 million of Berkshire</w:t>
      </w:r>
    </w:p>
    <w:p>
      <w:pPr>
        <w:sectPr>
          <w:pgSz w:w="11900" w:h="16838" w:orient="portrait"/>
          <w:cols w:equalWidth="0" w:num="1">
            <w:col w:w="10159"/>
          </w:cols>
          <w:pgMar w:left="300" w:top="259" w:right="1440" w:bottom="125" w:gutter="0" w:footer="0" w:header="0"/>
        </w:sectPr>
      </w:pP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159"/>
          </w:cols>
          <w:pgMar w:left="300" w:top="259" w:right="1440" w:bottom="125"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Hathaway, Inc. Class A and B common stock and $37.2 million of various publicly traded common stocks of companies with Internet business concentrations.</w:t>
      </w:r>
    </w:p>
    <w:p>
      <w:pPr>
        <w:spacing w:after="0" w:line="1" w:lineRule="exact"/>
        <w:rPr>
          <w:sz w:val="20"/>
          <w:szCs w:val="20"/>
          <w:color w:val="auto"/>
        </w:rPr>
      </w:pPr>
    </w:p>
    <w:p>
      <w:pPr>
        <w:ind w:right="3259" w:firstLine="603"/>
        <w:spacing w:after="0" w:line="271" w:lineRule="auto"/>
        <w:rPr>
          <w:sz w:val="20"/>
          <w:szCs w:val="20"/>
          <w:color w:val="auto"/>
        </w:rPr>
      </w:pPr>
      <w:r>
        <w:rPr>
          <w:rFonts w:ascii="Courier New" w:cs="Courier New" w:eastAsia="Courier New" w:hAnsi="Courier New"/>
          <w:sz w:val="14"/>
          <w:szCs w:val="14"/>
          <w:color w:val="auto"/>
        </w:rPr>
        <w:t>During 1999 the Company spent $20.0 million for 9,820 shares of Berkshire Hathaway, Inc. Class B common stock. The Company spent $165.0 million for 2,634 and 25 shares of Berkshire Hathaway, Inc. Class A and B common stock, respectively, during 1998. At February 25, 2000, the gross unrealized loss on the Company's Berkshire Hathaway, Inc. stock holdings totaled $51.5 million. The Company intends to hold the Berkshire Hathaway stock long-term and views the unrealized loss position at February 25, 2000 as temporary.</w:t>
      </w:r>
    </w:p>
    <w:p>
      <w:pPr>
        <w:spacing w:after="0" w:line="71" w:lineRule="exact"/>
        <w:rPr>
          <w:sz w:val="20"/>
          <w:szCs w:val="20"/>
          <w:color w:val="auto"/>
        </w:rPr>
      </w:pPr>
    </w:p>
    <w:p>
      <w:pPr>
        <w:ind w:right="3339" w:firstLine="603"/>
        <w:spacing w:after="0" w:line="375" w:lineRule="auto"/>
        <w:rPr>
          <w:sz w:val="20"/>
          <w:szCs w:val="20"/>
          <w:color w:val="auto"/>
        </w:rPr>
      </w:pPr>
      <w:r>
        <w:rPr>
          <w:rFonts w:ascii="Courier New" w:cs="Courier New" w:eastAsia="Courier New" w:hAnsi="Courier New"/>
          <w:sz w:val="14"/>
          <w:szCs w:val="14"/>
          <w:color w:val="auto"/>
        </w:rPr>
        <w:t>During 1999, the Company sold various of its common stock holdings (most of which were Internet-related) netting proceeds of $54.8 million.</w:t>
      </w:r>
    </w:p>
    <w:p>
      <w:pPr>
        <w:spacing w:after="0" w:line="1"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COMMON STOCK REPURCHASES AND DIVIDEND RATE. During 1999, 1998 and 1997, the Company repurchased 744,095, 41,033 and 846,290 shares, respectively, of its Class B common stock at a cost of $425.9 million, $20.5 million and $368.6 million, respectively. The annual dividend rate for 2000 was increased to $5.40 per share, from $5.20 per share in 1999, $5.00 per share in 1998 and $4.80 per share in 1997.</w:t>
      </w:r>
    </w:p>
    <w:p>
      <w:pPr>
        <w:spacing w:after="0" w:line="69"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LIQUIDITY. At January 2, 2000, the Company had $75.5 million in cash and cash equivalents. At January 2, 2000, the Company had $487.7 million in short-term commercial paper borrowings outstanding at an average interest rate of 6.4 percent with various maturities throughout the first quarter of 2000.</w:t>
      </w:r>
    </w:p>
    <w:p>
      <w:pPr>
        <w:spacing w:after="0" w:line="56" w:lineRule="exact"/>
        <w:rPr>
          <w:sz w:val="20"/>
          <w:szCs w:val="20"/>
          <w:color w:val="auto"/>
        </w:rPr>
      </w:pPr>
    </w:p>
    <w:p>
      <w:pPr>
        <w:ind w:right="3259" w:firstLine="603"/>
        <w:spacing w:after="0" w:line="269" w:lineRule="auto"/>
        <w:rPr>
          <w:sz w:val="20"/>
          <w:szCs w:val="20"/>
          <w:color w:val="auto"/>
        </w:rPr>
      </w:pPr>
      <w:r>
        <w:rPr>
          <w:rFonts w:ascii="Courier New" w:cs="Courier New" w:eastAsia="Courier New" w:hAnsi="Courier New"/>
          <w:sz w:val="14"/>
          <w:szCs w:val="14"/>
          <w:color w:val="auto"/>
        </w:rPr>
        <w:t>Additionally, at January 2, 2000 the Company had outstanding $400.0 million of 5.5 percent, 10 year unsecured notes, due in February 2009. The $400.0 million, 10 year notes were issued on February 15, 1999, netting approximately $395.0 million in proceeds after discount and fees. The notes require semiannual interest payments of $11.0 million payable on February 15th and August 15th. The Company used the proceeds from the issuance of the notes to repay an equal amount of short-term commercial paper borrowings then outstanding.</w:t>
      </w:r>
    </w:p>
    <w:p>
      <w:pPr>
        <w:spacing w:after="0" w:line="246" w:lineRule="exact"/>
        <w:rPr>
          <w:sz w:val="20"/>
          <w:szCs w:val="20"/>
          <w:color w:val="auto"/>
        </w:rPr>
      </w:pPr>
    </w:p>
    <w:p>
      <w:pPr>
        <w:ind w:right="3779" w:firstLine="603"/>
        <w:spacing w:after="0" w:line="313" w:lineRule="auto"/>
        <w:rPr>
          <w:sz w:val="20"/>
          <w:szCs w:val="20"/>
          <w:color w:val="auto"/>
        </w:rPr>
      </w:pPr>
      <w:r>
        <w:rPr>
          <w:rFonts w:ascii="Courier New" w:cs="Courier New" w:eastAsia="Courier New" w:hAnsi="Courier New"/>
          <w:sz w:val="14"/>
          <w:szCs w:val="14"/>
          <w:color w:val="auto"/>
        </w:rPr>
        <w:t>The Company utilizes a $500.0 million revolving credit facility to support the issuance of its short-term commercial paper and to provide for general corporate purposes.</w:t>
      </w:r>
    </w:p>
    <w:p>
      <w:pPr>
        <w:spacing w:after="0" w:line="42"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The Company expects to fund its estimated capital needs primarily through internally generated funds, and, to a lesser extent, commercial paper borrowings. In management's opinion, the Company will have ample liquidity to meet its various cash needs in 2000.</w:t>
      </w:r>
    </w:p>
    <w:p>
      <w:pPr>
        <w:spacing w:after="0" w:line="222"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YEAR 2000. The Company did not experience any significant malfunctions or errors in its operating or business systems when the date changed from 1999 to 2000. Based on operations since January 1, 2000, the Company does not expect any significant impact to its ongoing business as a result of the "Year 2000 issue." However, it is possible that the full impact of the date change, which was of concern due to computer programs that use two digits instead of four digits to define years, has not been fully recognized. For example, it is possible that the Year 2000 or similar issues such as leap year-related problems may occur with billing, payroll, or financial closings at month, quarterly, or year-end. The Company believes that any such problems are likely to be minor and correctable. In addition, the Company could still be negatively affected if its customers or suppliers are adversely affected by the Year 2000 or similar issues. The Company currently is not aware of any significant Year 2000 or similar problems that have arisen for its customers and suppliers.</w:t>
      </w:r>
    </w:p>
    <w:p>
      <w:pPr>
        <w:spacing w:after="0" w:line="78" w:lineRule="exact"/>
        <w:rPr>
          <w:sz w:val="20"/>
          <w:szCs w:val="20"/>
          <w:color w:val="auto"/>
        </w:rPr>
      </w:pPr>
    </w:p>
    <w:p>
      <w:pPr>
        <w:ind w:right="3439" w:firstLine="603"/>
        <w:spacing w:after="0" w:line="275" w:lineRule="auto"/>
        <w:rPr>
          <w:sz w:val="20"/>
          <w:szCs w:val="20"/>
          <w:color w:val="auto"/>
        </w:rPr>
      </w:pPr>
      <w:r>
        <w:rPr>
          <w:rFonts w:ascii="Courier New" w:cs="Courier New" w:eastAsia="Courier New" w:hAnsi="Courier New"/>
          <w:sz w:val="14"/>
          <w:szCs w:val="14"/>
          <w:color w:val="auto"/>
        </w:rPr>
        <w:t>The Company spent about $25 million on Year 2000 readiness efforts; $15 million related to assessment, repair and testing efforts and was expensed as incurred (approximately $8 million in 1999 and $7 million in 1998) and $10 million related to the replacement of non-compliant systems which have been capitalized and will be amortized over a period ranging between five and seven years.</w:t>
      </w:r>
    </w:p>
    <w:p>
      <w:pPr>
        <w:spacing w:after="0" w:line="69"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FORWARD-LOOKING STATEMENTS. This annual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1 of the Company's Annual Report on Form 10-K.</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259"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left="3100" w:right="5079" w:hanging="1543"/>
        <w:spacing w:after="0" w:line="626" w:lineRule="auto"/>
        <w:tabs>
          <w:tab w:leader="none" w:pos="172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PAGE INTENTIONNALY LEFT BLANK ] 53</w:t>
      </w:r>
    </w:p>
    <w:p>
      <w:pPr>
        <w:sectPr>
          <w:pgSz w:w="11900" w:h="16838" w:orient="portrait"/>
          <w:cols w:equalWidth="0" w:num="1">
            <w:col w:w="9899"/>
          </w:cols>
          <w:pgMar w:left="560" w:top="25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TEN-YEAR SUMMARY OF SELECTED HISTORICAL FINANCIAL DATA</w:t>
      </w:r>
    </w:p>
    <w:p>
      <w:pPr>
        <w:spacing w:after="0" w:line="338" w:lineRule="exact"/>
        <w:rPr>
          <w:sz w:val="20"/>
          <w:szCs w:val="20"/>
          <w:color w:val="auto"/>
        </w:rPr>
      </w:pPr>
    </w:p>
    <w:p>
      <w:pPr>
        <w:ind w:right="4220"/>
        <w:spacing w:after="0" w:line="376" w:lineRule="auto"/>
        <w:rPr>
          <w:sz w:val="20"/>
          <w:szCs w:val="20"/>
          <w:color w:val="auto"/>
        </w:rPr>
      </w:pPr>
      <w:r>
        <w:rPr>
          <w:rFonts w:ascii="Courier New" w:cs="Courier New" w:eastAsia="Courier New" w:hAnsi="Courier New"/>
          <w:sz w:val="14"/>
          <w:szCs w:val="14"/>
          <w:color w:val="auto"/>
        </w:rPr>
        <w:t>See Notes to Consolidated Financial Statements for the summary of significant accounting policies and additional information relative to the years 1997-1999.</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18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Operating revenues.............................................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2,215,571</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2,110,360</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1,956,253</w:t>
            </w:r>
          </w:p>
        </w:tc>
        <w:tc>
          <w:tcPr>
            <w:tcW w:w="0" w:type="dxa"/>
            <w:vAlign w:val="bottom"/>
          </w:tcPr>
          <w:p>
            <w:pPr>
              <w:spacing w:after="0"/>
              <w:rPr>
                <w:sz w:val="1"/>
                <w:szCs w:val="1"/>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388,453</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378,897</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381,351</w:t>
            </w:r>
          </w:p>
        </w:tc>
        <w:tc>
          <w:tcPr>
            <w:tcW w:w="0" w:type="dxa"/>
            <w:vAlign w:val="bottom"/>
          </w:tcPr>
          <w:p>
            <w:pPr>
              <w:spacing w:after="0"/>
              <w:rPr>
                <w:sz w:val="1"/>
                <w:szCs w:val="1"/>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225,785</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417,259</w:t>
            </w:r>
          </w:p>
        </w:tc>
        <w:tc>
          <w:tcPr>
            <w:tcW w:w="6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281,574</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principle...................................................</w:t>
            </w:r>
          </w:p>
        </w:tc>
        <w:tc>
          <w:tcPr>
            <w:tcW w:w="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 for</w:t>
            </w:r>
          </w:p>
        </w:tc>
        <w:tc>
          <w:tcPr>
            <w:tcW w:w="340" w:type="dxa"/>
            <w:vAlign w:val="bottom"/>
          </w:tcPr>
          <w:p>
            <w:pPr>
              <w:spacing w:after="0"/>
              <w:rPr>
                <w:sz w:val="14"/>
                <w:szCs w:val="14"/>
                <w:color w:val="auto"/>
              </w:rPr>
            </w:pPr>
          </w:p>
        </w:tc>
        <w:tc>
          <w:tcPr>
            <w:tcW w:w="13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40" w:type="dxa"/>
            <w:vAlign w:val="bottom"/>
          </w:tcPr>
          <w:p>
            <w:pPr>
              <w:spacing w:after="0"/>
              <w:rPr>
                <w:sz w:val="14"/>
                <w:szCs w:val="14"/>
                <w:color w:val="auto"/>
              </w:rPr>
            </w:pPr>
          </w:p>
        </w:tc>
        <w:tc>
          <w:tcPr>
            <w:tcW w:w="13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 postretirement benefits other than pensions.............</w:t>
            </w:r>
          </w:p>
        </w:tc>
        <w:tc>
          <w:tcPr>
            <w:tcW w:w="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51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vMerge w:val="continue"/>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225,785</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417,259</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281,574</w:t>
            </w:r>
          </w:p>
        </w:tc>
        <w:tc>
          <w:tcPr>
            <w:tcW w:w="0" w:type="dxa"/>
            <w:vAlign w:val="bottom"/>
          </w:tcPr>
          <w:p>
            <w:pPr>
              <w:spacing w:after="0"/>
              <w:rPr>
                <w:sz w:val="1"/>
                <w:szCs w:val="1"/>
                <w:color w:val="auto"/>
              </w:rPr>
            </w:pPr>
          </w:p>
        </w:tc>
      </w:tr>
      <w:tr>
        <w:trPr>
          <w:trHeight w:val="242"/>
        </w:trPr>
        <w:tc>
          <w:tcPr>
            <w:tcW w:w="5780" w:type="dxa"/>
            <w:vAlign w:val="bottom"/>
          </w:tcPr>
          <w:p>
            <w:pPr>
              <w:spacing w:after="0"/>
              <w:rPr>
                <w:sz w:val="21"/>
                <w:szCs w:val="21"/>
                <w:color w:val="auto"/>
              </w:rPr>
            </w:pPr>
          </w:p>
        </w:tc>
        <w:tc>
          <w:tcPr>
            <w:tcW w:w="51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78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Basic earnings per common share</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22.35</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41.27</w:t>
            </w:r>
          </w:p>
        </w:tc>
        <w:tc>
          <w:tcPr>
            <w:tcW w:w="6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26.23</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principles...............................................</w:t>
            </w:r>
          </w:p>
        </w:tc>
        <w:tc>
          <w:tcPr>
            <w:tcW w:w="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3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51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vMerge w:val="continue"/>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22.35</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41.27</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26.23</w:t>
            </w:r>
          </w:p>
        </w:tc>
        <w:tc>
          <w:tcPr>
            <w:tcW w:w="0" w:type="dxa"/>
            <w:vAlign w:val="bottom"/>
          </w:tcPr>
          <w:p>
            <w:pPr>
              <w:spacing w:after="0"/>
              <w:rPr>
                <w:sz w:val="1"/>
                <w:szCs w:val="1"/>
                <w:color w:val="auto"/>
              </w:rPr>
            </w:pPr>
          </w:p>
        </w:tc>
      </w:tr>
      <w:tr>
        <w:trPr>
          <w:trHeight w:val="166"/>
        </w:trPr>
        <w:tc>
          <w:tcPr>
            <w:tcW w:w="5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Basic average shares outstanding............................</w:t>
            </w:r>
          </w:p>
        </w:tc>
        <w:tc>
          <w:tcPr>
            <w:tcW w:w="51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10,061</w:t>
            </w:r>
          </w:p>
        </w:tc>
        <w:tc>
          <w:tcPr>
            <w:tcW w:w="5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10,700</w:t>
            </w:r>
          </w:p>
        </w:tc>
        <w:tc>
          <w:tcPr>
            <w:tcW w:w="0" w:type="dxa"/>
            <w:vAlign w:val="bottom"/>
          </w:tcPr>
          <w:p>
            <w:pPr>
              <w:spacing w:after="0"/>
              <w:rPr>
                <w:sz w:val="1"/>
                <w:szCs w:val="1"/>
                <w:color w:val="auto"/>
              </w:rPr>
            </w:pPr>
          </w:p>
        </w:tc>
      </w:tr>
      <w:tr>
        <w:trPr>
          <w:trHeight w:val="166"/>
        </w:trPr>
        <w:tc>
          <w:tcPr>
            <w:tcW w:w="5780" w:type="dxa"/>
            <w:vAlign w:val="bottom"/>
          </w:tcPr>
          <w:p>
            <w:pPr>
              <w:ind w:left="260"/>
              <w:spacing w:after="0"/>
              <w:rPr>
                <w:sz w:val="20"/>
                <w:szCs w:val="20"/>
                <w:color w:val="auto"/>
              </w:rPr>
            </w:pPr>
            <w:r>
              <w:rPr>
                <w:rFonts w:ascii="Courier New" w:cs="Courier New" w:eastAsia="Courier New" w:hAnsi="Courier New"/>
                <w:sz w:val="14"/>
                <w:szCs w:val="14"/>
                <w:color w:val="auto"/>
              </w:rPr>
              <w:t>Diluted earnings per share</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22.30</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41.10</w:t>
            </w:r>
          </w:p>
        </w:tc>
        <w:tc>
          <w:tcPr>
            <w:tcW w:w="6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26.15</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principles...............................................</w:t>
            </w:r>
          </w:p>
        </w:tc>
        <w:tc>
          <w:tcPr>
            <w:tcW w:w="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3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51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vMerge w:val="continue"/>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22.30</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41.10</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26.15</w:t>
            </w:r>
          </w:p>
        </w:tc>
        <w:tc>
          <w:tcPr>
            <w:tcW w:w="0" w:type="dxa"/>
            <w:vAlign w:val="bottom"/>
          </w:tcPr>
          <w:p>
            <w:pPr>
              <w:spacing w:after="0"/>
              <w:rPr>
                <w:sz w:val="1"/>
                <w:szCs w:val="1"/>
                <w:color w:val="auto"/>
              </w:rPr>
            </w:pPr>
          </w:p>
        </w:tc>
      </w:tr>
      <w:tr>
        <w:trPr>
          <w:trHeight w:val="166"/>
        </w:trPr>
        <w:tc>
          <w:tcPr>
            <w:tcW w:w="5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Diluted average shares outstanding..........................</w:t>
            </w:r>
          </w:p>
        </w:tc>
        <w:tc>
          <w:tcPr>
            <w:tcW w:w="51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vMerge w:val="continue"/>
          </w:tcPr>
          <w:p>
            <w:pPr>
              <w:spacing w:after="0"/>
              <w:rPr>
                <w:sz w:val="14"/>
                <w:szCs w:val="14"/>
                <w:color w:val="auto"/>
              </w:rPr>
            </w:pPr>
          </w:p>
        </w:tc>
        <w:tc>
          <w:tcPr>
            <w:tcW w:w="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10,082</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10,129</w:t>
            </w:r>
          </w:p>
        </w:tc>
        <w:tc>
          <w:tcPr>
            <w:tcW w:w="6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10,733</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dividends.................................................</w:t>
            </w:r>
          </w:p>
        </w:tc>
        <w:tc>
          <w:tcPr>
            <w:tcW w:w="340" w:type="dxa"/>
            <w:vAlign w:val="bottom"/>
            <w:vMerge w:val="continue"/>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5.20</w:t>
            </w:r>
          </w:p>
        </w:tc>
        <w:tc>
          <w:tcPr>
            <w:tcW w:w="560" w:type="dxa"/>
            <w:vAlign w:val="bottom"/>
            <w:vMerge w:val="continue"/>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60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c>
          <w:tcPr>
            <w:tcW w:w="0" w:type="dxa"/>
            <w:vAlign w:val="bottom"/>
          </w:tcPr>
          <w:p>
            <w:pPr>
              <w:spacing w:after="0"/>
              <w:rPr>
                <w:sz w:val="1"/>
                <w:szCs w:val="1"/>
                <w:color w:val="auto"/>
              </w:rPr>
            </w:pPr>
          </w:p>
        </w:tc>
      </w:tr>
      <w:tr>
        <w:trPr>
          <w:trHeight w:val="242"/>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shareholders' equity....................................</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144.90</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157.34</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c>
          <w:tcPr>
            <w:tcW w:w="0" w:type="dxa"/>
            <w:vAlign w:val="bottom"/>
          </w:tcPr>
          <w:p>
            <w:pPr>
              <w:spacing w:after="0"/>
              <w:rPr>
                <w:sz w:val="1"/>
                <w:szCs w:val="1"/>
                <w:color w:val="auto"/>
              </w:rPr>
            </w:pPr>
          </w:p>
        </w:tc>
      </w:tr>
      <w:tr>
        <w:trPr>
          <w:trHeight w:val="255"/>
        </w:trPr>
        <w:tc>
          <w:tcPr>
            <w:tcW w:w="578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476,159</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404,878</w:t>
            </w:r>
          </w:p>
        </w:tc>
        <w:tc>
          <w:tcPr>
            <w:tcW w:w="6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308,492</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 (deficit) .....................................</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(346,389)</w:t>
            </w:r>
          </w:p>
        </w:tc>
        <w:tc>
          <w:tcPr>
            <w:tcW w:w="5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15,799</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(300,264)</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w:t>
            </w:r>
          </w:p>
        </w:tc>
        <w:tc>
          <w:tcPr>
            <w:tcW w:w="3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854,906</w:t>
            </w:r>
          </w:p>
        </w:tc>
        <w:tc>
          <w:tcPr>
            <w:tcW w:w="5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841,062</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653,750</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2,986,944</w:t>
            </w:r>
          </w:p>
        </w:tc>
        <w:tc>
          <w:tcPr>
            <w:tcW w:w="5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2,729,661</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2,077,317</w:t>
            </w:r>
          </w:p>
        </w:tc>
        <w:tc>
          <w:tcPr>
            <w:tcW w:w="0" w:type="dxa"/>
            <w:vAlign w:val="bottom"/>
          </w:tcPr>
          <w:p>
            <w:pPr>
              <w:spacing w:after="0"/>
              <w:rPr>
                <w:sz w:val="1"/>
                <w:szCs w:val="1"/>
                <w:color w:val="auto"/>
              </w:rPr>
            </w:pPr>
          </w:p>
        </w:tc>
      </w:tr>
      <w:tr>
        <w:trPr>
          <w:trHeight w:val="166"/>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w:t>
            </w:r>
          </w:p>
        </w:tc>
        <w:tc>
          <w:tcPr>
            <w:tcW w:w="3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397,620</w:t>
            </w:r>
          </w:p>
        </w:tc>
        <w:tc>
          <w:tcPr>
            <w:tcW w:w="5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395,000</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shareholders' equity....................................</w:t>
            </w:r>
          </w:p>
        </w:tc>
        <w:tc>
          <w:tcPr>
            <w:tcW w:w="340" w:type="dxa"/>
            <w:vAlign w:val="bottom"/>
          </w:tcPr>
          <w:p>
            <w:pPr>
              <w:spacing w:after="0"/>
              <w:rPr>
                <w:sz w:val="21"/>
                <w:szCs w:val="21"/>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1,367,790</w:t>
            </w:r>
          </w:p>
        </w:tc>
        <w:tc>
          <w:tcPr>
            <w:tcW w:w="560" w:type="dxa"/>
            <w:vAlign w:val="bottom"/>
          </w:tcPr>
          <w:p>
            <w:pPr>
              <w:spacing w:after="0"/>
              <w:rPr>
                <w:sz w:val="21"/>
                <w:szCs w:val="21"/>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1,588,103</w:t>
            </w:r>
          </w:p>
        </w:tc>
        <w:tc>
          <w:tcPr>
            <w:tcW w:w="6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1,184,074</w:t>
            </w:r>
          </w:p>
        </w:tc>
        <w:tc>
          <w:tcPr>
            <w:tcW w:w="0" w:type="dxa"/>
            <w:vAlign w:val="bottom"/>
          </w:tcPr>
          <w:p>
            <w:pPr>
              <w:spacing w:after="0"/>
              <w:rPr>
                <w:sz w:val="1"/>
                <w:szCs w:val="1"/>
                <w:color w:val="auto"/>
              </w:rPr>
            </w:pPr>
          </w:p>
        </w:tc>
      </w:tr>
      <w:tr>
        <w:trPr>
          <w:trHeight w:val="497"/>
        </w:trPr>
        <w:tc>
          <w:tcPr>
            <w:tcW w:w="578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54</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00" w:top="259" w:right="559" w:bottom="1440" w:gutter="0" w:footer="0" w:header="0"/>
        </w:sectPr>
      </w:pPr>
    </w:p>
    <w:bookmarkStart w:id="65" w:name="page66"/>
    <w:bookmarkEnd w:id="65"/>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Operating revenues.............................................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1,853,445</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1,719,449</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1,613,978</w:t>
            </w: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337,169</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271,018</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274,875</w:t>
            </w: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220,817</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190,096</w:t>
            </w:r>
          </w:p>
        </w:tc>
        <w:tc>
          <w:tcPr>
            <w:tcW w:w="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169,672</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principle...................................................</w:t>
            </w:r>
          </w:p>
        </w:tc>
        <w:tc>
          <w:tcPr>
            <w:tcW w:w="3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 for</w:t>
            </w:r>
          </w:p>
        </w:tc>
        <w:tc>
          <w:tcPr>
            <w:tcW w:w="380" w:type="dxa"/>
            <w:vAlign w:val="bottom"/>
          </w:tcPr>
          <w:p>
            <w:pPr>
              <w:spacing w:after="0"/>
              <w:rPr>
                <w:sz w:val="14"/>
                <w:szCs w:val="14"/>
                <w:color w:val="auto"/>
              </w:rPr>
            </w:pP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80" w:type="dxa"/>
            <w:vAlign w:val="bottom"/>
          </w:tcPr>
          <w:p>
            <w:pPr>
              <w:spacing w:after="0"/>
              <w:rPr>
                <w:sz w:val="14"/>
                <w:szCs w:val="14"/>
                <w:color w:val="auto"/>
              </w:rPr>
            </w:pP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for postretirement benefits other than pensions.............</w:t>
            </w: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income.....................................................</w:t>
            </w:r>
          </w:p>
        </w:tc>
        <w:tc>
          <w:tcPr>
            <w:tcW w:w="51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220,817</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190,096</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169,672</w:t>
            </w:r>
          </w:p>
        </w:tc>
        <w:tc>
          <w:tcPr>
            <w:tcW w:w="0" w:type="dxa"/>
            <w:vAlign w:val="bottom"/>
          </w:tcPr>
          <w:p>
            <w:pPr>
              <w:spacing w:after="0"/>
              <w:rPr>
                <w:sz w:val="1"/>
                <w:szCs w:val="1"/>
                <w:color w:val="auto"/>
              </w:rPr>
            </w:pPr>
          </w:p>
        </w:tc>
      </w:tr>
      <w:tr>
        <w:trPr>
          <w:trHeight w:val="242"/>
        </w:trPr>
        <w:tc>
          <w:tcPr>
            <w:tcW w:w="5740" w:type="dxa"/>
            <w:vAlign w:val="bottom"/>
          </w:tcPr>
          <w:p>
            <w:pPr>
              <w:spacing w:after="0"/>
              <w:rPr>
                <w:sz w:val="21"/>
                <w:szCs w:val="21"/>
                <w:color w:val="auto"/>
              </w:rPr>
            </w:pPr>
          </w:p>
        </w:tc>
        <w:tc>
          <w:tcPr>
            <w:tcW w:w="51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74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Basic earnings per common share</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20.08</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17.16</w:t>
            </w:r>
          </w:p>
        </w:tc>
        <w:tc>
          <w:tcPr>
            <w:tcW w:w="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14.66</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principles...............................................</w:t>
            </w:r>
          </w:p>
        </w:tc>
        <w:tc>
          <w:tcPr>
            <w:tcW w:w="3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income..................................................</w:t>
            </w:r>
          </w:p>
        </w:tc>
        <w:tc>
          <w:tcPr>
            <w:tcW w:w="51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20.08</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17.16</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14.66</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Basic average shares outstanding............................</w:t>
            </w:r>
          </w:p>
        </w:tc>
        <w:tc>
          <w:tcPr>
            <w:tcW w:w="51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10,964</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11,075</w:t>
            </w:r>
          </w:p>
        </w:tc>
        <w:tc>
          <w:tcPr>
            <w:tcW w:w="5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11,577</w:t>
            </w: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Diluted earnings per share</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20.05</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17.15</w:t>
            </w:r>
          </w:p>
        </w:tc>
        <w:tc>
          <w:tcPr>
            <w:tcW w:w="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14.65</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principles...............................................</w:t>
            </w:r>
          </w:p>
        </w:tc>
        <w:tc>
          <w:tcPr>
            <w:tcW w:w="3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income..................................................</w:t>
            </w:r>
          </w:p>
        </w:tc>
        <w:tc>
          <w:tcPr>
            <w:tcW w:w="51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20.05</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17.15</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14.65</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Diluted average shares outstanding..........................</w:t>
            </w:r>
          </w:p>
        </w:tc>
        <w:tc>
          <w:tcPr>
            <w:tcW w:w="51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10,980</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11,086</w:t>
            </w:r>
          </w:p>
        </w:tc>
        <w:tc>
          <w:tcPr>
            <w:tcW w:w="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11,582</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Cash dividends.................................................</w:t>
            </w:r>
          </w:p>
        </w:tc>
        <w:tc>
          <w:tcPr>
            <w:tcW w:w="380" w:type="dxa"/>
            <w:vAlign w:val="bottom"/>
            <w:vMerge w:val="continue"/>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4.60</w:t>
            </w:r>
          </w:p>
        </w:tc>
        <w:tc>
          <w:tcPr>
            <w:tcW w:w="560" w:type="dxa"/>
            <w:vAlign w:val="bottom"/>
            <w:vMerge w:val="continue"/>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w:t>
            </w:r>
          </w:p>
        </w:tc>
        <w:tc>
          <w:tcPr>
            <w:tcW w:w="520" w:type="dxa"/>
            <w:vAlign w:val="bottom"/>
            <w:vMerge w:val="continue"/>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w:t>
            </w:r>
          </w:p>
        </w:tc>
        <w:tc>
          <w:tcPr>
            <w:tcW w:w="0" w:type="dxa"/>
            <w:vAlign w:val="bottom"/>
          </w:tcPr>
          <w:p>
            <w:pPr>
              <w:spacing w:after="0"/>
              <w:rPr>
                <w:sz w:val="1"/>
                <w:szCs w:val="1"/>
                <w:color w:val="auto"/>
              </w:rPr>
            </w:pPr>
          </w:p>
        </w:tc>
      </w:tr>
      <w:tr>
        <w:trPr>
          <w:trHeight w:val="242"/>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Common shareholders' equity....................................</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121.24</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107.60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99.32</w:t>
            </w:r>
          </w:p>
        </w:tc>
        <w:tc>
          <w:tcPr>
            <w:tcW w:w="0" w:type="dxa"/>
            <w:vAlign w:val="bottom"/>
          </w:tcPr>
          <w:p>
            <w:pPr>
              <w:spacing w:after="0"/>
              <w:rPr>
                <w:sz w:val="1"/>
                <w:szCs w:val="1"/>
                <w:color w:val="auto"/>
              </w:rPr>
            </w:pPr>
          </w:p>
        </w:tc>
      </w:tr>
      <w:tr>
        <w:trPr>
          <w:trHeight w:val="255"/>
        </w:trPr>
        <w:tc>
          <w:tcPr>
            <w:tcW w:w="574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382,631</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406,570</w:t>
            </w:r>
          </w:p>
        </w:tc>
        <w:tc>
          <w:tcPr>
            <w:tcW w:w="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375,879</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Current assets.................................................</w:t>
            </w:r>
          </w:p>
        </w:tc>
        <w:tc>
          <w:tcPr>
            <w:tcW w:w="3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Working capital (deficit) .....................................</w:t>
            </w:r>
          </w:p>
        </w:tc>
        <w:tc>
          <w:tcPr>
            <w:tcW w:w="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100,995</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98,393</w:t>
            </w:r>
          </w:p>
        </w:tc>
        <w:tc>
          <w:tcPr>
            <w:tcW w:w="5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102,806</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Property, plant and equipment..................................</w:t>
            </w:r>
          </w:p>
        </w:tc>
        <w:tc>
          <w:tcPr>
            <w:tcW w:w="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511,363</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457,359</w:t>
            </w:r>
          </w:p>
        </w:tc>
        <w:tc>
          <w:tcPr>
            <w:tcW w:w="5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411,396</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1,870,411</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1,732,893</w:t>
            </w:r>
          </w:p>
        </w:tc>
        <w:tc>
          <w:tcPr>
            <w:tcW w:w="5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1,696,868</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50,297</w:t>
            </w:r>
          </w:p>
        </w:tc>
        <w:tc>
          <w:tcPr>
            <w:tcW w:w="0" w:type="dxa"/>
            <w:vAlign w:val="bottom"/>
          </w:tcPr>
          <w:p>
            <w:pPr>
              <w:spacing w:after="0"/>
              <w:rPr>
                <w:sz w:val="1"/>
                <w:szCs w:val="1"/>
                <w:color w:val="auto"/>
              </w:rPr>
            </w:pPr>
          </w:p>
        </w:tc>
      </w:tr>
      <w:tr>
        <w:trPr>
          <w:trHeight w:val="242"/>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Common shareholders' equity....................................</w:t>
            </w:r>
          </w:p>
        </w:tc>
        <w:tc>
          <w:tcPr>
            <w:tcW w:w="380" w:type="dxa"/>
            <w:vAlign w:val="bottom"/>
          </w:tcPr>
          <w:p>
            <w:pPr>
              <w:spacing w:after="0"/>
              <w:rPr>
                <w:sz w:val="21"/>
                <w:szCs w:val="21"/>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1,322,803</w:t>
            </w:r>
          </w:p>
        </w:tc>
        <w:tc>
          <w:tcPr>
            <w:tcW w:w="560" w:type="dxa"/>
            <w:vAlign w:val="bottom"/>
          </w:tcPr>
          <w:p>
            <w:pPr>
              <w:spacing w:after="0"/>
              <w:rPr>
                <w:sz w:val="21"/>
                <w:szCs w:val="21"/>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1,184,204</w:t>
            </w:r>
          </w:p>
        </w:tc>
        <w:tc>
          <w:tcPr>
            <w:tcW w:w="520" w:type="dxa"/>
            <w:vAlign w:val="bottom"/>
          </w:tcPr>
          <w:p>
            <w:pPr>
              <w:spacing w:after="0"/>
              <w:rPr>
                <w:sz w:val="21"/>
                <w:szCs w:val="21"/>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1,126,933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Operating revenues.............................................</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1,498,191</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1,450,867</w:t>
            </w:r>
          </w:p>
        </w:tc>
        <w:tc>
          <w:tcPr>
            <w:tcW w:w="0" w:type="dxa"/>
            <w:vAlign w:val="bottom"/>
          </w:tcPr>
          <w:p>
            <w:pPr>
              <w:spacing w:after="0"/>
              <w:rPr>
                <w:sz w:val="1"/>
                <w:szCs w:val="1"/>
                <w:color w:val="auto"/>
              </w:rPr>
            </w:pPr>
          </w:p>
        </w:tc>
      </w:tr>
      <w:tr>
        <w:trPr>
          <w:trHeight w:val="166"/>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238,980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232,112</w:t>
            </w:r>
          </w:p>
        </w:tc>
        <w:tc>
          <w:tcPr>
            <w:tcW w:w="0" w:type="dxa"/>
            <w:vAlign w:val="bottom"/>
          </w:tcPr>
          <w:p>
            <w:pPr>
              <w:spacing w:after="0"/>
              <w:rPr>
                <w:sz w:val="1"/>
                <w:szCs w:val="1"/>
                <w:color w:val="auto"/>
              </w:rPr>
            </w:pPr>
          </w:p>
        </w:tc>
      </w:tr>
      <w:tr>
        <w:trPr>
          <w:trHeight w:val="166"/>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4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153,817</w:t>
            </w:r>
          </w:p>
        </w:tc>
        <w:tc>
          <w:tcPr>
            <w:tcW w:w="7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127,796</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principle...................................................</w:t>
            </w:r>
          </w:p>
        </w:tc>
        <w:tc>
          <w:tcPr>
            <w:tcW w:w="4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 for</w:t>
            </w:r>
          </w:p>
        </w:tc>
        <w:tc>
          <w:tcPr>
            <w:tcW w:w="440" w:type="dxa"/>
            <w:vAlign w:val="bottom"/>
          </w:tcPr>
          <w:p>
            <w:pPr>
              <w:spacing w:after="0"/>
              <w:rPr>
                <w:sz w:val="14"/>
                <w:szCs w:val="14"/>
                <w:color w:val="auto"/>
              </w:rPr>
            </w:pP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11,600</w:t>
            </w:r>
          </w:p>
        </w:tc>
        <w:tc>
          <w:tcPr>
            <w:tcW w:w="7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w:t>
            </w:r>
          </w:p>
        </w:tc>
        <w:tc>
          <w:tcPr>
            <w:tcW w:w="4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440" w:type="dxa"/>
            <w:vAlign w:val="bottom"/>
          </w:tcPr>
          <w:p>
            <w:pPr>
              <w:spacing w:after="0"/>
              <w:rPr>
                <w:sz w:val="14"/>
                <w:szCs w:val="14"/>
                <w:color w:val="auto"/>
              </w:rPr>
            </w:pP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for postretirement benefits other than pensions.............</w:t>
            </w:r>
          </w:p>
        </w:tc>
        <w:tc>
          <w:tcPr>
            <w:tcW w:w="4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3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165,417</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127,796</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3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Basic earnings per common share</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4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13.10</w:t>
            </w:r>
          </w:p>
        </w:tc>
        <w:tc>
          <w:tcPr>
            <w:tcW w:w="7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10.81</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principles...............................................</w:t>
            </w:r>
          </w:p>
        </w:tc>
        <w:tc>
          <w:tcPr>
            <w:tcW w:w="4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44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0.98</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3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14.08</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10.81</w:t>
            </w:r>
          </w:p>
        </w:tc>
        <w:tc>
          <w:tcPr>
            <w:tcW w:w="0" w:type="dxa"/>
            <w:vAlign w:val="bottom"/>
          </w:tcPr>
          <w:p>
            <w:pPr>
              <w:spacing w:after="0"/>
              <w:rPr>
                <w:sz w:val="1"/>
                <w:szCs w:val="1"/>
                <w:color w:val="auto"/>
              </w:rPr>
            </w:pPr>
          </w:p>
        </w:tc>
      </w:tr>
      <w:tr>
        <w:trPr>
          <w:trHeight w:val="166"/>
        </w:trPr>
        <w:tc>
          <w:tcPr>
            <w:tcW w:w="5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Basic average shares outstanding............................</w:t>
            </w:r>
          </w:p>
        </w:tc>
        <w:tc>
          <w:tcPr>
            <w:tcW w:w="3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11,746</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11,827</w:t>
            </w:r>
          </w:p>
        </w:tc>
        <w:tc>
          <w:tcPr>
            <w:tcW w:w="0" w:type="dxa"/>
            <w:vAlign w:val="bottom"/>
          </w:tcPr>
          <w:p>
            <w:pPr>
              <w:spacing w:after="0"/>
              <w:rPr>
                <w:sz w:val="1"/>
                <w:szCs w:val="1"/>
                <w:color w:val="auto"/>
              </w:rPr>
            </w:pPr>
          </w:p>
        </w:tc>
      </w:tr>
      <w:tr>
        <w:trPr>
          <w:trHeight w:val="166"/>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Diluted earnings per share</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4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13.10</w:t>
            </w:r>
          </w:p>
        </w:tc>
        <w:tc>
          <w:tcPr>
            <w:tcW w:w="7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10.80</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principles...............................................</w:t>
            </w:r>
          </w:p>
        </w:tc>
        <w:tc>
          <w:tcPr>
            <w:tcW w:w="4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44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0.98</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3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14.08</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10.80</w:t>
            </w:r>
          </w:p>
        </w:tc>
        <w:tc>
          <w:tcPr>
            <w:tcW w:w="0" w:type="dxa"/>
            <w:vAlign w:val="bottom"/>
          </w:tcPr>
          <w:p>
            <w:pPr>
              <w:spacing w:after="0"/>
              <w:rPr>
                <w:sz w:val="1"/>
                <w:szCs w:val="1"/>
                <w:color w:val="auto"/>
              </w:rPr>
            </w:pPr>
          </w:p>
        </w:tc>
      </w:tr>
      <w:tr>
        <w:trPr>
          <w:trHeight w:val="166"/>
        </w:trPr>
        <w:tc>
          <w:tcPr>
            <w:tcW w:w="5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Diluted average shares outstanding..........................</w:t>
            </w:r>
          </w:p>
        </w:tc>
        <w:tc>
          <w:tcPr>
            <w:tcW w:w="3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4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11,750</w:t>
            </w:r>
          </w:p>
        </w:tc>
        <w:tc>
          <w:tcPr>
            <w:tcW w:w="7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11,830</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dividends.................................................</w:t>
            </w:r>
          </w:p>
        </w:tc>
        <w:tc>
          <w:tcPr>
            <w:tcW w:w="440" w:type="dxa"/>
            <w:vAlign w:val="bottom"/>
            <w:vMerge w:val="continue"/>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4.20</w:t>
            </w:r>
          </w:p>
        </w:tc>
        <w:tc>
          <w:tcPr>
            <w:tcW w:w="700" w:type="dxa"/>
            <w:vAlign w:val="bottom"/>
            <w:vMerge w:val="continue"/>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c>
          <w:tcPr>
            <w:tcW w:w="0" w:type="dxa"/>
            <w:vAlign w:val="bottom"/>
          </w:tcPr>
          <w:p>
            <w:pPr>
              <w:spacing w:after="0"/>
              <w:rPr>
                <w:sz w:val="1"/>
                <w:szCs w:val="1"/>
                <w:color w:val="auto"/>
              </w:rPr>
            </w:pPr>
          </w:p>
        </w:tc>
      </w:tr>
      <w:tr>
        <w:trPr>
          <w:trHeight w:val="242"/>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 shareholders' equity....................................</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92.84</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84.17</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4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625,574</w:t>
            </w:r>
          </w:p>
        </w:tc>
        <w:tc>
          <w:tcPr>
            <w:tcW w:w="7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524,975</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assets.................................................</w:t>
            </w:r>
          </w:p>
        </w:tc>
        <w:tc>
          <w:tcPr>
            <w:tcW w:w="4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Working capital (deficit) .....................................</w:t>
            </w:r>
          </w:p>
        </w:tc>
        <w:tc>
          <w:tcPr>
            <w:tcW w:w="44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367,041</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242,627</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w:t>
            </w:r>
          </w:p>
        </w:tc>
        <w:tc>
          <w:tcPr>
            <w:tcW w:w="44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363,718</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390,804</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w:t>
            </w:r>
          </w:p>
        </w:tc>
        <w:tc>
          <w:tcPr>
            <w:tcW w:w="44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1,622,504</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1,568,121</w:t>
            </w:r>
          </w:p>
        </w:tc>
        <w:tc>
          <w:tcPr>
            <w:tcW w:w="0" w:type="dxa"/>
            <w:vAlign w:val="bottom"/>
          </w:tcPr>
          <w:p>
            <w:pPr>
              <w:spacing w:after="0"/>
              <w:rPr>
                <w:sz w:val="1"/>
                <w:szCs w:val="1"/>
                <w:color w:val="auto"/>
              </w:rPr>
            </w:pPr>
          </w:p>
        </w:tc>
      </w:tr>
      <w:tr>
        <w:trPr>
          <w:trHeight w:val="166"/>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44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51,768</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51,842</w:t>
            </w:r>
          </w:p>
        </w:tc>
        <w:tc>
          <w:tcPr>
            <w:tcW w:w="0" w:type="dxa"/>
            <w:vAlign w:val="bottom"/>
          </w:tcPr>
          <w:p>
            <w:pPr>
              <w:spacing w:after="0"/>
              <w:rPr>
                <w:sz w:val="1"/>
                <w:szCs w:val="1"/>
                <w:color w:val="auto"/>
              </w:rPr>
            </w:pPr>
          </w:p>
        </w:tc>
      </w:tr>
      <w:tr>
        <w:trPr>
          <w:trHeight w:val="242"/>
        </w:trPr>
        <w:tc>
          <w:tcPr>
            <w:tcW w:w="5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 shareholders' equity....................................</w:t>
            </w:r>
          </w:p>
        </w:tc>
        <w:tc>
          <w:tcPr>
            <w:tcW w:w="440" w:type="dxa"/>
            <w:vAlign w:val="bottom"/>
          </w:tcPr>
          <w:p>
            <w:pPr>
              <w:spacing w:after="0"/>
              <w:rPr>
                <w:sz w:val="21"/>
                <w:szCs w:val="21"/>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1,087,419</w:t>
            </w:r>
          </w:p>
        </w:tc>
        <w:tc>
          <w:tcPr>
            <w:tcW w:w="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993,005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6" w:orient="portrait"/>
          <w:cols w:equalWidth="0" w:num="1">
            <w:col w:w="11040"/>
          </w:cols>
          <w:pgMar w:left="300" w:top="259" w:right="559" w:bottom="0" w:gutter="0" w:footer="0" w:header="0"/>
        </w:sectPr>
      </w:pPr>
    </w:p>
    <w:p>
      <w:pPr>
        <w:spacing w:after="0" w:line="386" w:lineRule="exact"/>
        <w:rPr>
          <w:sz w:val="20"/>
          <w:szCs w:val="20"/>
          <w:color w:val="auto"/>
        </w:rPr>
      </w:pPr>
    </w:p>
    <w:p>
      <w:pPr>
        <w:spacing w:after="0"/>
        <w:tabs>
          <w:tab w:leader="none" w:pos="6280" w:val="left"/>
          <w:tab w:leader="none" w:pos="8600" w:val="left"/>
        </w:tabs>
        <w:rPr>
          <w:sz w:val="20"/>
          <w:szCs w:val="20"/>
          <w:color w:val="auto"/>
        </w:rPr>
      </w:pPr>
      <w:r>
        <w:rPr>
          <w:rFonts w:ascii="Courier New" w:cs="Courier New" w:eastAsia="Courier New" w:hAnsi="Courier New"/>
          <w:sz w:val="14"/>
          <w:szCs w:val="14"/>
          <w:color w:val="auto"/>
        </w:rPr>
        <w:t>(in thousands, except per share amounts)</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p>
    <w:p>
      <w:pPr>
        <w:sectPr>
          <w:pgSz w:w="11900" w:h="16846" w:orient="portrait"/>
          <w:cols w:equalWidth="0" w:num="1">
            <w:col w:w="11040"/>
          </w:cols>
          <w:pgMar w:left="300" w:top="259" w:right="559" w:bottom="0" w:gutter="0" w:footer="0" w:header="0"/>
          <w:type w:val="continuous"/>
        </w:sectPr>
      </w:pPr>
    </w:p>
    <w:bookmarkStart w:id="66" w:name="page67"/>
    <w:bookmarkEnd w:id="66"/>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Operating revenues.............................................</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1,380,261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1,438,640</w:t>
            </w: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Income from operations.........................................</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192,866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281,768</w:t>
            </w: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118,721</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174,576</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principle...................................................</w:t>
            </w:r>
          </w:p>
        </w:tc>
        <w:tc>
          <w:tcPr>
            <w:tcW w:w="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 for</w:t>
            </w:r>
          </w:p>
        </w:tc>
        <w:tc>
          <w:tcPr>
            <w:tcW w:w="380" w:type="dxa"/>
            <w:vAlign w:val="bottom"/>
          </w:tcPr>
          <w:p>
            <w:pPr>
              <w:spacing w:after="0"/>
              <w:rPr>
                <w:sz w:val="14"/>
                <w:szCs w:val="14"/>
                <w:color w:val="auto"/>
              </w:rPr>
            </w:pPr>
          </w:p>
        </w:tc>
        <w:tc>
          <w:tcPr>
            <w:tcW w:w="156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3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80" w:type="dxa"/>
            <w:vAlign w:val="bottom"/>
          </w:tcPr>
          <w:p>
            <w:pPr>
              <w:spacing w:after="0"/>
              <w:rPr>
                <w:sz w:val="14"/>
                <w:szCs w:val="14"/>
                <w:color w:val="auto"/>
              </w:rPr>
            </w:pPr>
          </w:p>
        </w:tc>
        <w:tc>
          <w:tcPr>
            <w:tcW w:w="15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(47,897)</w:t>
            </w:r>
          </w:p>
        </w:tc>
        <w:tc>
          <w:tcPr>
            <w:tcW w:w="7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for postretirement benefits other than pensions.............</w:t>
            </w:r>
          </w:p>
        </w:tc>
        <w:tc>
          <w:tcPr>
            <w:tcW w:w="3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income.....................................................</w:t>
            </w:r>
          </w:p>
        </w:tc>
        <w:tc>
          <w:tcPr>
            <w:tcW w:w="3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70,824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174,576</w:t>
            </w:r>
          </w:p>
        </w:tc>
        <w:tc>
          <w:tcPr>
            <w:tcW w:w="0" w:type="dxa"/>
            <w:vAlign w:val="bottom"/>
          </w:tcPr>
          <w:p>
            <w:pPr>
              <w:spacing w:after="0"/>
              <w:rPr>
                <w:sz w:val="1"/>
                <w:szCs w:val="1"/>
                <w:color w:val="auto"/>
              </w:rPr>
            </w:pPr>
          </w:p>
        </w:tc>
      </w:tr>
      <w:tr>
        <w:trPr>
          <w:trHeight w:val="242"/>
        </w:trPr>
        <w:tc>
          <w:tcPr>
            <w:tcW w:w="5740" w:type="dxa"/>
            <w:vAlign w:val="bottom"/>
          </w:tcPr>
          <w:p>
            <w:pPr>
              <w:spacing w:after="0"/>
              <w:rPr>
                <w:sz w:val="21"/>
                <w:szCs w:val="21"/>
                <w:color w:val="auto"/>
              </w:rPr>
            </w:pPr>
          </w:p>
        </w:tc>
        <w:tc>
          <w:tcPr>
            <w:tcW w:w="3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74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Basic earnings per common share</w:t>
            </w: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10.00</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14.46</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principles...............................................</w:t>
            </w:r>
          </w:p>
        </w:tc>
        <w:tc>
          <w:tcPr>
            <w:tcW w:w="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38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(4.04)</w:t>
            </w: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income..................................................</w:t>
            </w:r>
          </w:p>
        </w:tc>
        <w:tc>
          <w:tcPr>
            <w:tcW w:w="3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5.96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14.46</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Basic average shares outstanding............................</w:t>
            </w:r>
          </w:p>
        </w:tc>
        <w:tc>
          <w:tcPr>
            <w:tcW w:w="3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11,874</w:t>
            </w: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12,073</w:t>
            </w:r>
          </w:p>
        </w:tc>
        <w:tc>
          <w:tcPr>
            <w:tcW w:w="0" w:type="dxa"/>
            <w:vAlign w:val="bottom"/>
          </w:tcPr>
          <w:p>
            <w:pPr>
              <w:spacing w:after="0"/>
              <w:rPr>
                <w:sz w:val="1"/>
                <w:szCs w:val="1"/>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Diluted earnings per share</w:t>
            </w: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10.00</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14.45</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principles...............................................</w:t>
            </w:r>
          </w:p>
        </w:tc>
        <w:tc>
          <w:tcPr>
            <w:tcW w:w="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38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(4.04)</w:t>
            </w: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Net income..................................................</w:t>
            </w:r>
          </w:p>
        </w:tc>
        <w:tc>
          <w:tcPr>
            <w:tcW w:w="3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5.96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14.45</w:t>
            </w:r>
          </w:p>
        </w:tc>
        <w:tc>
          <w:tcPr>
            <w:tcW w:w="0" w:type="dxa"/>
            <w:vAlign w:val="bottom"/>
          </w:tcPr>
          <w:p>
            <w:pPr>
              <w:spacing w:after="0"/>
              <w:rPr>
                <w:sz w:val="1"/>
                <w:szCs w:val="1"/>
                <w:color w:val="auto"/>
              </w:rPr>
            </w:pPr>
          </w:p>
        </w:tc>
      </w:tr>
      <w:tr>
        <w:trPr>
          <w:trHeight w:val="166"/>
        </w:trPr>
        <w:tc>
          <w:tcPr>
            <w:tcW w:w="5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Diluted average shares outstanding..........................</w:t>
            </w:r>
          </w:p>
        </w:tc>
        <w:tc>
          <w:tcPr>
            <w:tcW w:w="3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11,876</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12,081</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Cash dividends.................................................</w:t>
            </w:r>
          </w:p>
        </w:tc>
        <w:tc>
          <w:tcPr>
            <w:tcW w:w="380" w:type="dxa"/>
            <w:vAlign w:val="bottom"/>
            <w:vMerge w:val="continue"/>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4.20</w:t>
            </w:r>
          </w:p>
        </w:tc>
        <w:tc>
          <w:tcPr>
            <w:tcW w:w="76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0" w:type="dxa"/>
            <w:vAlign w:val="bottom"/>
          </w:tcPr>
          <w:p>
            <w:pPr>
              <w:spacing w:after="0"/>
              <w:rPr>
                <w:sz w:val="1"/>
                <w:szCs w:val="1"/>
                <w:color w:val="auto"/>
              </w:rPr>
            </w:pPr>
          </w:p>
        </w:tc>
      </w:tr>
      <w:tr>
        <w:trPr>
          <w:trHeight w:val="242"/>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Common shareholders' equity....................................</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78.12</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76.31</w:t>
            </w:r>
          </w:p>
        </w:tc>
        <w:tc>
          <w:tcPr>
            <w:tcW w:w="0" w:type="dxa"/>
            <w:vAlign w:val="bottom"/>
          </w:tcPr>
          <w:p>
            <w:pPr>
              <w:spacing w:after="0"/>
              <w:rPr>
                <w:sz w:val="1"/>
                <w:szCs w:val="1"/>
                <w:color w:val="auto"/>
              </w:rPr>
            </w:pPr>
          </w:p>
        </w:tc>
      </w:tr>
      <w:tr>
        <w:trPr>
          <w:trHeight w:val="255"/>
        </w:trPr>
        <w:tc>
          <w:tcPr>
            <w:tcW w:w="574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472,219</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471,669</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Current assets.................................................</w:t>
            </w:r>
          </w:p>
        </w:tc>
        <w:tc>
          <w:tcPr>
            <w:tcW w:w="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Working capital (deficit) .....................................</w:t>
            </w:r>
          </w:p>
        </w:tc>
        <w:tc>
          <w:tcPr>
            <w:tcW w:w="38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183,959</w:t>
            </w: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175,807</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Property, plant and equipment..................................</w:t>
            </w:r>
          </w:p>
        </w:tc>
        <w:tc>
          <w:tcPr>
            <w:tcW w:w="38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390,313</w:t>
            </w: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394,979</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38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1,487,661</w:t>
            </w: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1,496,509</w:t>
            </w:r>
          </w:p>
        </w:tc>
        <w:tc>
          <w:tcPr>
            <w:tcW w:w="0" w:type="dxa"/>
            <w:vAlign w:val="bottom"/>
          </w:tcPr>
          <w:p>
            <w:pPr>
              <w:spacing w:after="0"/>
              <w:rPr>
                <w:sz w:val="1"/>
                <w:szCs w:val="1"/>
                <w:color w:val="auto"/>
              </w:rPr>
            </w:pPr>
          </w:p>
        </w:tc>
      </w:tr>
      <w:tr>
        <w:trPr>
          <w:trHeight w:val="166"/>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38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51,915</w:t>
            </w: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126,988</w:t>
            </w:r>
          </w:p>
        </w:tc>
        <w:tc>
          <w:tcPr>
            <w:tcW w:w="0" w:type="dxa"/>
            <w:vAlign w:val="bottom"/>
          </w:tcPr>
          <w:p>
            <w:pPr>
              <w:spacing w:after="0"/>
              <w:rPr>
                <w:sz w:val="1"/>
                <w:szCs w:val="1"/>
                <w:color w:val="auto"/>
              </w:rPr>
            </w:pPr>
          </w:p>
        </w:tc>
      </w:tr>
      <w:tr>
        <w:trPr>
          <w:trHeight w:val="242"/>
        </w:trPr>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Common shareholders' equity....................................</w:t>
            </w:r>
          </w:p>
        </w:tc>
        <w:tc>
          <w:tcPr>
            <w:tcW w:w="380" w:type="dxa"/>
            <w:vAlign w:val="bottom"/>
          </w:tcPr>
          <w:p>
            <w:pPr>
              <w:spacing w:after="0"/>
              <w:rPr>
                <w:sz w:val="21"/>
                <w:szCs w:val="21"/>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924,285</w:t>
            </w:r>
          </w:p>
        </w:tc>
        <w:tc>
          <w:tcPr>
            <w:tcW w:w="7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905,112</w:t>
            </w:r>
          </w:p>
        </w:tc>
        <w:tc>
          <w:tcPr>
            <w:tcW w:w="0" w:type="dxa"/>
            <w:vAlign w:val="bottom"/>
          </w:tcPr>
          <w:p>
            <w:pPr>
              <w:spacing w:after="0"/>
              <w:rPr>
                <w:sz w:val="1"/>
                <w:szCs w:val="1"/>
                <w:color w:val="auto"/>
              </w:rPr>
            </w:pPr>
          </w:p>
        </w:tc>
      </w:tr>
      <w:tr>
        <w:trPr>
          <w:trHeight w:val="497"/>
        </w:trPr>
        <w:tc>
          <w:tcPr>
            <w:tcW w:w="574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55</w:t>
            </w: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1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57</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760"/>
              <w:spacing w:after="0"/>
              <w:rPr>
                <w:sz w:val="20"/>
                <w:szCs w:val="20"/>
                <w:color w:val="auto"/>
              </w:rPr>
            </w:pPr>
            <w:r>
              <w:rPr>
                <w:rFonts w:ascii="Courier New" w:cs="Courier New" w:eastAsia="Courier New" w:hAnsi="Courier New"/>
                <w:sz w:val="14"/>
                <w:szCs w:val="14"/>
                <w:color w:val="auto"/>
              </w:rPr>
              <w:t>INDEX TO EXHIBITS</w:t>
            </w:r>
          </w:p>
        </w:tc>
      </w:tr>
      <w:tr>
        <w:trPr>
          <w:trHeight w:val="229"/>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EXHIBIT</w:t>
            </w:r>
          </w:p>
        </w:tc>
        <w:tc>
          <w:tcPr>
            <w:tcW w:w="5980" w:type="dxa"/>
            <w:vAlign w:val="bottom"/>
          </w:tcPr>
          <w:p>
            <w:pPr>
              <w:ind w:left="192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NUMBER</w:t>
            </w:r>
          </w:p>
        </w:tc>
        <w:tc>
          <w:tcPr>
            <w:tcW w:w="400" w:type="dxa"/>
            <w:vAlign w:val="bottom"/>
          </w:tcPr>
          <w:p>
            <w:pPr>
              <w:spacing w:after="0"/>
              <w:rPr>
                <w:sz w:val="14"/>
                <w:szCs w:val="14"/>
                <w:color w:val="auto"/>
              </w:rPr>
            </w:pPr>
          </w:p>
        </w:tc>
        <w:tc>
          <w:tcPr>
            <w:tcW w:w="5980" w:type="dxa"/>
            <w:vAlign w:val="bottom"/>
          </w:tcPr>
          <w:p>
            <w:pPr>
              <w:ind w:left="1920"/>
              <w:spacing w:after="0"/>
              <w:rPr>
                <w:sz w:val="20"/>
                <w:szCs w:val="20"/>
                <w:color w:val="auto"/>
              </w:rPr>
            </w:pPr>
            <w:r>
              <w:rPr>
                <w:rFonts w:ascii="Courier New" w:cs="Courier New" w:eastAsia="Courier New" w:hAnsi="Courier New"/>
                <w:sz w:val="14"/>
                <w:szCs w:val="14"/>
                <w:color w:val="auto"/>
              </w:rPr>
              <w:t>-----------</w:t>
            </w:r>
          </w:p>
        </w:tc>
      </w:tr>
      <w:tr>
        <w:trPr>
          <w:trHeight w:val="24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5980" w:type="dxa"/>
            <w:vAlign w:val="bottom"/>
          </w:tcPr>
          <w:p>
            <w:pPr>
              <w:spacing w:after="0"/>
              <w:rPr>
                <w:sz w:val="21"/>
                <w:szCs w:val="21"/>
                <w:color w:val="auto"/>
              </w:rPr>
            </w:pPr>
          </w:p>
        </w:tc>
      </w:tr>
      <w:tr>
        <w:trPr>
          <w:trHeight w:val="421"/>
        </w:trPr>
        <w:tc>
          <w:tcPr>
            <w:tcW w:w="5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Certificate of Incorporation of the Company as amended through May</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12, 1988, and the Certificate of Designation for the Company's</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Series A Preferred Stock filed January 22, 1996 (incorporated by</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reference to Exhibit 3.1 to the Company's Annual Report on Form 10-K</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for the fiscal year ended December 31, 1995).</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By-Laws of the Company as amended through September 9, 1993</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(incorporated by reference to Exhibit 3 to the Company's Quarterly</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Report on Form 10-Q for the quarter ended October 3, 1993).</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Credit Agreement dated as of March 17, 1998, among the Company,</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Citibank, N.A., Wachovia Bank of Georgia, N.A., and the other</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Lenders named therein (incorporated by reference to Exhibit 4.1 to</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the Company's Annual Report on Form 10-K for the fiscal year ended</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December 28, 1997).</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Form of the Company's 5.50% Notes due February 15, 2009, issued</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under the Indenture dated as of February 17, 1999, between the</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Company and The First National Bank of Chicago, as Trustee</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(incorporated by reference to Exhibit 4.2 to the Company's Annual</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Report on Form 10-K for the fiscal year ended January 3, 1999).</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Indenture dated as of February 17, 1999, between the Company and</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The First National Bank of Chicago, as Trustee (incorporated by</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reference to Exhibit 4.3 to the Company's Annual Report on Form 10-K</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for the fiscal year ended January 3, 1999).</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The Washington Post Company Annual Incentive Compensation Plan as</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effective June 30, 1995 (incorporated by</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reference to Exhibit 10.1 to the Company's Quarterly Report on Form</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l0-Q for the quarter ended March 31, 1996).*</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The Washington Post Company Long-Term Incentive Compensation Plan as</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effective March 9, 2000.*</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The Washington Post Company Stock Option Plan as amended and</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restated through March 12, 1998 (incorporated by reference to</w:t>
            </w:r>
          </w:p>
        </w:tc>
      </w:tr>
      <w:tr>
        <w:trPr>
          <w:trHeight w:val="166"/>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Exhibit 10.3 to the Company's Annual Report on Form 10-K for the</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fiscal year ended December 28, 1997).*</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The Washington Post Company Supplemental Executive Retirement</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Plan as amended and restated effective March 9, 2000. *</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The Washington Post Company Deferred Compensation Plan as</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effective March 9, 2000.*</w:t>
            </w: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Promissory Note between the Company and Alan G. Spoon dated</w:t>
            </w:r>
          </w:p>
        </w:tc>
      </w:tr>
      <w:tr>
        <w:trPr>
          <w:trHeight w:val="242"/>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November 24, 1999.*</w:t>
            </w:r>
          </w:p>
        </w:tc>
      </w:tr>
      <w:tr>
        <w:trPr>
          <w:trHeight w:val="447"/>
        </w:trPr>
        <w:tc>
          <w:tcPr>
            <w:tcW w:w="5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5980" w:type="dxa"/>
            <w:vAlign w:val="bottom"/>
          </w:tcPr>
          <w:p>
            <w:pPr>
              <w:ind w:left="120"/>
              <w:spacing w:after="0"/>
              <w:rPr>
                <w:sz w:val="20"/>
                <w:szCs w:val="20"/>
                <w:color w:val="auto"/>
              </w:rPr>
            </w:pPr>
            <w:r>
              <w:rPr>
                <w:rFonts w:ascii="Courier New" w:cs="Courier New" w:eastAsia="Courier New" w:hAnsi="Courier New"/>
                <w:sz w:val="14"/>
                <w:szCs w:val="14"/>
                <w:color w:val="auto"/>
              </w:rPr>
              <w:t>Consulting Agreement between the Company and Alan G. Spoon dated</w:t>
            </w:r>
          </w:p>
        </w:tc>
      </w:tr>
    </w:tbl>
    <w:p>
      <w:pPr>
        <w:ind w:left="1040"/>
        <w:spacing w:after="0"/>
        <w:rPr>
          <w:sz w:val="20"/>
          <w:szCs w:val="20"/>
          <w:color w:val="auto"/>
        </w:rPr>
      </w:pPr>
      <w:r>
        <w:rPr>
          <w:rFonts w:ascii="Courier New" w:cs="Courier New" w:eastAsia="Courier New" w:hAnsi="Courier New"/>
          <w:sz w:val="14"/>
          <w:szCs w:val="14"/>
          <w:color w:val="auto"/>
        </w:rPr>
        <w:t>March 8, 2000.*</w:t>
      </w:r>
    </w:p>
    <w:p>
      <w:pPr>
        <w:spacing w:after="0" w:line="14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[Index Continued on Next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25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INDEX TO EXHIBITS (CONTINUED)</w:t>
      </w:r>
    </w:p>
    <w:p>
      <w:pPr>
        <w:sectPr>
          <w:pgSz w:w="11900" w:h="16838" w:orient="portrait"/>
          <w:cols w:equalWidth="0" w:num="1">
            <w:col w:w="10159"/>
          </w:cols>
          <w:pgMar w:left="300" w:top="259"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ectPr>
          <w:pgSz w:w="11900" w:h="16838" w:orient="portrait"/>
          <w:cols w:equalWidth="0" w:num="2">
            <w:col w:w="2120" w:space="720"/>
            <w:col w:w="7319"/>
          </w:cols>
          <w:pgMar w:left="300" w:top="259" w:right="1440" w:bottom="1440" w:gutter="0" w:footer="0" w:header="0"/>
          <w:type w:val="continuous"/>
        </w:sectPr>
      </w:pPr>
    </w:p>
    <w:p>
      <w:pPr>
        <w:spacing w:after="0"/>
        <w:tabs>
          <w:tab w:leader="none" w:pos="5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173" w:lineRule="exact"/>
        <w:rPr>
          <w:sz w:val="20"/>
          <w:szCs w:val="20"/>
          <w:color w:val="auto"/>
        </w:rPr>
      </w:pPr>
    </w:p>
    <w:p>
      <w:pPr>
        <w:sectPr>
          <w:pgSz w:w="11900" w:h="16838" w:orient="portrait"/>
          <w:cols w:equalWidth="0" w:num="2">
            <w:col w:w="780" w:space="260"/>
            <w:col w:w="9119"/>
          </w:cols>
          <w:pgMar w:left="300" w:top="259" w:right="1440" w:bottom="1440" w:gutter="0" w:footer="0" w:header="0"/>
          <w:type w:val="continuous"/>
        </w:sectPr>
      </w:pPr>
    </w:p>
    <w:p>
      <w:pPr>
        <w:spacing w:after="0"/>
        <w:tabs>
          <w:tab w:leader="none" w:pos="5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List of subsidiaries of the Company.</w:t>
      </w:r>
    </w:p>
    <w:p>
      <w:pPr>
        <w:spacing w:after="0" w:line="173" w:lineRule="exact"/>
        <w:rPr>
          <w:sz w:val="20"/>
          <w:szCs w:val="20"/>
          <w:color w:val="auto"/>
        </w:rPr>
      </w:pPr>
    </w:p>
    <w:p>
      <w:pPr>
        <w:sectPr>
          <w:pgSz w:w="11900" w:h="16838" w:orient="portrait"/>
          <w:cols w:equalWidth="0" w:num="2">
            <w:col w:w="780" w:space="260"/>
            <w:col w:w="9119"/>
          </w:cols>
          <w:pgMar w:left="300" w:top="259" w:right="1440" w:bottom="1440" w:gutter="0" w:footer="0" w:header="0"/>
          <w:type w:val="continuous"/>
        </w:sectPr>
      </w:pPr>
    </w:p>
    <w:p>
      <w:pPr>
        <w:ind w:left="520" w:hanging="512"/>
        <w:spacing w:after="0"/>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Consent of independent accountants.</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Power of attorney dated March 9, 2000.</w:t>
      </w:r>
    </w:p>
    <w:p>
      <w:pPr>
        <w:spacing w:after="0" w:line="173" w:lineRule="exact"/>
        <w:rPr>
          <w:sz w:val="20"/>
          <w:szCs w:val="20"/>
          <w:color w:val="auto"/>
        </w:rPr>
      </w:pPr>
    </w:p>
    <w:p>
      <w:pPr>
        <w:spacing w:after="0"/>
        <w:tabs>
          <w:tab w:leader="none" w:pos="500" w:val="left"/>
          <w:tab w:leader="none" w:pos="102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Financial Data Schedule.</w:t>
      </w:r>
    </w:p>
    <w:p>
      <w:pPr>
        <w:spacing w:after="0" w:line="338"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39" w:firstLine="603"/>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 management contract or compensatory plan or arrangement required to be included as an exhibit hereto pursuant to Item 14(c) of Form 10-K.</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159"/>
          </w:cols>
          <w:pgMar w:left="300" w:top="259" w:right="1440" w:bottom="144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10.2</w:t>
      </w:r>
    </w:p>
    <w:p>
      <w:pPr>
        <w:spacing w:after="0" w:line="17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LONG-TERM INCENTIVE COMPENSATION PLAN</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AMENDED AND RESTATED EFFECTIVE MARCH 9, 2000</w:t>
      </w:r>
    </w:p>
    <w:p>
      <w:pPr>
        <w:sectPr>
          <w:pgSz w:w="11900" w:h="16838" w:orient="portrait"/>
          <w:cols w:equalWidth="0" w:num="1">
            <w:col w:w="9899"/>
          </w:cols>
          <w:pgMar w:left="560" w:top="11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LONG-TERM INCENTIVE COMPENSATION PLAN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As Amended and Restated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Effective March 9,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Purposes</w:t>
      </w:r>
    </w:p>
    <w:p>
      <w:pPr>
        <w:spacing w:after="0" w:line="173" w:lineRule="exact"/>
        <w:rPr>
          <w:sz w:val="20"/>
          <w:szCs w:val="20"/>
          <w:color w:val="auto"/>
        </w:rPr>
      </w:pPr>
    </w:p>
    <w:p>
      <w:pPr>
        <w:ind w:right="3259" w:firstLine="861"/>
        <w:spacing w:after="0" w:line="271" w:lineRule="auto"/>
        <w:rPr>
          <w:sz w:val="20"/>
          <w:szCs w:val="20"/>
          <w:color w:val="auto"/>
        </w:rPr>
      </w:pPr>
      <w:r>
        <w:rPr>
          <w:rFonts w:ascii="Courier New" w:cs="Courier New" w:eastAsia="Courier New" w:hAnsi="Courier New"/>
          <w:sz w:val="14"/>
          <w:szCs w:val="14"/>
          <w:color w:val="auto"/>
        </w:rPr>
        <w:t>The purposes of this Long-Term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Administration of the Plan</w:t>
      </w:r>
    </w:p>
    <w:p>
      <w:pPr>
        <w:spacing w:after="0" w:line="173" w:lineRule="exact"/>
        <w:rPr>
          <w:sz w:val="20"/>
          <w:szCs w:val="20"/>
          <w:color w:val="auto"/>
        </w:rPr>
      </w:pPr>
    </w:p>
    <w:p>
      <w:pPr>
        <w:ind w:right="3259" w:firstLine="861"/>
        <w:spacing w:after="0" w:line="266" w:lineRule="auto"/>
        <w:rPr>
          <w:sz w:val="20"/>
          <w:szCs w:val="20"/>
          <w:color w:val="auto"/>
        </w:rPr>
      </w:pPr>
      <w:r>
        <w:rPr>
          <w:rFonts w:ascii="Courier New" w:cs="Courier New" w:eastAsia="Courier New" w:hAnsi="Courier New"/>
          <w:sz w:val="14"/>
          <w:szCs w:val="14"/>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contrary to the provisions of the Plan, for the administration of its business and the implementation of the Plan.</w:t>
      </w:r>
    </w:p>
    <w:p>
      <w:pPr>
        <w:spacing w:after="0" w:line="74" w:lineRule="exact"/>
        <w:rPr>
          <w:sz w:val="20"/>
          <w:szCs w:val="20"/>
          <w:color w:val="auto"/>
        </w:rPr>
      </w:pPr>
    </w:p>
    <w:p>
      <w:pPr>
        <w:ind w:left="260" w:hanging="252"/>
        <w:spacing w:after="0"/>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w:t>
      </w:r>
    </w:p>
    <w:p>
      <w:pPr>
        <w:spacing w:after="0" w:line="172" w:lineRule="exact"/>
        <w:rPr>
          <w:rFonts w:ascii="Courier New" w:cs="Courier New" w:eastAsia="Courier New" w:hAnsi="Courier New"/>
          <w:sz w:val="14"/>
          <w:szCs w:val="14"/>
          <w:color w:val="auto"/>
        </w:rPr>
      </w:pPr>
    </w:p>
    <w:p>
      <w:pPr>
        <w:ind w:right="3339" w:firstLine="869"/>
        <w:spacing w:after="0" w:line="292" w:lineRule="auto"/>
        <w:tabs>
          <w:tab w:leader="none" w:pos="1205"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the Plan shall be extended to senior executives, key managers and key personnel of the Company and its subsidiaries who, in the opinion of the Committee, are mainly responsible for the management of the operations of the Company</w:t>
      </w:r>
    </w:p>
    <w:p>
      <w:pPr>
        <w:spacing w:after="0" w:line="22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5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both"/>
        <w:ind w:right="3699"/>
        <w:spacing w:after="0" w:line="313" w:lineRule="auto"/>
        <w:rPr>
          <w:sz w:val="20"/>
          <w:szCs w:val="20"/>
          <w:color w:val="auto"/>
        </w:rPr>
      </w:pPr>
      <w:r>
        <w:rPr>
          <w:rFonts w:ascii="Courier New" w:cs="Courier New" w:eastAsia="Courier New" w:hAnsi="Courier New"/>
          <w:sz w:val="14"/>
          <w:szCs w:val="14"/>
          <w:color w:val="auto"/>
        </w:rPr>
        <w:t>and its subsidiaries or who are otherwise in a position to make substantial contributions to the management, growth and success of the business of the Company.</w:t>
      </w:r>
    </w:p>
    <w:p>
      <w:pPr>
        <w:spacing w:after="0" w:line="42" w:lineRule="exact"/>
        <w:rPr>
          <w:sz w:val="20"/>
          <w:szCs w:val="20"/>
          <w:color w:val="auto"/>
        </w:rPr>
      </w:pPr>
    </w:p>
    <w:p>
      <w:pPr>
        <w:ind w:right="3339" w:firstLine="869"/>
        <w:spacing w:after="0" w:line="313" w:lineRule="auto"/>
        <w:tabs>
          <w:tab w:leader="none" w:pos="120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as such shall not participate in the Plan, but the fact that an employee is also a Director of the Company or a subsidiary shall not prevent his participation.</w:t>
      </w:r>
    </w:p>
    <w:p>
      <w:pPr>
        <w:spacing w:after="0" w:line="41" w:lineRule="exact"/>
        <w:rPr>
          <w:rFonts w:ascii="Courier New" w:cs="Courier New" w:eastAsia="Courier New" w:hAnsi="Courier New"/>
          <w:sz w:val="14"/>
          <w:szCs w:val="14"/>
          <w:color w:val="auto"/>
        </w:rPr>
      </w:pPr>
    </w:p>
    <w:p>
      <w:pPr>
        <w:ind w:right="3339" w:firstLine="869"/>
        <w:spacing w:after="0" w:line="375" w:lineRule="auto"/>
        <w:tabs>
          <w:tab w:leader="none" w:pos="120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the Plan, the term "Company" shall mean The Washington Post Company and any subsidiary thereof.</w:t>
      </w:r>
    </w:p>
    <w:p>
      <w:pPr>
        <w:spacing w:after="0" w:line="1" w:lineRule="exact"/>
        <w:rPr>
          <w:rFonts w:ascii="Courier New" w:cs="Courier New" w:eastAsia="Courier New" w:hAnsi="Courier New"/>
          <w:sz w:val="14"/>
          <w:szCs w:val="14"/>
          <w:color w:val="auto"/>
        </w:rPr>
      </w:pPr>
    </w:p>
    <w:p>
      <w:pPr>
        <w:ind w:right="3339" w:firstLine="869"/>
        <w:spacing w:after="0" w:line="313" w:lineRule="auto"/>
        <w:tabs>
          <w:tab w:leader="none" w:pos="120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not be deemed to preclude the making of any award pursuant to any other compensation, incentive, bonus or stock option plan which may be in effect from time to time.</w:t>
      </w:r>
    </w:p>
    <w:p>
      <w:pPr>
        <w:spacing w:after="0" w:line="41"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Plan; Award Cycles; Awards</w:t>
      </w:r>
    </w:p>
    <w:p>
      <w:pPr>
        <w:spacing w:after="0" w:line="172" w:lineRule="exact"/>
        <w:rPr>
          <w:rFonts w:ascii="Courier New" w:cs="Courier New" w:eastAsia="Courier New" w:hAnsi="Courier New"/>
          <w:sz w:val="14"/>
          <w:szCs w:val="14"/>
          <w:color w:val="auto"/>
        </w:rPr>
      </w:pPr>
    </w:p>
    <w:p>
      <w:pPr>
        <w:ind w:right="3339" w:firstLine="869"/>
        <w:spacing w:after="0" w:line="313" w:lineRule="auto"/>
        <w:tabs>
          <w:tab w:leader="none" w:pos="120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41" w:lineRule="exact"/>
        <w:rPr>
          <w:rFonts w:ascii="Courier New" w:cs="Courier New" w:eastAsia="Courier New" w:hAnsi="Courier New"/>
          <w:sz w:val="14"/>
          <w:szCs w:val="14"/>
          <w:color w:val="auto"/>
        </w:rPr>
      </w:pPr>
    </w:p>
    <w:p>
      <w:pPr>
        <w:ind w:right="3339" w:firstLine="869"/>
        <w:spacing w:after="0" w:line="281" w:lineRule="auto"/>
        <w:tabs>
          <w:tab w:leader="none" w:pos="120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the Plan the Committee shall from time to time establish Award Cycles, each of which shall commence on the first day of a fiscal year of the Company and shall consist of not less than three nor more than four fiscal years of the Company. At least two such fiscal years shall elapse between the beginning of consecutive Award Cycles.</w:t>
      </w:r>
    </w:p>
    <w:p>
      <w:pPr>
        <w:spacing w:after="0" w:line="65" w:lineRule="exact"/>
        <w:rPr>
          <w:rFonts w:ascii="Courier New" w:cs="Courier New" w:eastAsia="Courier New" w:hAnsi="Courier New"/>
          <w:sz w:val="14"/>
          <w:szCs w:val="14"/>
          <w:color w:val="auto"/>
        </w:rPr>
      </w:pPr>
    </w:p>
    <w:p>
      <w:pPr>
        <w:ind w:left="1220" w:hanging="351"/>
        <w:spacing w:after="0"/>
        <w:tabs>
          <w:tab w:leader="none" w:pos="122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Award Cycle the Committee shall</w:t>
      </w:r>
    </w:p>
    <w:p>
      <w:pPr>
        <w:spacing w:after="0" w:line="173" w:lineRule="exact"/>
        <w:rPr>
          <w:sz w:val="20"/>
          <w:szCs w:val="20"/>
          <w:color w:val="auto"/>
        </w:rPr>
      </w:pPr>
    </w:p>
    <w:p>
      <w:pPr>
        <w:ind w:left="440" w:right="3259" w:firstLine="429"/>
        <w:spacing w:after="0" w:line="313" w:lineRule="auto"/>
        <w:tabs>
          <w:tab w:leader="none" w:pos="121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 the participants who are to receive awards of Restricted Stock for such Award Cycle and, subject to paragraph 5(a), the number of shares of Restricted Stock awarded to each such participant,</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9" w:right="1440" w:bottom="1440" w:gutter="0" w:footer="0" w:header="0"/>
        </w:sectPr>
      </w:pPr>
    </w:p>
    <w:bookmarkStart w:id="72" w:name="page73"/>
    <w:bookmarkEnd w:id="72"/>
    <w:p>
      <w:pPr>
        <w:ind w:left="252"/>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432" w:right="3259" w:firstLine="429"/>
        <w:spacing w:after="0" w:line="313" w:lineRule="auto"/>
        <w:tabs>
          <w:tab w:leader="none" w:pos="1293"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 subject to paragraph 6(a), the participants who are to receive awards of Performance Units for such Award Cycle and the number of Performance Units awarded to each such participant, and</w:t>
      </w:r>
    </w:p>
    <w:p>
      <w:pPr>
        <w:spacing w:after="0" w:line="41" w:lineRule="exact"/>
        <w:rPr>
          <w:rFonts w:ascii="Courier New" w:cs="Courier New" w:eastAsia="Courier New" w:hAnsi="Courier New"/>
          <w:sz w:val="14"/>
          <w:szCs w:val="14"/>
          <w:color w:val="auto"/>
        </w:rPr>
      </w:pPr>
    </w:p>
    <w:p>
      <w:pPr>
        <w:ind w:left="432" w:right="3259" w:firstLine="429"/>
        <w:spacing w:after="0" w:line="313" w:lineRule="auto"/>
        <w:tabs>
          <w:tab w:leader="none" w:pos="1379"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subject to paragraph 6(b), the method for determining at the end of such Award Cycle the value of a Performance Unit awarded at the beginning of such Award Cycle.</w:t>
      </w:r>
    </w:p>
    <w:p>
      <w:pPr>
        <w:spacing w:after="0" w:line="41" w:lineRule="exact"/>
        <w:rPr>
          <w:rFonts w:ascii="Courier New" w:cs="Courier New" w:eastAsia="Courier New" w:hAnsi="Courier New"/>
          <w:sz w:val="14"/>
          <w:szCs w:val="14"/>
          <w:color w:val="auto"/>
        </w:rPr>
      </w:pPr>
    </w:p>
    <w:p>
      <w:pPr>
        <w:ind w:left="252" w:hanging="252"/>
        <w:spacing w:after="0"/>
        <w:tabs>
          <w:tab w:leader="none" w:pos="25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left="-8" w:right="3439" w:firstLine="869"/>
        <w:spacing w:after="0" w:line="271" w:lineRule="auto"/>
        <w:tabs>
          <w:tab w:leader="none" w:pos="119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participant designated to receive an award of Restricted Stock for an Award Cycle there shall be issued (subject to subparagraph (b) below) a stock certificate, registered in the name of such participant, representing such number of restricted shares of Class B Common Stock of the Company (hereinafter called Common Stock) as the Committee shall determine (hereinafter called Restricted Stock); provided, however, that such number of shares shall not exceed 10,000.</w:t>
      </w:r>
    </w:p>
    <w:p>
      <w:pPr>
        <w:spacing w:after="0" w:line="71" w:lineRule="exact"/>
        <w:rPr>
          <w:rFonts w:ascii="Courier New" w:cs="Courier New" w:eastAsia="Courier New" w:hAnsi="Courier New"/>
          <w:sz w:val="14"/>
          <w:szCs w:val="14"/>
          <w:color w:val="auto"/>
        </w:rPr>
      </w:pPr>
    </w:p>
    <w:p>
      <w:pPr>
        <w:ind w:left="-8" w:right="3259" w:firstLine="869"/>
        <w:spacing w:after="0" w:line="263" w:lineRule="auto"/>
        <w:tabs>
          <w:tab w:leader="none" w:pos="119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20 days after the effective date 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to be issued in the name of the participant and delivered to the Secretary of the Company in custody for such participant. The failure of a participant to return such agreement and stock power within such 20-day period without cause shall result in cancellation of the Restricted Stock Award to such participant, and no stock certificate therefor shall be issued in his name.</w:t>
      </w:r>
    </w:p>
    <w:p>
      <w:pPr>
        <w:spacing w:after="0" w:line="7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1"/>
          </w:cols>
          <w:pgMar w:left="308" w:top="259"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260" w:right="3259" w:firstLine="869"/>
        <w:spacing w:after="0" w:line="313" w:lineRule="auto"/>
        <w:tabs>
          <w:tab w:leader="none" w:pos="94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Restricted Stock Agreement accompanying an award of Restricted Stock made for an Award Cycle shall contain the following provisions, together with such other provisions as the Committee shall determine:</w:t>
      </w:r>
    </w:p>
    <w:p>
      <w:pPr>
        <w:spacing w:after="0" w:line="42" w:lineRule="exact"/>
        <w:rPr>
          <w:sz w:val="20"/>
          <w:szCs w:val="20"/>
          <w:color w:val="auto"/>
        </w:rPr>
      </w:pPr>
    </w:p>
    <w:p>
      <w:pPr>
        <w:ind w:left="180" w:right="3339" w:firstLine="429"/>
        <w:spacing w:after="0" w:line="292" w:lineRule="auto"/>
        <w:tabs>
          <w:tab w:leader="none" w:pos="95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hereinafter provided, none of the shares of Restricted Stock subject thereto may be sold, transferred, assigned, pledged or otherwise disposed of before the day following the end of such Award Cycle (hereinafter called the Vesting Date).</w:t>
      </w:r>
    </w:p>
    <w:p>
      <w:pPr>
        <w:spacing w:after="0" w:line="56" w:lineRule="exact"/>
        <w:rPr>
          <w:rFonts w:ascii="Courier New" w:cs="Courier New" w:eastAsia="Courier New" w:hAnsi="Courier New"/>
          <w:sz w:val="14"/>
          <w:szCs w:val="14"/>
          <w:color w:val="auto"/>
        </w:rPr>
      </w:pPr>
    </w:p>
    <w:p>
      <w:pPr>
        <w:ind w:left="180" w:right="3259" w:firstLine="429"/>
        <w:spacing w:after="0" w:line="261" w:lineRule="auto"/>
        <w:tabs>
          <w:tab w:leader="none" w:pos="104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 is continuously employed by the Company until the end of the Award Cycle, the restriction set forth in subparagraph (c)(i) above shall terminate on the Vesting Date as to all the shares of Restricted Stock. Notwithstanding the foregoing, in the case of a participant who is an executive officer of the Company at the time of the award, the Committee shall, prior to the beginning of each Award Cycle, establish a formula based on cash flow, operating income, earnings per share, economic value added (EVA), return on assets, total return on equity of the Company, operating margins, cash flow margins, shareholder return, cost control and/or revenue growth measurements over the period of the Award Cycle, which will have to be achieved if the restriction set forth in subparagraph (c)(i) above is to terminate as provided in this subparagraph (c)(ii).</w:t>
      </w:r>
    </w:p>
    <w:p>
      <w:pPr>
        <w:spacing w:after="0" w:line="248" w:lineRule="exact"/>
        <w:rPr>
          <w:rFonts w:ascii="Courier New" w:cs="Courier New" w:eastAsia="Courier New" w:hAnsi="Courier New"/>
          <w:sz w:val="14"/>
          <w:szCs w:val="14"/>
          <w:color w:val="auto"/>
        </w:rPr>
      </w:pPr>
    </w:p>
    <w:p>
      <w:pPr>
        <w:ind w:left="180" w:right="3259" w:firstLine="429"/>
        <w:spacing w:after="0" w:line="271" w:lineRule="auto"/>
        <w:tabs>
          <w:tab w:leader="none" w:pos="112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by the Company terminates before the Vesting Date, the restriction set forth in paragraph (c)(i) shall terminate on the date his employment terminates (including by reason of death or disability) as to a percentage of the number of shares of Restricted Stock originally awarded (rounded to the nearest whole share) determined as set forth below (and ownership of all shares of Restricted Stock as to</w:t>
      </w:r>
    </w:p>
    <w:p>
      <w:pPr>
        <w:spacing w:after="0" w:line="7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99"/>
          </w:cols>
          <w:pgMar w:left="560" w:top="259"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180" w:right="3859"/>
        <w:spacing w:after="0" w:line="375" w:lineRule="auto"/>
        <w:rPr>
          <w:sz w:val="20"/>
          <w:szCs w:val="20"/>
          <w:color w:val="auto"/>
        </w:rPr>
      </w:pPr>
      <w:r>
        <w:rPr>
          <w:rFonts w:ascii="Courier New" w:cs="Courier New" w:eastAsia="Courier New" w:hAnsi="Courier New"/>
          <w:sz w:val="14"/>
          <w:szCs w:val="14"/>
          <w:color w:val="auto"/>
        </w:rPr>
        <w:t>which such restriction shall not so terminate shall forthwith revert to the Company):</w:t>
      </w:r>
    </w:p>
    <w:p>
      <w:pPr>
        <w:spacing w:after="0" w:line="1" w:lineRule="exact"/>
        <w:rPr>
          <w:sz w:val="20"/>
          <w:szCs w:val="20"/>
          <w:color w:val="auto"/>
        </w:rPr>
      </w:pPr>
    </w:p>
    <w:p>
      <w:pPr>
        <w:ind w:left="600" w:right="3259" w:firstLine="440"/>
        <w:spacing w:after="0" w:line="271" w:lineRule="auto"/>
        <w:tabs>
          <w:tab w:leader="none" w:pos="137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is by reason of death, disability or retirement at Normal Retirement Age (as defined in the Company's Retirement Plan), the percentage determined by dividing (i) the number of full months elapsed from the effective date of the award to the date of such termination by (ii) the number of full months from such effective date to the end of the Award Cycle (such percentage being hereinafter called the Pro-Rated Percentage);</w:t>
      </w:r>
    </w:p>
    <w:p>
      <w:pPr>
        <w:spacing w:after="0" w:line="71" w:lineRule="exact"/>
        <w:rPr>
          <w:rFonts w:ascii="Courier New" w:cs="Courier New" w:eastAsia="Courier New" w:hAnsi="Courier New"/>
          <w:sz w:val="14"/>
          <w:szCs w:val="14"/>
          <w:color w:val="auto"/>
        </w:rPr>
      </w:pPr>
    </w:p>
    <w:p>
      <w:pPr>
        <w:ind w:left="600" w:right="3259" w:firstLine="440"/>
        <w:spacing w:after="0" w:line="292" w:lineRule="auto"/>
        <w:tabs>
          <w:tab w:leader="none" w:pos="137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is by reason of retirement at or after age 55, but prior to Normal Retirement Age (as defined in the Company's Retirement Plan), such percentage (not greater than the Pro-Rated Percentage) as the Committee may in its sole discretion determine;</w:t>
      </w:r>
    </w:p>
    <w:p>
      <w:pPr>
        <w:spacing w:after="0" w:line="56" w:lineRule="exact"/>
        <w:rPr>
          <w:rFonts w:ascii="Courier New" w:cs="Courier New" w:eastAsia="Courier New" w:hAnsi="Courier New"/>
          <w:sz w:val="14"/>
          <w:szCs w:val="14"/>
          <w:color w:val="auto"/>
        </w:rPr>
      </w:pPr>
    </w:p>
    <w:p>
      <w:pPr>
        <w:ind w:left="600" w:right="3259" w:firstLine="440"/>
        <w:spacing w:after="0" w:line="292" w:lineRule="auto"/>
        <w:tabs>
          <w:tab w:leader="none" w:pos="137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occurs for any other reason (voluntary or involuntary) more than two years from the effective date of the award, such percentage, if any, (but not greater than the Pro-Rated Percentage) as the Committee may in its sole discretion determine; and</w:t>
      </w:r>
    </w:p>
    <w:p>
      <w:pPr>
        <w:spacing w:after="0" w:line="56" w:lineRule="exact"/>
        <w:rPr>
          <w:rFonts w:ascii="Courier New" w:cs="Courier New" w:eastAsia="Courier New" w:hAnsi="Courier New"/>
          <w:sz w:val="14"/>
          <w:szCs w:val="14"/>
          <w:color w:val="auto"/>
        </w:rPr>
      </w:pPr>
    </w:p>
    <w:p>
      <w:pPr>
        <w:ind w:left="600" w:right="3519" w:firstLine="440"/>
        <w:spacing w:after="0" w:line="292" w:lineRule="auto"/>
        <w:tabs>
          <w:tab w:leader="none" w:pos="137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occurs for any other reason (voluntary or involuntary) within two years from the effective date of the award, ownership of all the shares of Restricted Stock shall revert to the Company.</w:t>
      </w:r>
    </w:p>
    <w:p>
      <w:pPr>
        <w:spacing w:after="0" w:line="5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99"/>
          </w:cols>
          <w:pgMar w:left="560" w:top="259"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600" w:right="3259" w:firstLine="440"/>
        <w:spacing w:after="0" w:line="258" w:lineRule="auto"/>
        <w:tabs>
          <w:tab w:leader="none" w:pos="146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restriction set forth in subparagraph (c)(i) shall terminate as to any shares of Restricted Stock, the participant to whom such shares were awarded (or his estate)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his award in the form of cash in lieu of shares, based on the fair market value (the mean between the high and low price per share on the New York Stock Exchange) of such shares on the date the restrictions set forth in subparagraph (c)(i) shall terminate; and the Company will deduct the amount of all withholding taxes payable on the compensation represented by such shares from the cash value of the shares to be paid to the participant.</w:t>
      </w:r>
    </w:p>
    <w:p>
      <w:pPr>
        <w:spacing w:after="0" w:line="87" w:lineRule="exact"/>
        <w:rPr>
          <w:rFonts w:ascii="Courier New" w:cs="Courier New" w:eastAsia="Courier New" w:hAnsi="Courier New"/>
          <w:sz w:val="14"/>
          <w:szCs w:val="14"/>
          <w:color w:val="auto"/>
        </w:rPr>
      </w:pPr>
    </w:p>
    <w:p>
      <w:pPr>
        <w:ind w:left="600" w:right="3439" w:firstLine="440"/>
        <w:spacing w:after="0" w:line="281" w:lineRule="auto"/>
        <w:tabs>
          <w:tab w:leader="none" w:pos="137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long as shares of Restricted Stock remain registered in the name of a participant he shall be entitled to all the attributes of ownership of such shares (subject to the restriction on transfer referred to above), including the right to vote such shares and to receive all dividends declared and paid on such shares.</w:t>
      </w:r>
    </w:p>
    <w:p>
      <w:pPr>
        <w:spacing w:after="0" w:line="65" w:lineRule="exact"/>
        <w:rPr>
          <w:sz w:val="20"/>
          <w:szCs w:val="20"/>
          <w:color w:val="auto"/>
        </w:rPr>
      </w:pPr>
    </w:p>
    <w:p>
      <w:pPr>
        <w:ind w:left="-260" w:right="3259" w:firstLine="1300"/>
        <w:spacing w:after="0" w:line="313" w:lineRule="auto"/>
        <w:tabs>
          <w:tab w:leader="none" w:pos="137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Common Stock issued to recipients of Restricted Stock awards shall be issued from previously issued and outstanding shares held in the Treasury of the Company.</w:t>
      </w:r>
    </w:p>
    <w:p>
      <w:pPr>
        <w:spacing w:after="0" w:line="41" w:lineRule="exact"/>
        <w:rPr>
          <w:rFonts w:ascii="Courier New" w:cs="Courier New" w:eastAsia="Courier New" w:hAnsi="Courier New"/>
          <w:sz w:val="14"/>
          <w:szCs w:val="14"/>
          <w:color w:val="auto"/>
        </w:rPr>
      </w:pPr>
    </w:p>
    <w:p>
      <w:pPr>
        <w:ind w:left="-260" w:right="3699" w:firstLine="1300"/>
        <w:spacing w:after="0" w:line="313" w:lineRule="auto"/>
        <w:tabs>
          <w:tab w:leader="none" w:pos="137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of Common Stock that may be awarded as Restricted Stock under the Plan shall not exceed 275,000 shares; provided, however, that</w:t>
      </w:r>
    </w:p>
    <w:p>
      <w:pPr>
        <w:spacing w:after="0" w:line="20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99"/>
          </w:cols>
          <w:pgMar w:left="560" w:top="25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effective November 1, 1991, shares which revert to the Company in accordance with paragraph 5(c)(iii) shall be deemed to have been awarded as Restricted Stock for purposes of determining the number of shares of Restricted Stock remaining available to be awarded hereunder.</w:t>
      </w:r>
    </w:p>
    <w:p>
      <w:pPr>
        <w:spacing w:after="0" w:line="56" w:lineRule="exact"/>
        <w:rPr>
          <w:sz w:val="20"/>
          <w:szCs w:val="20"/>
          <w:color w:val="auto"/>
        </w:rPr>
      </w:pPr>
    </w:p>
    <w:p>
      <w:pPr>
        <w:ind w:left="260" w:hanging="252"/>
        <w:spacing w:after="0"/>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Units</w:t>
      </w:r>
    </w:p>
    <w:p>
      <w:pPr>
        <w:spacing w:after="0" w:line="172" w:lineRule="exact"/>
        <w:rPr>
          <w:rFonts w:ascii="Courier New" w:cs="Courier New" w:eastAsia="Courier New" w:hAnsi="Courier New"/>
          <w:sz w:val="14"/>
          <w:szCs w:val="14"/>
          <w:color w:val="auto"/>
        </w:rPr>
      </w:pPr>
    </w:p>
    <w:p>
      <w:pPr>
        <w:ind w:right="3259" w:firstLine="1300"/>
        <w:spacing w:after="0" w:line="272" w:lineRule="auto"/>
        <w:tabs>
          <w:tab w:leader="none" w:pos="1636"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participant designated to receive an award of Performance Units for an Award Cycle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246" w:lineRule="exact"/>
        <w:rPr>
          <w:rFonts w:ascii="Courier New" w:cs="Courier New" w:eastAsia="Courier New" w:hAnsi="Courier New"/>
          <w:sz w:val="14"/>
          <w:szCs w:val="14"/>
          <w:color w:val="auto"/>
        </w:rPr>
      </w:pPr>
    </w:p>
    <w:p>
      <w:pPr>
        <w:ind w:right="3259" w:firstLine="1300"/>
        <w:spacing w:after="0" w:line="261" w:lineRule="auto"/>
        <w:tabs>
          <w:tab w:leader="none" w:pos="1636"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90 days after the beginning of each Award Cycle the Committee shall establish a method for determining the earned value of a Performance Unit at the end of such Award Cycle (hereinafter called the Payout Value) based on performance goals over the period of the Award Cycle related to operating income, cash flow, shareholder return, return on assets, return on equity, operating margins, cost control, customer satisfaction, economic value added (EVA) and/or revenue growth measurements, which may be in respect of the Company, as a whole, or any business unit thereof; provided, however, that such method shall provide that (i) no Payout Value may exceed $200 and (ii) the payment of an award of Performance Units to any participant at the end of an Award Cycle shall be the lesser of $4 million or the amount determined by multiplying the Payout Value times the number of Performance Units granted to such participant.</w:t>
      </w:r>
    </w:p>
    <w:p>
      <w:pPr>
        <w:spacing w:after="0" w:line="248" w:lineRule="exact"/>
        <w:rPr>
          <w:rFonts w:ascii="Courier New" w:cs="Courier New" w:eastAsia="Courier New" w:hAnsi="Courier New"/>
          <w:sz w:val="14"/>
          <w:szCs w:val="14"/>
          <w:color w:val="auto"/>
        </w:rPr>
      </w:pPr>
    </w:p>
    <w:p>
      <w:pPr>
        <w:ind w:right="3599" w:firstLine="1300"/>
        <w:spacing w:after="0" w:line="313" w:lineRule="auto"/>
        <w:tabs>
          <w:tab w:leader="none" w:pos="1636"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participant's employment by the Company terminates before the end of an Award Cycle for which he was granted Performance Units, after the end of such</w:t>
      </w: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5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 Cycle he shall be entitled to a percentage of the Payout Value of said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Units determined as set forth below:</w:t>
      </w:r>
    </w:p>
    <w:p>
      <w:pPr>
        <w:spacing w:after="0" w:line="147" w:lineRule="exact"/>
        <w:rPr>
          <w:sz w:val="20"/>
          <w:szCs w:val="20"/>
          <w:color w:val="auto"/>
        </w:rPr>
      </w:pPr>
    </w:p>
    <w:p>
      <w:pPr>
        <w:ind w:left="860" w:right="3779" w:firstLine="440"/>
        <w:spacing w:after="0" w:line="313" w:lineRule="auto"/>
        <w:tabs>
          <w:tab w:leader="none" w:pos="163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is by reason of death, disability or retirement at Normal Retirement Age (as defined in the Company's Retirement Plan), the Pro-Rated Percentage;</w:t>
      </w:r>
    </w:p>
    <w:p>
      <w:pPr>
        <w:spacing w:after="0" w:line="41" w:lineRule="exact"/>
        <w:rPr>
          <w:rFonts w:ascii="Courier New" w:cs="Courier New" w:eastAsia="Courier New" w:hAnsi="Courier New"/>
          <w:sz w:val="14"/>
          <w:szCs w:val="14"/>
          <w:color w:val="auto"/>
        </w:rPr>
      </w:pPr>
    </w:p>
    <w:p>
      <w:pPr>
        <w:ind w:left="860" w:right="3259" w:firstLine="440"/>
        <w:spacing w:after="0" w:line="292" w:lineRule="auto"/>
        <w:tabs>
          <w:tab w:leader="none" w:pos="163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is by reason of retirement at or after age 55, but prior to Normal Retirement Age (as defined in the Company's Retirement Plan), such percentage (not greater than the Pro-Rated Percentage) as the Committee may in its sole discretion determine;</w:t>
      </w:r>
    </w:p>
    <w:p>
      <w:pPr>
        <w:spacing w:after="0" w:line="56" w:lineRule="exact"/>
        <w:rPr>
          <w:rFonts w:ascii="Courier New" w:cs="Courier New" w:eastAsia="Courier New" w:hAnsi="Courier New"/>
          <w:sz w:val="14"/>
          <w:szCs w:val="14"/>
          <w:color w:val="auto"/>
        </w:rPr>
      </w:pPr>
    </w:p>
    <w:p>
      <w:pPr>
        <w:ind w:left="860" w:right="3519" w:firstLine="440"/>
        <w:spacing w:after="0" w:line="281" w:lineRule="auto"/>
        <w:tabs>
          <w:tab w:leader="none" w:pos="163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occurs for any other reason (voluntary or involuntary) more than two years after the effective date of the award, such percentage, if any (but not greater than the Pro-Rated Percentage), as the Committee may in its sole discretion determine; and</w:t>
      </w:r>
    </w:p>
    <w:p>
      <w:pPr>
        <w:spacing w:after="0" w:line="65" w:lineRule="exact"/>
        <w:rPr>
          <w:rFonts w:ascii="Courier New" w:cs="Courier New" w:eastAsia="Courier New" w:hAnsi="Courier New"/>
          <w:sz w:val="14"/>
          <w:szCs w:val="14"/>
          <w:color w:val="auto"/>
        </w:rPr>
      </w:pPr>
    </w:p>
    <w:p>
      <w:pPr>
        <w:ind w:left="860" w:right="3259" w:firstLine="440"/>
        <w:spacing w:after="0" w:line="313" w:lineRule="auto"/>
        <w:tabs>
          <w:tab w:leader="none" w:pos="163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occurs for any other reason (voluntary or involuntary) within two years from the effective date of the award, no percentage of the Payout Value shall be paid.</w:t>
      </w:r>
    </w:p>
    <w:p>
      <w:pPr>
        <w:spacing w:after="0" w:line="41" w:lineRule="exact"/>
        <w:rPr>
          <w:rFonts w:ascii="Courier New" w:cs="Courier New" w:eastAsia="Courier New" w:hAnsi="Courier New"/>
          <w:sz w:val="14"/>
          <w:szCs w:val="14"/>
          <w:color w:val="auto"/>
        </w:rPr>
      </w:pPr>
    </w:p>
    <w:p>
      <w:pPr>
        <w:ind w:right="3339" w:firstLine="869"/>
        <w:spacing w:after="0" w:line="281" w:lineRule="auto"/>
        <w:tabs>
          <w:tab w:leader="none" w:pos="120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after the end of each Award Cycle the Payout Value of a Performance Unit awarded at the beginning of such Award Cycle shall be calculated and paid in cash to the recipients awarded such Performance Units after deduction of all Federal, state and local withholding taxes payable on the compensation represented thereby.</w:t>
      </w:r>
    </w:p>
    <w:p>
      <w:pPr>
        <w:spacing w:after="0" w:line="65" w:lineRule="exact"/>
        <w:rPr>
          <w:rFonts w:ascii="Courier New" w:cs="Courier New" w:eastAsia="Courier New" w:hAnsi="Courier New"/>
          <w:sz w:val="14"/>
          <w:szCs w:val="14"/>
          <w:color w:val="auto"/>
        </w:rPr>
      </w:pPr>
    </w:p>
    <w:p>
      <w:pPr>
        <w:ind w:right="3259" w:firstLine="869"/>
        <w:spacing w:after="0" w:line="281" w:lineRule="auto"/>
        <w:tabs>
          <w:tab w:leader="none" w:pos="120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w:t>
      </w:r>
    </w:p>
    <w:p>
      <w:pPr>
        <w:spacing w:after="0" w:line="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5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not to exceed 10% of the aggregate Payout Value of all Performance Units that become vested and payable with respect to such Award Cycle.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Expenses</w:t>
      </w:r>
    </w:p>
    <w:p>
      <w:pPr>
        <w:spacing w:after="0" w:line="17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The expenses of administering this Plan shall be borne by the Company.</w:t>
      </w:r>
    </w:p>
    <w:p>
      <w:pPr>
        <w:spacing w:after="0" w:line="173" w:lineRule="exact"/>
        <w:rPr>
          <w:sz w:val="20"/>
          <w:szCs w:val="20"/>
          <w:color w:val="auto"/>
        </w:rPr>
      </w:pPr>
    </w:p>
    <w:p>
      <w:pPr>
        <w:ind w:left="360" w:hanging="352"/>
        <w:spacing w:after="0"/>
        <w:tabs>
          <w:tab w:leader="none" w:pos="3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Class B Common Stock</w:t>
      </w:r>
    </w:p>
    <w:p>
      <w:pPr>
        <w:spacing w:after="0" w:line="173" w:lineRule="exact"/>
        <w:rPr>
          <w:sz w:val="20"/>
          <w:szCs w:val="20"/>
          <w:color w:val="auto"/>
        </w:rPr>
      </w:pPr>
    </w:p>
    <w:p>
      <w:pPr>
        <w:ind w:right="3599" w:firstLine="861"/>
        <w:spacing w:after="0" w:line="271" w:lineRule="auto"/>
        <w:rPr>
          <w:sz w:val="20"/>
          <w:szCs w:val="20"/>
          <w:color w:val="auto"/>
        </w:rPr>
      </w:pPr>
      <w:r>
        <w:rPr>
          <w:rFonts w:ascii="Courier New" w:cs="Courier New" w:eastAsia="Courier New" w:hAnsi="Courier New"/>
          <w:sz w:val="14"/>
          <w:szCs w:val="14"/>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Amendment</w:t>
      </w:r>
    </w:p>
    <w:p>
      <w:pPr>
        <w:spacing w:after="0" w:line="173" w:lineRule="exact"/>
        <w:rPr>
          <w:sz w:val="20"/>
          <w:szCs w:val="20"/>
          <w:color w:val="auto"/>
        </w:rPr>
      </w:pPr>
    </w:p>
    <w:p>
      <w:pPr>
        <w:ind w:right="3259" w:firstLine="861"/>
        <w:spacing w:after="0" w:line="266" w:lineRule="auto"/>
        <w:rPr>
          <w:sz w:val="20"/>
          <w:szCs w:val="20"/>
          <w:color w:val="auto"/>
        </w:rPr>
      </w:pPr>
      <w:r>
        <w:rPr>
          <w:rFonts w:ascii="Courier New" w:cs="Courier New" w:eastAsia="Courier New" w:hAnsi="Courier New"/>
          <w:sz w:val="14"/>
          <w:szCs w:val="14"/>
          <w:color w:val="auto"/>
        </w:rPr>
        <w:t>The Board of Directors of the Company shall have complete power and authority to amend the Plan, provided, however, that the Board of Directors shall not, without the approval of the holders of a majority of the voting stock of the Company entitled to vote thereon, increase either (i) the maximum number of shares of Restricted Stock that may be awarded under the Plan, (ii) the maximum number of shares of Restricted Stock or Performance Units that may be awarded to a participant, (iii) the maximum Payout Value of a Performance Unit, or (iv) the percentage ceiling on the aggregate amount of bonuses which may be awarded pursuant to paragraph 6(e).</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59"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14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EFFECTIVE AS OF JANUARY 1, 1989</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AMENDED AND RESTATED EFFECTIVE MARCH 9, 2000</w:t>
      </w:r>
    </w:p>
    <w:p>
      <w:pPr>
        <w:sectPr>
          <w:pgSz w:w="11900" w:h="16838" w:orient="portrait"/>
          <w:cols w:equalWidth="0" w:num="1">
            <w:col w:w="9899"/>
          </w:cols>
          <w:pgMar w:left="560" w:top="11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147" w:lineRule="exact"/>
        <w:rPr>
          <w:sz w:val="20"/>
          <w:szCs w:val="20"/>
          <w:color w:val="auto"/>
        </w:rPr>
      </w:pPr>
    </w:p>
    <w:p>
      <w:pPr>
        <w:ind w:right="3259" w:firstLine="603"/>
        <w:spacing w:after="0" w:line="266" w:lineRule="auto"/>
        <w:rPr>
          <w:sz w:val="20"/>
          <w:szCs w:val="20"/>
          <w:color w:val="auto"/>
        </w:rPr>
      </w:pPr>
      <w:r>
        <w:rPr>
          <w:rFonts w:ascii="Courier New" w:cs="Courier New" w:eastAsia="Courier New" w:hAnsi="Courier New"/>
          <w:sz w:val="14"/>
          <w:szCs w:val="14"/>
          <w:color w:val="auto"/>
        </w:rPr>
        <w:t>Section 1. Purpose. The Washington Post Company Supplemental Executive Retirement Plan (the "Plan") is an unfunded plan established for the purpose of providing deferred compensation for a select group of management or highly compensated employees, as referred to in Sections 201(a)(2), 301(a)(3) and 401(a)(1) 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74" w:lineRule="exact"/>
        <w:rPr>
          <w:sz w:val="20"/>
          <w:szCs w:val="20"/>
          <w:color w:val="auto"/>
        </w:rPr>
      </w:pPr>
    </w:p>
    <w:p>
      <w:pPr>
        <w:ind w:right="3259" w:firstLine="603"/>
        <w:spacing w:after="0" w:line="266" w:lineRule="auto"/>
        <w:rPr>
          <w:sz w:val="20"/>
          <w:szCs w:val="20"/>
          <w:color w:val="auto"/>
        </w:rPr>
      </w:pPr>
      <w:r>
        <w:rPr>
          <w:rFonts w:ascii="Courier New" w:cs="Courier New" w:eastAsia="Courier New" w:hAnsi="Courier New"/>
          <w:sz w:val="14"/>
          <w:szCs w:val="14"/>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74" w:lineRule="exact"/>
        <w:rPr>
          <w:sz w:val="20"/>
          <w:szCs w:val="20"/>
          <w:color w:val="auto"/>
        </w:rPr>
      </w:pPr>
    </w:p>
    <w:p>
      <w:pPr>
        <w:ind w:right="3339" w:firstLine="603"/>
        <w:spacing w:after="0" w:line="298" w:lineRule="auto"/>
        <w:rPr>
          <w:sz w:val="20"/>
          <w:szCs w:val="20"/>
          <w:color w:val="auto"/>
        </w:rPr>
      </w:pPr>
      <w:r>
        <w:rPr>
          <w:rFonts w:ascii="Courier New" w:cs="Courier New" w:eastAsia="Courier New" w:hAnsi="Courier New"/>
          <w:sz w:val="14"/>
          <w:szCs w:val="14"/>
          <w:color w:val="auto"/>
        </w:rPr>
        <w:t>Benefits under this Plan shall be payable solely from the general assets of the Company and participants herein shall not be entitled to look to any source for payment of such benefits other than the general assets of the Company.</w:t>
      </w:r>
    </w:p>
    <w:p>
      <w:pPr>
        <w:spacing w:after="0" w:line="237" w:lineRule="exact"/>
        <w:rPr>
          <w:sz w:val="20"/>
          <w:szCs w:val="20"/>
          <w:color w:val="auto"/>
        </w:rPr>
      </w:pPr>
    </w:p>
    <w:p>
      <w:pPr>
        <w:ind w:right="3439" w:firstLine="603"/>
        <w:spacing w:after="0" w:line="375" w:lineRule="auto"/>
        <w:rPr>
          <w:sz w:val="20"/>
          <w:szCs w:val="20"/>
          <w:color w:val="auto"/>
        </w:rPr>
      </w:pPr>
      <w:r>
        <w:rPr>
          <w:rFonts w:ascii="Courier New" w:cs="Courier New" w:eastAsia="Courier New" w:hAnsi="Courier New"/>
          <w:sz w:val="14"/>
          <w:szCs w:val="14"/>
          <w:color w:val="auto"/>
        </w:rPr>
        <w:t>Section 2. Definitions. As used in this Plan, the following words shall have the following meanings:</w:t>
      </w:r>
    </w:p>
    <w:p>
      <w:pPr>
        <w:spacing w:after="0" w:line="1" w:lineRule="exact"/>
        <w:rPr>
          <w:sz w:val="20"/>
          <w:szCs w:val="20"/>
          <w:color w:val="auto"/>
        </w:rPr>
      </w:pPr>
    </w:p>
    <w:p>
      <w:pPr>
        <w:jc w:val="both"/>
        <w:ind w:right="3339" w:firstLine="611"/>
        <w:spacing w:after="0" w:line="313" w:lineRule="auto"/>
        <w:tabs>
          <w:tab w:leader="none" w:pos="94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Salary" means the regular basic compensation paid or payable to an employee during a calendar year by the Company or an Affiliate (including tax-deferred</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5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contributions, otherwise payable to an employee, elected by the employee under any Savings Plan and including earnings not payable by application of a salary reduction election made pursuant to Section 125 of the Internal Revenue Code), but excluding any other items of compensation such as (i) bonuses and commissions, (ii) overtime, (iii) compensation under the terms of the Long-Term Incentive Compensation Plan of the Company paid during such Plan Year, (iv) Workers' Compensation, (v) amounts paid by the Company for insurance, retirement or other benefits, (vi) contributions or payments made by the Company or an Affiliate (other than tax-deferred contributions elected by the employee) under any Retirement Plan, any Savings Plan, this Plan or other benefits, or (vii) dismissal or other payments made to an employee as a result of termination of employment. The Actual Salary of an employee will include any payment made under any short-term disability income plan of the Company or an Affiliate.</w:t>
      </w:r>
    </w:p>
    <w:p>
      <w:pPr>
        <w:spacing w:after="0" w:line="76" w:lineRule="exact"/>
        <w:rPr>
          <w:sz w:val="20"/>
          <w:szCs w:val="20"/>
          <w:color w:val="auto"/>
        </w:rPr>
      </w:pPr>
    </w:p>
    <w:p>
      <w:pPr>
        <w:ind w:right="3259" w:firstLine="611"/>
        <w:spacing w:after="0" w:line="281" w:lineRule="auto"/>
        <w:tabs>
          <w:tab w:leader="none" w:pos="94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any corporation (other than the Company) more than 50% of the outstanding stock of which is directly or indirectly owned by the Company and any unincorporated trade or business which is under common control with the Company as determined in accordance with Section 414(c) of the Internal Revenue Code and the regulations issued thereunder.</w:t>
      </w:r>
    </w:p>
    <w:p>
      <w:pPr>
        <w:spacing w:after="0" w:line="65"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shall have the meaning set forth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w:t>
      </w:r>
    </w:p>
    <w:p>
      <w:pPr>
        <w:spacing w:after="0" w:line="147" w:lineRule="exact"/>
        <w:rPr>
          <w:sz w:val="20"/>
          <w:szCs w:val="20"/>
          <w:color w:val="auto"/>
        </w:rPr>
      </w:pPr>
    </w:p>
    <w:p>
      <w:pPr>
        <w:ind w:right="4039" w:firstLine="611"/>
        <w:spacing w:after="0" w:line="375" w:lineRule="auto"/>
        <w:tabs>
          <w:tab w:leader="none" w:pos="94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 of Directors of the Company.</w:t>
      </w:r>
    </w:p>
    <w:p>
      <w:pPr>
        <w:spacing w:after="0" w:line="1" w:lineRule="exact"/>
        <w:rPr>
          <w:rFonts w:ascii="Courier New" w:cs="Courier New" w:eastAsia="Courier New" w:hAnsi="Courier New"/>
          <w:sz w:val="14"/>
          <w:szCs w:val="14"/>
          <w:color w:val="auto"/>
        </w:rPr>
      </w:pPr>
    </w:p>
    <w:p>
      <w:pPr>
        <w:ind w:right="3339" w:firstLine="611"/>
        <w:spacing w:after="0" w:line="375" w:lineRule="auto"/>
        <w:tabs>
          <w:tab w:leader="none" w:pos="94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Washington Post Company, a Delaware corporation, and any successors in interest thereto.</w:t>
      </w:r>
    </w:p>
    <w:p>
      <w:pPr>
        <w:spacing w:after="0" w:line="1" w:lineRule="exact"/>
        <w:rPr>
          <w:rFonts w:ascii="Courier New" w:cs="Courier New" w:eastAsia="Courier New" w:hAnsi="Courier New"/>
          <w:sz w:val="14"/>
          <w:szCs w:val="14"/>
          <w:color w:val="auto"/>
        </w:rPr>
      </w:pPr>
    </w:p>
    <w:p>
      <w:pPr>
        <w:ind w:right="3339" w:firstLine="611"/>
        <w:spacing w:after="0" w:line="313" w:lineRule="auto"/>
        <w:tabs>
          <w:tab w:leader="none" w:pos="94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means the Actual Salary of an employee plus, starting in 1988, bonuses accrued under the Annual Incentive Compensation Plan of the Company</w:t>
      </w: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4"/>
          <w:szCs w:val="14"/>
          <w:color w:val="auto"/>
        </w:rPr>
        <w:t>during a calendar year by the Company or an Affiliate. Bonuses accrued under the Annual Incentive Compensation Plan of the Company will be considered as part of Compensation for the year in which they are paid to the Employee, or would otherwise be paid but for the Employee's election to defer receipt of payment under the Company's Deferred Compensation Plan.</w:t>
      </w:r>
    </w:p>
    <w:p>
      <w:pPr>
        <w:spacing w:after="0" w:line="65" w:lineRule="exact"/>
        <w:rPr>
          <w:sz w:val="20"/>
          <w:szCs w:val="20"/>
          <w:color w:val="auto"/>
        </w:rPr>
      </w:pPr>
    </w:p>
    <w:p>
      <w:pPr>
        <w:ind w:left="960" w:hanging="349"/>
        <w:spacing w:after="0"/>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means the Employee Retirement Income Security Act of 1974, as</w:t>
      </w:r>
    </w:p>
    <w:p>
      <w:pPr>
        <w:spacing w:after="0" w:line="3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46" w:lineRule="exact"/>
        <w:rPr>
          <w:rFonts w:ascii="Courier New" w:cs="Courier New" w:eastAsia="Courier New" w:hAnsi="Courier New"/>
          <w:sz w:val="14"/>
          <w:szCs w:val="14"/>
          <w:color w:val="auto"/>
        </w:rPr>
      </w:pPr>
    </w:p>
    <w:p>
      <w:pPr>
        <w:ind w:right="3259" w:firstLine="611"/>
        <w:spacing w:after="0" w:line="261" w:lineRule="auto"/>
        <w:tabs>
          <w:tab w:leader="none" w:pos="94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either holds or held the office of a Vice President of the Company or an Affiliate or any office senior thereto or a position of equivalent responsibility or importance, during the current Plan Year or the prior Plan Year, and was covered under the Company's Long-Term Incentive Compensation Plan or any successor programs. An Executive Participant shall be designated as being eligible to participate in Section 3 benefits or Section 4 benefits or both as determined in the sole discretion of the Committee.</w:t>
      </w:r>
    </w:p>
    <w:p>
      <w:pPr>
        <w:spacing w:after="0" w:line="83" w:lineRule="exact"/>
        <w:rPr>
          <w:rFonts w:ascii="Courier New" w:cs="Courier New" w:eastAsia="Courier New" w:hAnsi="Courier New"/>
          <w:sz w:val="14"/>
          <w:szCs w:val="14"/>
          <w:color w:val="auto"/>
        </w:rPr>
      </w:pPr>
    </w:p>
    <w:p>
      <w:pPr>
        <w:ind w:right="3259" w:firstLine="611"/>
        <w:spacing w:after="0" w:line="272" w:lineRule="auto"/>
        <w:tabs>
          <w:tab w:leader="none" w:pos="94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 Limitations" means Retirement Plan and Savings Plan provisions adopted pursuant to Section 415 of the Internal Revenue Code to limit (i) annual Retirement Plan benefits pursuant to Section 415(b) thereof, (ii) annual additions to a Savings Plan pursuant to Section 415(c) thereof and (iii) the aggregate of annual Retirement Plan benefits and additions to Savings Plans pursuant to Section 415(e) thereof. The 415 Limitations will not apply after December 31, 1999.</w:t>
      </w:r>
    </w:p>
    <w:p>
      <w:pPr>
        <w:spacing w:after="0" w:line="200" w:lineRule="exact"/>
        <w:rPr>
          <w:sz w:val="20"/>
          <w:szCs w:val="20"/>
          <w:color w:val="auto"/>
        </w:rPr>
      </w:pPr>
    </w:p>
    <w:p>
      <w:pPr>
        <w:spacing w:after="0" w:line="3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59"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260" w:right="3259" w:firstLine="611"/>
        <w:spacing w:after="0" w:line="266" w:lineRule="auto"/>
        <w:tabs>
          <w:tab w:leader="none" w:pos="68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"401(a)(17) Limitations" means Retirement Plan and Savings Plan provisions adopted pursuant to Section 401(a)(17) of the Internal Revenue Code to limit earnings considered for purposes of computing Retirement Plan benefits and Savings Plan contributions to $200,000 (or such greater amount permitted for such year in accordance with regulations promulgated by the Secretary of the Treasury or his delegate) for each Plan Year ending on or before December 31, 1993 and then as of January 1, 1994 to $150,000 (or such greater amount permitted for such year in accordance with regulations promulgated by the Secretary of the Treasury or his delegate).</w:t>
      </w:r>
    </w:p>
    <w:p>
      <w:pPr>
        <w:spacing w:after="0" w:line="73" w:lineRule="exact"/>
        <w:rPr>
          <w:rFonts w:ascii="Courier New" w:cs="Courier New" w:eastAsia="Courier New" w:hAnsi="Courier New"/>
          <w:sz w:val="14"/>
          <w:szCs w:val="14"/>
          <w:color w:val="auto"/>
        </w:rPr>
      </w:pPr>
    </w:p>
    <w:p>
      <w:pPr>
        <w:ind w:left="-260" w:right="3259" w:firstLine="611"/>
        <w:spacing w:after="0" w:line="281" w:lineRule="auto"/>
        <w:tabs>
          <w:tab w:leader="none" w:pos="68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Election" means an election made by the Executive Participant selecting the investment credit factor(s) that will be applicable to the Executive Participant's Supplemental Savings Account. The Committee shall determine the manner in which Investment Elections may be made and the frequency with which such elections may be prospectively changed.</w:t>
      </w:r>
    </w:p>
    <w:p>
      <w:pPr>
        <w:spacing w:after="0" w:line="65" w:lineRule="exact"/>
        <w:rPr>
          <w:rFonts w:ascii="Courier New" w:cs="Courier New" w:eastAsia="Courier New" w:hAnsi="Courier New"/>
          <w:sz w:val="14"/>
          <w:szCs w:val="14"/>
          <w:color w:val="auto"/>
        </w:rPr>
      </w:pPr>
    </w:p>
    <w:p>
      <w:pPr>
        <w:ind w:left="-260" w:right="3439" w:firstLine="611"/>
        <w:spacing w:after="0" w:line="266" w:lineRule="auto"/>
        <w:tabs>
          <w:tab w:leader="none" w:pos="68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holds or held a key position during the current Plan Year or the prior Plan Year. A Key Employee Participant shall be designated as being eligible to participate in Section 3 benefits as determined in the sole discretion of the Committee.</w:t>
      </w:r>
    </w:p>
    <w:p>
      <w:pPr>
        <w:spacing w:after="0" w:line="73" w:lineRule="exact"/>
        <w:rPr>
          <w:rFonts w:ascii="Courier New" w:cs="Courier New" w:eastAsia="Courier New" w:hAnsi="Courier New"/>
          <w:sz w:val="14"/>
          <w:szCs w:val="14"/>
          <w:color w:val="auto"/>
        </w:rPr>
      </w:pPr>
    </w:p>
    <w:p>
      <w:pPr>
        <w:ind w:left="-260" w:right="3519" w:firstLine="611"/>
        <w:spacing w:after="0" w:line="375" w:lineRule="auto"/>
        <w:tabs>
          <w:tab w:leader="none" w:pos="68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Retirement Date" means the first day of the calendar month following the month in which a person's 65th birthday occurs.</w:t>
      </w:r>
    </w:p>
    <w:p>
      <w:pPr>
        <w:spacing w:after="0" w:line="1" w:lineRule="exact"/>
        <w:rPr>
          <w:rFonts w:ascii="Courier New" w:cs="Courier New" w:eastAsia="Courier New" w:hAnsi="Courier New"/>
          <w:sz w:val="14"/>
          <w:szCs w:val="14"/>
          <w:color w:val="auto"/>
        </w:rPr>
      </w:pPr>
    </w:p>
    <w:p>
      <w:pPr>
        <w:ind w:left="-260" w:right="3859" w:firstLine="611"/>
        <w:spacing w:after="0" w:line="376" w:lineRule="auto"/>
        <w:tabs>
          <w:tab w:leader="none" w:pos="68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Executive Participant or a Key Employee Participant, as applicable.</w:t>
      </w:r>
    </w:p>
    <w:p>
      <w:pPr>
        <w:spacing w:after="0" w:line="33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99"/>
          </w:cols>
          <w:pgMar w:left="560" w:top="25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960" w:hanging="349"/>
        <w:spacing w:after="0"/>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Year" means the calendar year.</w:t>
      </w:r>
    </w:p>
    <w:p>
      <w:pPr>
        <w:spacing w:after="0" w:line="172" w:lineRule="exact"/>
        <w:rPr>
          <w:rFonts w:ascii="Courier New" w:cs="Courier New" w:eastAsia="Courier New" w:hAnsi="Courier New"/>
          <w:sz w:val="14"/>
          <w:szCs w:val="14"/>
          <w:color w:val="auto"/>
        </w:rPr>
      </w:pPr>
    </w:p>
    <w:p>
      <w:pPr>
        <w:ind w:right="3439" w:firstLine="611"/>
        <w:spacing w:after="0" w:line="281" w:lineRule="auto"/>
        <w:tabs>
          <w:tab w:leader="none" w:pos="94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 means The Retirement Plan for Washington Post Companies, The Washington Post Washington-Baltimore Newspaper Guild Retirement Income Plan and such other tax qualified, defined benefit retirement plans as may be sponsored by the Company or its Affiliates and designated for inclusion hereunder by the Committee.</w:t>
      </w:r>
    </w:p>
    <w:p>
      <w:pPr>
        <w:spacing w:after="0" w:line="65" w:lineRule="exact"/>
        <w:rPr>
          <w:rFonts w:ascii="Courier New" w:cs="Courier New" w:eastAsia="Courier New" w:hAnsi="Courier New"/>
          <w:sz w:val="14"/>
          <w:szCs w:val="14"/>
          <w:color w:val="auto"/>
        </w:rPr>
      </w:pPr>
    </w:p>
    <w:p>
      <w:pPr>
        <w:ind w:right="3339" w:firstLine="611"/>
        <w:spacing w:after="0" w:line="275" w:lineRule="auto"/>
        <w:tabs>
          <w:tab w:leader="none" w:pos="94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"Savings Plan" means The Washington Post Tax Deferral and Savings Plan, Post-Newsweek Stations, Inc. Tax Deferred Savings Plan, The Employees' Savings Plan of Newsweek, Inc., The Savings and Retirement Plan of Affiliated Post Companies and such other tax qualified savings and profit-sharing plans as may be sponsored by the Company or its Affiliates and designated for inclusion hereunder by the Committee.</w:t>
      </w:r>
    </w:p>
    <w:p>
      <w:pPr>
        <w:spacing w:after="0" w:line="68" w:lineRule="exact"/>
        <w:rPr>
          <w:rFonts w:ascii="Courier New" w:cs="Courier New" w:eastAsia="Courier New" w:hAnsi="Courier New"/>
          <w:sz w:val="14"/>
          <w:szCs w:val="14"/>
          <w:color w:val="auto"/>
        </w:rPr>
      </w:pPr>
    </w:p>
    <w:p>
      <w:pPr>
        <w:ind w:right="3259" w:firstLine="611"/>
        <w:spacing w:after="0" w:line="281" w:lineRule="auto"/>
        <w:tabs>
          <w:tab w:leader="none" w:pos="94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means the period of employment by the Company or an Affiliate (excluding both service prior to the time an Affiliate became such and service after the time an Affiliate is no longer such, except to the extent required by Section 414(a) of the Code and the regulations promulgated thereunder).</w:t>
      </w:r>
    </w:p>
    <w:p>
      <w:pPr>
        <w:spacing w:after="0" w:line="65"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Retirement Benefit" shall have the meaning set forth in</w:t>
      </w:r>
    </w:p>
    <w:p>
      <w:pPr>
        <w:spacing w:after="0" w:line="3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w:t>
      </w:r>
    </w:p>
    <w:p>
      <w:pPr>
        <w:spacing w:after="0" w:line="146" w:lineRule="exact"/>
        <w:rPr>
          <w:rFonts w:ascii="Courier New" w:cs="Courier New" w:eastAsia="Courier New" w:hAnsi="Courier New"/>
          <w:sz w:val="14"/>
          <w:szCs w:val="14"/>
          <w:color w:val="auto"/>
        </w:rPr>
      </w:pPr>
    </w:p>
    <w:p>
      <w:pPr>
        <w:ind w:right="3519" w:firstLine="611"/>
        <w:spacing w:after="0" w:line="313" w:lineRule="auto"/>
        <w:tabs>
          <w:tab w:leader="none" w:pos="94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Retirement Benefit Cash Balance Account" means the Supplemental Retirement Benefit applicable to a Participant who is covered by the Cash Balance provisions of the Retirement Plan.</w:t>
      </w:r>
    </w:p>
    <w:p>
      <w:pPr>
        <w:spacing w:after="0" w:line="41" w:lineRule="exact"/>
        <w:rPr>
          <w:rFonts w:ascii="Courier New" w:cs="Courier New" w:eastAsia="Courier New" w:hAnsi="Courier New"/>
          <w:sz w:val="14"/>
          <w:szCs w:val="14"/>
          <w:color w:val="auto"/>
        </w:rPr>
      </w:pPr>
    </w:p>
    <w:p>
      <w:pPr>
        <w:ind w:right="3259" w:firstLine="611"/>
        <w:spacing w:after="0" w:line="375" w:lineRule="auto"/>
        <w:tabs>
          <w:tab w:leader="none" w:pos="94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Basic Contributions," "Supplemental Savings Account" and "Supplemental Savings Award" shall have the meanings set forth in Section 4.</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59" w:right="1440" w:bottom="1440" w:gutter="0" w:footer="0" w:header="0"/>
        </w:sectPr>
      </w:pPr>
    </w:p>
    <w:bookmarkStart w:id="85" w:name="page86"/>
    <w:bookmarkEnd w:id="85"/>
    <w:p>
      <w:pPr>
        <w:ind w:left="252"/>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8" w:right="3259" w:firstLine="611"/>
        <w:spacing w:after="0" w:line="313" w:lineRule="auto"/>
        <w:tabs>
          <w:tab w:leader="none" w:pos="93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"Surviving Spouse" means the surviving husband or wife of an employee of the Company or an Affiliate, who has been married to the employee throughout the one-year period ending on the date of the death of such employee.</w:t>
      </w:r>
    </w:p>
    <w:p>
      <w:pPr>
        <w:spacing w:after="0" w:line="41" w:lineRule="exact"/>
        <w:rPr>
          <w:rFonts w:ascii="Courier New" w:cs="Courier New" w:eastAsia="Courier New" w:hAnsi="Courier New"/>
          <w:sz w:val="14"/>
          <w:szCs w:val="14"/>
          <w:color w:val="auto"/>
        </w:rPr>
      </w:pPr>
    </w:p>
    <w:p>
      <w:pPr>
        <w:ind w:left="-8" w:right="3259" w:firstLine="611"/>
        <w:spacing w:after="0" w:line="292" w:lineRule="auto"/>
        <w:tabs>
          <w:tab w:leader="none" w:pos="93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Year" means each calendar year in which a Participant has at least 1,000 hours of Service with the Company or an Affiliate. Service with a predecessor company prior to becoming an Affiliate will not be counted in calculating Vesting Years.</w:t>
      </w:r>
    </w:p>
    <w:p>
      <w:pPr>
        <w:spacing w:after="0" w:line="56" w:lineRule="exact"/>
        <w:rPr>
          <w:sz w:val="20"/>
          <w:szCs w:val="20"/>
          <w:color w:val="auto"/>
        </w:rPr>
      </w:pPr>
    </w:p>
    <w:p>
      <w:pPr>
        <w:ind w:left="952"/>
        <w:spacing w:after="0"/>
        <w:rPr>
          <w:sz w:val="20"/>
          <w:szCs w:val="20"/>
          <w:color w:val="auto"/>
        </w:rPr>
      </w:pPr>
      <w:r>
        <w:rPr>
          <w:rFonts w:ascii="Courier New" w:cs="Courier New" w:eastAsia="Courier New" w:hAnsi="Courier New"/>
          <w:sz w:val="14"/>
          <w:szCs w:val="14"/>
          <w:color w:val="auto"/>
        </w:rPr>
        <w:t>Section 3. Supplemental Retirement Benefits.</w:t>
      </w:r>
    </w:p>
    <w:p>
      <w:pPr>
        <w:spacing w:after="0" w:line="173" w:lineRule="exact"/>
        <w:rPr>
          <w:sz w:val="20"/>
          <w:szCs w:val="20"/>
          <w:color w:val="auto"/>
        </w:rPr>
      </w:pPr>
    </w:p>
    <w:p>
      <w:pPr>
        <w:ind w:left="-8" w:right="3259" w:firstLine="611"/>
        <w:spacing w:after="0" w:line="256" w:lineRule="auto"/>
        <w:tabs>
          <w:tab w:leader="none" w:pos="939"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designated person, who is an Executive Participant as of December 3, 1993, or becomes an Executive Participant or a Key Employee Participant after December 3, 1993, for purposes of being eligible to receive benefits under this Section and has ten or more Vesting Years upon termination of Service and to whom benefits become payable under any of the Retirement Plans, shall be paid a supplemental annual retirement benefit (the "Supplemental Retirement Benefits") under this Plan equal in amount to the difference between</w:t>
      </w:r>
    </w:p>
    <w:p>
      <w:pPr>
        <w:ind w:left="-8" w:right="3259" w:firstLine="8"/>
        <w:spacing w:after="0" w:line="257" w:lineRule="auto"/>
        <w:tabs>
          <w:tab w:leader="none" w:pos="33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annual benefits paid to such person under the Retirement Plans and (ii) the aggregate annual benefits that would be payable to such person under the Retirement Plans if the 415 and 401(a)(17) Limitations were not contained therein. If such a Participant's Surviving Spouse is entitled to and is receiving a spouse's benefit under any Retirement plan, the Surviving Spouse shall be paid a benefit hereunder equal to the difference between (i) the aggregate spouse's benefits payable to such Surviving Spouse under the Retirement Plans and (ii) the aggregate spouse's benefit that would be payable to such Surviving Spouse under the Retirement Plans if the 415 and 401(a)(17) Limitations were not contained therein. For purposes of calculating the Supplemental Retirement Benefit or the Surviving Spouse's benefit hereunder for an Executive Participant or the Surviving Spouse of an Executive Participant, as the case may be, Compensation rather than Actual Salary will be used.</w:t>
      </w:r>
    </w:p>
    <w:p>
      <w:pPr>
        <w:spacing w:after="0" w:line="200" w:lineRule="exact"/>
        <w:rPr>
          <w:sz w:val="20"/>
          <w:szCs w:val="20"/>
          <w:color w:val="auto"/>
        </w:rPr>
      </w:pPr>
    </w:p>
    <w:p>
      <w:pPr>
        <w:spacing w:after="0" w:line="21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1"/>
          </w:cols>
          <w:pgMar w:left="308" w:top="259"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260" w:right="3259" w:firstLine="611"/>
        <w:spacing w:after="0" w:line="254" w:lineRule="auto"/>
        <w:tabs>
          <w:tab w:leader="none" w:pos="68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Retirement Benefits provided by this Plan shall be paid to the Participant (or to any beneficiary designated by him in accordance with the Retirement Plan, or to his Surviving Spouse if eligible for and receiving a spouse's benefit under the Retirement Plan) concurrently with the payment of the benefits payable under the applicable Retirement Plan in which he was participating at the date of termination and/or in which he had a vested right on such date and shall be payable in the same form as such Retirement Plan benefits are being paid thereunder. Notwithstanding the above, with respect to a Participant covered by the Cash Balance Pension provisions of the Retirement Plan, the single life annuity available shall be determined using the GATT Interest Rate (as defined in the Retirement Plan) plus 2%. In the event the Supplemental Retirement Benefit commences prior to Normal Retirement Date or is payable in a form other than an annuity for the life of the former employee only, the Supplemental Retirement Benefit shall be actuarially adjusted in the same manner as are benefits payable under the Retirement Plan in which he was participating at the time of termination and/or in which he had a vested right on such date. The Committee may, however, in its sole discretion direct that the Supplemental Retirement Benefit payable with respect to a former employee be paid as an actuarially equivalent single sum payment; provided, that (except for a distribution to pay taxes as provided in Section 5) no such payment may be made prior to termination of Service or prior to the date that benefits may become payable under any of the Retirement Plans, and provided, further, that in determining actuarial equivalency of a single sum payment in cash, there shall be used the same actuarial assumptions as are applicable for the calculation of a single sum payment under the applicable Retirement Plan. Notwithstanding the above, if the Participant elects a lump sum payment in accordance with the Cash Balance Pension provisions of the Retirement Plan, the benefits under the Supplemental Retirement Plan will also be payable in a lump sum amount which shall be equal to his Supplemental Benefit Cash Balance Account as of the date of the lump sum payment.</w:t>
      </w:r>
    </w:p>
    <w:p>
      <w:pPr>
        <w:spacing w:after="0" w:line="2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99"/>
          </w:cols>
          <w:pgMar w:left="560" w:top="259" w:right="1440" w:bottom="1440" w:gutter="0" w:footer="0" w:header="0"/>
        </w:sectPr>
      </w:pPr>
    </w:p>
    <w:bookmarkStart w:id="87" w:name="page88"/>
    <w:bookmarkEnd w:id="87"/>
    <w:p>
      <w:pPr>
        <w:ind w:left="252"/>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612"/>
        <w:spacing w:after="0"/>
        <w:rPr>
          <w:sz w:val="20"/>
          <w:szCs w:val="20"/>
          <w:color w:val="auto"/>
        </w:rPr>
      </w:pPr>
      <w:r>
        <w:rPr>
          <w:rFonts w:ascii="Courier New" w:cs="Courier New" w:eastAsia="Courier New" w:hAnsi="Courier New"/>
          <w:sz w:val="14"/>
          <w:szCs w:val="14"/>
          <w:color w:val="auto"/>
        </w:rPr>
        <w:t>Section 4. Supplemental Savings Plan Benefits.</w:t>
      </w:r>
    </w:p>
    <w:p>
      <w:pPr>
        <w:spacing w:after="0" w:line="173" w:lineRule="exact"/>
        <w:rPr>
          <w:sz w:val="20"/>
          <w:szCs w:val="20"/>
          <w:color w:val="auto"/>
        </w:rPr>
      </w:pPr>
    </w:p>
    <w:p>
      <w:pPr>
        <w:ind w:left="-8" w:right="3259" w:firstLine="611"/>
        <w:spacing w:after="0" w:line="255" w:lineRule="auto"/>
        <w:tabs>
          <w:tab w:leader="none" w:pos="93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Actual Salary of an Executive Participant designated as eligible to receive benefits under this Section 4 for 1989 or any subsequent Plan Year exceeds the 401(a)(17) Limitations for such Plan Year, such Executive Participant shall be eligible to make additional salary reduction contributions under this Plan and receive a Supplemental Savings Award under this Plan for such Plan Year; provided, that such Executive Participant is then participating in his employer's Savings Plan and making (i) the maximum allowable basic, matchable tax-deferred contributions to such Savings Plan and</w:t>
      </w:r>
    </w:p>
    <w:p>
      <w:pPr>
        <w:spacing w:after="0" w:line="2" w:lineRule="exact"/>
        <w:rPr>
          <w:rFonts w:ascii="Courier New" w:cs="Courier New" w:eastAsia="Courier New" w:hAnsi="Courier New"/>
          <w:sz w:val="14"/>
          <w:szCs w:val="14"/>
          <w:color w:val="auto"/>
        </w:rPr>
      </w:pPr>
    </w:p>
    <w:p>
      <w:pPr>
        <w:ind w:left="-8" w:right="3259" w:firstLine="8"/>
        <w:spacing w:after="0" w:line="254" w:lineRule="auto"/>
        <w:tabs>
          <w:tab w:leader="none" w:pos="42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allowable after-tax contributions which can result in a matching employer contribution, as permitted under such Savings Plan, after taking into account the application of the non-discrimination rules of Sections 401(k) and (m) of the Internal Revenue Code for such Plan Year. In order to compute the amount of such Supplemental Savings Award, a determination will be made of the dollar amount of contributions the Executive Participant is able to make to his employer's Savings Plan which result in matching employer contributions for such Executive Participant under the terms of such Savings Plan. This dollar amount will then be expressed as a percentage (the "Applicable Percentage") of the amount of compensation which can be recognized for purposes of the Savings Plan under Section 401(a)(17) of the Internal Revenue Code for the then-current Plan Year. Prior to the beginning of each Plan Year, the Executive Participant will be provided with the opportunity to elect to irrevocably defer under this Plan the Applicable Percentage (or any whole lower percentage) of the Executive Participant's Actual Salary earned in excess of the 401(a)(17) Limitations for such Plan Year. Such a salary reduction is referred to as a "Supplemental Basic Contribution." In the event that an Executive Participant elects to make a Supplemental Basic Contribution under this Plan and, to the extent the Company is not his employer, his employer forwards on a timely basis such Supplemental Basic Contribution to the Company, such individual will receive a Supplemental Savings Award under this Plan in the form of (i) a matching contribution equal to the product of the Executive Participant's Supplemental Basic Contribution times the matching employer contribution percentage under the terms of the applicable Savings</w:t>
      </w:r>
    </w:p>
    <w:p>
      <w:pPr>
        <w:spacing w:after="0" w:line="251"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1"/>
          </w:cols>
          <w:pgMar w:left="308" w:top="25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4"/>
          <w:szCs w:val="14"/>
          <w:color w:val="auto"/>
        </w:rPr>
        <w:t>Plan and (ii) to the extent such Participant's employer makes an unmatched contribution to the applicable Savings Plan on behalf of such Participant, a contribution equal to the difference between the amount of such unmatched contribution actually made under such Savings Plan on behalf of such Participant and the amount of such unmatched contribution such Participant would have received under such Savings Plan if the 401(a)(17) Limitations had not been in effect (the "Supplemental Savings Award"). The Supplemental Savings Award for any Plan Year shall be made as of the first day of the following year or on such other basis as may be approved by the Committee.</w:t>
      </w:r>
    </w:p>
    <w:p>
      <w:pPr>
        <w:spacing w:after="0" w:line="74" w:lineRule="exact"/>
        <w:rPr>
          <w:sz w:val="20"/>
          <w:szCs w:val="20"/>
          <w:color w:val="auto"/>
        </w:rPr>
      </w:pPr>
    </w:p>
    <w:p>
      <w:pPr>
        <w:ind w:right="3259" w:firstLine="611"/>
        <w:spacing w:after="0" w:line="269" w:lineRule="auto"/>
        <w:tabs>
          <w:tab w:leader="none" w:pos="94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 Executive Participant's supplemental savings plan benefits under this Plan shall be the aggregate amount of the Supplemental Savings Awards and the Supplemental Basic Contributions together with investment credits accrued thereon (the "Supplemental Savings Account"). Investment credits shall be credited on the amount of an Executive Participant's Supplemental Savings Account at the end of such Plan Year or on such other basis as may be approved by the Committee in accordance with the Executive Participant's Investment Election.</w:t>
      </w:r>
    </w:p>
    <w:p>
      <w:pPr>
        <w:spacing w:after="0" w:line="246" w:lineRule="exact"/>
        <w:rPr>
          <w:sz w:val="20"/>
          <w:szCs w:val="20"/>
          <w:color w:val="auto"/>
        </w:rPr>
      </w:pPr>
    </w:p>
    <w:p>
      <w:pPr>
        <w:ind w:right="3439" w:firstLine="603"/>
        <w:spacing w:after="0" w:line="292" w:lineRule="auto"/>
        <w:rPr>
          <w:sz w:val="20"/>
          <w:szCs w:val="20"/>
          <w:color w:val="auto"/>
        </w:rPr>
      </w:pPr>
      <w:r>
        <w:rPr>
          <w:rFonts w:ascii="Courier New" w:cs="Courier New" w:eastAsia="Courier New" w:hAnsi="Courier New"/>
          <w:sz w:val="14"/>
          <w:szCs w:val="14"/>
          <w:color w:val="auto"/>
        </w:rPr>
        <w:t>In the event an Executive Participant fails to complete a valid Investment Election, his or her Supplemental Savings Account will be credited with the investment credit amounts equivalent to the rates of return generated by the money market option under the Company's 401(k) plan.</w:t>
      </w:r>
    </w:p>
    <w:p>
      <w:pPr>
        <w:spacing w:after="0" w:line="56" w:lineRule="exact"/>
        <w:rPr>
          <w:sz w:val="20"/>
          <w:szCs w:val="20"/>
          <w:color w:val="auto"/>
        </w:rPr>
      </w:pPr>
    </w:p>
    <w:p>
      <w:pPr>
        <w:ind w:right="3699" w:firstLine="611"/>
        <w:spacing w:after="0" w:line="375" w:lineRule="auto"/>
        <w:tabs>
          <w:tab w:leader="none" w:pos="94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shall establish the investment credit factors that will be available in any Plan Year.</w:t>
      </w:r>
    </w:p>
    <w:p>
      <w:pPr>
        <w:spacing w:after="0" w:line="1" w:lineRule="exact"/>
        <w:rPr>
          <w:rFonts w:ascii="Courier New" w:cs="Courier New" w:eastAsia="Courier New" w:hAnsi="Courier New"/>
          <w:sz w:val="14"/>
          <w:szCs w:val="14"/>
          <w:color w:val="auto"/>
        </w:rPr>
      </w:pPr>
    </w:p>
    <w:p>
      <w:pPr>
        <w:ind w:right="3339" w:firstLine="611"/>
        <w:spacing w:after="0" w:line="376" w:lineRule="auto"/>
        <w:tabs>
          <w:tab w:leader="none" w:pos="94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Savings Awards and the investment credits thereon shall be fully vested and nonforfeitable.</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5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339" w:firstLine="611"/>
        <w:spacing w:after="0" w:line="281" w:lineRule="auto"/>
        <w:tabs>
          <w:tab w:leader="none" w:pos="94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withdrawal of funds in an Executive Participant's Supplemental Savings Account for hardship or any other reason may be made while an Executive Participant remains employed by the Company or an Affiliate. The Supplemental Savings Account shall be paid in cash as soon as practicable following termination of Service.</w:t>
      </w:r>
    </w:p>
    <w:p>
      <w:pPr>
        <w:spacing w:after="0" w:line="65" w:lineRule="exact"/>
        <w:rPr>
          <w:rFonts w:ascii="Courier New" w:cs="Courier New" w:eastAsia="Courier New" w:hAnsi="Courier New"/>
          <w:sz w:val="14"/>
          <w:szCs w:val="14"/>
          <w:color w:val="auto"/>
        </w:rPr>
      </w:pPr>
    </w:p>
    <w:p>
      <w:pPr>
        <w:ind w:right="3259" w:firstLine="611"/>
        <w:spacing w:after="0" w:line="268" w:lineRule="auto"/>
        <w:tabs>
          <w:tab w:leader="none" w:pos="94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Executive Participant shall designate a beneficiary to receive the unpaid portion of his Supplemental Savings Account in the event of his death. The designation shall be made in a writing filed with the Committee on a form approved by it and signed by the Executive Participant. If no effective designation of beneficiary shall be on file with the Committee when supplemental savings benefits would otherwise be distributable to a beneficiary, then such benefits shall be distributed to the Surviving Spouse of the Executive Participant or, if there is no Surviving Spouse, to his estate.</w:t>
      </w:r>
    </w:p>
    <w:p>
      <w:pPr>
        <w:spacing w:after="0" w:line="74" w:lineRule="exact"/>
        <w:rPr>
          <w:sz w:val="20"/>
          <w:szCs w:val="20"/>
          <w:color w:val="auto"/>
        </w:rPr>
      </w:pPr>
    </w:p>
    <w:p>
      <w:pPr>
        <w:ind w:right="3259" w:firstLine="603"/>
        <w:spacing w:after="0" w:line="261" w:lineRule="auto"/>
        <w:rPr>
          <w:sz w:val="20"/>
          <w:szCs w:val="20"/>
          <w:color w:val="auto"/>
        </w:rPr>
      </w:pPr>
      <w:r>
        <w:rPr>
          <w:rFonts w:ascii="Courier New" w:cs="Courier New" w:eastAsia="Courier New" w:hAnsi="Courier New"/>
          <w:sz w:val="14"/>
          <w:szCs w:val="14"/>
          <w:color w:val="auto"/>
        </w:rPr>
        <w:t>Section 5. Funding. Benefits under this Plan shall not be funded in order that the Plan may be exempt from the provisions of Parts 2, 3 and 4 of Title I of ERISA. The Committee shall maintain records of Supplemental Savings Accounts and records for the calculation of supplemental retirement benefits. In the event benefits are hereafter determined to be taxable for Participants prior to actual receipt thereof, a payment may be made to such Participants in an amount sufficient to pay such taxes notwithstanding that the Participant may not then have terminated Service or that the payment is being made prior to the date that benefits would otherwise be paid under any of the Retirement Plans. Amounts so paid (i) with respect to supplemental savings benefits shall reduce the Executive Participant's Supplemental Savings Account and (ii) with respect to Supplemental Retirement Benefits shall be used as an offset to the Supplemental Retirement Benefits, if any, thereafter payable.</w:t>
      </w:r>
    </w:p>
    <w:p>
      <w:pPr>
        <w:spacing w:after="0" w:line="76" w:lineRule="exact"/>
        <w:rPr>
          <w:sz w:val="20"/>
          <w:szCs w:val="20"/>
          <w:color w:val="auto"/>
        </w:rPr>
      </w:pPr>
    </w:p>
    <w:p>
      <w:pPr>
        <w:ind w:right="3599" w:firstLine="603"/>
        <w:spacing w:after="0" w:line="292" w:lineRule="auto"/>
        <w:rPr>
          <w:sz w:val="20"/>
          <w:szCs w:val="20"/>
          <w:color w:val="auto"/>
        </w:rPr>
      </w:pPr>
      <w:r>
        <w:rPr>
          <w:rFonts w:ascii="Courier New" w:cs="Courier New" w:eastAsia="Courier New" w:hAnsi="Courier New"/>
          <w:sz w:val="14"/>
          <w:szCs w:val="14"/>
          <w:color w:val="auto"/>
        </w:rPr>
        <w:t>Section 6. Administration. This Plan shall be administered by the Committee. All decisions and interpretations of the Committee shall be conclusive and binding on the Company, and the Participants. The Plan may be amended or terminated by the Board of</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5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4"/>
          <w:szCs w:val="14"/>
          <w:color w:val="auto"/>
        </w:rPr>
        <w:t>Directors of the Company at any time and any Participant may have his designation as such terminated by the Committee at any time; provided, however, that no such amendment or termination or change in designation shall deprive any Participant of supplemental retirement or savings benefits accrued to the date of such amendment or termination or modify the last two sentences of Section 5 in a manner adverse to any Participant.</w:t>
      </w:r>
    </w:p>
    <w:p>
      <w:pPr>
        <w:spacing w:after="0" w:line="69" w:lineRule="exact"/>
        <w:rPr>
          <w:sz w:val="20"/>
          <w:szCs w:val="20"/>
          <w:color w:val="auto"/>
        </w:rPr>
      </w:pPr>
    </w:p>
    <w:p>
      <w:pPr>
        <w:ind w:right="3339" w:firstLine="603"/>
        <w:spacing w:after="0" w:line="266" w:lineRule="auto"/>
        <w:rPr>
          <w:sz w:val="20"/>
          <w:szCs w:val="20"/>
          <w:color w:val="auto"/>
        </w:rPr>
      </w:pPr>
      <w:r>
        <w:rPr>
          <w:rFonts w:ascii="Courier New" w:cs="Courier New" w:eastAsia="Courier New" w:hAnsi="Courier New"/>
          <w:sz w:val="14"/>
          <w:szCs w:val="14"/>
          <w:color w:val="auto"/>
        </w:rPr>
        <w:t>Section 7. Loss of Benefits. Notwithstanding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rights to any benefits under this Plan shall be forfeited; except that such Participant shall be entitled to receive the aggregate amount of his Supplemental Basic Contributions, without any interest, in such event.</w:t>
      </w:r>
    </w:p>
    <w:p>
      <w:pPr>
        <w:spacing w:after="0" w:line="74"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Section 8. Nonassignability. No Participant, or beneficiary shall have the right to assign, pledge or otherwise dispose of any benefits payable to him hereunder nor shall any benefit hereunder be subject to garnishment, attachment, transfer by operation of law, or any legal process.</w:t>
      </w:r>
    </w:p>
    <w:p>
      <w:pPr>
        <w:spacing w:after="0" w:line="56" w:lineRule="exact"/>
        <w:rPr>
          <w:sz w:val="20"/>
          <w:szCs w:val="20"/>
          <w:color w:val="auto"/>
        </w:rPr>
      </w:pPr>
    </w:p>
    <w:p>
      <w:pPr>
        <w:ind w:right="3259" w:firstLine="603"/>
        <w:spacing w:after="0" w:line="275" w:lineRule="auto"/>
        <w:rPr>
          <w:sz w:val="20"/>
          <w:szCs w:val="20"/>
          <w:color w:val="auto"/>
        </w:rPr>
      </w:pPr>
      <w:r>
        <w:rPr>
          <w:rFonts w:ascii="Courier New" w:cs="Courier New" w:eastAsia="Courier New" w:hAnsi="Courier New"/>
          <w:sz w:val="14"/>
          <w:szCs w:val="14"/>
          <w:color w:val="auto"/>
        </w:rPr>
        <w:t>Section 9. Limitation of Liability. 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as provided herein.</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59"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259" w:firstLine="603"/>
        <w:spacing w:after="0" w:line="313" w:lineRule="auto"/>
        <w:rPr>
          <w:sz w:val="20"/>
          <w:szCs w:val="20"/>
          <w:color w:val="auto"/>
        </w:rPr>
      </w:pPr>
      <w:r>
        <w:rPr>
          <w:rFonts w:ascii="Courier New" w:cs="Courier New" w:eastAsia="Courier New" w:hAnsi="Courier New"/>
          <w:sz w:val="14"/>
          <w:szCs w:val="14"/>
          <w:color w:val="auto"/>
        </w:rPr>
        <w:t>Section 10. Use of Masculine and Feminine; Singular and Plural. Wherever used in this Plan, the masculine gender will include the feminine gender and the singular will include the plural, unless the context indicates otherwise.</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59"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1</w:t>
      </w:r>
    </w:p>
    <w:p>
      <w:pPr>
        <w:spacing w:after="0" w:line="3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DEFERRED COMPENSATION PLAN</w:t>
      </w:r>
    </w:p>
    <w:p>
      <w:pPr>
        <w:spacing w:after="0" w:line="14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AMENDED AND RESTATED EFFECTIVE MARCH 9, 2000</w:t>
      </w:r>
    </w:p>
    <w:p>
      <w:pPr>
        <w:sectPr>
          <w:pgSz w:w="11900" w:h="16838" w:orient="portrait"/>
          <w:cols w:equalWidth="0" w:num="1">
            <w:col w:w="9899"/>
          </w:cols>
          <w:pgMar w:left="560" w:top="11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DEFERRED COMPENSATION PLAN</w:t>
      </w:r>
    </w:p>
    <w:p>
      <w:pPr>
        <w:spacing w:after="0" w:line="338" w:lineRule="exact"/>
        <w:rPr>
          <w:sz w:val="20"/>
          <w:szCs w:val="20"/>
          <w:color w:val="auto"/>
        </w:rPr>
      </w:pPr>
    </w:p>
    <w:p>
      <w:pPr>
        <w:ind w:right="3339" w:firstLine="603"/>
        <w:spacing w:after="0" w:line="281" w:lineRule="auto"/>
        <w:rPr>
          <w:sz w:val="20"/>
          <w:szCs w:val="20"/>
          <w:color w:val="auto"/>
        </w:rPr>
      </w:pPr>
      <w:r>
        <w:rPr>
          <w:rFonts w:ascii="Courier New" w:cs="Courier New" w:eastAsia="Courier New" w:hAnsi="Courier New"/>
          <w:sz w:val="14"/>
          <w:szCs w:val="14"/>
          <w:color w:val="auto"/>
        </w:rPr>
        <w:t>Section 1. Purpose. The Washington Post Company Deferred Compensation Plan (the "Plan") is an unfunded plan established for the purpose of offering a select group of management and other highly compensated key employees the opportunity to defer the receipt of compensation payments that would otherwise become payable to them currently for the periods provided in the Plan.</w:t>
      </w:r>
    </w:p>
    <w:p>
      <w:pPr>
        <w:spacing w:after="0" w:line="65" w:lineRule="exact"/>
        <w:rPr>
          <w:sz w:val="20"/>
          <w:szCs w:val="20"/>
          <w:color w:val="auto"/>
        </w:rPr>
      </w:pPr>
    </w:p>
    <w:p>
      <w:pPr>
        <w:ind w:right="3339" w:firstLine="603"/>
        <w:spacing w:after="0" w:line="268" w:lineRule="auto"/>
        <w:rPr>
          <w:sz w:val="20"/>
          <w:szCs w:val="20"/>
          <w:color w:val="auto"/>
        </w:rPr>
      </w:pPr>
      <w:r>
        <w:rPr>
          <w:rFonts w:ascii="Courier New" w:cs="Courier New" w:eastAsia="Courier New" w:hAnsi="Courier New"/>
          <w:sz w:val="14"/>
          <w:szCs w:val="14"/>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may be, or to interfere with the right of the Company or an Affiliate, as the case may be, to discharge any employee at any time, or to establish the terms and conditions of employment of any employee.</w:t>
      </w:r>
    </w:p>
    <w:p>
      <w:pPr>
        <w:spacing w:after="0" w:line="74" w:lineRule="exact"/>
        <w:rPr>
          <w:sz w:val="20"/>
          <w:szCs w:val="20"/>
          <w:color w:val="auto"/>
        </w:rPr>
      </w:pPr>
    </w:p>
    <w:p>
      <w:pPr>
        <w:ind w:right="3439" w:firstLine="603"/>
        <w:spacing w:after="0" w:line="292" w:lineRule="auto"/>
        <w:rPr>
          <w:sz w:val="20"/>
          <w:szCs w:val="20"/>
          <w:color w:val="auto"/>
        </w:rPr>
      </w:pPr>
      <w:r>
        <w:rPr>
          <w:rFonts w:ascii="Courier New" w:cs="Courier New" w:eastAsia="Courier New" w:hAnsi="Courier New"/>
          <w:sz w:val="14"/>
          <w:szCs w:val="14"/>
          <w:color w:val="auto"/>
        </w:rPr>
        <w:t>Benefits from this Plan shall be payable solely from the general assets of the Company and participants herein shall not be entitled to look to any source for payment of such benefits other than the general assets of the Company.</w:t>
      </w:r>
    </w:p>
    <w:p>
      <w:pPr>
        <w:spacing w:after="0" w:line="56" w:lineRule="exact"/>
        <w:rPr>
          <w:sz w:val="20"/>
          <w:szCs w:val="20"/>
          <w:color w:val="auto"/>
        </w:rPr>
      </w:pPr>
    </w:p>
    <w:p>
      <w:pPr>
        <w:ind w:right="3439" w:firstLine="603"/>
        <w:spacing w:after="0" w:line="375" w:lineRule="auto"/>
        <w:rPr>
          <w:sz w:val="20"/>
          <w:szCs w:val="20"/>
          <w:color w:val="auto"/>
        </w:rPr>
      </w:pPr>
      <w:r>
        <w:rPr>
          <w:rFonts w:ascii="Courier New" w:cs="Courier New" w:eastAsia="Courier New" w:hAnsi="Courier New"/>
          <w:sz w:val="14"/>
          <w:szCs w:val="14"/>
          <w:color w:val="auto"/>
        </w:rPr>
        <w:t>Section 2. Definitions. As used in this Plan, the following words shall have the following meanings:</w:t>
      </w:r>
    </w:p>
    <w:p>
      <w:pPr>
        <w:spacing w:after="0" w:line="1" w:lineRule="exact"/>
        <w:rPr>
          <w:sz w:val="20"/>
          <w:szCs w:val="20"/>
          <w:color w:val="auto"/>
        </w:rPr>
      </w:pPr>
    </w:p>
    <w:p>
      <w:pPr>
        <w:ind w:right="3259" w:firstLine="611"/>
        <w:spacing w:after="0" w:line="281" w:lineRule="auto"/>
        <w:tabs>
          <w:tab w:leader="none" w:pos="94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any corporation (other than the Company) more than 50% of the outstanding stock of which is directly or indirectly owned by the Company and any unincorporated trade or business which is under common control with the Company as determined in accordance with Section 414(c) of the Internal Revenue Code and the regulations thereunder.</w:t>
      </w:r>
    </w:p>
    <w:p>
      <w:pPr>
        <w:spacing w:after="0" w:line="3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5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both"/>
        <w:ind w:right="3259" w:firstLine="611"/>
        <w:spacing w:after="0" w:line="292" w:lineRule="auto"/>
        <w:tabs>
          <w:tab w:leader="none" w:pos="94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Incentive Compensation" means any bonus awarded to a Participant and payable in cash under the Company's Executive Incentive Compensation Plan or any other annual bonus program maintained by the Company or an Affiliate.</w:t>
      </w:r>
    </w:p>
    <w:p>
      <w:pPr>
        <w:spacing w:after="0" w:line="56" w:lineRule="exact"/>
        <w:rPr>
          <w:rFonts w:ascii="Courier New" w:cs="Courier New" w:eastAsia="Courier New" w:hAnsi="Courier New"/>
          <w:sz w:val="14"/>
          <w:szCs w:val="14"/>
          <w:color w:val="auto"/>
        </w:rPr>
      </w:pPr>
    </w:p>
    <w:p>
      <w:pPr>
        <w:ind w:right="3259" w:firstLine="611"/>
        <w:spacing w:after="0" w:line="275" w:lineRule="auto"/>
        <w:tabs>
          <w:tab w:leader="none" w:pos="94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means the person, persons or entity designated in writing by the Participant to receive his or her Participant Account in the event of his or her death. If no effective designation of beneficiary is on file with the Committee, then such amounts that would otherwise be payable to a Beneficiary will be paid to the surviving spouse of the Participant, or, if there is no surviving spouse, then to the Participant's estate.</w:t>
      </w:r>
    </w:p>
    <w:p>
      <w:pPr>
        <w:spacing w:after="0" w:line="68"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 of</w:t>
      </w:r>
    </w:p>
    <w:p>
      <w:pPr>
        <w:spacing w:after="0" w:line="3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w:t>
      </w:r>
    </w:p>
    <w:p>
      <w:pPr>
        <w:spacing w:after="0" w:line="146" w:lineRule="exact"/>
        <w:rPr>
          <w:rFonts w:ascii="Courier New" w:cs="Courier New" w:eastAsia="Courier New" w:hAnsi="Courier New"/>
          <w:sz w:val="14"/>
          <w:szCs w:val="14"/>
          <w:color w:val="auto"/>
        </w:rPr>
      </w:pPr>
    </w:p>
    <w:p>
      <w:pPr>
        <w:ind w:right="3339" w:firstLine="611"/>
        <w:spacing w:after="0" w:line="375" w:lineRule="auto"/>
        <w:tabs>
          <w:tab w:leader="none" w:pos="94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Washington Post Company, a Delaware corporation, and any successors in interest thereto.</w:t>
      </w:r>
    </w:p>
    <w:p>
      <w:pPr>
        <w:spacing w:after="0" w:line="1" w:lineRule="exact"/>
        <w:rPr>
          <w:rFonts w:ascii="Courier New" w:cs="Courier New" w:eastAsia="Courier New" w:hAnsi="Courier New"/>
          <w:sz w:val="14"/>
          <w:szCs w:val="14"/>
          <w:color w:val="auto"/>
        </w:rPr>
      </w:pPr>
    </w:p>
    <w:p>
      <w:pPr>
        <w:ind w:right="3259" w:firstLine="611"/>
        <w:spacing w:after="0" w:line="375" w:lineRule="auto"/>
        <w:tabs>
          <w:tab w:leader="none" w:pos="94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means any amounts deferred under this Plan in accordance with Section 3.</w:t>
      </w:r>
    </w:p>
    <w:p>
      <w:pPr>
        <w:spacing w:after="0" w:line="1" w:lineRule="exact"/>
        <w:rPr>
          <w:rFonts w:ascii="Courier New" w:cs="Courier New" w:eastAsia="Courier New" w:hAnsi="Courier New"/>
          <w:sz w:val="14"/>
          <w:szCs w:val="14"/>
          <w:color w:val="auto"/>
        </w:rPr>
      </w:pPr>
    </w:p>
    <w:p>
      <w:pPr>
        <w:ind w:right="3259" w:firstLine="611"/>
        <w:spacing w:after="0" w:line="261" w:lineRule="auto"/>
        <w:tabs>
          <w:tab w:leader="none" w:pos="94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Deferral Period" means one of the following periods as selected by the Participant with respect to his or her Deferred Compensation for the particular Plan Year or Short Year: (i) until a specified date in the future, or (ii) until a date which is the end of the calendar month following the Participant's termination of employment with the Company or Affiliate, as the case may be. For purposes of this section, it shall not be considered a termination of employment when a Participant is granted a military or personal leave of absence by the Company or when a Participant is transferred from the Company to any Affiliate. Notwithstanding the foregoing, a Participant may not defer receipt of his or her Deferred Compensation beyond the later of (i) the first of the calendar month following his or her 65th birthday, or (ii) the first of the calendar month following the Participant's termination of employment with the Company or Affiliate, as the case may be.</w:t>
      </w:r>
    </w:p>
    <w:p>
      <w:pPr>
        <w:spacing w:after="0" w:line="76"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means November 15, 1996.</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5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960" w:hanging="349"/>
        <w:spacing w:after="0"/>
        <w:tabs>
          <w:tab w:leader="none" w:pos="9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means the Employee Retirement Income Security Act of 1974, as</w:t>
      </w:r>
    </w:p>
    <w:p>
      <w:pPr>
        <w:spacing w:after="0" w:line="3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46" w:lineRule="exact"/>
        <w:rPr>
          <w:rFonts w:ascii="Courier New" w:cs="Courier New" w:eastAsia="Courier New" w:hAnsi="Courier New"/>
          <w:sz w:val="14"/>
          <w:szCs w:val="14"/>
          <w:color w:val="auto"/>
        </w:rPr>
      </w:pPr>
    </w:p>
    <w:p>
      <w:pPr>
        <w:ind w:right="3259" w:firstLine="611"/>
        <w:spacing w:after="0" w:line="281" w:lineRule="auto"/>
        <w:tabs>
          <w:tab w:leader="none" w:pos="9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Election" means an election filed by the Participant selecting the investment credit factor(s) that will be applicable to the Participant's Account. The Committee shall determine the manner in which Investment Elections may be made and the frequency with which such elections may be prospectively changed.</w:t>
      </w:r>
    </w:p>
    <w:p>
      <w:pPr>
        <w:spacing w:after="0" w:line="65" w:lineRule="exact"/>
        <w:rPr>
          <w:rFonts w:ascii="Courier New" w:cs="Courier New" w:eastAsia="Courier New" w:hAnsi="Courier New"/>
          <w:sz w:val="14"/>
          <w:szCs w:val="14"/>
          <w:color w:val="auto"/>
        </w:rPr>
      </w:pPr>
    </w:p>
    <w:p>
      <w:pPr>
        <w:ind w:right="3259" w:firstLine="611"/>
        <w:spacing w:after="0" w:line="275" w:lineRule="auto"/>
        <w:tabs>
          <w:tab w:leader="none" w:pos="9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Incentive Compensation" means any bonus awarded to a Participant and payable in cash under the Performance Unit provisions of the Company's Long-Term Incentive Plan or another special long-term incentive compensation plan maintained by the Company or an Affiliate that provides the opportunity for a cash bonus payment at the end of a specified period (minimum 2 years) based on the attainment of specific performance goals.</w:t>
      </w:r>
    </w:p>
    <w:p>
      <w:pPr>
        <w:spacing w:after="0" w:line="68" w:lineRule="exact"/>
        <w:rPr>
          <w:rFonts w:ascii="Courier New" w:cs="Courier New" w:eastAsia="Courier New" w:hAnsi="Courier New"/>
          <w:sz w:val="14"/>
          <w:szCs w:val="14"/>
          <w:color w:val="auto"/>
        </w:rPr>
      </w:pPr>
    </w:p>
    <w:p>
      <w:pPr>
        <w:ind w:right="3259" w:firstLine="611"/>
        <w:spacing w:after="0" w:line="271" w:lineRule="auto"/>
        <w:tabs>
          <w:tab w:leader="none" w:pos="9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is a participant in the Company's Annual Incentive Compensation Plan or any other formal annual incentive program maintained by the Company or an Affiliate.</w:t>
      </w:r>
    </w:p>
    <w:p>
      <w:pPr>
        <w:spacing w:after="0" w:line="71" w:lineRule="exact"/>
        <w:rPr>
          <w:rFonts w:ascii="Courier New" w:cs="Courier New" w:eastAsia="Courier New" w:hAnsi="Courier New"/>
          <w:sz w:val="14"/>
          <w:szCs w:val="14"/>
          <w:color w:val="auto"/>
        </w:rPr>
      </w:pPr>
    </w:p>
    <w:p>
      <w:pPr>
        <w:ind w:right="3259" w:firstLine="611"/>
        <w:spacing w:after="0" w:line="292" w:lineRule="auto"/>
        <w:tabs>
          <w:tab w:leader="none" w:pos="9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Account" means a separate account representing the value of a Participant's Deferred Compensation with respect to any Plan Year or Short Year. A Participant may have more than one Participant Account, reflecting separate year deferral elections.</w:t>
      </w:r>
    </w:p>
    <w:p>
      <w:pPr>
        <w:spacing w:after="0" w:line="56" w:lineRule="exact"/>
        <w:rPr>
          <w:rFonts w:ascii="Courier New" w:cs="Courier New" w:eastAsia="Courier New" w:hAnsi="Courier New"/>
          <w:sz w:val="14"/>
          <w:szCs w:val="14"/>
          <w:color w:val="auto"/>
        </w:rPr>
      </w:pPr>
    </w:p>
    <w:p>
      <w:pPr>
        <w:ind w:right="3439" w:firstLine="611"/>
        <w:spacing w:after="0" w:line="313" w:lineRule="auto"/>
        <w:tabs>
          <w:tab w:leader="none" w:pos="9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"Payout Period" means either (i) a lump sum or (ii) a series of annual installments, which may not be less than 2 nor more than 10, over which the Participant's Account shall be paid.</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59"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700" w:hanging="349"/>
        <w:spacing w:after="0"/>
        <w:tabs>
          <w:tab w:leader="none" w:pos="7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Year" means a calendar year.</w:t>
      </w:r>
    </w:p>
    <w:p>
      <w:pPr>
        <w:spacing w:after="0" w:line="172" w:lineRule="exact"/>
        <w:rPr>
          <w:rFonts w:ascii="Courier New" w:cs="Courier New" w:eastAsia="Courier New" w:hAnsi="Courier New"/>
          <w:sz w:val="14"/>
          <w:szCs w:val="14"/>
          <w:color w:val="auto"/>
        </w:rPr>
      </w:pPr>
    </w:p>
    <w:p>
      <w:pPr>
        <w:ind w:left="-260" w:right="3259" w:firstLine="611"/>
        <w:spacing w:after="0" w:line="292" w:lineRule="auto"/>
        <w:tabs>
          <w:tab w:leader="none" w:pos="6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 Year" means (I) the remainder of the calendar year following the Effective Date of this Plan and (ii) the remainder of the calendar year following the date an employee first becomes a Participant in this Plan if other than the beginning of a calendar year.</w:t>
      </w:r>
    </w:p>
    <w:p>
      <w:pPr>
        <w:spacing w:after="0" w:line="56" w:lineRule="exact"/>
        <w:rPr>
          <w:rFonts w:ascii="Courier New" w:cs="Courier New" w:eastAsia="Courier New" w:hAnsi="Courier New"/>
          <w:sz w:val="14"/>
          <w:szCs w:val="14"/>
          <w:color w:val="auto"/>
        </w:rPr>
      </w:pPr>
    </w:p>
    <w:p>
      <w:pPr>
        <w:ind w:left="-260" w:right="3339" w:firstLine="611"/>
        <w:spacing w:after="0" w:line="292" w:lineRule="auto"/>
        <w:tabs>
          <w:tab w:leader="none" w:pos="6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Amount" means the portion of the Participant's Annual Incentive Compensation and/or Long-Term Incentive Compensation for a particular Plan Year or Short Year which the Participant elects in writing to defer hereunder, provided that such amount shall not be less than $10,000.</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Section 3. Deferral Elections.</w:t>
      </w:r>
    </w:p>
    <w:p>
      <w:pPr>
        <w:spacing w:after="0" w:line="173" w:lineRule="exact"/>
        <w:rPr>
          <w:sz w:val="20"/>
          <w:szCs w:val="20"/>
          <w:color w:val="auto"/>
        </w:rPr>
      </w:pPr>
    </w:p>
    <w:p>
      <w:pPr>
        <w:ind w:left="-260" w:right="3259" w:firstLine="611"/>
        <w:spacing w:after="0" w:line="269" w:lineRule="auto"/>
        <w:tabs>
          <w:tab w:leader="none" w:pos="68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described below, each Participant may elect to have the payment of a Specified Amount of his or her Annual Incentive Compensation and/or Long-Term Incentive Compensation deferred pursuant to this Plan for the Designated Deferral Period. A deferral election will be applicable to the Plan Year or Short Year for which it is designated and will apply only to Annual Incentive Compensation or Long-Term Incentive Compensation otherwise first payable by the Company after the date the election is filed with the Committee.</w:t>
      </w:r>
    </w:p>
    <w:p>
      <w:pPr>
        <w:spacing w:after="0" w:line="246" w:lineRule="exact"/>
        <w:rPr>
          <w:rFonts w:ascii="Courier New" w:cs="Courier New" w:eastAsia="Courier New" w:hAnsi="Courier New"/>
          <w:sz w:val="14"/>
          <w:szCs w:val="14"/>
          <w:color w:val="auto"/>
        </w:rPr>
      </w:pPr>
    </w:p>
    <w:p>
      <w:pPr>
        <w:ind w:left="-260" w:right="3259" w:firstLine="611"/>
        <w:spacing w:after="0" w:line="271" w:lineRule="auto"/>
        <w:tabs>
          <w:tab w:leader="none" w:pos="68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deferral election must be an irrevocable written election on a form prescribed by the Committee, made within a period specified by the Committee before any Plan Year but in no event later than the last day of the calendar year preceding the Plan Year to which the deferral election is applicable. In the event of a Short Year, the specified period will be no later than 30 days following initial notification of the employee that he or she has become a Participant for the Short Year.</w:t>
      </w:r>
    </w:p>
    <w:p>
      <w:pPr>
        <w:spacing w:after="0" w:line="71" w:lineRule="exact"/>
        <w:rPr>
          <w:rFonts w:ascii="Courier New" w:cs="Courier New" w:eastAsia="Courier New" w:hAnsi="Courier New"/>
          <w:sz w:val="14"/>
          <w:szCs w:val="14"/>
          <w:color w:val="auto"/>
        </w:rPr>
      </w:pPr>
    </w:p>
    <w:p>
      <w:pPr>
        <w:ind w:left="-260" w:right="3339" w:firstLine="611"/>
        <w:spacing w:after="0" w:line="281" w:lineRule="auto"/>
        <w:tabs>
          <w:tab w:leader="none" w:pos="68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deferral election shall set forth the Specified Amount of the Participant's Annual Incentive Compensation or Long-Term Incentive Compensation for the calendar year covered by the election that the Participant desires to have deferred, the Designated Deferral Period and the Payout Period. A Participant may file a change in the</w:t>
      </w:r>
    </w:p>
    <w:p>
      <w:pPr>
        <w:spacing w:after="0" w:line="3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99"/>
          </w:cols>
          <w:pgMar w:left="560" w:top="259"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4"/>
          <w:szCs w:val="14"/>
          <w:color w:val="auto"/>
        </w:rPr>
        <w:t>Designated Deferral Period and/or the Payout Period with respect to his deferral election provided that such a change is filed with the Committee prior to the last day of the Plan Year preceding the Plan Year in which payment of the Participant's Account otherwise would have been made or commenced.</w:t>
      </w:r>
    </w:p>
    <w:p>
      <w:pPr>
        <w:spacing w:after="0" w:line="56" w:lineRule="exact"/>
        <w:rPr>
          <w:sz w:val="20"/>
          <w:szCs w:val="20"/>
          <w:color w:val="auto"/>
        </w:rPr>
      </w:pPr>
    </w:p>
    <w:p>
      <w:pPr>
        <w:ind w:right="3259" w:firstLine="611"/>
        <w:spacing w:after="0" w:line="271" w:lineRule="auto"/>
        <w:tabs>
          <w:tab w:leader="none" w:pos="94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from time to time, set limitations on the amount of a Participant's Annual Incentive Compensation and/or Long-Term Incentive Compensation which may be subject to deferral under this Plan, including but not limited to establishing annual limitations relating to particular employment positions or levels of Participants and/or compensation levels. Any applicable limitations will be set forth on the deferral election form relating to the Plan Year for which such limitations are applicable.</w:t>
      </w:r>
    </w:p>
    <w:p>
      <w:pPr>
        <w:spacing w:after="0" w:line="71" w:lineRule="exact"/>
        <w:rPr>
          <w:rFonts w:ascii="Courier New" w:cs="Courier New" w:eastAsia="Courier New" w:hAnsi="Courier New"/>
          <w:sz w:val="14"/>
          <w:szCs w:val="14"/>
          <w:color w:val="auto"/>
        </w:rPr>
      </w:pPr>
    </w:p>
    <w:p>
      <w:pPr>
        <w:ind w:right="3439" w:firstLine="611"/>
        <w:spacing w:after="0" w:line="375" w:lineRule="auto"/>
        <w:tabs>
          <w:tab w:leader="none" w:pos="94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will be 100% vested in his or her Participant Account at all times.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Section 4. Treatment of Deferred Amounts.</w:t>
      </w:r>
    </w:p>
    <w:p>
      <w:pPr>
        <w:spacing w:after="0" w:line="173" w:lineRule="exact"/>
        <w:rPr>
          <w:sz w:val="20"/>
          <w:szCs w:val="20"/>
          <w:color w:val="auto"/>
        </w:rPr>
      </w:pPr>
    </w:p>
    <w:p>
      <w:pPr>
        <w:ind w:right="3259" w:firstLine="611"/>
        <w:spacing w:after="0" w:line="275" w:lineRule="auto"/>
        <w:tabs>
          <w:tab w:leader="none" w:pos="94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maintain on its books a separate Participant Account for each Participant who has deferred compensation under this Plan with respect to any Plan Year or Short Year. The amount of such Deferred Compensation shall be credited to such Participant's Account on the date or dates during the calendar year or Short Year on which the Deferred Compensation would have been payable to the Participant but for the deferral under this Plan.</w:t>
      </w:r>
    </w:p>
    <w:p>
      <w:pPr>
        <w:spacing w:after="0" w:line="68" w:lineRule="exact"/>
        <w:rPr>
          <w:rFonts w:ascii="Courier New" w:cs="Courier New" w:eastAsia="Courier New" w:hAnsi="Courier New"/>
          <w:sz w:val="14"/>
          <w:szCs w:val="14"/>
          <w:color w:val="auto"/>
        </w:rPr>
      </w:pPr>
    </w:p>
    <w:p>
      <w:pPr>
        <w:ind w:right="3259" w:firstLine="611"/>
        <w:spacing w:after="0" w:line="271" w:lineRule="auto"/>
        <w:tabs>
          <w:tab w:leader="none" w:pos="94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Participant's Account shall be deemed to earn investment credits reflecting gains or losses with respect to each Plan Year or Short Year in accordance with the Participant's individual Investment Election. The Committee shall determine the investment credit factors that will be offered in any Plan Year. Beginning with the Effective Date, the investment credit factors will be the equivalent rates of return generated by the investment options offered under the 401(k) plan maintained by the Company.</w:t>
      </w:r>
    </w:p>
    <w:p>
      <w:pPr>
        <w:spacing w:after="0" w:line="71" w:lineRule="exact"/>
        <w:rPr>
          <w:rFonts w:ascii="Courier New" w:cs="Courier New" w:eastAsia="Courier New" w:hAnsi="Courier New"/>
          <w:sz w:val="14"/>
          <w:szCs w:val="14"/>
          <w:color w:val="auto"/>
        </w:rPr>
      </w:pPr>
    </w:p>
    <w:p>
      <w:pPr>
        <w:ind w:right="3339" w:firstLine="611"/>
        <w:spacing w:after="0" w:line="313" w:lineRule="auto"/>
        <w:tabs>
          <w:tab w:leader="none" w:pos="94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Participant fails to complete a valid Investment Election, his or her Deferred Compensation will be credited with the investment credit amounts</w:t>
      </w: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59"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259"/>
        <w:spacing w:after="0" w:line="375" w:lineRule="auto"/>
        <w:rPr>
          <w:sz w:val="20"/>
          <w:szCs w:val="20"/>
          <w:color w:val="auto"/>
        </w:rPr>
      </w:pPr>
      <w:r>
        <w:rPr>
          <w:rFonts w:ascii="Courier New" w:cs="Courier New" w:eastAsia="Courier New" w:hAnsi="Courier New"/>
          <w:sz w:val="14"/>
          <w:szCs w:val="14"/>
          <w:color w:val="auto"/>
        </w:rPr>
        <w:t>equivalent to the rates of return generated by the money market option under the Company's 401(k) plan.</w:t>
      </w:r>
    </w:p>
    <w:p>
      <w:pPr>
        <w:spacing w:after="0" w:line="1" w:lineRule="exact"/>
        <w:rPr>
          <w:sz w:val="20"/>
          <w:szCs w:val="20"/>
          <w:color w:val="auto"/>
        </w:rPr>
      </w:pPr>
    </w:p>
    <w:p>
      <w:pPr>
        <w:ind w:right="3259" w:firstLine="611"/>
        <w:spacing w:after="0" w:line="298" w:lineRule="auto"/>
        <w:tabs>
          <w:tab w:leader="none" w:pos="94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add to (or subtract from) each Participant's Account the appropriate amounts, in accordance with the Participant's Investment Election, calculated no less frequently than the last day of each calendar quarter.</w:t>
      </w:r>
    </w:p>
    <w:p>
      <w:pPr>
        <w:spacing w:after="0" w:line="237" w:lineRule="exact"/>
        <w:rPr>
          <w:rFonts w:ascii="Courier New" w:cs="Courier New" w:eastAsia="Courier New" w:hAnsi="Courier New"/>
          <w:sz w:val="14"/>
          <w:szCs w:val="14"/>
          <w:color w:val="auto"/>
        </w:rPr>
      </w:pPr>
    </w:p>
    <w:p>
      <w:pPr>
        <w:ind w:right="3259" w:firstLine="611"/>
        <w:spacing w:after="0" w:line="271" w:lineRule="auto"/>
        <w:tabs>
          <w:tab w:leader="none" w:pos="94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assets shall be segregated or earmarked in respect of any Participant Account and no Participant shall have any right to assign, transfer, or pledge his or her interest, or any portion thereof, in his or her Participant Account. The Plan and the crediting of accounts hereunder shall not constitute a trust and shall merely be for the purpose of recording an unsecured contractual obligation. All amounts payable pursuant to the terms of this Plan shall be paid from the general assets of the Company.</w:t>
      </w:r>
    </w:p>
    <w:p>
      <w:pPr>
        <w:spacing w:after="0" w:line="71" w:lineRule="exact"/>
        <w:rPr>
          <w:rFonts w:ascii="Courier New" w:cs="Courier New" w:eastAsia="Courier New" w:hAnsi="Courier New"/>
          <w:sz w:val="14"/>
          <w:szCs w:val="14"/>
          <w:color w:val="auto"/>
        </w:rPr>
      </w:pPr>
    </w:p>
    <w:p>
      <w:pPr>
        <w:jc w:val="both"/>
        <w:ind w:right="3339" w:firstLine="611"/>
        <w:spacing w:after="0" w:line="292" w:lineRule="auto"/>
        <w:tabs>
          <w:tab w:leader="none" w:pos="94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entire balance in a Participant's Account has been paid in full, the Company will furnish to each Participant a report, at least annually, setting forth the credits and debits to each Participant Account and the status of his or her Account.</w:t>
      </w:r>
    </w:p>
    <w:p>
      <w:pPr>
        <w:spacing w:after="0" w:line="5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5.</w:t>
        <w:tab/>
        <w:t>Payment of Deferred Accounts.</w:t>
      </w:r>
    </w:p>
    <w:p>
      <w:pPr>
        <w:spacing w:after="0" w:line="173" w:lineRule="exact"/>
        <w:rPr>
          <w:sz w:val="20"/>
          <w:szCs w:val="20"/>
          <w:color w:val="auto"/>
        </w:rPr>
      </w:pPr>
    </w:p>
    <w:p>
      <w:pPr>
        <w:ind w:right="3339" w:firstLine="611"/>
        <w:spacing w:after="0" w:line="281" w:lineRule="auto"/>
        <w:tabs>
          <w:tab w:leader="none" w:pos="94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to be paid to a Participant following the expiration of the Designated Deferral Period with respect to any Participant Account shall be computed with respect to the current balance of the Account (Deferred Compensation amount plus and minus cumulative investment Credits) as of the payment date.</w:t>
      </w:r>
    </w:p>
    <w:p>
      <w:pPr>
        <w:spacing w:after="0" w:line="65"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amounts under this Plan shall be made in cash.</w:t>
      </w:r>
    </w:p>
    <w:p>
      <w:pPr>
        <w:spacing w:after="0" w:line="172" w:lineRule="exact"/>
        <w:rPr>
          <w:rFonts w:ascii="Courier New" w:cs="Courier New" w:eastAsia="Courier New" w:hAnsi="Courier New"/>
          <w:sz w:val="14"/>
          <w:szCs w:val="14"/>
          <w:color w:val="auto"/>
        </w:rPr>
      </w:pPr>
    </w:p>
    <w:p>
      <w:pPr>
        <w:ind w:right="3259" w:firstLine="611"/>
        <w:spacing w:after="0" w:line="271" w:lineRule="auto"/>
        <w:tabs>
          <w:tab w:leader="none" w:pos="94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Designated Deferral Period or the Payout Period selected by the Participant, if the employment of a Participant is terminated as a result of the Participant's death or permanent disability, the entire Participant Account shall be payable in a lump sum to such Participant (or, in the case of death, to his or her Beneficiary) as soon as practical but not later than the end of the calendar quarter following the Participant's death or permanent disability. A Participant's employment shall be</w:t>
      </w: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59"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4"/>
          <w:szCs w:val="14"/>
          <w:color w:val="auto"/>
        </w:rPr>
        <w:t>deemed to have been terminated as a result of permanent disability in the event the Participant suffers a physical illness, injury or other impairment in respect to which the Participant is entitled to receive benefits under the long-term disability plan maintained by the Company, provided the Participant is expected to remain on permanent disability for an indefinite period of time.</w:t>
      </w:r>
    </w:p>
    <w:p>
      <w:pPr>
        <w:spacing w:after="0" w:line="65" w:lineRule="exact"/>
        <w:rPr>
          <w:sz w:val="20"/>
          <w:szCs w:val="20"/>
          <w:color w:val="auto"/>
        </w:rPr>
      </w:pPr>
    </w:p>
    <w:p>
      <w:pPr>
        <w:ind w:right="3259" w:firstLine="611"/>
        <w:spacing w:after="0" w:line="275" w:lineRule="auto"/>
        <w:tabs>
          <w:tab w:leader="none" w:pos="9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Plan to the contrary, the Committee, in its sole discretion, is empowered to accelerate the payment of a Participant's Account, without a prepayment penalty, to a Participant for any reason the Committee may determine to be appropriate. Neither the Company nor the Committee shall have any obligation to make any such acceleration for any reason whatsoever.</w:t>
      </w:r>
    </w:p>
    <w:p>
      <w:pPr>
        <w:spacing w:after="0" w:line="68" w:lineRule="exact"/>
        <w:rPr>
          <w:rFonts w:ascii="Courier New" w:cs="Courier New" w:eastAsia="Courier New" w:hAnsi="Courier New"/>
          <w:sz w:val="14"/>
          <w:szCs w:val="14"/>
          <w:color w:val="auto"/>
        </w:rPr>
      </w:pPr>
    </w:p>
    <w:p>
      <w:pPr>
        <w:ind w:right="3259" w:firstLine="611"/>
        <w:spacing w:after="0" w:line="292" w:lineRule="auto"/>
        <w:tabs>
          <w:tab w:leader="none" w:pos="9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to the contrary, the Committee shall have the authority to require deferral beyond the expiration of the designated Deferral Period to the extent necessary to avoid a limitation on the deductibility by the Company of the deferred amount.</w:t>
      </w:r>
    </w:p>
    <w:p>
      <w:pPr>
        <w:spacing w:after="0" w:line="5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6.</w:t>
        <w:tab/>
        <w:t>Administration.</w:t>
      </w:r>
    </w:p>
    <w:p>
      <w:pPr>
        <w:spacing w:after="0" w:line="173" w:lineRule="exact"/>
        <w:rPr>
          <w:sz w:val="20"/>
          <w:szCs w:val="20"/>
          <w:color w:val="auto"/>
        </w:rPr>
      </w:pPr>
    </w:p>
    <w:p>
      <w:pPr>
        <w:ind w:right="3259" w:firstLine="611"/>
        <w:spacing w:after="0" w:line="264" w:lineRule="auto"/>
        <w:tabs>
          <w:tab w:leader="none" w:pos="9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 shall be administered by the Committee. All decisions and interpretations of the Committee shall be conclusive and binding on the Company, its Affiliates and the Participants. The Plan may be amended or terminated by the Board of Directors of the Company at any time and any Participant may have his designation as such terminated by the Committee at any time; provided, however, that no such amendment or termination or change in designation shall deprive any Participant of any benefits or accruals to the date of such amendment or termination, nor shall such actions, without the Participant's consent, adversely affect any Participant's Account up to the date of such action.</w:t>
      </w:r>
    </w:p>
    <w:p>
      <w:pPr>
        <w:spacing w:after="0" w:line="251" w:lineRule="exact"/>
        <w:rPr>
          <w:rFonts w:ascii="Courier New" w:cs="Courier New" w:eastAsia="Courier New" w:hAnsi="Courier New"/>
          <w:sz w:val="14"/>
          <w:szCs w:val="14"/>
          <w:color w:val="auto"/>
        </w:rPr>
      </w:pPr>
    </w:p>
    <w:p>
      <w:pPr>
        <w:ind w:right="3259" w:firstLine="611"/>
        <w:spacing w:after="0" w:line="281" w:lineRule="auto"/>
        <w:tabs>
          <w:tab w:leader="none" w:pos="9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w:t>
      </w:r>
    </w:p>
    <w:p>
      <w:pPr>
        <w:spacing w:after="0" w:line="2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59"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4"/>
          <w:szCs w:val="14"/>
          <w:color w:val="auto"/>
        </w:rPr>
        <w:t>information belonging to the Company or an Affiliate or commission of a crime, such Participant's rights to any benefits under this Plan shall be forfeited; except that such Participant shall be entitled to receive the lesser of (i) the current balance of the Participant Account (Deferred Compensation amount plus and minus cumulative investment credits) or (ii) the aggregate amounts of any Deferred Compensation in his Participant Account, with investment credits at the Vanguard money market fund rate of return for the deferral period.</w:t>
      </w:r>
    </w:p>
    <w:p>
      <w:pPr>
        <w:spacing w:after="0" w:line="71" w:lineRule="exact"/>
        <w:rPr>
          <w:sz w:val="20"/>
          <w:szCs w:val="20"/>
          <w:color w:val="auto"/>
        </w:rPr>
      </w:pPr>
    </w:p>
    <w:p>
      <w:pPr>
        <w:ind w:right="3259" w:firstLine="611"/>
        <w:spacing w:after="0" w:line="275" w:lineRule="auto"/>
        <w:tabs>
          <w:tab w:leader="none" w:pos="94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provided herein.</w:t>
      </w:r>
    </w:p>
    <w:p>
      <w:pPr>
        <w:spacing w:after="0" w:line="68"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bear all expenses incurred by it in administering</w:t>
      </w:r>
    </w:p>
    <w:p>
      <w:pPr>
        <w:spacing w:after="0" w:line="3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w:t>
      </w:r>
    </w:p>
    <w:p>
      <w:pPr>
        <w:spacing w:after="0" w:line="146" w:lineRule="exact"/>
        <w:rPr>
          <w:rFonts w:ascii="Courier New" w:cs="Courier New" w:eastAsia="Courier New" w:hAnsi="Courier New"/>
          <w:sz w:val="14"/>
          <w:szCs w:val="14"/>
          <w:color w:val="auto"/>
        </w:rPr>
      </w:pPr>
    </w:p>
    <w:p>
      <w:pPr>
        <w:ind w:right="3259" w:firstLine="611"/>
        <w:spacing w:after="0" w:line="275" w:lineRule="auto"/>
        <w:tabs>
          <w:tab w:leader="none" w:pos="94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deduct from any other payments to be made by the Company to the Participant, any Federal, state or local taxes required by law to be withheld. To the extent that the Company is required to withhold any taxes or other amounts from the employee's deferred wages pursuant to any Federal, state or local law, such amounts shall be taken out of the portion of the Participant's compensation which is paid currently.</w:t>
      </w:r>
    </w:p>
    <w:p>
      <w:pPr>
        <w:spacing w:after="0" w:line="23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59"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w:t>
      </w:r>
    </w:p>
    <w:p>
      <w:pPr>
        <w:spacing w:after="0" w:line="3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10.6</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CONFORMED COPY</w:t>
      </w:r>
    </w:p>
    <w:p>
      <w:pPr>
        <w:spacing w:after="0" w:line="14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PROMISSORY NOTE</w:t>
      </w:r>
    </w:p>
    <w:p>
      <w:pPr>
        <w:spacing w:after="0" w:line="338" w:lineRule="exact"/>
        <w:rPr>
          <w:sz w:val="20"/>
          <w:szCs w:val="20"/>
          <w:color w:val="auto"/>
        </w:rPr>
      </w:pPr>
    </w:p>
    <w:p>
      <w:pPr>
        <w:spacing w:after="0"/>
        <w:tabs>
          <w:tab w:leader="none" w:pos="4640" w:val="left"/>
          <w:tab w:leader="none" w:pos="5320" w:val="left"/>
        </w:tabs>
        <w:rPr>
          <w:sz w:val="20"/>
          <w:szCs w:val="20"/>
          <w:color w:val="auto"/>
        </w:rPr>
      </w:pPr>
      <w:r>
        <w:rPr>
          <w:rFonts w:ascii="Courier New" w:cs="Courier New" w:eastAsia="Courier New" w:hAnsi="Courier New"/>
          <w:sz w:val="14"/>
          <w:szCs w:val="14"/>
          <w:color w:val="auto"/>
        </w:rPr>
        <w:t>US $1,460,000.00</w:t>
      </w:r>
      <w:r>
        <w:rPr>
          <w:sz w:val="20"/>
          <w:szCs w:val="20"/>
          <w:color w:val="auto"/>
        </w:rPr>
        <w:tab/>
      </w:r>
      <w:r>
        <w:rPr>
          <w:rFonts w:ascii="Courier New" w:cs="Courier New" w:eastAsia="Courier New" w:hAnsi="Courier New"/>
          <w:sz w:val="14"/>
          <w:szCs w:val="14"/>
          <w:color w:val="auto"/>
        </w:rPr>
        <w:t>Dated:</w:t>
        <w:tab/>
        <w:t>November 24, 1999</w:t>
      </w:r>
    </w:p>
    <w:p>
      <w:pPr>
        <w:spacing w:after="0" w:line="173" w:lineRule="exact"/>
        <w:rPr>
          <w:sz w:val="20"/>
          <w:szCs w:val="20"/>
          <w:color w:val="auto"/>
        </w:rPr>
      </w:pPr>
    </w:p>
    <w:p>
      <w:pPr>
        <w:ind w:right="3339" w:firstLine="603"/>
        <w:spacing w:after="0" w:line="271" w:lineRule="auto"/>
        <w:rPr>
          <w:sz w:val="20"/>
          <w:szCs w:val="20"/>
          <w:color w:val="auto"/>
        </w:rPr>
      </w:pPr>
      <w:r>
        <w:rPr>
          <w:rFonts w:ascii="Courier New" w:cs="Courier New" w:eastAsia="Courier New" w:hAnsi="Courier New"/>
          <w:sz w:val="14"/>
          <w:szCs w:val="14"/>
          <w:color w:val="auto"/>
        </w:rPr>
        <w:t>FOR VALUE RECEIVED, the undersigned, Alan G. Spoon and Terri Spoon ("Mr. Spoon"), husband and wife currently residing at 7300 Loch Edin Court, Potomac, Maryland 20854 (collectively, the "Borrowers"), jointly and severally, HEREBY PROMISE TO PAY to the order of The Washington Post Company (the "Lender") the principal sum of One Million Four Hundred Sixty Thousand Dollars (US $1,460,000.00), or, if less, the aggregate principal amount of advances made by the Lender to the Borrowers outstanding on the Final Payment Date.</w:t>
      </w:r>
    </w:p>
    <w:p>
      <w:pPr>
        <w:spacing w:after="0" w:line="71" w:lineRule="exact"/>
        <w:rPr>
          <w:sz w:val="20"/>
          <w:szCs w:val="20"/>
          <w:color w:val="auto"/>
        </w:rPr>
      </w:pPr>
    </w:p>
    <w:p>
      <w:pPr>
        <w:ind w:right="3339" w:firstLine="603"/>
        <w:spacing w:after="0" w:line="375" w:lineRule="auto"/>
        <w:rPr>
          <w:sz w:val="20"/>
          <w:szCs w:val="20"/>
          <w:color w:val="auto"/>
        </w:rPr>
      </w:pPr>
      <w:r>
        <w:rPr>
          <w:rFonts w:ascii="Courier New" w:cs="Courier New" w:eastAsia="Courier New" w:hAnsi="Courier New"/>
          <w:sz w:val="14"/>
          <w:szCs w:val="14"/>
          <w:color w:val="auto"/>
        </w:rPr>
        <w:t>Interest on the loan is calculated using the daily borrowing rate of the company as determined by its borrowing under the Commercial Paper Program.</w:t>
      </w:r>
    </w:p>
    <w:p>
      <w:pPr>
        <w:spacing w:after="0" w:line="1" w:lineRule="exact"/>
        <w:rPr>
          <w:sz w:val="20"/>
          <w:szCs w:val="20"/>
          <w:color w:val="auto"/>
        </w:rPr>
      </w:pPr>
    </w:p>
    <w:p>
      <w:pPr>
        <w:ind w:right="3599" w:firstLine="603"/>
        <w:spacing w:after="0" w:line="375" w:lineRule="auto"/>
        <w:rPr>
          <w:sz w:val="20"/>
          <w:szCs w:val="20"/>
          <w:color w:val="auto"/>
        </w:rPr>
      </w:pPr>
      <w:r>
        <w:rPr>
          <w:rFonts w:ascii="Courier New" w:cs="Courier New" w:eastAsia="Courier New" w:hAnsi="Courier New"/>
          <w:sz w:val="14"/>
          <w:szCs w:val="14"/>
          <w:color w:val="auto"/>
        </w:rPr>
        <w:t>Both principal and interest are payable in lawful money of the United States of America to the Lender.</w:t>
      </w:r>
    </w:p>
    <w:p>
      <w:pPr>
        <w:spacing w:after="0" w:line="1" w:lineRule="exact"/>
        <w:rPr>
          <w:sz w:val="20"/>
          <w:szCs w:val="20"/>
          <w:color w:val="auto"/>
        </w:rPr>
      </w:pPr>
    </w:p>
    <w:p>
      <w:pPr>
        <w:ind w:right="3519" w:firstLine="603"/>
        <w:spacing w:after="0" w:line="375" w:lineRule="auto"/>
        <w:rPr>
          <w:sz w:val="20"/>
          <w:szCs w:val="20"/>
          <w:color w:val="auto"/>
        </w:rPr>
      </w:pPr>
      <w:r>
        <w:rPr>
          <w:rFonts w:ascii="Courier New" w:cs="Courier New" w:eastAsia="Courier New" w:hAnsi="Courier New"/>
          <w:sz w:val="14"/>
          <w:szCs w:val="14"/>
          <w:color w:val="auto"/>
        </w:rPr>
        <w:t>The principal amount herewith then shall be due in full and payable as follows:</w:t>
      </w:r>
    </w:p>
    <w:p>
      <w:pPr>
        <w:spacing w:after="0" w:line="1" w:lineRule="exact"/>
        <w:rPr>
          <w:sz w:val="20"/>
          <w:szCs w:val="20"/>
          <w:color w:val="auto"/>
        </w:rPr>
      </w:pPr>
    </w:p>
    <w:p>
      <w:pPr>
        <w:ind w:left="960" w:hanging="349"/>
        <w:spacing w:after="0"/>
        <w:tabs>
          <w:tab w:leader="none" w:pos="9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settlement on the Tender Offer; or</w:t>
      </w:r>
    </w:p>
    <w:p>
      <w:pPr>
        <w:spacing w:after="0" w:line="172" w:lineRule="exact"/>
        <w:rPr>
          <w:rFonts w:ascii="Courier New" w:cs="Courier New" w:eastAsia="Courier New" w:hAnsi="Courier New"/>
          <w:sz w:val="14"/>
          <w:szCs w:val="14"/>
          <w:color w:val="auto"/>
        </w:rPr>
      </w:pPr>
    </w:p>
    <w:p>
      <w:pPr>
        <w:ind w:left="620" w:right="3439" w:hanging="9"/>
        <w:spacing w:after="0" w:line="292" w:lineRule="auto"/>
        <w:tabs>
          <w:tab w:leader="none" w:pos="105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time-to-time until paid in full on the date any bonus is paid to Mr. Spoon from the Lender on any of the Company's bonus programs including the Annual Incentive Compensation Plan or the Long-Term incentive Compensation Plan of The Washington Post Company; or</w:t>
      </w:r>
    </w:p>
    <w:p>
      <w:pPr>
        <w:spacing w:after="0" w:line="56" w:lineRule="exact"/>
        <w:rPr>
          <w:rFonts w:ascii="Courier New" w:cs="Courier New" w:eastAsia="Courier New" w:hAnsi="Courier New"/>
          <w:sz w:val="14"/>
          <w:szCs w:val="14"/>
          <w:color w:val="auto"/>
        </w:rPr>
      </w:pPr>
    </w:p>
    <w:p>
      <w:pPr>
        <w:ind w:left="620" w:right="3259" w:hanging="9"/>
        <w:spacing w:after="0" w:line="313" w:lineRule="auto"/>
        <w:tabs>
          <w:tab w:leader="none" w:pos="113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ten (10) days of Mr. Spoon's no longer being employed by the Lender for any reason or no reason (other than by reason of death or total disability).</w:t>
      </w:r>
    </w:p>
    <w:p>
      <w:pPr>
        <w:spacing w:after="0" w:line="42"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If this Promissory Note shall not be paid when due and shall be placed by the holder hereof in the hands of any attorney for collection, through legal proceedings or otherwise, the Borrowers will pay a reasonable attorney's fee to the holder hereof together with reasonable costs and expenses of collection.</w:t>
      </w:r>
    </w:p>
    <w:p>
      <w:pPr>
        <w:spacing w:after="0" w:line="56"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The Borrowers jointly and severally agree that all the proceeds of the loan represented by this Promissory Note shall be used towards the purchase of stock of The Washington Post Company in conjunction with the exercise of options under the Company's Stock Option Plan.</w:t>
      </w:r>
    </w:p>
    <w:p>
      <w:pPr>
        <w:sectPr>
          <w:pgSz w:w="11900" w:h="16838" w:orient="portrait"/>
          <w:cols w:equalWidth="0" w:num="1">
            <w:col w:w="10159"/>
          </w:cols>
          <w:pgMar w:left="300" w:top="11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439" w:firstLine="603"/>
        <w:spacing w:after="0" w:line="375" w:lineRule="auto"/>
        <w:rPr>
          <w:sz w:val="20"/>
          <w:szCs w:val="20"/>
          <w:color w:val="auto"/>
        </w:rPr>
      </w:pPr>
      <w:r>
        <w:rPr>
          <w:rFonts w:ascii="Courier New" w:cs="Courier New" w:eastAsia="Courier New" w:hAnsi="Courier New"/>
          <w:sz w:val="14"/>
          <w:szCs w:val="14"/>
          <w:color w:val="auto"/>
        </w:rPr>
        <w:t>Nothing in this Promissory Note shall be construed to create a contract of employment.</w:t>
      </w:r>
    </w:p>
    <w:p>
      <w:pPr>
        <w:spacing w:after="0" w:line="1" w:lineRule="exact"/>
        <w:rPr>
          <w:sz w:val="20"/>
          <w:szCs w:val="20"/>
          <w:color w:val="auto"/>
        </w:rPr>
      </w:pPr>
    </w:p>
    <w:p>
      <w:pPr>
        <w:ind w:right="3259" w:firstLine="603"/>
        <w:spacing w:after="0" w:line="275" w:lineRule="auto"/>
        <w:rPr>
          <w:sz w:val="20"/>
          <w:szCs w:val="20"/>
          <w:color w:val="auto"/>
        </w:rPr>
      </w:pPr>
      <w:r>
        <w:rPr>
          <w:rFonts w:ascii="Courier New" w:cs="Courier New" w:eastAsia="Courier New" w:hAnsi="Courier New"/>
          <w:sz w:val="14"/>
          <w:szCs w:val="14"/>
          <w:color w:val="auto"/>
        </w:rPr>
        <w:t>Each of the Borrowers expressly waives presentment, dishonor, protest and demand, diligence, notice of protest of demand and of dishonor, notice of nonpayment and any other notice otherwise required to be given under law in connection with the delivery, acceptance, performance, default, enforcement or collection of this Promissory Note. Each of the Borrowers also waives trial by jury in any action brought on or with respect to this Promissory Note.</w:t>
      </w:r>
    </w:p>
    <w:p>
      <w:pPr>
        <w:spacing w:after="0" w:line="69" w:lineRule="exact"/>
        <w:rPr>
          <w:sz w:val="20"/>
          <w:szCs w:val="20"/>
          <w:color w:val="auto"/>
        </w:rPr>
      </w:pPr>
    </w:p>
    <w:p>
      <w:pPr>
        <w:ind w:right="3339" w:firstLine="603"/>
        <w:spacing w:after="0" w:line="292" w:lineRule="auto"/>
        <w:rPr>
          <w:sz w:val="20"/>
          <w:szCs w:val="20"/>
          <w:color w:val="auto"/>
        </w:rPr>
      </w:pPr>
      <w:r>
        <w:rPr>
          <w:rFonts w:ascii="Courier New" w:cs="Courier New" w:eastAsia="Courier New" w:hAnsi="Courier New"/>
          <w:sz w:val="14"/>
          <w:szCs w:val="14"/>
          <w:color w:val="auto"/>
        </w:rPr>
        <w:t>No consent or waiver by the holder hereof with respect to any action or failure to act which, without such consent or waiver, would constitute a breach of any provision of this Promissory Note shall be valid and binding unless in writing and signed by both the Borrowers and the holder hereof.</w:t>
      </w:r>
    </w:p>
    <w:p>
      <w:pPr>
        <w:spacing w:after="0" w:line="56" w:lineRule="exact"/>
        <w:rPr>
          <w:sz w:val="20"/>
          <w:szCs w:val="20"/>
          <w:color w:val="auto"/>
        </w:rPr>
      </w:pPr>
    </w:p>
    <w:p>
      <w:pPr>
        <w:ind w:right="3259" w:firstLine="603"/>
        <w:spacing w:after="0" w:line="261" w:lineRule="auto"/>
        <w:rPr>
          <w:sz w:val="20"/>
          <w:szCs w:val="20"/>
          <w:color w:val="auto"/>
        </w:rPr>
      </w:pPr>
      <w:r>
        <w:rPr>
          <w:rFonts w:ascii="Courier New" w:cs="Courier New" w:eastAsia="Courier New" w:hAnsi="Courier New"/>
          <w:sz w:val="14"/>
          <w:szCs w:val="14"/>
          <w:color w:val="auto"/>
        </w:rPr>
        <w:t>All agreements between the Borrowers and the Lender are hereby expressly limited so that in no contingency or event whatsoever, whether by reason of acceleration or maturity of the indebtedness or otherwise, shall the amount paid or agreed to be paid to the Lender for the use, forbearance or detention of the indebtedness evidenced hereby exceed the maximum permissible under applicable law. If, from any circumstances whatsoever, fulfillment of any provision hereof at the time performance of such provision shall be due, shall involve transcending the limit of validity prescribed by law, then ipso facto, the obligation to be fulfilled shall be reduced to the limit of such validity, and if from any circumstance the Lender should ever receive as interest an amount which would exceed the highest lawful rate, such amount which would be excessive interest shall be applied to the reduction of the principal balance evidenced hereby and not to the payment of interest.</w:t>
      </w:r>
    </w:p>
    <w:p>
      <w:pPr>
        <w:spacing w:after="0" w:line="76" w:lineRule="exact"/>
        <w:rPr>
          <w:sz w:val="20"/>
          <w:szCs w:val="20"/>
          <w:color w:val="auto"/>
        </w:rPr>
      </w:pPr>
    </w:p>
    <w:p>
      <w:pPr>
        <w:ind w:right="3599" w:firstLine="603"/>
        <w:spacing w:after="0" w:line="375" w:lineRule="auto"/>
        <w:rPr>
          <w:sz w:val="20"/>
          <w:szCs w:val="20"/>
          <w:color w:val="auto"/>
        </w:rPr>
      </w:pPr>
      <w:r>
        <w:rPr>
          <w:rFonts w:ascii="Courier New" w:cs="Courier New" w:eastAsia="Courier New" w:hAnsi="Courier New"/>
          <w:sz w:val="14"/>
          <w:szCs w:val="14"/>
          <w:color w:val="auto"/>
        </w:rPr>
        <w:t>This Promissory Note shall be governed by and construed in accordance with the laws of the District of Columbia.</w:t>
      </w:r>
    </w:p>
    <w:p>
      <w:pPr>
        <w:spacing w:after="0" w:line="1" w:lineRule="exact"/>
        <w:rPr>
          <w:sz w:val="20"/>
          <w:szCs w:val="20"/>
          <w:color w:val="auto"/>
        </w:rPr>
      </w:pPr>
    </w:p>
    <w:p>
      <w:pPr>
        <w:ind w:right="3339" w:firstLine="603"/>
        <w:spacing w:after="0" w:line="376" w:lineRule="auto"/>
        <w:rPr>
          <w:sz w:val="20"/>
          <w:szCs w:val="20"/>
          <w:color w:val="auto"/>
        </w:rPr>
      </w:pPr>
      <w:r>
        <w:rPr>
          <w:rFonts w:ascii="Courier New" w:cs="Courier New" w:eastAsia="Courier New" w:hAnsi="Courier New"/>
          <w:sz w:val="14"/>
          <w:szCs w:val="14"/>
          <w:color w:val="auto"/>
        </w:rPr>
        <w:t>IN WITNESS WHEREOF, the Borrowers have caused this Promissory Note to be executed as of the day and year first above written.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159"/>
          </w:cols>
          <w:pgMar w:left="300" w:top="259"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Wendy Bannahan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/s/ Alan G. Spoon</w:t>
      </w:r>
      <w:r>
        <w:rPr>
          <w:sz w:val="20"/>
          <w:szCs w:val="20"/>
          <w:color w:val="auto"/>
        </w:rPr>
        <w:tab/>
      </w:r>
      <w:r>
        <w:rPr>
          <w:rFonts w:ascii="Courier New" w:cs="Courier New" w:eastAsia="Courier New" w:hAnsi="Courier New"/>
          <w:sz w:val="14"/>
          <w:szCs w:val="14"/>
          <w:color w:val="auto"/>
        </w:rPr>
        <w:t>11/24/99</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w:t>
      </w:r>
    </w:p>
    <w:p>
      <w:pPr>
        <w:spacing w:after="0" w:line="200" w:lineRule="exact"/>
        <w:rPr>
          <w:sz w:val="20"/>
          <w:szCs w:val="20"/>
          <w:color w:val="auto"/>
        </w:rPr>
      </w:pPr>
    </w:p>
    <w:p>
      <w:pPr>
        <w:sectPr>
          <w:pgSz w:w="11900" w:h="16838" w:orient="portrait"/>
          <w:cols w:equalWidth="0" w:num="2">
            <w:col w:w="2500" w:space="600"/>
            <w:col w:w="7059"/>
          </w:cols>
          <w:pgMar w:left="300" w:top="259" w:right="1440"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Wendy Bannahan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/s/ Terri Spoon</w:t>
      </w:r>
      <w:r>
        <w:rPr>
          <w:sz w:val="20"/>
          <w:szCs w:val="20"/>
          <w:color w:val="auto"/>
        </w:rPr>
        <w:tab/>
      </w:r>
      <w:r>
        <w:rPr>
          <w:rFonts w:ascii="Courier New" w:cs="Courier New" w:eastAsia="Courier New" w:hAnsi="Courier New"/>
          <w:sz w:val="14"/>
          <w:szCs w:val="14"/>
          <w:color w:val="auto"/>
        </w:rPr>
        <w:t>11/24/99</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Terri Spoon</w:t>
      </w:r>
    </w:p>
    <w:p>
      <w:pPr>
        <w:sectPr>
          <w:pgSz w:w="11900" w:h="16838" w:orient="portrait"/>
          <w:cols w:equalWidth="0" w:num="2">
            <w:col w:w="2500" w:space="600"/>
            <w:col w:w="7059"/>
          </w:cols>
          <w:pgMar w:left="300" w:top="259"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10.7</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Conformed Copy</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[Letterhead of 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March 8,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Alan G. Spoon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7300 Loch Edin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Potomac, MD 20854</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Alan:</w:t>
      </w:r>
    </w:p>
    <w:p>
      <w:pPr>
        <w:spacing w:after="0" w:line="173" w:lineRule="exact"/>
        <w:rPr>
          <w:sz w:val="20"/>
          <w:szCs w:val="20"/>
          <w:color w:val="auto"/>
        </w:rPr>
      </w:pPr>
    </w:p>
    <w:p>
      <w:pPr>
        <w:ind w:right="3259" w:firstLine="603"/>
        <w:spacing w:after="0" w:line="292" w:lineRule="auto"/>
        <w:rPr>
          <w:sz w:val="20"/>
          <w:szCs w:val="20"/>
          <w:color w:val="auto"/>
        </w:rPr>
      </w:pPr>
      <w:r>
        <w:rPr>
          <w:rFonts w:ascii="Courier New" w:cs="Courier New" w:eastAsia="Courier New" w:hAnsi="Courier New"/>
          <w:sz w:val="14"/>
          <w:szCs w:val="14"/>
          <w:color w:val="auto"/>
        </w:rPr>
        <w:t>Even as you step down as President of The Washington Post Company to take up new challenges as a partner in Polaris Ventures, we are fortunate that you have agreed on a consulting basis to provide your management skills, leadership and advice on business matters affecting the Company.</w:t>
      </w:r>
    </w:p>
    <w:p>
      <w:pPr>
        <w:spacing w:after="0" w:line="56" w:lineRule="exact"/>
        <w:rPr>
          <w:sz w:val="20"/>
          <w:szCs w:val="20"/>
          <w:color w:val="auto"/>
        </w:rPr>
      </w:pPr>
    </w:p>
    <w:p>
      <w:pPr>
        <w:ind w:right="3339" w:firstLine="603"/>
        <w:spacing w:after="0" w:line="266" w:lineRule="auto"/>
        <w:rPr>
          <w:sz w:val="20"/>
          <w:szCs w:val="20"/>
          <w:color w:val="auto"/>
        </w:rPr>
      </w:pPr>
      <w:r>
        <w:rPr>
          <w:rFonts w:ascii="Courier New" w:cs="Courier New" w:eastAsia="Courier New" w:hAnsi="Courier New"/>
          <w:sz w:val="14"/>
          <w:szCs w:val="14"/>
          <w:color w:val="auto"/>
        </w:rPr>
        <w:t>Based on our discussions, it is our understanding that immediately following April 30, 2000, or such earlier date as you notify me as being the effective date of your resignation, and for a period of twelve months thereafter, you have agreed to devote approximately 40 hours to consulting and advising on business matters affecting the Company, as may be requested by me. In return, you will be paid a fee of $75,000, payable in quarterly installments of $17,500 each at the beginning of each quarter. In addition, you will be reimbursed for all reasonable travel and out-of-pocket expenses incurred in providing such consulting services.</w:t>
      </w:r>
    </w:p>
    <w:p>
      <w:pPr>
        <w:spacing w:after="0" w:line="74" w:lineRule="exact"/>
        <w:rPr>
          <w:sz w:val="20"/>
          <w:szCs w:val="20"/>
          <w:color w:val="auto"/>
        </w:rPr>
      </w:pPr>
    </w:p>
    <w:p>
      <w:pPr>
        <w:ind w:right="3339" w:firstLine="603"/>
        <w:spacing w:after="0" w:line="275" w:lineRule="auto"/>
        <w:rPr>
          <w:sz w:val="20"/>
          <w:szCs w:val="20"/>
          <w:color w:val="auto"/>
        </w:rPr>
      </w:pPr>
      <w:r>
        <w:rPr>
          <w:rFonts w:ascii="Courier New" w:cs="Courier New" w:eastAsia="Courier New" w:hAnsi="Courier New"/>
          <w:sz w:val="14"/>
          <w:szCs w:val="14"/>
          <w:color w:val="auto"/>
        </w:rPr>
        <w:t>Either of us may terminate this arrangement at any time upon giving written notice. The Company's obligations under this letter will immediately terminate in the event of your death or disability or upon the giving of notice as set forth in the preceding sentence, except for its obligation to pay any amounts earned in accordance with the second paragraph, but unpaid on the date of such termination.</w:t>
      </w:r>
    </w:p>
    <w:p>
      <w:pPr>
        <w:spacing w:after="0" w:line="40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WASHINGTON POST</w:t>
      </w:r>
    </w:p>
    <w:p>
      <w:pPr>
        <w:spacing w:after="0" w:line="3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COMPANY</w:t>
      </w:r>
    </w:p>
    <w:p>
      <w:pPr>
        <w:sectPr>
          <w:pgSz w:w="11900" w:h="16838" w:orient="portrait"/>
          <w:cols w:equalWidth="0" w:num="1">
            <w:col w:w="10159"/>
          </w:cols>
          <w:pgMar w:left="300" w:top="115" w:right="1440" w:bottom="1440" w:gutter="0" w:footer="0" w:header="0"/>
        </w:sectPr>
      </w:pPr>
    </w:p>
    <w:p>
      <w:pPr>
        <w:spacing w:after="0" w:line="14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Donald E. Graham</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Chairman of the Board</w:t>
      </w:r>
    </w:p>
    <w:p>
      <w:pPr>
        <w:spacing w:after="0" w:line="147" w:lineRule="exact"/>
        <w:rPr>
          <w:sz w:val="20"/>
          <w:szCs w:val="20"/>
          <w:color w:val="auto"/>
        </w:rPr>
      </w:pPr>
    </w:p>
    <w:p>
      <w:pPr>
        <w:sectPr>
          <w:pgSz w:w="11900" w:h="16838" w:orient="portrait"/>
          <w:cols w:equalWidth="0" w:num="2">
            <w:col w:w="4060" w:space="80"/>
            <w:col w:w="6019"/>
          </w:cols>
          <w:pgMar w:left="300" w:top="1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p>
      <w:pPr>
        <w:jc w:val="center"/>
        <w:ind w:right="7139"/>
        <w:spacing w:after="0"/>
        <w:rPr>
          <w:sz w:val="20"/>
          <w:szCs w:val="20"/>
          <w:color w:val="auto"/>
        </w:rPr>
      </w:pPr>
      <w:r>
        <w:rPr>
          <w:rFonts w:ascii="Courier New" w:cs="Courier New" w:eastAsia="Courier New" w:hAnsi="Courier New"/>
          <w:sz w:val="14"/>
          <w:szCs w:val="14"/>
          <w:color w:val="auto"/>
        </w:rPr>
        <w:t>/s/ Alan G. Spoon</w:t>
      </w:r>
    </w:p>
    <w:p>
      <w:pPr>
        <w:spacing w:after="0" w:line="3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Alan G. Spoon</w:t>
      </w:r>
    </w:p>
    <w:p>
      <w:pPr>
        <w:sectPr>
          <w:pgSz w:w="11900" w:h="16838" w:orient="portrait"/>
          <w:cols w:equalWidth="0" w:num="1">
            <w:col w:w="10159"/>
          </w:cols>
          <w:pgMar w:left="300" w:top="115" w:right="1440" w:bottom="1440" w:gutter="0" w:footer="0" w:header="0"/>
          <w:type w:val="continuous"/>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w:t>
      </w:r>
    </w:p>
    <w:p>
      <w:pPr>
        <w:spacing w:after="0" w:line="3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SUBSIDIARIES</w:t>
      </w:r>
    </w:p>
    <w:p>
      <w:pPr>
        <w:spacing w:after="0" w:line="14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Fiscal Year</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80" w:type="dxa"/>
            <w:vAlign w:val="bottom"/>
          </w:tcPr>
          <w:p>
            <w:pPr>
              <w:spacing w:after="0"/>
              <w:rPr>
                <w:sz w:val="21"/>
                <w:szCs w:val="21"/>
                <w:color w:val="auto"/>
              </w:rPr>
            </w:pPr>
          </w:p>
        </w:tc>
        <w:tc>
          <w:tcPr>
            <w:tcW w:w="410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480" w:type="dxa"/>
            <w:vAlign w:val="bottom"/>
          </w:tcPr>
          <w:p>
            <w:pPr>
              <w:spacing w:after="0"/>
              <w:rPr>
                <w:sz w:val="22"/>
                <w:szCs w:val="22"/>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22"/>
                <w:szCs w:val="22"/>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2"/>
        </w:trPr>
        <w:tc>
          <w:tcPr>
            <w:tcW w:w="4180" w:type="dxa"/>
            <w:vAlign w:val="bottom"/>
          </w:tcPr>
          <w:p>
            <w:pPr>
              <w:spacing w:after="0"/>
              <w:rPr>
                <w:sz w:val="21"/>
                <w:szCs w:val="21"/>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Class A Common</w:t>
            </w:r>
          </w:p>
        </w:tc>
        <w:tc>
          <w:tcPr>
            <w:tcW w:w="480" w:type="dxa"/>
            <w:vAlign w:val="bottom"/>
          </w:tcPr>
          <w:p>
            <w:pPr>
              <w:spacing w:after="0"/>
              <w:rPr>
                <w:sz w:val="22"/>
                <w:szCs w:val="22"/>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520" w:type="dxa"/>
            <w:vAlign w:val="bottom"/>
          </w:tcPr>
          <w:p>
            <w:pPr>
              <w:spacing w:after="0"/>
              <w:rPr>
                <w:sz w:val="22"/>
                <w:szCs w:val="22"/>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1,739</w:t>
            </w:r>
          </w:p>
        </w:tc>
        <w:tc>
          <w:tcPr>
            <w:tcW w:w="4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1,754</w:t>
            </w:r>
          </w:p>
        </w:tc>
        <w:tc>
          <w:tcPr>
            <w:tcW w:w="0" w:type="dxa"/>
            <w:vAlign w:val="bottom"/>
          </w:tcPr>
          <w:p>
            <w:pPr>
              <w:spacing w:after="0"/>
              <w:rPr>
                <w:sz w:val="1"/>
                <w:szCs w:val="1"/>
                <w:color w:val="auto"/>
              </w:rPr>
            </w:pPr>
          </w:p>
        </w:tc>
      </w:tr>
      <w:tr>
        <w:trPr>
          <w:trHeight w:val="166"/>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Class B Common (excluding shares</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tcPr>
          <w:p>
            <w:pPr>
              <w:ind w:left="1560"/>
              <w:spacing w:after="0"/>
              <w:rPr>
                <w:sz w:val="20"/>
                <w:szCs w:val="20"/>
                <w:color w:val="auto"/>
              </w:rPr>
            </w:pPr>
            <w:r>
              <w:rPr>
                <w:rFonts w:ascii="Courier New" w:cs="Courier New" w:eastAsia="Courier New" w:hAnsi="Courier New"/>
                <w:sz w:val="14"/>
                <w:szCs w:val="14"/>
                <w:color w:val="auto"/>
              </w:rPr>
              <w:t>issuable upon exercise of</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tcPr>
          <w:p>
            <w:pPr>
              <w:ind w:left="1560"/>
              <w:spacing w:after="0"/>
              <w:rPr>
                <w:sz w:val="20"/>
                <w:szCs w:val="20"/>
                <w:color w:val="auto"/>
              </w:rPr>
            </w:pPr>
            <w:r>
              <w:rPr>
                <w:rFonts w:ascii="Courier New" w:cs="Courier New" w:eastAsia="Courier New" w:hAnsi="Courier New"/>
                <w:sz w:val="14"/>
                <w:szCs w:val="14"/>
                <w:color w:val="auto"/>
              </w:rPr>
              <w:t>stock options - accounted</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80" w:type="dxa"/>
            <w:vAlign w:val="bottom"/>
          </w:tcPr>
          <w:p>
            <w:pPr>
              <w:ind w:left="1560"/>
              <w:spacing w:after="0"/>
              <w:rPr>
                <w:sz w:val="20"/>
                <w:szCs w:val="20"/>
                <w:color w:val="auto"/>
              </w:rPr>
            </w:pPr>
            <w:r>
              <w:rPr>
                <w:rFonts w:ascii="Courier New" w:cs="Courier New" w:eastAsia="Courier New" w:hAnsi="Courier New"/>
                <w:sz w:val="14"/>
                <w:szCs w:val="14"/>
                <w:color w:val="auto"/>
              </w:rPr>
              <w:t>for below)</w:t>
            </w:r>
          </w:p>
        </w:tc>
        <w:tc>
          <w:tcPr>
            <w:tcW w:w="480" w:type="dxa"/>
            <w:vAlign w:val="bottom"/>
          </w:tcPr>
          <w:p>
            <w:pPr>
              <w:spacing w:after="0"/>
              <w:rPr>
                <w:sz w:val="21"/>
                <w:szCs w:val="21"/>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8,322</w:t>
            </w:r>
          </w:p>
        </w:tc>
        <w:tc>
          <w:tcPr>
            <w:tcW w:w="520" w:type="dxa"/>
            <w:vAlign w:val="bottom"/>
          </w:tcPr>
          <w:p>
            <w:pPr>
              <w:spacing w:after="0"/>
              <w:rPr>
                <w:sz w:val="21"/>
                <w:szCs w:val="21"/>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8,348</w:t>
            </w:r>
          </w:p>
        </w:tc>
        <w:tc>
          <w:tcPr>
            <w:tcW w:w="460" w:type="dxa"/>
            <w:vAlign w:val="bottom"/>
          </w:tcPr>
          <w:p>
            <w:pPr>
              <w:spacing w:after="0"/>
              <w:rPr>
                <w:sz w:val="21"/>
                <w:szCs w:val="21"/>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8,946</w:t>
            </w:r>
          </w:p>
        </w:tc>
        <w:tc>
          <w:tcPr>
            <w:tcW w:w="0" w:type="dxa"/>
            <w:vAlign w:val="bottom"/>
          </w:tcPr>
          <w:p>
            <w:pPr>
              <w:spacing w:after="0"/>
              <w:rPr>
                <w:sz w:val="1"/>
                <w:szCs w:val="1"/>
                <w:color w:val="auto"/>
              </w:rPr>
            </w:pPr>
          </w:p>
        </w:tc>
      </w:tr>
      <w:tr>
        <w:trPr>
          <w:trHeight w:val="90"/>
        </w:trPr>
        <w:tc>
          <w:tcPr>
            <w:tcW w:w="4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180" w:type="dxa"/>
            <w:vAlign w:val="bottom"/>
            <w:vMerge w:val="restart"/>
          </w:tcPr>
          <w:p>
            <w:pPr>
              <w:spacing w:after="0"/>
              <w:rPr>
                <w:sz w:val="20"/>
                <w:szCs w:val="20"/>
                <w:color w:val="auto"/>
              </w:rPr>
            </w:pPr>
            <w:r>
              <w:rPr>
                <w:rFonts w:ascii="Courier New" w:cs="Courier New" w:eastAsia="Courier New" w:hAnsi="Courier New"/>
                <w:sz w:val="14"/>
                <w:szCs w:val="14"/>
                <w:color w:val="auto"/>
              </w:rPr>
              <w:t>Shares used in computation of basic</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1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10,061</w:t>
            </w:r>
          </w:p>
        </w:tc>
        <w:tc>
          <w:tcPr>
            <w:tcW w:w="520" w:type="dxa"/>
            <w:vAlign w:val="bottom"/>
          </w:tcPr>
          <w:p>
            <w:pPr>
              <w:spacing w:after="0"/>
              <w:rPr>
                <w:sz w:val="7"/>
                <w:szCs w:val="7"/>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10,087</w:t>
            </w:r>
          </w:p>
        </w:tc>
        <w:tc>
          <w:tcPr>
            <w:tcW w:w="460" w:type="dxa"/>
            <w:vAlign w:val="bottom"/>
          </w:tcPr>
          <w:p>
            <w:pPr>
              <w:spacing w:after="0"/>
              <w:rPr>
                <w:sz w:val="7"/>
                <w:szCs w:val="7"/>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10,700</w:t>
            </w:r>
          </w:p>
        </w:tc>
        <w:tc>
          <w:tcPr>
            <w:tcW w:w="0" w:type="dxa"/>
            <w:vAlign w:val="bottom"/>
          </w:tcPr>
          <w:p>
            <w:pPr>
              <w:spacing w:after="0"/>
              <w:rPr>
                <w:sz w:val="1"/>
                <w:szCs w:val="1"/>
                <w:color w:val="auto"/>
              </w:rPr>
            </w:pPr>
          </w:p>
        </w:tc>
      </w:tr>
      <w:tr>
        <w:trPr>
          <w:trHeight w:val="242"/>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earnings per share</w:t>
            </w:r>
          </w:p>
        </w:tc>
        <w:tc>
          <w:tcPr>
            <w:tcW w:w="4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Courier New" w:cs="Courier New" w:eastAsia="Courier New" w:hAnsi="Courier New"/>
                <w:sz w:val="14"/>
                <w:szCs w:val="14"/>
                <w:color w:val="auto"/>
              </w:rPr>
              <w:t>Add - Shares assumed issuable upon</w:t>
            </w:r>
          </w:p>
        </w:tc>
        <w:tc>
          <w:tcPr>
            <w:tcW w:w="480" w:type="dxa"/>
            <w:vAlign w:val="bottom"/>
          </w:tcPr>
          <w:p>
            <w:pPr>
              <w:spacing w:after="0"/>
              <w:rPr>
                <w:sz w:val="22"/>
                <w:szCs w:val="22"/>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520" w:type="dxa"/>
            <w:vAlign w:val="bottom"/>
          </w:tcPr>
          <w:p>
            <w:pPr>
              <w:spacing w:after="0"/>
              <w:rPr>
                <w:sz w:val="22"/>
                <w:szCs w:val="22"/>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185</w:t>
            </w:r>
          </w:p>
        </w:tc>
        <w:tc>
          <w:tcPr>
            <w:tcW w:w="4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172</w:t>
            </w:r>
          </w:p>
        </w:tc>
        <w:tc>
          <w:tcPr>
            <w:tcW w:w="0" w:type="dxa"/>
            <w:vAlign w:val="bottom"/>
          </w:tcPr>
          <w:p>
            <w:pPr>
              <w:spacing w:after="0"/>
              <w:rPr>
                <w:sz w:val="1"/>
                <w:szCs w:val="1"/>
                <w:color w:val="auto"/>
              </w:rPr>
            </w:pPr>
          </w:p>
        </w:tc>
      </w:tr>
      <w:tr>
        <w:trPr>
          <w:trHeight w:val="166"/>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exercise of stock options</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Deduct - Shares assumed to be</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purchased for Treasury with proceeds</w:t>
            </w:r>
          </w:p>
        </w:tc>
        <w:tc>
          <w:tcPr>
            <w:tcW w:w="4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52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(143)</w:t>
            </w:r>
          </w:p>
        </w:tc>
        <w:tc>
          <w:tcPr>
            <w:tcW w:w="4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(139)</w:t>
            </w:r>
          </w:p>
        </w:tc>
        <w:tc>
          <w:tcPr>
            <w:tcW w:w="0" w:type="dxa"/>
            <w:vAlign w:val="bottom"/>
          </w:tcPr>
          <w:p>
            <w:pPr>
              <w:spacing w:after="0"/>
              <w:rPr>
                <w:sz w:val="1"/>
                <w:szCs w:val="1"/>
                <w:color w:val="auto"/>
              </w:rPr>
            </w:pPr>
          </w:p>
        </w:tc>
      </w:tr>
      <w:tr>
        <w:trPr>
          <w:trHeight w:val="166"/>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from exercise of stock options</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80" w:type="dxa"/>
            <w:vAlign w:val="bottom"/>
          </w:tcPr>
          <w:p>
            <w:pPr>
              <w:spacing w:after="0"/>
              <w:rPr>
                <w:sz w:val="21"/>
                <w:szCs w:val="21"/>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w:t>
            </w:r>
          </w:p>
        </w:tc>
        <w:tc>
          <w:tcPr>
            <w:tcW w:w="480" w:type="dxa"/>
            <w:vAlign w:val="bottom"/>
          </w:tcPr>
          <w:p>
            <w:pPr>
              <w:spacing w:after="0"/>
              <w:rPr>
                <w:sz w:val="22"/>
                <w:szCs w:val="22"/>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10,082</w:t>
            </w:r>
          </w:p>
        </w:tc>
        <w:tc>
          <w:tcPr>
            <w:tcW w:w="520" w:type="dxa"/>
            <w:vAlign w:val="bottom"/>
          </w:tcPr>
          <w:p>
            <w:pPr>
              <w:spacing w:after="0"/>
              <w:rPr>
                <w:sz w:val="22"/>
                <w:szCs w:val="22"/>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10,129</w:t>
            </w:r>
          </w:p>
        </w:tc>
        <w:tc>
          <w:tcPr>
            <w:tcW w:w="4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10,733</w:t>
            </w:r>
          </w:p>
        </w:tc>
        <w:tc>
          <w:tcPr>
            <w:tcW w:w="0" w:type="dxa"/>
            <w:vAlign w:val="bottom"/>
          </w:tcPr>
          <w:p>
            <w:pPr>
              <w:spacing w:after="0"/>
              <w:rPr>
                <w:sz w:val="1"/>
                <w:szCs w:val="1"/>
                <w:color w:val="auto"/>
              </w:rPr>
            </w:pPr>
          </w:p>
        </w:tc>
      </w:tr>
      <w:tr>
        <w:trPr>
          <w:trHeight w:val="166"/>
        </w:trPr>
        <w:tc>
          <w:tcPr>
            <w:tcW w:w="4180" w:type="dxa"/>
            <w:vAlign w:val="bottom"/>
          </w:tcPr>
          <w:p>
            <w:pPr>
              <w:ind w:left="780"/>
              <w:spacing w:after="0"/>
              <w:rPr>
                <w:sz w:val="20"/>
                <w:szCs w:val="20"/>
                <w:color w:val="auto"/>
              </w:rPr>
            </w:pPr>
            <w:r>
              <w:rPr>
                <w:rFonts w:ascii="Courier New" w:cs="Courier New" w:eastAsia="Courier New" w:hAnsi="Courier New"/>
                <w:sz w:val="14"/>
                <w:szCs w:val="14"/>
                <w:color w:val="auto"/>
              </w:rPr>
              <w:t>diluted earnings per common share</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80" w:type="dxa"/>
            <w:vAlign w:val="bottom"/>
          </w:tcPr>
          <w:p>
            <w:pPr>
              <w:spacing w:after="0"/>
              <w:rPr>
                <w:sz w:val="21"/>
                <w:szCs w:val="21"/>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$ 224,835</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$ 416,303</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$ 280,618</w:t>
            </w:r>
          </w:p>
        </w:tc>
        <w:tc>
          <w:tcPr>
            <w:tcW w:w="0" w:type="dxa"/>
            <w:vAlign w:val="bottom"/>
          </w:tcPr>
          <w:p>
            <w:pPr>
              <w:spacing w:after="0"/>
              <w:rPr>
                <w:sz w:val="1"/>
                <w:szCs w:val="1"/>
                <w:color w:val="auto"/>
              </w:rPr>
            </w:pPr>
          </w:p>
        </w:tc>
      </w:tr>
      <w:tr>
        <w:trPr>
          <w:trHeight w:val="242"/>
        </w:trPr>
        <w:tc>
          <w:tcPr>
            <w:tcW w:w="4180" w:type="dxa"/>
            <w:vAlign w:val="bottom"/>
          </w:tcPr>
          <w:p>
            <w:pPr>
              <w:spacing w:after="0"/>
              <w:rPr>
                <w:sz w:val="21"/>
                <w:szCs w:val="21"/>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41.27</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26.23</w:t>
            </w:r>
          </w:p>
        </w:tc>
        <w:tc>
          <w:tcPr>
            <w:tcW w:w="0" w:type="dxa"/>
            <w:vAlign w:val="bottom"/>
          </w:tcPr>
          <w:p>
            <w:pPr>
              <w:spacing w:after="0"/>
              <w:rPr>
                <w:sz w:val="1"/>
                <w:szCs w:val="1"/>
                <w:color w:val="auto"/>
              </w:rPr>
            </w:pPr>
          </w:p>
        </w:tc>
      </w:tr>
      <w:tr>
        <w:trPr>
          <w:trHeight w:val="166"/>
        </w:trPr>
        <w:tc>
          <w:tcPr>
            <w:tcW w:w="4180" w:type="dxa"/>
            <w:vAlign w:val="bottom"/>
            <w:vMerge w:val="restart"/>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80" w:type="dxa"/>
            <w:vAlign w:val="bottom"/>
            <w:vMerge w:val="continue"/>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41.10</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26.15</w:t>
            </w:r>
          </w:p>
        </w:tc>
        <w:tc>
          <w:tcPr>
            <w:tcW w:w="0" w:type="dxa"/>
            <w:vAlign w:val="bottom"/>
          </w:tcPr>
          <w:p>
            <w:pPr>
              <w:spacing w:after="0"/>
              <w:rPr>
                <w:sz w:val="1"/>
                <w:szCs w:val="1"/>
                <w:color w:val="auto"/>
              </w:rPr>
            </w:pPr>
          </w:p>
        </w:tc>
      </w:tr>
      <w:tr>
        <w:trPr>
          <w:trHeight w:val="242"/>
        </w:trPr>
        <w:tc>
          <w:tcPr>
            <w:tcW w:w="4180" w:type="dxa"/>
            <w:vAlign w:val="bottom"/>
          </w:tcPr>
          <w:p>
            <w:pPr>
              <w:spacing w:after="0"/>
              <w:rPr>
                <w:sz w:val="21"/>
                <w:szCs w:val="21"/>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159"/>
          </w:cols>
          <w:pgMar w:left="300" w:top="11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EXHIBIT 21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60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SUBSIDIARIES OF THE COMPANY</w:t>
            </w:r>
          </w:p>
        </w:tc>
        <w:tc>
          <w:tcPr>
            <w:tcW w:w="3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6040" w:type="dxa"/>
            <w:vAlign w:val="bottom"/>
          </w:tcPr>
          <w:p>
            <w:pPr>
              <w:spacing w:after="0"/>
              <w:rPr>
                <w:sz w:val="24"/>
                <w:szCs w:val="24"/>
                <w:color w:val="auto"/>
              </w:rPr>
            </w:pPr>
          </w:p>
        </w:tc>
        <w:tc>
          <w:tcPr>
            <w:tcW w:w="310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Jurisdiction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3100" w:type="dxa"/>
            <w:vAlign w:val="bottom"/>
          </w:tcPr>
          <w:p>
            <w:pPr>
              <w:jc w:val="center"/>
              <w:ind w:left="788"/>
              <w:spacing w:after="0"/>
              <w:rPr>
                <w:sz w:val="20"/>
                <w:szCs w:val="20"/>
                <w:color w:val="auto"/>
              </w:rPr>
            </w:pPr>
            <w:r>
              <w:rPr>
                <w:rFonts w:ascii="Courier New" w:cs="Courier New" w:eastAsia="Courier New" w:hAnsi="Courier New"/>
                <w:sz w:val="14"/>
                <w:szCs w:val="14"/>
                <w:color w:val="auto"/>
                <w:w w:val="94"/>
              </w:rPr>
              <w:t>of</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Voting</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Incorporation</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0" w:type="dxa"/>
            <w:vAlign w:val="bottom"/>
          </w:tcPr>
          <w:p>
            <w:pPr>
              <w:spacing w:after="0"/>
              <w:rPr>
                <w:sz w:val="1"/>
                <w:szCs w:val="1"/>
                <w:color w:val="auto"/>
              </w:rPr>
            </w:pPr>
          </w:p>
        </w:tc>
      </w:tr>
      <w:tr>
        <w:trPr>
          <w:trHeight w:val="166"/>
        </w:trPr>
        <w:tc>
          <w:tcPr>
            <w:tcW w:w="604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Name of Subsidiary</w:t>
            </w:r>
          </w:p>
        </w:tc>
        <w:tc>
          <w:tcPr>
            <w:tcW w:w="3100" w:type="dxa"/>
            <w:vAlign w:val="bottom"/>
          </w:tcPr>
          <w:p>
            <w:pPr>
              <w:jc w:val="center"/>
              <w:ind w:left="788"/>
              <w:spacing w:after="0"/>
              <w:rPr>
                <w:sz w:val="20"/>
                <w:szCs w:val="20"/>
                <w:color w:val="auto"/>
              </w:rPr>
            </w:pPr>
            <w:r>
              <w:rPr>
                <w:rFonts w:ascii="Courier New" w:cs="Courier New" w:eastAsia="Courier New" w:hAnsi="Courier New"/>
                <w:sz w:val="14"/>
                <w:szCs w:val="14"/>
                <w:color w:val="auto"/>
                <w:w w:val="94"/>
              </w:rPr>
              <w:t>or</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w:t>
            </w:r>
          </w:p>
        </w:tc>
        <w:tc>
          <w:tcPr>
            <w:tcW w:w="0" w:type="dxa"/>
            <w:vAlign w:val="bottom"/>
          </w:tcPr>
          <w:p>
            <w:pPr>
              <w:spacing w:after="0"/>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10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Organization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by Company</w:t>
            </w:r>
          </w:p>
        </w:tc>
        <w:tc>
          <w:tcPr>
            <w:tcW w:w="0" w:type="dxa"/>
            <w:vAlign w:val="bottom"/>
          </w:tcPr>
          <w:p>
            <w:pPr>
              <w:spacing w:after="0"/>
              <w:rPr>
                <w:sz w:val="1"/>
                <w:szCs w:val="1"/>
                <w:color w:val="auto"/>
              </w:rPr>
            </w:pPr>
          </w:p>
        </w:tc>
      </w:tr>
      <w:tr>
        <w:trPr>
          <w:trHeight w:val="242"/>
        </w:trPr>
        <w:tc>
          <w:tcPr>
            <w:tcW w:w="6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Bowater Mersey Paper Company Limited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Nova Scotia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Cable One,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Capitol Fiber,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Maryland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The Daily Herald Company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Washington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The Gazette Newspapers,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Maryland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Greater Washington Publishing,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I.H.T. Corporation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International Herald Tribune S.A.S.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France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33-1/3%</w:t>
            </w:r>
          </w:p>
        </w:tc>
        <w:tc>
          <w:tcPr>
            <w:tcW w:w="0" w:type="dxa"/>
            <w:vAlign w:val="bottom"/>
          </w:tcPr>
          <w:p>
            <w:pPr>
              <w:spacing w:after="0"/>
              <w:rPr>
                <w:sz w:val="1"/>
                <w:szCs w:val="1"/>
                <w:color w:val="auto"/>
              </w:rPr>
            </w:pPr>
          </w:p>
        </w:tc>
      </w:tr>
      <w:tr>
        <w:trPr>
          <w:trHeight w:val="242"/>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International Herald Tribune S.A.S.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France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33-1/3%</w:t>
            </w:r>
          </w:p>
        </w:tc>
        <w:tc>
          <w:tcPr>
            <w:tcW w:w="0" w:type="dxa"/>
            <w:vAlign w:val="bottom"/>
          </w:tcPr>
          <w:p>
            <w:pPr>
              <w:spacing w:after="0"/>
              <w:rPr>
                <w:sz w:val="1"/>
                <w:szCs w:val="1"/>
                <w:color w:val="auto"/>
              </w:rPr>
            </w:pPr>
          </w:p>
        </w:tc>
      </w:tr>
      <w:tr>
        <w:trPr>
          <w:trHeight w:val="255"/>
        </w:trPr>
        <w:tc>
          <w:tcPr>
            <w:tcW w:w="6040" w:type="dxa"/>
            <w:vAlign w:val="bottom"/>
          </w:tcPr>
          <w:p>
            <w:pPr>
              <w:jc w:val="right"/>
              <w:spacing w:after="0" w:line="255" w:lineRule="exact"/>
              <w:rPr>
                <w:sz w:val="20"/>
                <w:szCs w:val="20"/>
                <w:color w:val="auto"/>
              </w:rPr>
            </w:pPr>
            <w:r>
              <w:rPr>
                <w:rFonts w:ascii="Courier New" w:cs="Courier New" w:eastAsia="Courier New" w:hAnsi="Courier New"/>
                <w:sz w:val="25"/>
                <w:szCs w:val="25"/>
                <w:color w:val="auto"/>
                <w:w w:val="72"/>
                <w:vertAlign w:val="superscript"/>
              </w:rPr>
              <w:t>Los Angeles Times-Washington</w:t>
            </w: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perscript"/>
              </w:rPr>
              <w:t>PostNews</w:t>
            </w:r>
          </w:p>
        </w:tc>
        <w:tc>
          <w:tcPr>
            <w:tcW w:w="3100" w:type="dxa"/>
            <w:vAlign w:val="bottom"/>
            <w:vMerge w:val="restart"/>
          </w:tcPr>
          <w:p>
            <w:pPr>
              <w:ind w:left="1380"/>
              <w:spacing w:after="0"/>
              <w:rPr>
                <w:sz w:val="20"/>
                <w:szCs w:val="20"/>
                <w:color w:val="auto"/>
              </w:rPr>
            </w:pPr>
            <w:r>
              <w:rPr>
                <w:rFonts w:ascii="Courier New" w:cs="Courier New" w:eastAsia="Courier New" w:hAnsi="Courier New"/>
                <w:sz w:val="14"/>
                <w:szCs w:val="14"/>
                <w:color w:val="auto"/>
              </w:rPr>
              <w:t>D.C.</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6"/>
        </w:trPr>
        <w:tc>
          <w:tcPr>
            <w:tcW w:w="604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Service, Inc.</w:t>
            </w:r>
          </w:p>
        </w:tc>
        <w:tc>
          <w:tcPr>
            <w:tcW w:w="3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Kaplan,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Dearborn Publishing Group,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Dearborn Financial Publishing,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Illinois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Dearborn Financial Institute,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Illinois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Anthony Schools Corporation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Leonard's Training Programs, Inc.</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Texas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Score! Learning,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Score! Educational Centers,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California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eScore.com,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Self Test,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Georgia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42"/>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American Educational Resources,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Massachusetts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55"/>
        </w:trPr>
        <w:tc>
          <w:tcPr>
            <w:tcW w:w="6040" w:type="dxa"/>
            <w:vAlign w:val="bottom"/>
          </w:tcPr>
          <w:p>
            <w:pPr>
              <w:jc w:val="right"/>
              <w:spacing w:after="0" w:line="256" w:lineRule="exact"/>
              <w:rPr>
                <w:sz w:val="20"/>
                <w:szCs w:val="20"/>
                <w:color w:val="auto"/>
              </w:rPr>
            </w:pPr>
            <w:r>
              <w:rPr>
                <w:rFonts w:ascii="Courier New" w:cs="Courier New" w:eastAsia="Courier New" w:hAnsi="Courier New"/>
                <w:sz w:val="28"/>
                <w:szCs w:val="28"/>
                <w:color w:val="auto"/>
                <w:w w:val="72"/>
                <w:vertAlign w:val="superscript"/>
              </w:rPr>
              <w:t>Stanley H. Kaplan Educational</w:t>
            </w: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perscript"/>
              </w:rPr>
              <w:t>Centerof</w:t>
            </w:r>
          </w:p>
        </w:tc>
        <w:tc>
          <w:tcPr>
            <w:tcW w:w="3100" w:type="dxa"/>
            <w:vAlign w:val="bottom"/>
            <w:vMerge w:val="restart"/>
          </w:tcPr>
          <w:p>
            <w:pPr>
              <w:ind w:left="1380"/>
              <w:spacing w:after="0"/>
              <w:rPr>
                <w:sz w:val="20"/>
                <w:szCs w:val="20"/>
                <w:color w:val="auto"/>
              </w:rPr>
            </w:pPr>
            <w:r>
              <w:rPr>
                <w:rFonts w:ascii="Courier New" w:cs="Courier New" w:eastAsia="Courier New" w:hAnsi="Courier New"/>
                <w:sz w:val="14"/>
                <w:szCs w:val="14"/>
                <w:color w:val="auto"/>
              </w:rPr>
              <w:t>Ontario</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42"/>
        </w:trPr>
        <w:tc>
          <w:tcPr>
            <w:tcW w:w="6040" w:type="dxa"/>
            <w:vAlign w:val="bottom"/>
          </w:tcPr>
          <w:p>
            <w:pPr>
              <w:jc w:val="right"/>
              <w:ind w:right="3468"/>
              <w:spacing w:after="0"/>
              <w:rPr>
                <w:sz w:val="20"/>
                <w:szCs w:val="20"/>
                <w:color w:val="auto"/>
              </w:rPr>
            </w:pPr>
            <w:r>
              <w:rPr>
                <w:rFonts w:ascii="Courier New" w:cs="Courier New" w:eastAsia="Courier New" w:hAnsi="Courier New"/>
                <w:sz w:val="14"/>
                <w:szCs w:val="14"/>
                <w:color w:val="auto"/>
              </w:rPr>
              <w:t>Canada Ltd.</w:t>
            </w:r>
          </w:p>
        </w:tc>
        <w:tc>
          <w:tcPr>
            <w:tcW w:w="31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Kaplan Educational Centers,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Puerto Rico</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Newsprint,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Virginia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89"/>
              </w:rPr>
              <w:t>Newsweek,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New York</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Newsweek Budget Travel,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42"/>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Newsweek Productions, Inc. .........................................</w:t>
            </w:r>
          </w:p>
        </w:tc>
        <w:tc>
          <w:tcPr>
            <w:tcW w:w="3100" w:type="dxa"/>
            <w:vAlign w:val="bottom"/>
          </w:tcPr>
          <w:p>
            <w:pPr>
              <w:ind w:left="1380"/>
              <w:spacing w:after="0"/>
              <w:rPr>
                <w:sz w:val="20"/>
                <w:szCs w:val="20"/>
                <w:color w:val="auto"/>
              </w:rPr>
            </w:pPr>
            <w:r>
              <w:rPr>
                <w:rFonts w:ascii="Courier New" w:cs="Courier New" w:eastAsia="Courier New" w:hAnsi="Courier New"/>
                <w:sz w:val="14"/>
                <w:szCs w:val="14"/>
                <w:color w:val="auto"/>
              </w:rPr>
              <w:t>Delaware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bl>
    <w:p>
      <w:pPr>
        <w:sectPr>
          <w:pgSz w:w="11900" w:h="16838" w:orient="portrait"/>
          <w:cols w:equalWidth="0" w:num="1">
            <w:col w:w="10600"/>
          </w:cols>
          <w:pgMar w:left="300" w:top="115" w:right="999"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SUBSIDIARIES OF THE COMPANY</w:t>
      </w:r>
    </w:p>
    <w:p>
      <w:pPr>
        <w:spacing w:after="0" w:line="33"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60" w:type="dxa"/>
            <w:vAlign w:val="bottom"/>
          </w:tcPr>
          <w:p>
            <w:pPr>
              <w:spacing w:after="0"/>
              <w:rPr>
                <w:sz w:val="14"/>
                <w:szCs w:val="14"/>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Jurisdiction</w:t>
            </w:r>
          </w:p>
        </w:tc>
        <w:tc>
          <w:tcPr>
            <w:tcW w:w="182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 of</w:t>
            </w:r>
          </w:p>
        </w:tc>
        <w:tc>
          <w:tcPr>
            <w:tcW w:w="0" w:type="dxa"/>
            <w:vAlign w:val="bottom"/>
          </w:tcPr>
          <w:p>
            <w:pPr>
              <w:spacing w:after="0"/>
              <w:rPr>
                <w:sz w:val="1"/>
                <w:szCs w:val="1"/>
                <w:color w:val="auto"/>
              </w:rPr>
            </w:pPr>
          </w:p>
        </w:tc>
      </w:tr>
      <w:tr>
        <w:trPr>
          <w:trHeight w:val="166"/>
        </w:trPr>
        <w:tc>
          <w:tcPr>
            <w:tcW w:w="7060" w:type="dxa"/>
            <w:vAlign w:val="bottom"/>
          </w:tcPr>
          <w:p>
            <w:pPr>
              <w:spacing w:after="0"/>
              <w:rPr>
                <w:sz w:val="14"/>
                <w:szCs w:val="14"/>
                <w:color w:val="auto"/>
              </w:rPr>
            </w:pPr>
          </w:p>
        </w:tc>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of</w:t>
            </w:r>
          </w:p>
        </w:tc>
        <w:tc>
          <w:tcPr>
            <w:tcW w:w="1820" w:type="dxa"/>
            <w:vAlign w:val="bottom"/>
          </w:tcPr>
          <w:p>
            <w:pPr>
              <w:jc w:val="center"/>
              <w:ind w:left="868"/>
              <w:spacing w:after="0"/>
              <w:rPr>
                <w:sz w:val="20"/>
                <w:szCs w:val="20"/>
                <w:color w:val="auto"/>
              </w:rPr>
            </w:pPr>
            <w:r>
              <w:rPr>
                <w:rFonts w:ascii="Courier New" w:cs="Courier New" w:eastAsia="Courier New" w:hAnsi="Courier New"/>
                <w:sz w:val="14"/>
                <w:szCs w:val="14"/>
                <w:color w:val="auto"/>
              </w:rPr>
              <w:t>Voting</w:t>
            </w:r>
          </w:p>
        </w:tc>
        <w:tc>
          <w:tcPr>
            <w:tcW w:w="0" w:type="dxa"/>
            <w:vAlign w:val="bottom"/>
          </w:tcPr>
          <w:p>
            <w:pPr>
              <w:spacing w:after="0"/>
              <w:rPr>
                <w:sz w:val="1"/>
                <w:szCs w:val="1"/>
                <w:color w:val="auto"/>
              </w:rPr>
            </w:pPr>
          </w:p>
        </w:tc>
      </w:tr>
      <w:tr>
        <w:trPr>
          <w:trHeight w:val="166"/>
        </w:trPr>
        <w:tc>
          <w:tcPr>
            <w:tcW w:w="7060" w:type="dxa"/>
            <w:vAlign w:val="bottom"/>
          </w:tcPr>
          <w:p>
            <w:pPr>
              <w:spacing w:after="0"/>
              <w:rPr>
                <w:sz w:val="14"/>
                <w:szCs w:val="14"/>
                <w:color w:val="auto"/>
              </w:rPr>
            </w:pP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Incorporation</w:t>
            </w:r>
          </w:p>
        </w:tc>
        <w:tc>
          <w:tcPr>
            <w:tcW w:w="1820" w:type="dxa"/>
            <w:vAlign w:val="bottom"/>
          </w:tcPr>
          <w:p>
            <w:pPr>
              <w:ind w:left="1220"/>
              <w:spacing w:after="0"/>
              <w:rPr>
                <w:sz w:val="20"/>
                <w:szCs w:val="20"/>
                <w:color w:val="auto"/>
              </w:rPr>
            </w:pPr>
            <w:r>
              <w:rPr>
                <w:rFonts w:ascii="Courier New" w:cs="Courier New" w:eastAsia="Courier New" w:hAnsi="Courier New"/>
                <w:sz w:val="14"/>
                <w:szCs w:val="14"/>
                <w:color w:val="auto"/>
              </w:rPr>
              <w:t>Stock</w:t>
            </w:r>
          </w:p>
        </w:tc>
        <w:tc>
          <w:tcPr>
            <w:tcW w:w="0" w:type="dxa"/>
            <w:vAlign w:val="bottom"/>
          </w:tcPr>
          <w:p>
            <w:pPr>
              <w:spacing w:after="0"/>
              <w:rPr>
                <w:sz w:val="1"/>
                <w:szCs w:val="1"/>
                <w:color w:val="auto"/>
              </w:rPr>
            </w:pPr>
          </w:p>
        </w:tc>
      </w:tr>
      <w:tr>
        <w:trPr>
          <w:trHeight w:val="166"/>
        </w:trPr>
        <w:tc>
          <w:tcPr>
            <w:tcW w:w="7060" w:type="dxa"/>
            <w:vAlign w:val="bottom"/>
            <w:vMerge w:val="restart"/>
          </w:tcPr>
          <w:p>
            <w:pPr>
              <w:jc w:val="right"/>
              <w:ind w:right="1648"/>
              <w:spacing w:after="0"/>
              <w:rPr>
                <w:sz w:val="20"/>
                <w:szCs w:val="20"/>
                <w:color w:val="auto"/>
              </w:rPr>
            </w:pPr>
            <w:r>
              <w:rPr>
                <w:rFonts w:ascii="Courier New" w:cs="Courier New" w:eastAsia="Courier New" w:hAnsi="Courier New"/>
                <w:sz w:val="14"/>
                <w:szCs w:val="14"/>
                <w:color w:val="auto"/>
              </w:rPr>
              <w:t>Name of Subsidiary</w:t>
            </w:r>
          </w:p>
        </w:tc>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or</w:t>
            </w:r>
          </w:p>
        </w:tc>
        <w:tc>
          <w:tcPr>
            <w:tcW w:w="1820" w:type="dxa"/>
            <w:vAlign w:val="bottom"/>
          </w:tcPr>
          <w:p>
            <w:pPr>
              <w:ind w:left="1120"/>
              <w:spacing w:after="0"/>
              <w:rPr>
                <w:sz w:val="20"/>
                <w:szCs w:val="20"/>
                <w:color w:val="auto"/>
              </w:rPr>
            </w:pPr>
            <w:r>
              <w:rPr>
                <w:rFonts w:ascii="Courier New" w:cs="Courier New" w:eastAsia="Courier New" w:hAnsi="Courier New"/>
                <w:sz w:val="14"/>
                <w:szCs w:val="14"/>
                <w:color w:val="auto"/>
              </w:rPr>
              <w:t>Owned</w:t>
            </w:r>
          </w:p>
        </w:tc>
        <w:tc>
          <w:tcPr>
            <w:tcW w:w="0" w:type="dxa"/>
            <w:vAlign w:val="bottom"/>
          </w:tcPr>
          <w:p>
            <w:pPr>
              <w:spacing w:after="0"/>
              <w:rPr>
                <w:sz w:val="1"/>
                <w:szCs w:val="1"/>
                <w:color w:val="auto"/>
              </w:rPr>
            </w:pPr>
          </w:p>
        </w:tc>
      </w:tr>
      <w:tr>
        <w:trPr>
          <w:trHeight w:val="166"/>
        </w:trPr>
        <w:tc>
          <w:tcPr>
            <w:tcW w:w="7060" w:type="dxa"/>
            <w:vAlign w:val="bottom"/>
            <w:vMerge w:val="continue"/>
          </w:tcPr>
          <w:p>
            <w:pPr>
              <w:spacing w:after="0"/>
              <w:rPr>
                <w:sz w:val="14"/>
                <w:szCs w:val="14"/>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Organization</w:t>
            </w:r>
          </w:p>
        </w:tc>
        <w:tc>
          <w:tcPr>
            <w:tcW w:w="182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by Company</w:t>
            </w:r>
          </w:p>
        </w:tc>
        <w:tc>
          <w:tcPr>
            <w:tcW w:w="0" w:type="dxa"/>
            <w:vAlign w:val="bottom"/>
          </w:tcPr>
          <w:p>
            <w:pPr>
              <w:spacing w:after="0"/>
              <w:rPr>
                <w:sz w:val="1"/>
                <w:szCs w:val="1"/>
                <w:color w:val="auto"/>
              </w:rPr>
            </w:pPr>
          </w:p>
        </w:tc>
      </w:tr>
      <w:tr>
        <w:trPr>
          <w:trHeight w:val="242"/>
        </w:trPr>
        <w:tc>
          <w:tcPr>
            <w:tcW w:w="70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Newsweek Services,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Newsweek Services (Canada),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Business Information,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Virginia</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Cable of North Dakota,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Stations, Inc.....................................................</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Stations, Florida,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Florida</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Stations, Houston,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Stations, Michigan,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Stations, Orlando,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Post-Newsweek Stations, San Antonio, Inc.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Robinson Terminal Warehouse Corporation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Washingtonpost.Newsweek Interactive Company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42"/>
        </w:trPr>
        <w:tc>
          <w:tcPr>
            <w:tcW w:w="7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Photo Store LLC ................................................</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Maryland</w:t>
            </w:r>
          </w:p>
        </w:tc>
        <w:tc>
          <w:tcPr>
            <w:tcW w:w="1820" w:type="dxa"/>
            <w:vAlign w:val="bottom"/>
          </w:tcPr>
          <w:p>
            <w:pPr>
              <w:ind w:left="1300"/>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300" w:firstLine="1033"/>
        <w:spacing w:after="0" w:line="292" w:lineRule="auto"/>
        <w:rPr>
          <w:sz w:val="20"/>
          <w:szCs w:val="20"/>
          <w:color w:val="auto"/>
        </w:rPr>
      </w:pPr>
      <w:r>
        <w:rPr>
          <w:rFonts w:ascii="Courier New" w:cs="Courier New" w:eastAsia="Courier New" w:hAnsi="Courier New"/>
          <w:sz w:val="14"/>
          <w:szCs w:val="14"/>
          <w:color w:val="auto"/>
        </w:rPr>
        <w:t>As permitted by Item 601(b)(21) of Regulation S-K, the foregoing list omits certain subsidiaries which, if considered in the aggregate as a single subsidiary, would not constitute a "significant subsidiary" as that term is defined in Rule 1-02(v) of Regulation S-X.</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120"/>
          </w:cols>
          <w:pgMar w:left="300" w:top="259" w:right="479"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w:t>
      </w:r>
    </w:p>
    <w:p>
      <w:pPr>
        <w:spacing w:after="0" w:line="3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7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40" w:type="dxa"/>
            <w:vAlign w:val="bottom"/>
            <w:gridSpan w:val="4"/>
          </w:tcPr>
          <w:p>
            <w:pPr>
              <w:spacing w:after="0"/>
              <w:rPr>
                <w:sz w:val="20"/>
                <w:szCs w:val="20"/>
                <w:color w:val="auto"/>
              </w:rPr>
            </w:pPr>
            <w:r>
              <w:rPr>
                <w:rFonts w:ascii="Courier New" w:cs="Courier New" w:eastAsia="Courier New" w:hAnsi="Courier New"/>
                <w:sz w:val="14"/>
                <w:szCs w:val="14"/>
                <w:color w:val="auto"/>
              </w:rPr>
              <w:t>We hereby consent to the incorporation by reference</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in the Registration</w:t>
            </w: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Statement 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Form S-8</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(Registration No. 2-42170) of</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The Washington Post Company,</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the Prospectus</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constituting a part thereof, of our report dated January</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2000 appearing on</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page 28 of this Annual Report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on Form 10-K, and to the</w:t>
            </w:r>
          </w:p>
        </w:tc>
      </w:tr>
      <w:tr>
        <w:trPr>
          <w:trHeight w:val="242"/>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reference to</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us under</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the heading "Experts" in such</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Prospectus.</w:t>
            </w: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2000</w:t>
      </w:r>
    </w:p>
    <w:p>
      <w:pPr>
        <w:sectPr>
          <w:pgSz w:w="11900" w:h="16838" w:orient="portrait"/>
          <w:cols w:equalWidth="0" w:num="1">
            <w:col w:w="10159"/>
          </w:cols>
          <w:pgMar w:left="300" w:top="11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w:t>
      </w:r>
    </w:p>
    <w:p>
      <w:pPr>
        <w:spacing w:after="0" w:line="3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24</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Reports Under the Securities Exchange Act of 1934</w:t>
      </w:r>
    </w:p>
    <w:p>
      <w:pPr>
        <w:spacing w:after="0" w:line="14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9, 2000</w:t>
      </w:r>
    </w:p>
    <w:p>
      <w:pPr>
        <w:spacing w:after="0" w:line="173" w:lineRule="exact"/>
        <w:rPr>
          <w:sz w:val="20"/>
          <w:szCs w:val="20"/>
          <w:color w:val="auto"/>
        </w:rPr>
      </w:pPr>
    </w:p>
    <w:p>
      <w:pPr>
        <w:ind w:right="3259" w:firstLine="2067"/>
        <w:spacing w:after="0" w:line="258"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The Washington Post Company, a Delaware corporation (hereinafter called the "Company"), hereby constitutes and appoints DONALD E. GRAHAM, ALAN G. SPOON, KATHARINE GRAHAM and JOHN B. MORSE, JR.,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 Donald E. Graham</w:t>
            </w: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/s/ George J. Gillespie</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24"/>
                <w:szCs w:val="24"/>
                <w:color w:val="auto"/>
                <w:w w:val="70"/>
                <w:vertAlign w:val="subscript"/>
              </w:rPr>
              <w:t>Donald</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E.Graham,Chairmanofthe</w:t>
            </w:r>
          </w:p>
        </w:tc>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George J. Gillespie, III, Director</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Board and Chief Executive Office</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(Principal Executive Officer)</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and Director</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 Alan G. Spoon</w:t>
            </w: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/s/ Ralph E. Gomory</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25"/>
                <w:szCs w:val="25"/>
                <w:color w:val="auto"/>
                <w:w w:val="70"/>
                <w:vertAlign w:val="subscript"/>
              </w:rPr>
              <w:t>Alan</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G.Spoon,President,Chief</w:t>
            </w:r>
          </w:p>
        </w:tc>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Ralph E. Gomory, Director</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Officer and Director</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 Katharine Graham</w:t>
            </w: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/s/ Donald R. Keough</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Katharine</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Graham,Chairmanofthe</w:t>
            </w:r>
          </w:p>
        </w:tc>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Donald R. Keough, Director</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Executive Committee of the Board</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and Director</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 John B. Morse, Jr.</w:t>
            </w: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/s/ Barbara Scott Preiskel</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22"/>
                <w:szCs w:val="22"/>
                <w:color w:val="auto"/>
                <w:w w:val="74"/>
                <w:vertAlign w:val="subscript"/>
              </w:rPr>
              <w:t>John</w:t>
            </w: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B.Morse,Jr.,VicePresident-</w:t>
            </w:r>
          </w:p>
        </w:tc>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Barbara Scott Preiskel, Director</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Finance (Principal Financial and</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Accounting Officer)</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 Warren E. Buffett</w:t>
            </w: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/s/ William J. Ruane</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25"/>
                <w:szCs w:val="25"/>
                <w:color w:val="auto"/>
                <w:w w:val="73"/>
                <w:vertAlign w:val="subscript"/>
              </w:rPr>
              <w:t>Warren</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E.Buffett,Director</w:t>
            </w:r>
          </w:p>
        </w:tc>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320" w:type="dxa"/>
            <w:vAlign w:val="bottom"/>
            <w:vMerge w:val="continue"/>
          </w:tcPr>
          <w:p>
            <w:pPr>
              <w:spacing w:after="0"/>
              <w:rPr>
                <w:sz w:val="22"/>
                <w:szCs w:val="22"/>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William J. Ruane, Director</w:t>
            </w:r>
          </w:p>
        </w:tc>
        <w:tc>
          <w:tcPr>
            <w:tcW w:w="0" w:type="dxa"/>
            <w:vAlign w:val="bottom"/>
          </w:tcPr>
          <w:p>
            <w:pPr>
              <w:spacing w:after="0"/>
              <w:rPr>
                <w:sz w:val="1"/>
                <w:szCs w:val="1"/>
                <w:color w:val="auto"/>
              </w:rPr>
            </w:pPr>
          </w:p>
        </w:tc>
      </w:tr>
      <w:tr>
        <w:trPr>
          <w:trHeight w:val="407"/>
        </w:trPr>
        <w:tc>
          <w:tcPr>
            <w:tcW w:w="4320" w:type="dxa"/>
            <w:vAlign w:val="bottom"/>
          </w:tcPr>
          <w:p>
            <w:pPr>
              <w:spacing w:after="0"/>
              <w:rPr>
                <w:sz w:val="20"/>
                <w:szCs w:val="20"/>
                <w:color w:val="auto"/>
              </w:rPr>
            </w:pPr>
            <w:r>
              <w:rPr>
                <w:rFonts w:ascii="Courier New" w:cs="Courier New" w:eastAsia="Courier New" w:hAnsi="Courier New"/>
                <w:sz w:val="14"/>
                <w:szCs w:val="14"/>
                <w:color w:val="auto"/>
              </w:rPr>
              <w:t>/s/ Daniel B. Burke</w:t>
            </w: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/s/ Richard D. Simmons</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27"/>
                <w:szCs w:val="27"/>
                <w:color w:val="auto"/>
                <w:w w:val="70"/>
                <w:vertAlign w:val="subscript"/>
              </w:rPr>
              <w:t>Daniel</w:t>
            </w: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B.Burke,Director</w:t>
            </w:r>
          </w:p>
        </w:tc>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320" w:type="dxa"/>
            <w:vAlign w:val="bottom"/>
            <w:vMerge w:val="continue"/>
          </w:tcPr>
          <w:p>
            <w:pPr>
              <w:spacing w:after="0"/>
              <w:rPr>
                <w:sz w:val="22"/>
                <w:szCs w:val="22"/>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Richard D. Simmons, Director</w:t>
            </w:r>
          </w:p>
        </w:tc>
        <w:tc>
          <w:tcPr>
            <w:tcW w:w="0" w:type="dxa"/>
            <w:vAlign w:val="bottom"/>
          </w:tcPr>
          <w:p>
            <w:pPr>
              <w:spacing w:after="0"/>
              <w:rPr>
                <w:sz w:val="1"/>
                <w:szCs w:val="1"/>
                <w:color w:val="auto"/>
              </w:rPr>
            </w:pPr>
          </w:p>
        </w:tc>
      </w:tr>
      <w:tr>
        <w:trPr>
          <w:trHeight w:val="407"/>
        </w:trPr>
        <w:tc>
          <w:tcPr>
            <w:tcW w:w="4320" w:type="dxa"/>
            <w:vAlign w:val="bottom"/>
          </w:tcPr>
          <w:p>
            <w:pPr>
              <w:spacing w:after="0"/>
              <w:rPr>
                <w:sz w:val="20"/>
                <w:szCs w:val="20"/>
                <w:color w:val="auto"/>
              </w:rPr>
            </w:pPr>
            <w:r>
              <w:rPr>
                <w:rFonts w:ascii="Courier New" w:cs="Courier New" w:eastAsia="Courier New" w:hAnsi="Courier New"/>
                <w:sz w:val="14"/>
                <w:szCs w:val="14"/>
                <w:color w:val="auto"/>
              </w:rPr>
              <w:t>/s/ James E. Burke</w:t>
            </w: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/s/ George W. Wilson</w:t>
            </w:r>
          </w:p>
        </w:tc>
        <w:tc>
          <w:tcPr>
            <w:tcW w:w="0" w:type="dxa"/>
            <w:vAlign w:val="bottom"/>
          </w:tcPr>
          <w:p>
            <w:pPr>
              <w:spacing w:after="0"/>
              <w:rPr>
                <w:sz w:val="1"/>
                <w:szCs w:val="1"/>
                <w:color w:val="auto"/>
              </w:rPr>
            </w:pPr>
          </w:p>
        </w:tc>
      </w:tr>
      <w:tr>
        <w:trPr>
          <w:trHeight w:val="166"/>
        </w:trPr>
        <w:tc>
          <w:tcPr>
            <w:tcW w:w="4320" w:type="dxa"/>
            <w:vAlign w:val="bottom"/>
            <w:vMerge w:val="restart"/>
          </w:tcPr>
          <w:p>
            <w:pPr>
              <w:spacing w:after="0"/>
              <w:rPr>
                <w:sz w:val="20"/>
                <w:szCs w:val="20"/>
                <w:color w:val="auto"/>
              </w:rPr>
            </w:pPr>
            <w:r>
              <w:rPr>
                <w:rFonts w:ascii="Courier New" w:cs="Courier New" w:eastAsia="Courier New" w:hAnsi="Courier New"/>
                <w:sz w:val="28"/>
                <w:szCs w:val="28"/>
                <w:color w:val="auto"/>
                <w:w w:val="71"/>
                <w:vertAlign w:val="subscript"/>
              </w:rPr>
              <w:t>James</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E.Burke,Director</w:t>
            </w:r>
          </w:p>
        </w:tc>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320" w:type="dxa"/>
            <w:vAlign w:val="bottom"/>
            <w:vMerge w:val="continue"/>
          </w:tcPr>
          <w:p>
            <w:pPr>
              <w:spacing w:after="0"/>
              <w:rPr>
                <w:sz w:val="22"/>
                <w:szCs w:val="22"/>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George W. Wilson, Director</w:t>
            </w:r>
          </w:p>
        </w:tc>
        <w:tc>
          <w:tcPr>
            <w:tcW w:w="0" w:type="dxa"/>
            <w:vAlign w:val="bottom"/>
          </w:tcPr>
          <w:p>
            <w:pPr>
              <w:spacing w:after="0"/>
              <w:rPr>
                <w:sz w:val="1"/>
                <w:szCs w:val="1"/>
                <w:color w:val="auto"/>
              </w:rPr>
            </w:pPr>
          </w:p>
        </w:tc>
      </w:tr>
    </w:tbl>
    <w:p>
      <w:pPr>
        <w:sectPr>
          <w:pgSz w:w="11900" w:h="16838" w:orient="portrait"/>
          <w:cols w:equalWidth="0" w:num="1">
            <w:col w:w="10159"/>
          </w:cols>
          <w:pgMar w:left="300" w:top="115" w:right="1440" w:bottom="1440" w:gutter="0" w:footer="0" w:header="0"/>
        </w:sectPr>
      </w:pPr>
    </w:p>
    <w:bookmarkStart w:id="109" w:name="page110"/>
    <w:bookmarkEnd w:id="109"/>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579"/>
        <w:spacing w:after="0" w:line="292"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 OF INCOME FOR THE YEAR ENDED JANUARY 2, 2000, AND THE CONSOLIDATED BALANCE SHEET AS OF JANUARY 2, 2000, AND IS QUALIFIED IN ITS ENTIRETY BY REFERENCE TO SUCH FINANCIAL STATEMENTS.</w:t>
      </w:r>
    </w:p>
    <w:p>
      <w:pPr>
        <w:spacing w:after="0" w:line="56"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33"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JAN-02-2000</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JAN-02-2000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75,479</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203,012</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330,885</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60,621</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13,890</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476,159</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1,481,805</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626,899</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2,986,944</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822,548</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397,620</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11,873</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20,000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1,347,790</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2,986,944</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2,215,571</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1,189,734</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71,960</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26,786</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375,385</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149,600</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225,785</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225,785</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$22.35</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$22.30</w:t>
      </w:r>
    </w:p>
    <w:sectPr>
      <w:pgSz w:w="11900" w:h="16838" w:orient="portrait"/>
      <w:cols w:equalWidth="0" w:num="1">
        <w:col w:w="10119"/>
      </w:cols>
      <w:pgMar w:left="3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lvl w:ilvl="1">
      <w:lvlJc w:val="left"/>
      <w:lvlText w:val="(%2)"/>
      <w:numFmt w:val="lowerLetter"/>
      <w:start w:val="1"/>
    </w:lvl>
  </w:abstractNum>
  <w:abstractNum w:abstractNumId="1">
    <w:nsid w:val="22221A70"/>
    <w:multiLevelType w:val="hybridMultilevel"/>
    <w:lvl w:ilvl="0">
      <w:lvlJc w:val="left"/>
      <w:lvlText w:val="-"/>
      <w:numFmt w:val="bullet"/>
      <w:start w:val="1"/>
    </w:lvl>
    <w:lvl w:ilvl="1">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
      <w:numFmt w:val="bullet"/>
      <w:start w:val="1"/>
    </w:lvl>
  </w:abstractNum>
  <w:abstractNum w:abstractNumId="4">
    <w:nsid w:val="614FD4A1"/>
    <w:multiLevelType w:val="hybridMultilevel"/>
    <w:lvl w:ilvl="0">
      <w:lvlJc w:val="left"/>
      <w:lvlText w:val="(%1)"/>
      <w:numFmt w:val="lowerLetter"/>
      <w:start w:val="1"/>
    </w:lvl>
    <w:lvl w:ilvl="1">
      <w:lvlJc w:val="left"/>
      <w:lvlText w:val="(%2)"/>
      <w:numFmt w:val="lowerLetter"/>
      <w:start w:val="9"/>
    </w:lvl>
  </w:abstractNum>
  <w:abstractNum w:abstractNumId="5">
    <w:nsid w:val="419AC241"/>
    <w:multiLevelType w:val="hybridMultilevel"/>
    <w:lvl w:ilvl="0">
      <w:lvlJc w:val="left"/>
      <w:lvlText w:val="%1"/>
      <w:numFmt w:val="lowerRoman"/>
      <w:start w:val="1"/>
    </w:lvl>
    <w:lvl w:ilvl="1">
      <w:lvlJc w:val="left"/>
      <w:lvlText w:val="%2"/>
      <w:numFmt w:val="decimal"/>
      <w:start w:val="27"/>
    </w:lvl>
  </w:abstractNum>
  <w:abstractNum w:abstractNumId="6">
    <w:nsid w:val="5577F8E1"/>
    <w:multiLevelType w:val="hybridMultilevel"/>
    <w:lvl w:ilvl="0">
      <w:lvlJc w:val="left"/>
      <w:lvlText w:val="(%1)"/>
      <w:numFmt w:val="lowerRoman"/>
      <w:start w:val="2"/>
    </w:lvl>
    <w:lvl w:ilvl="1">
      <w:lvlJc w:val="left"/>
      <w:lvlText w:val="%2"/>
      <w:numFmt w:val="decimal"/>
      <w:start w:val="1"/>
    </w:lvl>
  </w:abstractNum>
  <w:abstractNum w:abstractNumId="7">
    <w:nsid w:val="440BADFC"/>
    <w:multiLevelType w:val="hybridMultilevel"/>
    <w:lvl w:ilvl="0">
      <w:lvlJc w:val="left"/>
      <w:lvlText w:val="%1."/>
      <w:numFmt w:val="upperLetter"/>
      <w:start w:val="2"/>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23"/>
    </w:lvl>
  </w:abstractNum>
  <w:abstractNum w:abstractNumId="18">
    <w:nsid w:val="153EA438"/>
    <w:multiLevelType w:val="hybridMultilevel"/>
    <w:lvl w:ilvl="0">
      <w:lvlJc w:val="left"/>
      <w:lvlText w:val="-"/>
      <w:numFmt w:val="bullet"/>
      <w:start w:val="1"/>
    </w:lvl>
    <w:lvl w:ilvl="1">
      <w:lvlJc w:val="left"/>
      <w:lvlText w:val="*"/>
      <w:numFmt w:val="bullet"/>
      <w:start w:val="1"/>
    </w:lvl>
  </w:abstractNum>
  <w:abstractNum w:abstractNumId="19">
    <w:nsid w:val="3855585C"/>
    <w:multiLevelType w:val="hybridMultilevel"/>
    <w:lvl w:ilvl="0">
      <w:lvlJc w:val="left"/>
      <w:lvlText w:val="%1."/>
      <w:numFmt w:val="decimal"/>
      <w:start w:val="3"/>
    </w:lvl>
    <w:lvl w:ilvl="1">
      <w:lvlJc w:val="left"/>
      <w:lvlText w:val="(%2)"/>
      <w:numFmt w:val="lowerLetter"/>
      <w:start w:val="1"/>
    </w:lvl>
  </w:abstractNum>
  <w:abstractNum w:abstractNumId="20">
    <w:nsid w:val="70A64E2A"/>
    <w:multiLevelType w:val="hybridMultilevel"/>
    <w:lvl w:ilvl="0">
      <w:lvlJc w:val="left"/>
      <w:lvlText w:val="%1"/>
      <w:numFmt w:val="decimal"/>
      <w:start w:val="1"/>
    </w:lvl>
    <w:lvl w:ilvl="1">
      <w:lvlJc w:val="left"/>
      <w:lvlText w:val="(%2)"/>
      <w:numFmt w:val="lowerLetter"/>
      <w:start w:val="2"/>
    </w:lvl>
  </w:abstractNum>
  <w:abstractNum w:abstractNumId="21">
    <w:nsid w:val="6A2342EC"/>
    <w:multiLevelType w:val="hybridMultilevel"/>
    <w:lvl w:ilvl="0">
      <w:lvlJc w:val="left"/>
      <w:lvlText w:val="%1."/>
      <w:numFmt w:val="decimal"/>
      <w:start w:val="4"/>
    </w:lvl>
    <w:lvl w:ilvl="1">
      <w:lvlJc w:val="left"/>
      <w:lvlText w:val="(%2)"/>
      <w:numFmt w:val="lowerLetter"/>
      <w:start w:val="1"/>
    </w:lvl>
  </w:abstractNum>
  <w:abstractNum w:abstractNumId="22">
    <w:nsid w:val="2A487CB0"/>
    <w:multiLevelType w:val="hybridMultilevel"/>
    <w:lvl w:ilvl="0">
      <w:lvlJc w:val="left"/>
      <w:lvlText w:val="(%1)"/>
      <w:numFmt w:val="lowerRoman"/>
      <w:start w:val="1"/>
    </w:lvl>
  </w:abstractNum>
  <w:abstractNum w:abstractNumId="23">
    <w:nsid w:val="1D4ED43B"/>
    <w:multiLevelType w:val="hybridMultilevel"/>
    <w:lvl w:ilvl="0">
      <w:lvlJc w:val="left"/>
      <w:lvlText w:val="%1"/>
      <w:numFmt w:val="decimal"/>
      <w:start w:val="1"/>
    </w:lvl>
    <w:lvl w:ilvl="1">
      <w:lvlJc w:val="left"/>
      <w:lvlText w:val="(%2)"/>
      <w:numFmt w:val="lowerRoman"/>
      <w:start w:val="2"/>
    </w:lvl>
  </w:abstractNum>
  <w:abstractNum w:abstractNumId="24">
    <w:nsid w:val="725A06FB"/>
    <w:multiLevelType w:val="hybridMultilevel"/>
    <w:lvl w:ilvl="0">
      <w:lvlJc w:val="left"/>
      <w:lvlText w:val="%1."/>
      <w:numFmt w:val="decimal"/>
      <w:start w:val="5"/>
    </w:lvl>
    <w:lvl w:ilvl="1">
      <w:lvlJc w:val="left"/>
      <w:lvlText w:val="%2"/>
      <w:numFmt w:val="lowerRoman"/>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3"/>
    </w:lvl>
  </w:abstractNum>
  <w:abstractNum w:abstractNumId="27">
    <w:nsid w:val="7A6D8D3C"/>
    <w:multiLevelType w:val="hybridMultilevel"/>
    <w:lvl w:ilvl="0">
      <w:lvlJc w:val="left"/>
      <w:lvlText w:val="(%1)"/>
      <w:numFmt w:val="lowerRoman"/>
      <w:start w:val="1"/>
    </w:lvl>
  </w:abstractNum>
  <w:abstractNum w:abstractNumId="28">
    <w:nsid w:val="4B588F54"/>
    <w:multiLevelType w:val="hybridMultilevel"/>
    <w:lvl w:ilvl="0">
      <w:lvlJc w:val="left"/>
      <w:lvlText w:val="(%1)"/>
      <w:numFmt w:val="upperLetter"/>
      <w:start w:val="1"/>
    </w:lvl>
  </w:abstractNum>
  <w:abstractNum w:abstractNumId="29">
    <w:nsid w:val="542289EC"/>
    <w:multiLevelType w:val="hybridMultilevel"/>
    <w:lvl w:ilvl="0">
      <w:lvlJc w:val="left"/>
      <w:lvlText w:val="(%1)"/>
      <w:numFmt w:val="lowerRoman"/>
      <w:start w:val="4"/>
    </w:lvl>
  </w:abstractNum>
  <w:abstractNum w:abstractNumId="30">
    <w:nsid w:val="6DE91B18"/>
    <w:multiLevelType w:val="hybridMultilevel"/>
    <w:lvl w:ilvl="0">
      <w:lvlJc w:val="left"/>
      <w:lvlText w:val="(%1)"/>
      <w:numFmt w:val="lowerLetter"/>
      <w:start w:val="4"/>
    </w:lvl>
  </w:abstractNum>
  <w:abstractNum w:abstractNumId="31">
    <w:nsid w:val="38437FDB"/>
    <w:multiLevelType w:val="hybridMultilevel"/>
    <w:lvl w:ilvl="0">
      <w:lvlJc w:val="left"/>
      <w:lvlText w:val="%1."/>
      <w:numFmt w:val="decimal"/>
      <w:start w:val="6"/>
    </w:lvl>
    <w:lvl w:ilvl="1">
      <w:lvlJc w:val="left"/>
      <w:lvlText w:val="(%2)"/>
      <w:numFmt w:val="lowerLetter"/>
      <w:start w:val="1"/>
    </w:lvl>
  </w:abstractNum>
  <w:abstractNum w:abstractNumId="32">
    <w:nsid w:val="7644A45C"/>
    <w:multiLevelType w:val="hybridMultilevel"/>
    <w:lvl w:ilvl="0">
      <w:lvlJc w:val="left"/>
      <w:lvlText w:val="%1"/>
      <w:numFmt w:val="lowerLetter"/>
      <w:start w:val="1"/>
    </w:lvl>
    <w:lvl w:ilvl="1">
      <w:lvlJc w:val="left"/>
      <w:lvlText w:val="(%2)"/>
      <w:numFmt w:val="upperLetter"/>
      <w:start w:val="1"/>
    </w:lvl>
  </w:abstractNum>
  <w:abstractNum w:abstractNumId="33">
    <w:nsid w:val="32FFF902"/>
    <w:multiLevelType w:val="hybridMultilevel"/>
    <w:lvl w:ilvl="0">
      <w:lvlJc w:val="left"/>
      <w:lvlText w:val="(%1)"/>
      <w:numFmt w:val="lowerLetter"/>
      <w:start w:val="4"/>
    </w:lvl>
    <w:lvl w:ilvl="1">
      <w:lvlJc w:val="left"/>
      <w:lvlText w:val="%2"/>
      <w:numFmt w:val="upperLetter"/>
      <w:start w:val="1"/>
    </w:lvl>
  </w:abstractNum>
  <w:abstractNum w:abstractNumId="34">
    <w:nsid w:val="684A481A"/>
    <w:multiLevelType w:val="hybridMultilevel"/>
    <w:lvl w:ilvl="0">
      <w:lvlJc w:val="left"/>
      <w:lvlText w:val="%1."/>
      <w:numFmt w:val="decimal"/>
      <w:start w:val="8"/>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2"/>
    </w:lvl>
  </w:abstractNum>
  <w:abstractNum w:abstractNumId="37">
    <w:nsid w:val="3DC240FB"/>
    <w:multiLevelType w:val="hybridMultilevel"/>
    <w:lvl w:ilvl="0">
      <w:lvlJc w:val="left"/>
      <w:lvlText w:val="(%1)"/>
      <w:numFmt w:val="lowerLetter"/>
      <w:start w:val="4"/>
    </w:lvl>
  </w:abstractNum>
  <w:abstractNum w:abstractNumId="38">
    <w:nsid w:val="1BA026FA"/>
    <w:multiLevelType w:val="hybridMultilevel"/>
    <w:lvl w:ilvl="0">
      <w:lvlJc w:val="left"/>
      <w:lvlText w:val="(%1)"/>
      <w:numFmt w:val="lowerLetter"/>
      <w:start w:val="7"/>
    </w:lvl>
  </w:abstractNum>
  <w:abstractNum w:abstractNumId="39">
    <w:nsid w:val="79A1DEAA"/>
    <w:multiLevelType w:val="hybridMultilevel"/>
    <w:lvl w:ilvl="0">
      <w:lvlJc w:val="left"/>
      <w:lvlText w:val="(%1)"/>
      <w:numFmt w:val="lowerLetter"/>
      <w:start w:val="10"/>
    </w:lvl>
  </w:abstractNum>
  <w:abstractNum w:abstractNumId="40">
    <w:nsid w:val="75C6C33A"/>
    <w:multiLevelType w:val="hybridMultilevel"/>
    <w:lvl w:ilvl="0">
      <w:lvlJc w:val="left"/>
      <w:lvlText w:val="(%1)"/>
      <w:numFmt w:val="lowerLetter"/>
      <w:start w:val="15"/>
    </w:lvl>
  </w:abstractNum>
  <w:abstractNum w:abstractNumId="41">
    <w:nsid w:val="12E685FB"/>
    <w:multiLevelType w:val="hybridMultilevel"/>
    <w:lvl w:ilvl="0">
      <w:lvlJc w:val="left"/>
      <w:lvlText w:val="(%1)"/>
      <w:numFmt w:val="lowerLetter"/>
      <w:start w:val="22"/>
    </w:lvl>
  </w:abstractNum>
  <w:abstractNum w:abstractNumId="42">
    <w:nsid w:val="70C6A529"/>
    <w:multiLevelType w:val="hybridMultilevel"/>
    <w:lvl w:ilvl="0">
      <w:lvlJc w:val="left"/>
      <w:lvlText w:val="%1"/>
      <w:numFmt w:val="lowerLetter"/>
      <w:start w:val="1"/>
    </w:lvl>
    <w:lvl w:ilvl="1">
      <w:lvlJc w:val="left"/>
      <w:lvlText w:val="(%2)"/>
      <w:numFmt w:val="lowerLetter"/>
      <w:start w:val="1"/>
    </w:lvl>
  </w:abstractNum>
  <w:abstractNum w:abstractNumId="43">
    <w:nsid w:val="520EEDD1"/>
    <w:multiLevelType w:val="hybridMultilevel"/>
    <w:lvl w:ilvl="0">
      <w:lvlJc w:val="left"/>
      <w:lvlText w:val="(%1)"/>
      <w:numFmt w:val="lowerLetter"/>
      <w:start w:val="9"/>
    </w:lvl>
    <w:lvl w:ilvl="1">
      <w:lvlJc w:val="left"/>
      <w:lvlText w:val="%2"/>
      <w:numFmt w:val="lowerLetter"/>
      <w:start w:val="1"/>
    </w:lvl>
  </w:abstractNum>
  <w:abstractNum w:abstractNumId="44">
    <w:nsid w:val="374A3FE6"/>
    <w:multiLevelType w:val="hybridMultilevel"/>
    <w:lvl w:ilvl="0">
      <w:lvlJc w:val="left"/>
      <w:lvlText w:val="(%1)"/>
      <w:numFmt w:val="lowerLetter"/>
      <w:start w:val="2"/>
    </w:lvl>
  </w:abstractNum>
  <w:abstractNum w:abstractNumId="45">
    <w:nsid w:val="4F4EF005"/>
    <w:multiLevelType w:val="hybridMultilevel"/>
    <w:lvl w:ilvl="0">
      <w:lvlJc w:val="left"/>
      <w:lvlText w:val="%1"/>
      <w:numFmt w:val="lowerLetter"/>
      <w:start w:val="1"/>
    </w:lvl>
    <w:lvl w:ilvl="1">
      <w:lvlJc w:val="left"/>
      <w:lvlText w:val="(%2)"/>
      <w:numFmt w:val="lowerLetter"/>
      <w:start w:val="1"/>
    </w:lvl>
  </w:abstractNum>
  <w:abstractNum w:abstractNumId="46">
    <w:nsid w:val="23F9C13C"/>
    <w:multiLevelType w:val="hybridMultilevel"/>
    <w:lvl w:ilvl="0">
      <w:lvlJc w:val="left"/>
      <w:lvlText w:val="(%1)"/>
      <w:numFmt w:val="lowerLetter"/>
      <w:start w:val="35"/>
    </w:lvl>
    <w:lvl w:ilvl="1">
      <w:lvlJc w:val="left"/>
      <w:lvlText w:val="%2"/>
      <w:numFmt w:val="lowerLetter"/>
      <w:start w:val="1"/>
    </w:lvl>
  </w:abstractNum>
  <w:abstractNum w:abstractNumId="47">
    <w:nsid w:val="649BB77C"/>
    <w:multiLevelType w:val="hybridMultilevel"/>
    <w:lvl w:ilvl="0">
      <w:lvlJc w:val="left"/>
      <w:lvlText w:val="(%1)"/>
      <w:numFmt w:val="lowerLetter"/>
      <w:start w:val="2"/>
    </w:lvl>
  </w:abstractNum>
  <w:abstractNum w:abstractNumId="48">
    <w:nsid w:val="275AC794"/>
    <w:multiLevelType w:val="hybridMultilevel"/>
    <w:lvl w:ilvl="0">
      <w:lvlJc w:val="left"/>
      <w:lvlText w:val="(%1)"/>
      <w:numFmt w:val="lowerLetter"/>
      <w:start w:val="3"/>
    </w:lvl>
  </w:abstractNum>
  <w:abstractNum w:abstractNumId="49">
    <w:nsid w:val="39386575"/>
    <w:multiLevelType w:val="hybridMultilevel"/>
    <w:lvl w:ilvl="0">
      <w:lvlJc w:val="left"/>
      <w:lvlText w:val="(%1)"/>
      <w:numFmt w:val="lowerLetter"/>
      <w:start w:val="5"/>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lowerLetter"/>
      <w:start w:val="9"/>
    </w:lvl>
  </w:abstractNum>
  <w:abstractNum w:abstractNumId="53">
    <w:nsid w:val="47398C89"/>
    <w:multiLevelType w:val="hybridMultilevel"/>
    <w:lvl w:ilvl="0">
      <w:lvlJc w:val="left"/>
      <w:lvlText w:val="(%1)"/>
      <w:numFmt w:val="lowerLetter"/>
      <w:start w:val="15"/>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4"/>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4"/>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4"/>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3"/>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2020-10-06T03:53:49Z</dcterms:created>
  <dcterms:modified xsi:type="dcterms:W3CDTF">2020-10-06T03:53:49Z</dcterms:modified>
</cp:coreProperties>
</file>