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168910</wp:posOffset>
            </wp:positionV>
            <wp:extent cx="4869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72390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2, 2023</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940" w:type="dxa"/>
        <w:tblCellMar>
          <w:top w:w="0" w:type="dxa"/>
          <w:left w:w="0" w:type="dxa"/>
          <w:bottom w:w="0" w:type="dxa"/>
          <w:right w:w="0" w:type="dxa"/>
        </w:tblCellMar>
      </w:tblPr>
      <w:tr>
        <w:trPr>
          <w:trHeight w:val="251"/>
        </w:trPr>
        <w:tc>
          <w:tcPr>
            <w:tcW w:w="4160" w:type="dxa"/>
            <w:vAlign w:val="bottom"/>
          </w:tcPr>
          <w:p>
            <w:pPr>
              <w:jc w:val="center"/>
              <w:ind w:right="541"/>
              <w:spacing w:after="0"/>
              <w:rPr>
                <w:sz w:val="20"/>
                <w:szCs w:val="20"/>
                <w:color w:val="auto"/>
              </w:rPr>
            </w:pPr>
            <w:r>
              <w:rPr>
                <w:rFonts w:ascii="Arial" w:cs="Arial" w:eastAsia="Arial" w:hAnsi="Arial"/>
                <w:sz w:val="18"/>
                <w:szCs w:val="18"/>
                <w:b w:val="1"/>
                <w:bCs w:val="1"/>
                <w:color w:val="auto"/>
                <w:w w:val="98"/>
              </w:rPr>
              <w:t>Delaware</w:t>
            </w:r>
          </w:p>
        </w:tc>
        <w:tc>
          <w:tcPr>
            <w:tcW w:w="2460" w:type="dxa"/>
            <w:vAlign w:val="bottom"/>
          </w:tcPr>
          <w:p>
            <w:pPr>
              <w:jc w:val="center"/>
              <w:ind w:right="24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6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160" w:type="dxa"/>
            <w:vAlign w:val="bottom"/>
          </w:tcPr>
          <w:p>
            <w:pPr>
              <w:jc w:val="center"/>
              <w:ind w:right="541"/>
              <w:spacing w:after="0"/>
              <w:rPr>
                <w:sz w:val="20"/>
                <w:szCs w:val="20"/>
                <w:color w:val="auto"/>
              </w:rPr>
            </w:pPr>
            <w:r>
              <w:rPr>
                <w:rFonts w:ascii="Arial" w:cs="Arial" w:eastAsia="Arial" w:hAnsi="Arial"/>
                <w:sz w:val="14"/>
                <w:szCs w:val="14"/>
                <w:b w:val="1"/>
                <w:bCs w:val="1"/>
                <w:color w:val="auto"/>
              </w:rPr>
              <w:t>(State or other jurisdiction of</w:t>
            </w:r>
          </w:p>
        </w:tc>
        <w:tc>
          <w:tcPr>
            <w:tcW w:w="246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60" w:type="dxa"/>
            <w:vAlign w:val="bottom"/>
          </w:tcPr>
          <w:p>
            <w:pPr>
              <w:jc w:val="center"/>
              <w:ind w:right="541"/>
              <w:spacing w:after="0"/>
              <w:rPr>
                <w:sz w:val="20"/>
                <w:szCs w:val="20"/>
                <w:color w:val="auto"/>
              </w:rPr>
            </w:pPr>
            <w:r>
              <w:rPr>
                <w:rFonts w:ascii="Arial" w:cs="Arial" w:eastAsia="Arial" w:hAnsi="Arial"/>
                <w:sz w:val="14"/>
                <w:szCs w:val="14"/>
                <w:b w:val="1"/>
                <w:bCs w:val="1"/>
                <w:color w:val="auto"/>
              </w:rPr>
              <w:t>incorporation)</w:t>
            </w:r>
          </w:p>
        </w:tc>
        <w:tc>
          <w:tcPr>
            <w:tcW w:w="2460" w:type="dxa"/>
            <w:vAlign w:val="bottom"/>
          </w:tcPr>
          <w:p>
            <w:pPr>
              <w:jc w:val="center"/>
              <w:ind w:right="22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60" w:type="dxa"/>
            <w:vAlign w:val="bottom"/>
          </w:tcPr>
          <w:p>
            <w:pPr>
              <w:jc w:val="center"/>
              <w:ind w:right="54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46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2"/>
        </w:trPr>
        <w:tc>
          <w:tcPr>
            <w:tcW w:w="4160" w:type="dxa"/>
            <w:vAlign w:val="bottom"/>
          </w:tcPr>
          <w:p>
            <w:pPr>
              <w:jc w:val="center"/>
              <w:ind w:right="541"/>
              <w:spacing w:after="0"/>
              <w:rPr>
                <w:sz w:val="20"/>
                <w:szCs w:val="20"/>
                <w:color w:val="auto"/>
              </w:rPr>
            </w:pPr>
            <w:r>
              <w:rPr>
                <w:rFonts w:ascii="Arial" w:cs="Arial" w:eastAsia="Arial" w:hAnsi="Arial"/>
                <w:sz w:val="14"/>
                <w:szCs w:val="14"/>
                <w:b w:val="1"/>
                <w:bCs w:val="1"/>
                <w:color w:val="auto"/>
              </w:rPr>
              <w:t>(Address of principal executive offices)</w:t>
            </w:r>
          </w:p>
        </w:tc>
        <w:tc>
          <w:tcPr>
            <w:tcW w:w="246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137795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right="280"/>
        <w:spacing w:after="0" w:line="25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405"/>
        </w:trPr>
        <w:tc>
          <w:tcPr>
            <w:tcW w:w="4860" w:type="dxa"/>
            <w:vAlign w:val="bottom"/>
          </w:tcPr>
          <w:p>
            <w:pPr>
              <w:jc w:val="center"/>
              <w:ind w:left="139"/>
              <w:spacing w:after="0"/>
              <w:rPr>
                <w:sz w:val="20"/>
                <w:szCs w:val="20"/>
                <w:color w:val="auto"/>
              </w:rPr>
            </w:pPr>
            <w:r>
              <w:rPr>
                <w:rFonts w:ascii="Arial" w:cs="Arial" w:eastAsia="Arial" w:hAnsi="Arial"/>
                <w:sz w:val="16"/>
                <w:szCs w:val="16"/>
                <w:color w:val="auto"/>
                <w:w w:val="99"/>
              </w:rPr>
              <w:t>Title of each class</w:t>
            </w:r>
          </w:p>
        </w:tc>
        <w:tc>
          <w:tcPr>
            <w:tcW w:w="2040" w:type="dxa"/>
            <w:vAlign w:val="bottom"/>
          </w:tcPr>
          <w:p>
            <w:pPr>
              <w:jc w:val="center"/>
              <w:spacing w:after="0"/>
              <w:rPr>
                <w:sz w:val="20"/>
                <w:szCs w:val="20"/>
                <w:color w:val="auto"/>
              </w:rPr>
            </w:pPr>
            <w:r>
              <w:rPr>
                <w:rFonts w:ascii="Arial" w:cs="Arial" w:eastAsia="Arial" w:hAnsi="Arial"/>
                <w:sz w:val="16"/>
                <w:szCs w:val="16"/>
                <w:color w:val="auto"/>
              </w:rPr>
              <w:t>Trading symbol</w:t>
            </w:r>
          </w:p>
        </w:tc>
        <w:tc>
          <w:tcPr>
            <w:tcW w:w="4320" w:type="dxa"/>
            <w:vAlign w:val="bottom"/>
          </w:tcPr>
          <w:p>
            <w:pPr>
              <w:jc w:val="center"/>
              <w:ind w:right="99"/>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03"/>
        </w:trPr>
        <w:tc>
          <w:tcPr>
            <w:tcW w:w="486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20" w:type="dxa"/>
            <w:vAlign w:val="bottom"/>
          </w:tcPr>
          <w:p>
            <w:pPr>
              <w:jc w:val="center"/>
              <w:ind w:right="99"/>
              <w:spacing w:after="0"/>
              <w:rPr>
                <w:sz w:val="20"/>
                <w:szCs w:val="20"/>
                <w:color w:val="auto"/>
              </w:rPr>
            </w:pPr>
            <w:r>
              <w:rPr>
                <w:rFonts w:ascii="Arial" w:cs="Arial" w:eastAsia="Arial" w:hAnsi="Arial"/>
                <w:sz w:val="16"/>
                <w:szCs w:val="16"/>
                <w:color w:val="auto"/>
              </w:rPr>
              <w:t>New York Stock Exchange</w:t>
            </w:r>
          </w:p>
        </w:tc>
      </w:tr>
    </w:tbl>
    <w:p>
      <w:pPr>
        <w:spacing w:after="0" w:line="212" w:lineRule="exact"/>
        <w:rPr>
          <w:sz w:val="24"/>
          <w:szCs w:val="24"/>
          <w:color w:val="auto"/>
        </w:rPr>
      </w:pPr>
    </w:p>
    <w:p>
      <w:pPr>
        <w:ind w:right="5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6"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ind w:right="12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2"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277495</wp:posOffset>
            </wp:positionV>
            <wp:extent cx="7098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August 2, 2023, Graham Holdings Company issued a press release announcing the Company’s earnings for the second quarter ended June 30, 2023. A copy of this press release is furnished with this report as an exhibit to this Form 8-K.</w:t>
      </w:r>
    </w:p>
    <w:p>
      <w:pPr>
        <w:spacing w:after="0" w:line="12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588010</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13"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277495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t>Exhibit Index</w:t>
      </w:r>
    </w:p>
    <w:p>
      <w:pPr>
        <w:spacing w:after="0" w:line="200" w:lineRule="exact"/>
        <w:rPr>
          <w:sz w:val="20"/>
          <w:szCs w:val="20"/>
          <w:color w:val="auto"/>
        </w:rPr>
      </w:pPr>
    </w:p>
    <w:p>
      <w:pPr>
        <w:spacing w:after="0" w:line="25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August 2, 2023.</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339725</wp:posOffset>
            </wp:positionV>
            <wp:extent cx="7098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277495</wp:posOffset>
            </wp:positionV>
            <wp:extent cx="7098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5"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22225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31115</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Wallace R. Cooney,</w:t>
      </w:r>
    </w:p>
    <w:p>
      <w:pPr>
        <w:ind w:left="8320"/>
        <w:spacing w:after="0" w:line="227"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983615</wp:posOffset>
            </wp:positionV>
            <wp:extent cx="7098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927"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1520" w:val="left"/>
          <w:tab w:leader="none" w:pos="87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Wallace R. Cooney</w:t>
      </w:r>
      <w:r>
        <w:rPr>
          <w:sz w:val="20"/>
          <w:szCs w:val="20"/>
          <w:color w:val="auto"/>
        </w:rPr>
        <w:tab/>
      </w:r>
      <w:r>
        <w:rPr>
          <w:rFonts w:ascii="Arial" w:cs="Arial" w:eastAsia="Arial" w:hAnsi="Arial"/>
          <w:sz w:val="18"/>
          <w:szCs w:val="18"/>
          <w:color w:val="auto"/>
        </w:rPr>
        <w:t>For Immediate Release</w:t>
      </w:r>
    </w:p>
    <w:p>
      <w:pPr>
        <w:spacing w:after="0" w:line="50" w:lineRule="exact"/>
        <w:rPr>
          <w:sz w:val="20"/>
          <w:szCs w:val="20"/>
          <w:color w:val="auto"/>
        </w:rPr>
      </w:pPr>
    </w:p>
    <w:p>
      <w:pPr>
        <w:ind w:left="1540"/>
        <w:spacing w:after="0"/>
        <w:tabs>
          <w:tab w:leader="none" w:pos="8740" w:val="left"/>
        </w:tabs>
        <w:rPr>
          <w:sz w:val="20"/>
          <w:szCs w:val="20"/>
          <w:color w:val="auto"/>
        </w:rPr>
      </w:pPr>
      <w:r>
        <w:rPr>
          <w:rFonts w:ascii="Arial" w:cs="Arial" w:eastAsia="Arial" w:hAnsi="Arial"/>
          <w:sz w:val="18"/>
          <w:szCs w:val="18"/>
          <w:color w:val="auto"/>
        </w:rPr>
        <w:t>(703) 345-6470</w:t>
      </w:r>
      <w:r>
        <w:rPr>
          <w:sz w:val="20"/>
          <w:szCs w:val="20"/>
          <w:color w:val="auto"/>
        </w:rPr>
        <w:tab/>
      </w:r>
      <w:r>
        <w:rPr>
          <w:rFonts w:ascii="Arial" w:cs="Arial" w:eastAsia="Arial" w:hAnsi="Arial"/>
          <w:sz w:val="18"/>
          <w:szCs w:val="18"/>
          <w:color w:val="auto"/>
        </w:rPr>
        <w:t>August 2, 2023</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GRAHAM HOLDINGS COMPANY REPORTS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SECOND QUARTER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net income attributable to common shares of $122.8 million</w:t>
      </w:r>
    </w:p>
    <w:p>
      <w:pPr>
        <w:spacing w:after="0"/>
        <w:rPr>
          <w:sz w:val="20"/>
          <w:szCs w:val="20"/>
          <w:color w:val="auto"/>
        </w:rPr>
      </w:pPr>
      <w:r>
        <w:rPr>
          <w:rFonts w:ascii="Arial" w:cs="Arial" w:eastAsia="Arial" w:hAnsi="Arial"/>
          <w:sz w:val="18"/>
          <w:szCs w:val="18"/>
          <w:color w:val="auto"/>
        </w:rPr>
        <w:t>($25.89 per share) for the second quarter of 2023, compared to a net loss of $67.5 million ($13.95 per share) for the second quarter of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the second quarter of 2023 and 2022 were affected by a number of items as described in the following paragraphs. Excluding</w:t>
      </w:r>
    </w:p>
    <w:p>
      <w:pPr>
        <w:spacing w:after="0" w:line="8"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these items, net income attributable to common shares was $61.6 million ($12.97 per share) for the second quarter of 2023, compared to $59.7 million ($12.07 per share) for the second quarter of 2022. (Refer to the Non-GAAP Financial Information schedule at the end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release for additional details.)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2023:</w:t>
      </w:r>
    </w:p>
    <w:p>
      <w:pPr>
        <w:spacing w:after="0" w:line="144" w:lineRule="exact"/>
        <w:rPr>
          <w:sz w:val="20"/>
          <w:szCs w:val="20"/>
          <w:color w:val="auto"/>
        </w:rPr>
      </w:pPr>
    </w:p>
    <w:p>
      <w:pPr>
        <w:ind w:left="180" w:right="180" w:hanging="172"/>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$4.3 million net credit related to a fair value change in contingent consideration from a prior acquisition at Corporate (after-tax impact of $4.2 million, or $0.89 per share);</w:t>
      </w:r>
    </w:p>
    <w:p>
      <w:pPr>
        <w:spacing w:after="0" w:line="105" w:lineRule="exact"/>
        <w:rPr>
          <w:rFonts w:ascii="Arial" w:cs="Arial" w:eastAsia="Arial" w:hAnsi="Arial"/>
          <w:sz w:val="18"/>
          <w:szCs w:val="18"/>
          <w:color w:val="auto"/>
        </w:rPr>
      </w:pPr>
    </w:p>
    <w:p>
      <w:pPr>
        <w:ind w:left="180" w:right="680" w:hanging="172"/>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$5.5 million in expenses related to non-operating Separation Incentive Programs (SIPs) at other businesses and the education and television broadcasting divisions (after-tax impact of $4.1 million, or $0.86 per share);</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$78.6 million in net gains on marketable equity securities (after-tax impact of $57.9 million, or $12.22 per share);</w:t>
      </w:r>
    </w:p>
    <w:p>
      <w:pPr>
        <w:spacing w:after="0" w:line="144" w:lineRule="exact"/>
        <w:rPr>
          <w:rFonts w:ascii="Arial" w:cs="Arial" w:eastAsia="Arial" w:hAnsi="Arial"/>
          <w:sz w:val="18"/>
          <w:szCs w:val="18"/>
          <w:color w:val="auto"/>
        </w:rPr>
      </w:pPr>
    </w:p>
    <w:p>
      <w:pPr>
        <w:ind w:left="180" w:right="400" w:hanging="172"/>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$8.6 million in net losses of affiliates whose operations are not managed by the Company (after-tax impact of $6.4 million, or $1.34 per share);</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(after-tax-impact of $7.4 million, or $1.56 per share);</w:t>
      </w:r>
    </w:p>
    <w:p>
      <w:pPr>
        <w:spacing w:after="0" w:line="144" w:lineRule="exact"/>
        <w:rPr>
          <w:rFonts w:ascii="Arial" w:cs="Arial" w:eastAsia="Arial" w:hAnsi="Arial"/>
          <w:sz w:val="18"/>
          <w:szCs w:val="18"/>
          <w:color w:val="auto"/>
        </w:rPr>
      </w:pPr>
    </w:p>
    <w:p>
      <w:pPr>
        <w:ind w:left="180" w:right="460" w:hanging="172"/>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 of $1.3 million from the write-up and sale of cost method investments (after-tax impact of $1.0 million, or $0.21 per share); and</w:t>
      </w:r>
    </w:p>
    <w:p>
      <w:pPr>
        <w:spacing w:after="0" w:line="118" w:lineRule="exact"/>
        <w:rPr>
          <w:rFonts w:ascii="Arial" w:cs="Arial" w:eastAsia="Arial" w:hAnsi="Arial"/>
          <w:sz w:val="18"/>
          <w:szCs w:val="18"/>
          <w:color w:val="auto"/>
        </w:rPr>
      </w:pPr>
    </w:p>
    <w:p>
      <w:pPr>
        <w:ind w:left="180" w:right="300" w:hanging="172"/>
        <w:spacing w:after="0" w:line="24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$1.2 million credit to interest expense to adjust the fair value of the mandatorily redeemable noncontrolling interest (after-tax impact of $1.2 million, or $0.24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loss for the second quarter of 2022:</w:t>
      </w:r>
    </w:p>
    <w:p>
      <w:pPr>
        <w:spacing w:after="0" w:line="158" w:lineRule="exact"/>
        <w:rPr>
          <w:sz w:val="20"/>
          <w:szCs w:val="20"/>
          <w:color w:val="auto"/>
        </w:rPr>
      </w:pPr>
    </w:p>
    <w:p>
      <w:pPr>
        <w:ind w:left="180" w:right="180" w:hanging="172"/>
        <w:spacing w:after="0" w:line="24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$3.2 million net credit related to a fair value change in contingent consideration from a prior acquisition at Corporate (after-tax impact of $3.2 million, or $0.66 per share);</w:t>
      </w:r>
    </w:p>
    <w:p>
      <w:pPr>
        <w:spacing w:after="0" w:line="132"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$165.5 million in net losses on marketable equity securities (after-tax impact of $122.4 million, or $25.05 per share);</w:t>
      </w:r>
    </w:p>
    <w:p>
      <w:pPr>
        <w:spacing w:after="0" w:line="157" w:lineRule="exact"/>
        <w:rPr>
          <w:rFonts w:ascii="Arial" w:cs="Arial" w:eastAsia="Arial" w:hAnsi="Arial"/>
          <w:sz w:val="18"/>
          <w:szCs w:val="18"/>
          <w:color w:val="auto"/>
        </w:rPr>
      </w:pPr>
    </w:p>
    <w:p>
      <w:pPr>
        <w:ind w:left="180" w:right="400" w:hanging="172"/>
        <w:spacing w:after="0" w:line="24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$0.4 million in net losses of affiliates whose operations are not managed by the Company (after-tax impact of $0.3 million, or $0.07 per share); and</w:t>
      </w:r>
    </w:p>
    <w:p>
      <w:pPr>
        <w:spacing w:after="0" w:line="132" w:lineRule="exact"/>
        <w:rPr>
          <w:rFonts w:ascii="Arial" w:cs="Arial" w:eastAsia="Arial" w:hAnsi="Arial"/>
          <w:sz w:val="18"/>
          <w:szCs w:val="18"/>
          <w:color w:val="auto"/>
        </w:rPr>
      </w:pPr>
    </w:p>
    <w:p>
      <w:pPr>
        <w:ind w:left="180" w:right="540" w:hanging="172"/>
        <w:spacing w:after="0" w:line="26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$8.0 million in interest expense to adjust the fair value of the mandatorily redeemable noncontrolling interest (after-tax impact of $7.6 million, or $1.56 per share).</w:t>
      </w:r>
    </w:p>
    <w:p>
      <w:pPr>
        <w:spacing w:after="0" w:line="105" w:lineRule="exact"/>
        <w:rPr>
          <w:sz w:val="20"/>
          <w:szCs w:val="20"/>
          <w:color w:val="auto"/>
        </w:rPr>
      </w:pPr>
    </w:p>
    <w:p>
      <w:pPr>
        <w:ind w:right="780"/>
        <w:spacing w:after="0" w:line="241" w:lineRule="auto"/>
        <w:rPr>
          <w:sz w:val="20"/>
          <w:szCs w:val="20"/>
          <w:color w:val="auto"/>
        </w:rPr>
      </w:pPr>
      <w:r>
        <w:rPr>
          <w:rFonts w:ascii="Arial" w:cs="Arial" w:eastAsia="Arial" w:hAnsi="Arial"/>
          <w:sz w:val="18"/>
          <w:szCs w:val="18"/>
          <w:color w:val="auto"/>
        </w:rPr>
        <w:t>Revenue for the second quarter of 2023 was $1,105.0 million, up 18% from $933.3 million in the second quarter of 2022. Revenues increased at education, healthcare and automotive, partially offset by declines at television broadcasting, manufacturing and other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businesses. The Company reported operating income of $58.1 million and adjusted operating cash flow (non-GAAP) of $100.0 million for the second quarter of 2023, compared to $39.3 million and $78.6 million, respectively, for the second quarter of 2022. Operating results and</w:t>
      </w:r>
    </w:p>
    <w:p>
      <w:pPr>
        <w:spacing w:after="0" w:line="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adjusted operating cash flow increased at education, manufacturing, healthcare, automotive and other businesses, partially offset by a decline at television broadcasting.</w:t>
      </w:r>
    </w:p>
    <w:p>
      <w:pPr>
        <w:spacing w:after="0" w:line="117"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color w:val="auto"/>
        </w:rPr>
        <w:t>For the first six months of 2023, the Company recorded net income attributable to common shares of $ 175.1 million ($36.67 per share), compared to $28.1 million ($5.74 per share) for the first six months of 2022. The results for the first six months of 2023 and 2022 were affected by a number of items as described in the following paragraphs.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7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Excluding these items, net income attributable to common shares was $101.8 million ($21.33 per share) for the first six months of 2023,</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compared to $122.4 million ($24.98 per share) for the first six months of 2022. (Refer to the Non-GAAP Financial Information schedule at the end of this release for additional details.)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2023:</w:t>
      </w:r>
    </w:p>
    <w:p>
      <w:pPr>
        <w:spacing w:after="0" w:line="158" w:lineRule="exact"/>
        <w:rPr>
          <w:sz w:val="20"/>
          <w:szCs w:val="20"/>
          <w:color w:val="auto"/>
        </w:rPr>
      </w:pPr>
    </w:p>
    <w:p>
      <w:pPr>
        <w:ind w:left="180" w:right="120" w:hanging="172"/>
        <w:spacing w:after="0" w:line="244"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$4.2 million net credit related to a fair value change in contingent consideration from a prior acquisition at Corporate (after-tax impact of $4.1 million, or $0.86 per share);</w:t>
      </w:r>
    </w:p>
    <w:p>
      <w:pPr>
        <w:spacing w:after="0" w:line="132" w:lineRule="exact"/>
        <w:rPr>
          <w:rFonts w:ascii="Arial" w:cs="Arial" w:eastAsia="Arial" w:hAnsi="Arial"/>
          <w:sz w:val="18"/>
          <w:szCs w:val="18"/>
          <w:color w:val="auto"/>
        </w:rPr>
      </w:pPr>
    </w:p>
    <w:p>
      <w:pPr>
        <w:ind w:left="180" w:right="10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$9.6 million in expenses related to non-operating SIPs at other businesses and the education and television broadcasting divisions (after-tax impact of $7.2 million, or $1.50 per share);</w:t>
      </w:r>
    </w:p>
    <w:p>
      <w:pPr>
        <w:spacing w:after="0" w:line="10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$96.7 million in net gains on marketable equity securities (after-tax impact of $71.2 million, or $14.92 per share);</w:t>
      </w:r>
    </w:p>
    <w:p>
      <w:pPr>
        <w:spacing w:after="0" w:line="157" w:lineRule="exact"/>
        <w:rPr>
          <w:rFonts w:ascii="Arial" w:cs="Arial" w:eastAsia="Arial" w:hAnsi="Arial"/>
          <w:sz w:val="18"/>
          <w:szCs w:val="18"/>
          <w:color w:val="auto"/>
        </w:rPr>
      </w:pPr>
    </w:p>
    <w:p>
      <w:pPr>
        <w:ind w:left="180" w:right="34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$6.8 million in net losses of affiliates whose operations are not managed by the Company (after-tax impact of $5.0 million, or $1.05 per share);</w:t>
      </w:r>
    </w:p>
    <w:p>
      <w:pPr>
        <w:spacing w:after="0" w:line="10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(after-tax-impact of $7.4 million, or $1.55 per share);</w:t>
      </w:r>
    </w:p>
    <w:p>
      <w:pPr>
        <w:spacing w:after="0" w:line="157" w:lineRule="exact"/>
        <w:rPr>
          <w:rFonts w:ascii="Arial" w:cs="Arial" w:eastAsia="Arial" w:hAnsi="Arial"/>
          <w:sz w:val="18"/>
          <w:szCs w:val="18"/>
          <w:color w:val="auto"/>
        </w:rPr>
      </w:pPr>
    </w:p>
    <w:p>
      <w:pPr>
        <w:ind w:left="180" w:right="30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 of $3.9 million from the write-up and sales of cost method investments (after-tax impact of $2.9 million, or $0.61 per share); and</w:t>
      </w:r>
    </w:p>
    <w:p>
      <w:pPr>
        <w:spacing w:after="0" w:line="105" w:lineRule="exact"/>
        <w:rPr>
          <w:rFonts w:ascii="Arial" w:cs="Arial" w:eastAsia="Arial" w:hAnsi="Arial"/>
          <w:sz w:val="18"/>
          <w:szCs w:val="18"/>
          <w:color w:val="auto"/>
        </w:rPr>
      </w:pPr>
    </w:p>
    <w:p>
      <w:pPr>
        <w:ind w:left="180" w:right="48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$0.3 million in interest expense to adjust the fair value of the mandatorily redeemable noncontrolling interest (after-tax impact of $0.2 million, or $0.05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2022:</w:t>
      </w:r>
    </w:p>
    <w:p>
      <w:pPr>
        <w:spacing w:after="0" w:line="144" w:lineRule="exact"/>
        <w:rPr>
          <w:sz w:val="20"/>
          <w:szCs w:val="20"/>
          <w:color w:val="auto"/>
        </w:rPr>
      </w:pPr>
    </w:p>
    <w:p>
      <w:pPr>
        <w:ind w:left="180" w:right="120" w:hanging="172"/>
        <w:spacing w:after="0" w:line="260"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$3.2 million net credit related to a fair value change in contingent consideration from a prior acquisition at Corporate (after-tax impact of $3.1 million, or $0.64 per share);</w:t>
      </w:r>
    </w:p>
    <w:p>
      <w:pPr>
        <w:spacing w:after="0" w:line="105"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$118.6 million in net losses on marketable equity securities (after-tax impact of $87.7 million, or $17.90 per share);</w:t>
      </w:r>
    </w:p>
    <w:p>
      <w:pPr>
        <w:spacing w:after="0" w:line="157" w:lineRule="exact"/>
        <w:rPr>
          <w:rFonts w:ascii="Arial" w:cs="Arial" w:eastAsia="Arial" w:hAnsi="Arial"/>
          <w:sz w:val="18"/>
          <w:szCs w:val="18"/>
          <w:color w:val="auto"/>
        </w:rPr>
      </w:pPr>
    </w:p>
    <w:p>
      <w:pPr>
        <w:ind w:left="180" w:right="340" w:hanging="172"/>
        <w:spacing w:after="0" w:line="260"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$0.1 million in net losses of affiliates whose operations are not managed by the Company (after-tax impact of $0.1 million, or $0.01 per share);</w:t>
      </w:r>
    </w:p>
    <w:p>
      <w:pPr>
        <w:spacing w:after="0" w:line="105" w:lineRule="exact"/>
        <w:rPr>
          <w:rFonts w:ascii="Arial" w:cs="Arial" w:eastAsia="Arial" w:hAnsi="Arial"/>
          <w:sz w:val="18"/>
          <w:szCs w:val="18"/>
          <w:color w:val="auto"/>
        </w:rPr>
      </w:pPr>
    </w:p>
    <w:p>
      <w:pPr>
        <w:ind w:left="180" w:right="240" w:hanging="172"/>
        <w:spacing w:after="0" w:line="260"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Non-operating gain of $1.7 million from sales of an equity method and cost method investment (after-tax impact of $1.3 million, or $0.26 per share); and</w:t>
      </w:r>
    </w:p>
    <w:p>
      <w:pPr>
        <w:spacing w:after="0" w:line="118" w:lineRule="exact"/>
        <w:rPr>
          <w:rFonts w:ascii="Arial" w:cs="Arial" w:eastAsia="Arial" w:hAnsi="Arial"/>
          <w:sz w:val="18"/>
          <w:szCs w:val="18"/>
          <w:color w:val="auto"/>
        </w:rPr>
      </w:pPr>
    </w:p>
    <w:p>
      <w:pPr>
        <w:ind w:left="180" w:right="300" w:hanging="172"/>
        <w:spacing w:after="0" w:line="24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$11.4 million in interest expense to adjust the fair value of the mandatorily redeemable noncontrolling interest (after-tax impact of $10.9 million, or $2.23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six months of 2023 was $2,136.5 million, up 16% from $1,848.0 million in the first six months of 2022. Revenues</w:t>
      </w:r>
    </w:p>
    <w:p>
      <w:pPr>
        <w:spacing w:after="0" w:line="8"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increased at education, healthcare and automotive, partially offset by declines at television broadcasting, manufacturing and other businesses. The Company reported operating income of $85.7 million for the first six months of 2023, compared to $79.3 million for the first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six months of 2022. Operating results increased at education, manufacturing, automotive and other businesses, partially offset by declines at</w:t>
      </w:r>
    </w:p>
    <w:p>
      <w:pPr>
        <w:spacing w:after="0" w:line="7"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television broadcasting and healthcare. The Company reported adjusted operating cash flow (non-GAAP) of $171.6 million for the first six months of 2023, compared to $159.0 million for the first six months of 2022. Adjusted operating cash flow increased at education,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healthcare, automotive and other businesses, partially offset by a decline at television broadcasting.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$402.2 million for the second quarter of 2023, up 14% from $353.0 million for the same period of 2022.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$30.1 million for the second quarter of 2023, compared to $18.7 million for the second quarter of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2023, education division revenue totaled $780.3 million, up 10% from $711.0 million for the same period of 2022.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$53.2 million for the first six months of 2023, compared to $39.1 million for the first six months of 2022.</w:t>
      </w:r>
    </w:p>
    <w:p>
      <w:pPr>
        <w:spacing w:after="0" w:line="14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the second quarter of 2023, Kaplan modified its segment reporting for Kaplan India, a shared services center that supports Higher Education (previously included in Kaplan corporate and other); prior periods have been reclassified to conform with the current presentation.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883"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2022</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237,663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200,871</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464,739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405,384</w:t>
            </w: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90,291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74,427</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168,632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151,676</w:t>
            </w: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74,616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77,546</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148,203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153,850</w:t>
            </w: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2,887</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2,445</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5,259</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4,798</w:t>
            </w: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3"/>
        </w:trPr>
        <w:tc>
          <w:tcPr>
            <w:tcW w:w="420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(3,230)</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(6,565)</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2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402,227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353,013</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780,268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711,025</w:t>
            </w: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20,751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42,052</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19,063</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39,627</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17,795</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3,012</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24,878</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8,359</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3,512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4,829</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7,263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8,200</w:t>
            </w: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(7,824)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(4,079)</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(12,662)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(8,822)</w:t>
            </w: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(3,984)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(4,064)</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(7,923)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(8,210)</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(477)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20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(134)</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30,116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18,705</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53,156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39,117</w:t>
            </w: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18% and 15% for the second quarter and first six months of 2023, respectively (increases of</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19% each on a constant currency basis). The increases are due largely to growth at Pathways, Australia and Languages, partially offset by a decline at Singapore. Kaplan International reported operating income of $20.8 million in the second quarter of 2023, compared to $19.1</w:t>
      </w:r>
    </w:p>
    <w:p>
      <w:pPr>
        <w:spacing w:after="0" w:line="236" w:lineRule="auto"/>
        <w:rPr>
          <w:sz w:val="20"/>
          <w:szCs w:val="20"/>
          <w:color w:val="auto"/>
        </w:rPr>
      </w:pPr>
      <w:r>
        <w:rPr>
          <w:rFonts w:ascii="Arial" w:cs="Arial" w:eastAsia="Arial" w:hAnsi="Arial"/>
          <w:sz w:val="18"/>
          <w:szCs w:val="18"/>
          <w:color w:val="auto"/>
        </w:rPr>
        <w:t>million in the second quarter of 2022. Operating income increased to $42.1 million in the first six months of 2023, compared to $39.6 million</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the first six months of 2022. The improved results are due largely to improved results at Pathways and Australia, partially offset by declines at UK Professional and Singapore.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In the second quarter and first six</w:t>
      </w:r>
    </w:p>
    <w:p>
      <w:pPr>
        <w:spacing w:after="0" w:line="8"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months of 2023, Higher Education revenue increased 21% and 11%, respectively, due to an increase in the Purdue Global fee recorded. For the second quarter and first six months of 2023 and 2022, Kaplan recorded a portion of the fee with Purdue Global based on an assessment</w:t>
      </w:r>
    </w:p>
    <w:p>
      <w:pPr>
        <w:spacing w:after="0" w:line="235" w:lineRule="auto"/>
        <w:rPr>
          <w:sz w:val="20"/>
          <w:szCs w:val="20"/>
          <w:color w:val="auto"/>
        </w:rPr>
      </w:pPr>
      <w:r>
        <w:rPr>
          <w:rFonts w:ascii="Arial" w:cs="Arial" w:eastAsia="Arial" w:hAnsi="Arial"/>
          <w:sz w:val="18"/>
          <w:szCs w:val="18"/>
          <w:color w:val="auto"/>
        </w:rPr>
        <w:t>of its collectability under the TOSA. Enrollments at Purdue Global for the first half of 2023 increased 2% compared to the first half of 2022.</w:t>
      </w:r>
    </w:p>
    <w:p>
      <w:pPr>
        <w:ind w:right="300"/>
        <w:spacing w:after="0" w:line="226" w:lineRule="auto"/>
        <w:rPr>
          <w:sz w:val="20"/>
          <w:szCs w:val="20"/>
          <w:color w:val="auto"/>
        </w:rPr>
      </w:pPr>
      <w:r>
        <w:rPr>
          <w:rFonts w:ascii="Arial" w:cs="Arial" w:eastAsia="Arial" w:hAnsi="Arial"/>
          <w:sz w:val="18"/>
          <w:szCs w:val="18"/>
          <w:color w:val="auto"/>
        </w:rPr>
        <w:t>The Company will continue to assess the collectability of the fee with Purdue Global on a quarterly basis to make a determination as to whether to record all or part of the fee in the future and whether to make adjustments to fee amounts recognized in earlier periods. Higher</w:t>
      </w:r>
    </w:p>
    <w:p>
      <w:pPr>
        <w:spacing w:after="0" w:line="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Education results increased in the second quarter and first six months of 2023 due to an increase in the Purdue Global fee recorded, and a decline in investment costs incurred related to other university agreements and other higher education development costs.</w:t>
      </w:r>
    </w:p>
    <w:p>
      <w:pPr>
        <w:spacing w:after="0" w:line="117"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4% for the second quarter and first six months of 2023, driven mostly by</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softness in Real Estate, Securities and Medical Licensure test preparation, offset in part by growth in CFP and MCAT test preparation and publishing activities. Overall, demand for graduate and pre-college test preparation programs has declined due to the strength of U.S.</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employment markets and the decline in test-takers, while demand for professional programs remained stable. Operating results declined in the second quarter and first six months of 2023 due to lower revenues, partially offset by savings from reduced headcount.</w:t>
      </w:r>
    </w:p>
    <w:p>
      <w:pPr>
        <w:spacing w:after="0" w:line="117"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Kaplan corporate and other expenses increased in the second quarter and first six months of 2023, largely due to increased incentive compensation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8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8"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236" w:lineRule="auto"/>
        <w:rPr>
          <w:sz w:val="20"/>
          <w:szCs w:val="20"/>
          <w:color w:val="auto"/>
        </w:rPr>
      </w:pPr>
      <w:r>
        <w:rPr>
          <w:rFonts w:ascii="Arial" w:cs="Arial" w:eastAsia="Arial" w:hAnsi="Arial"/>
          <w:sz w:val="18"/>
          <w:szCs w:val="18"/>
          <w:color w:val="auto"/>
        </w:rPr>
        <w:t>users. Revenue at the television broadcasting division decreased 3% to $118.8 million in the second quarter of 2023, from $122.4 million in</w:t>
      </w:r>
    </w:p>
    <w:p>
      <w:pPr>
        <w:spacing w:after="0" w:line="226" w:lineRule="auto"/>
        <w:rPr>
          <w:sz w:val="20"/>
          <w:szCs w:val="20"/>
          <w:color w:val="auto"/>
        </w:rPr>
      </w:pPr>
      <w:r>
        <w:rPr>
          <w:rFonts w:ascii="Arial" w:cs="Arial" w:eastAsia="Arial" w:hAnsi="Arial"/>
          <w:sz w:val="18"/>
          <w:szCs w:val="18"/>
          <w:color w:val="auto"/>
        </w:rPr>
        <w:t>the same period of 2022. The revenue decline is due primarily to a $2.5 million decline in political advertising revenue and a decline in national advertising revenue, partially offset by modest increases in digital advertising and retransmission revenues. Operating income for the</w:t>
      </w:r>
    </w:p>
    <w:p>
      <w:pPr>
        <w:spacing w:after="0" w:line="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second quarter of 2023 declined 16% to $33.2 million, from $39.7 million in the same period of 2022, due to reduced revenues and higher network fees.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Revenue at the television broadcasting division decreased 6% to $231.7 million in the first six months of 2023, from $245.8 million in the same period of 2022. The revenue decline is due primarily to winter Olympics and Super Bowl advertising at the Company’s NBC affiliates in</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first quarter of 2022, a $3.5 million decline in political advertising revenue as well as modest declines in retransmission and digital advertising revenues. Operating income for the first six months of 2023 declined 22% to $61.8 million, from $79.6 million in the same period</w:t>
      </w:r>
    </w:p>
    <w:p>
      <w:pPr>
        <w:spacing w:after="0" w:line="235" w:lineRule="auto"/>
        <w:rPr>
          <w:sz w:val="20"/>
          <w:szCs w:val="20"/>
          <w:color w:val="auto"/>
        </w:rPr>
      </w:pPr>
      <w:r>
        <w:rPr>
          <w:rFonts w:ascii="Arial" w:cs="Arial" w:eastAsia="Arial" w:hAnsi="Arial"/>
          <w:sz w:val="18"/>
          <w:szCs w:val="18"/>
          <w:color w:val="auto"/>
        </w:rPr>
        <w:t>of 2022, due to reduced revenues and higher network fees. While per subscriber rates from cable, satellite and OTT providers have grown,</w:t>
      </w:r>
    </w:p>
    <w:p>
      <w:pPr>
        <w:ind w:right="40"/>
        <w:spacing w:after="0" w:line="235" w:lineRule="auto"/>
        <w:rPr>
          <w:sz w:val="20"/>
          <w:szCs w:val="20"/>
          <w:color w:val="auto"/>
        </w:rPr>
      </w:pPr>
      <w:r>
        <w:rPr>
          <w:rFonts w:ascii="Arial" w:cs="Arial" w:eastAsia="Arial" w:hAnsi="Arial"/>
          <w:sz w:val="18"/>
          <w:szCs w:val="18"/>
          <w:color w:val="auto"/>
        </w:rPr>
        <w:t>overall cable and satellite subscribers are down due to cord cutting, resulting in retransmission revenue net of network fees in 2023 expected to be similar compared with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decreased 5% and 3% in the second quarter and first six months of 2023, respectively. The revenue decline in the</w:t>
      </w:r>
    </w:p>
    <w:p>
      <w:pPr>
        <w:spacing w:after="0" w:line="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second quarter of 2023 is due primarily to lower revenues at Hoover and Dekko, partially offset by increased revenues at Forney. The revenue decline in the first six months of 2023 is due primarily to lower revenues at Hoover and Dekko, partially offset by increased revenues</w:t>
      </w:r>
    </w:p>
    <w:p>
      <w:pPr>
        <w:spacing w:after="0" w:line="235" w:lineRule="auto"/>
        <w:rPr>
          <w:sz w:val="20"/>
          <w:szCs w:val="20"/>
          <w:color w:val="auto"/>
        </w:rPr>
      </w:pPr>
      <w:r>
        <w:rPr>
          <w:rFonts w:ascii="Arial" w:cs="Arial" w:eastAsia="Arial" w:hAnsi="Arial"/>
          <w:sz w:val="18"/>
          <w:szCs w:val="18"/>
          <w:color w:val="auto"/>
        </w:rPr>
        <w:t>at Joyce. Revenues declined at Hoover due largely to lower wood prices, partially offset by increased product demand. Revenues declined at</w:t>
      </w:r>
    </w:p>
    <w:p>
      <w:pPr>
        <w:ind w:right="180"/>
        <w:spacing w:after="0"/>
        <w:rPr>
          <w:sz w:val="20"/>
          <w:szCs w:val="20"/>
          <w:color w:val="auto"/>
        </w:rPr>
      </w:pPr>
      <w:r>
        <w:rPr>
          <w:rFonts w:ascii="Arial" w:cs="Arial" w:eastAsia="Arial" w:hAnsi="Arial"/>
          <w:sz w:val="17"/>
          <w:szCs w:val="17"/>
          <w:color w:val="auto"/>
        </w:rPr>
        <w:t>Dekko due largely to lower product demand, particularly in the commercial office electrical products sector. Overall, Hoover results included wood gains on inventory sales in the first half of 2023 and 2022, with gains in the first half of 2023 lower than the prior year. For the second</w:t>
      </w:r>
    </w:p>
    <w:p>
      <w:pPr>
        <w:spacing w:after="0" w:line="235" w:lineRule="auto"/>
        <w:rPr>
          <w:sz w:val="20"/>
          <w:szCs w:val="20"/>
          <w:color w:val="auto"/>
        </w:rPr>
      </w:pPr>
      <w:r>
        <w:rPr>
          <w:rFonts w:ascii="Arial" w:cs="Arial" w:eastAsia="Arial" w:hAnsi="Arial"/>
          <w:sz w:val="18"/>
          <w:szCs w:val="18"/>
          <w:color w:val="auto"/>
        </w:rPr>
        <w:t>quarter of 2023, Hoover results included wood gains on inventory sales, compared with wood losses on inventory sales in the second quarter</w:t>
      </w:r>
    </w:p>
    <w:p>
      <w:pPr>
        <w:ind w:right="20"/>
        <w:spacing w:after="0" w:line="226" w:lineRule="auto"/>
        <w:rPr>
          <w:sz w:val="20"/>
          <w:szCs w:val="20"/>
          <w:color w:val="auto"/>
        </w:rPr>
      </w:pPr>
      <w:r>
        <w:rPr>
          <w:rFonts w:ascii="Arial" w:cs="Arial" w:eastAsia="Arial" w:hAnsi="Arial"/>
          <w:sz w:val="18"/>
          <w:szCs w:val="18"/>
          <w:color w:val="auto"/>
        </w:rPr>
        <w:t>of 2022. Manufacturing operating results increased in the second quarter of 2023, due primarily to improvements at Hoover, partially offset by a decline at Dekko. Manufacturing results increased for the first six months of 2023, due primarily to improvements at Hoover and Joyce,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declines at Dekko.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Graham Healthcare Group (GHG) provides home health and hospice services in seven states. GHG also provides other healthcare services, including nursing care and prescription services for patients receiving in-home infusion treatments through its 76.5% interest in CSI</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Pharmacy Holdings Company, LLC (CSI). In May 2022, GHG acquired two small businesses, one of which expanded GHG’s home health operations into Kansas and Missouri. In July 2022, GHG acquired a 100% interest in a multi-state provider of Applied Behavior Analysis</w:t>
      </w:r>
    </w:p>
    <w:p>
      <w:pPr>
        <w:spacing w:after="0" w:line="235" w:lineRule="auto"/>
        <w:rPr>
          <w:sz w:val="20"/>
          <w:szCs w:val="20"/>
          <w:color w:val="auto"/>
        </w:rPr>
      </w:pPr>
      <w:r>
        <w:rPr>
          <w:rFonts w:ascii="Arial" w:cs="Arial" w:eastAsia="Arial" w:hAnsi="Arial"/>
          <w:sz w:val="18"/>
          <w:szCs w:val="18"/>
          <w:color w:val="auto"/>
        </w:rPr>
        <w:t>clinics and in August 2022, GHG acquired two small businesses, which expanded GHG’s hospice services into Missouri and Ohio.</w:t>
      </w:r>
    </w:p>
    <w:p>
      <w:pPr>
        <w:ind w:right="440"/>
        <w:spacing w:after="0" w:line="235" w:lineRule="auto"/>
        <w:rPr>
          <w:sz w:val="20"/>
          <w:szCs w:val="20"/>
          <w:color w:val="auto"/>
        </w:rPr>
      </w:pPr>
      <w:r>
        <w:rPr>
          <w:rFonts w:ascii="Arial" w:cs="Arial" w:eastAsia="Arial" w:hAnsi="Arial"/>
          <w:sz w:val="18"/>
          <w:szCs w:val="18"/>
          <w:color w:val="auto"/>
        </w:rPr>
        <w:t>Healthcare revenues increased 48% and 50% for the second quarter and first six months of 2023, respectively, largely due to significant growth at CSI and from businesses acquired in 2022, along with growth in home health and hospice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2022, GHG implemented a new pension credit retention program in order to improve employee retention and utilize the Company’s surplus</w:t>
      </w:r>
    </w:p>
    <w:p>
      <w:pPr>
        <w:spacing w:after="0" w:line="8"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pension assets. The GHG pilot program offers a pension credit up to $50,000 per employee, cliff vested after three years of continuous employment for certain existing employees and new employees hired from January 1, 2022 through December 31, 2024. GHG recorded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pension expense of $2.5 million and $6.7 million related to this program in the second quarter and first six months of 2023, respectively.</w:t>
      </w:r>
    </w:p>
    <w:p>
      <w:pPr>
        <w:spacing w:after="0" w:line="146"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The increase in GHG operating results in the second quarter of 2023 is due to improved results at CSI and in home health and hospice, partially offset by an increase in pension expense related to the new GHG pension credit retention program. The decline in GHG operating</w:t>
      </w:r>
    </w:p>
    <w:p>
      <w:pPr>
        <w:spacing w:after="0" w:line="236" w:lineRule="auto"/>
        <w:rPr>
          <w:sz w:val="20"/>
          <w:szCs w:val="20"/>
          <w:color w:val="auto"/>
        </w:rPr>
      </w:pPr>
      <w:r>
        <w:rPr>
          <w:rFonts w:ascii="Arial" w:cs="Arial" w:eastAsia="Arial" w:hAnsi="Arial"/>
          <w:sz w:val="18"/>
          <w:szCs w:val="18"/>
          <w:color w:val="auto"/>
        </w:rPr>
        <w:t>results in the first six months of 2023 is due to an increase in pension expense related to the new GHG pension credit retention program,</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partially offset by improved results at CSI and in home health and hospice. Excluding pension expense and net losses from newly acquired businesses, GHG operating results increased in the first six months of 2023 due to improved results at CSI and in home health and hospice.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cash flow (non-GAAP) at GHG increased to $13.2 million in the second quarter of</w:t>
      </w:r>
    </w:p>
    <w:p>
      <w:pPr>
        <w:spacing w:after="0" w:line="18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5" w:right="339" w:bottom="1440" w:gutter="0" w:footer="0" w:header="0"/>
        </w:sectPr>
      </w:pPr>
    </w:p>
    <w:bookmarkStart w:id="8" w:name="page9"/>
    <w:bookmarkEnd w:id="8"/>
    <w:p>
      <w:pPr>
        <w:ind w:right="20"/>
        <w:spacing w:after="0" w:line="260" w:lineRule="auto"/>
        <w:rPr>
          <w:sz w:val="20"/>
          <w:szCs w:val="20"/>
          <w:color w:val="auto"/>
        </w:rPr>
      </w:pPr>
      <w:r>
        <w:rPr>
          <w:rFonts w:ascii="Arial" w:cs="Arial" w:eastAsia="Arial" w:hAnsi="Arial"/>
          <w:sz w:val="18"/>
          <w:szCs w:val="18"/>
          <w:color w:val="auto"/>
        </w:rPr>
        <w:t>2023, from $7.8 million in the second quarter of 2022. Adjusted operating cash flow (non-GAAP) at GHG increased to $22.6 million in the first six months of 2023, from $15.7 million in the first six months of 2022.</w:t>
      </w:r>
    </w:p>
    <w:p>
      <w:pPr>
        <w:spacing w:after="0" w:line="10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$2.3 million and $1.7 million for the second quarter of 2023 and 2022, respectively, from these joint ventures. The Company recorded equity in earnings of $5.0 million and $3.6 million for the first six months of 2023 and 2022, respectively. During the first quarter of 2022, GHG,</w:t>
      </w:r>
    </w:p>
    <w:p>
      <w:pPr>
        <w:spacing w:after="0" w:line="235" w:lineRule="auto"/>
        <w:rPr>
          <w:sz w:val="20"/>
          <w:szCs w:val="20"/>
          <w:color w:val="auto"/>
        </w:rPr>
      </w:pPr>
      <w:r>
        <w:rPr>
          <w:rFonts w:ascii="Arial" w:cs="Arial" w:eastAsia="Arial" w:hAnsi="Arial"/>
          <w:sz w:val="18"/>
          <w:szCs w:val="18"/>
          <w:color w:val="auto"/>
        </w:rPr>
        <w:t>through its Residential Home Health Illinois and Residential Hospice Illinois affiliates, acquired an interest in the home health and hospice</w:t>
      </w:r>
    </w:p>
    <w:p>
      <w:pPr>
        <w:ind w:right="40"/>
        <w:spacing w:after="0"/>
        <w:rPr>
          <w:sz w:val="20"/>
          <w:szCs w:val="20"/>
          <w:color w:val="auto"/>
        </w:rPr>
      </w:pPr>
      <w:r>
        <w:rPr>
          <w:rFonts w:ascii="Arial" w:cs="Arial" w:eastAsia="Arial" w:hAnsi="Arial"/>
          <w:sz w:val="17"/>
          <w:szCs w:val="17"/>
          <w:color w:val="auto"/>
        </w:rPr>
        <w:t>assets of NorthShore University HealthSystem, an integrated healthcare delivery system serving patients throughout the Chicago, IL area. The transaction resulted in a decrease to GHG’s interest in Residential Hospice Illinois and a $0.6 million non-operating gain was recorded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2022 related to the change in interest.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Automotive includes six automotive dealerships in the Washington, D.C. metropolitan area: Ourisman Lexus of Rockville, Ourisman Honda of Tysons Corner, Ourisman Jeep Bethesda, Ourisman Ford of Manassas, and Toyota of Woodbridge and Ourisman Chrysler-Dodge-Jeep-</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Ram (CDJR) of Woodbridge, which were acquired on July 5, 2022 from the Lustine Automotive Group. Christopher J. Ourisman, a member of the Ourisman Automotive Group family of dealerships, and his team of industry professionals operate and manage the dealerships;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holds a 90% stake.</w:t>
      </w:r>
    </w:p>
    <w:p>
      <w:pPr>
        <w:spacing w:after="0" w:line="146"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color w:val="auto"/>
        </w:rPr>
        <w:t>Revenues for the second quarter and first six months of 2023 increased significantly due to the acquisitions of the Toyota and CDJR dealerships and sales growth at the Ford, Honda and Lexus dealerships, partially offset by lower revenue at the Jeep dealership due to a</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decline in new vehicle sales. Additionally, all of the dealerships reported sales growth for services and parts. Operating results for the second quarter and first six months of 2023 improved due largely to the Toyota and CDJR acquisitions, and improved results at the Lexus and Honda</w:t>
      </w:r>
    </w:p>
    <w:p>
      <w:pPr>
        <w:spacing w:after="0" w:line="1"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dealerships, partially offset by declines at the Jeep dealership due primarily to declines in new vehicle sales and related margins, and declines at the Ford dealership in margins on new vehicle sales.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3"/>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12"/>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0" w:type="dxa"/>
            <w:vAlign w:val="bottom"/>
          </w:tcPr>
          <w:p>
            <w:pPr>
              <w:jc w:val="right"/>
              <w:ind w:right="36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900" w:type="dxa"/>
            <w:vAlign w:val="bottom"/>
          </w:tcPr>
          <w:p>
            <w:pPr>
              <w:jc w:val="right"/>
              <w:ind w:right="242"/>
              <w:spacing w:after="0"/>
              <w:rPr>
                <w:sz w:val="20"/>
                <w:szCs w:val="20"/>
                <w:color w:val="auto"/>
              </w:rPr>
            </w:pPr>
            <w:r>
              <w:rPr>
                <w:rFonts w:ascii="Arial" w:cs="Arial" w:eastAsia="Arial" w:hAnsi="Arial"/>
                <w:sz w:val="14"/>
                <w:szCs w:val="14"/>
                <w:color w:val="auto"/>
              </w:rPr>
              <w:t>%</w:t>
            </w:r>
          </w:p>
        </w:tc>
      </w:tr>
      <w:tr>
        <w:trPr>
          <w:trHeight w:val="20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color w:val="auto"/>
              </w:rPr>
              <w:t>Change</w:t>
            </w:r>
          </w:p>
        </w:tc>
      </w:tr>
      <w:tr>
        <w:trPr>
          <w:trHeight w:val="22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7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29,373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40,157</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(27)</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61,770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83,246</w:t>
            </w:r>
          </w:p>
        </w:tc>
        <w:tc>
          <w:tcPr>
            <w:tcW w:w="900" w:type="dxa"/>
            <w:vAlign w:val="bottom"/>
          </w:tcPr>
          <w:p>
            <w:pPr>
              <w:jc w:val="center"/>
              <w:ind w:left="462"/>
              <w:spacing w:after="0"/>
              <w:rPr>
                <w:sz w:val="20"/>
                <w:szCs w:val="20"/>
                <w:color w:val="auto"/>
              </w:rPr>
            </w:pPr>
            <w:r>
              <w:rPr>
                <w:rFonts w:ascii="Arial" w:cs="Arial" w:eastAsia="Arial" w:hAnsi="Arial"/>
                <w:sz w:val="16"/>
                <w:szCs w:val="16"/>
                <w:color w:val="auto"/>
                <w:w w:val="98"/>
              </w:rPr>
              <w:t>(26)</w:t>
            </w:r>
          </w:p>
        </w:tc>
      </w:tr>
      <w:tr>
        <w:trPr>
          <w:trHeight w:val="230"/>
        </w:trPr>
        <w:tc>
          <w:tcPr>
            <w:tcW w:w="47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25,283</w:t>
            </w:r>
          </w:p>
        </w:tc>
        <w:tc>
          <w:tcPr>
            <w:tcW w:w="38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33,252</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50,686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64,042</w:t>
            </w:r>
          </w:p>
        </w:tc>
        <w:tc>
          <w:tcPr>
            <w:tcW w:w="900" w:type="dxa"/>
            <w:vAlign w:val="bottom"/>
          </w:tcPr>
          <w:p>
            <w:pPr>
              <w:jc w:val="center"/>
              <w:ind w:left="462"/>
              <w:spacing w:after="0"/>
              <w:rPr>
                <w:sz w:val="20"/>
                <w:szCs w:val="20"/>
                <w:color w:val="auto"/>
              </w:rPr>
            </w:pPr>
            <w:r>
              <w:rPr>
                <w:rFonts w:ascii="Arial" w:cs="Arial" w:eastAsia="Arial" w:hAnsi="Arial"/>
                <w:sz w:val="16"/>
                <w:szCs w:val="16"/>
                <w:color w:val="auto"/>
                <w:w w:val="98"/>
              </w:rPr>
              <w:t>(21)</w:t>
            </w:r>
          </w:p>
        </w:tc>
      </w:tr>
      <w:tr>
        <w:trPr>
          <w:trHeight w:val="248"/>
        </w:trPr>
        <w:tc>
          <w:tcPr>
            <w:tcW w:w="4740" w:type="dxa"/>
            <w:vAlign w:val="bottom"/>
          </w:tcPr>
          <w:p>
            <w:pPr>
              <w:ind w:left="140"/>
              <w:spacing w:after="0"/>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35,793</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33,917</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70,001</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59,655</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17</w:t>
            </w:r>
          </w:p>
        </w:tc>
      </w:tr>
      <w:tr>
        <w:trPr>
          <w:trHeight w:val="222"/>
        </w:trPr>
        <w:tc>
          <w:tcPr>
            <w:tcW w:w="47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90,449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107,326</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182,457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206,943</w:t>
            </w:r>
          </w:p>
        </w:tc>
        <w:tc>
          <w:tcPr>
            <w:tcW w:w="900" w:type="dxa"/>
            <w:vAlign w:val="bottom"/>
          </w:tcPr>
          <w:p>
            <w:pPr>
              <w:jc w:val="center"/>
              <w:ind w:left="462"/>
              <w:spacing w:after="0"/>
              <w:rPr>
                <w:sz w:val="20"/>
                <w:szCs w:val="20"/>
                <w:color w:val="auto"/>
              </w:rPr>
            </w:pPr>
            <w:r>
              <w:rPr>
                <w:rFonts w:ascii="Arial" w:cs="Arial" w:eastAsia="Arial" w:hAnsi="Arial"/>
                <w:sz w:val="16"/>
                <w:szCs w:val="16"/>
                <w:color w:val="auto"/>
                <w:w w:val="98"/>
              </w:rPr>
              <w:t>(12)</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80" w:hanging="354"/>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55" w:lineRule="exact"/>
        <w:rPr>
          <w:rFonts w:ascii="Arial" w:cs="Arial" w:eastAsia="Arial" w:hAnsi="Arial"/>
          <w:sz w:val="14"/>
          <w:szCs w:val="14"/>
          <w:color w:val="auto"/>
        </w:rPr>
      </w:pPr>
    </w:p>
    <w:p>
      <w:pPr>
        <w:ind w:left="380" w:hanging="354"/>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World of Good (formerly Leaf Media), Code3, Slate, Foreign Policy, Pinna and City Cast</w:t>
      </w:r>
    </w:p>
    <w:p>
      <w:pPr>
        <w:spacing w:after="0" w:line="55" w:lineRule="exact"/>
        <w:rPr>
          <w:rFonts w:ascii="Arial" w:cs="Arial" w:eastAsia="Arial" w:hAnsi="Arial"/>
          <w:sz w:val="14"/>
          <w:szCs w:val="14"/>
          <w:color w:val="auto"/>
        </w:rPr>
      </w:pPr>
    </w:p>
    <w:p>
      <w:pPr>
        <w:ind w:left="380" w:hanging="354"/>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Clyde’s Restaurant Group, Decile and CyberVista</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Overall, revenue from other businesses declined 16% and 12% in the second quarter and first six months of 2023, respectively. Retail</w:t>
      </w:r>
    </w:p>
    <w:p>
      <w:pPr>
        <w:spacing w:after="0" w:line="8"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revenue declined in the first half of 2023 largely due to significantly lower revenue at Society6. Media revenue declined in the first half of 2023 due to lower revenue at World of Good and Code3, partially offset by revenue growth at Slate and Foreign Policy. Specialty revenue</w:t>
      </w:r>
    </w:p>
    <w:p>
      <w:pPr>
        <w:spacing w:after="0" w:line="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increased in the first half of 2023 due to revenue growth at Clyde’s Restaurant Group (CRG). Excluding the Leaf businesses, revenue from other businesses grew in the second quarter and first six months of 2023.</w:t>
      </w:r>
    </w:p>
    <w:p>
      <w:pPr>
        <w:spacing w:after="0" w:line="117"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Overall, operating results at other businesses improved in the first six months of 2023 due to improved results at CRG, reduced losses at Framebridge, Slate, Decile and Foreign Policy, and a reduction in losses due to the sales of CyberVista and Pinna; partially offset by increased losses at the Leaf businesses, City Cast and Code3.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w:t>
      </w:r>
    </w:p>
    <w:p>
      <w:pPr>
        <w:spacing w:after="0" w:line="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builds enduring, creator-driven brands that reach passionate audiences in large and growing lifestyle categories, including fitness and wellness (Well+Good and Livestrong.com), and home, art and design (Saatchi Art, Society6 and Hunker). In the second quarter of 2023,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restructured Leaf into three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883"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83" w:right="339" w:bottom="1440" w:gutter="0" w:footer="0" w:header="0"/>
          <w:type w:val="continuous"/>
        </w:sectPr>
      </w:pPr>
    </w:p>
    <w:bookmarkStart w:id="9" w:name="page10"/>
    <w:bookmarkEnd w:id="9"/>
    <w:p>
      <w:pPr>
        <w:ind w:right="180"/>
        <w:spacing w:after="0" w:line="260" w:lineRule="auto"/>
        <w:rPr>
          <w:sz w:val="20"/>
          <w:szCs w:val="20"/>
          <w:color w:val="auto"/>
        </w:rPr>
      </w:pPr>
      <w:r>
        <w:rPr>
          <w:rFonts w:ascii="Arial" w:cs="Arial" w:eastAsia="Arial" w:hAnsi="Arial"/>
          <w:sz w:val="18"/>
          <w:szCs w:val="18"/>
          <w:color w:val="auto"/>
        </w:rPr>
        <w:t>stand-alone businesses: Society6 (formerly included in Leaf Marketplace), Saatchi Art (formerly included in Leaf Marketplace) and World of Good (formerly Leaf Media).</w:t>
      </w:r>
    </w:p>
    <w:p>
      <w:pPr>
        <w:spacing w:after="0" w:line="10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Revenue at each of the three Leaf businesses declined in the second quarter and first half of 2023, with substantial declines at Society6 and World of Good. Revenue decreases at Society6 are due to declines in traffic, conversion rates and related sales for both direct to consumer</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and business to business categories; revenue declines at World of Good are due to reduced traffic and the soft digital advertising market for both direct and programmatic categories. Overall, the Leaf businesses reported significant operating losses in each of the second quarters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first six months of 2023 and 2022, with an increase in operating losses in the first half of 2023.</w:t>
      </w:r>
    </w:p>
    <w:p>
      <w:pPr>
        <w:spacing w:after="0" w:line="146"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In the first and second quarters of 2023, Leaf implemented a SIP to reduce the number of employees, which is being funded by the assets of the Company’s pension plan; $2.9 million and $3.9 million in related non-operating pension expense was recorded in the first and second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quarters of 2023,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CRG owns and operates 12 restaurants and entertainment venues in the Washington, D.C. metropolitan area, including Old Ebbitt Grill and The Hamilton. CRG reported an operating profit for each of the second quarters and first six months of 2023 and 2022. Both revenues and</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operating results improved in the first half of 2023, due to strong guest traffic, modest price increases, and the absence of any significant adverse impact from the COVID-19 pandemic. Operating results in the second quarter of 2022 benefited from a favorable rent concession.</w:t>
      </w:r>
    </w:p>
    <w:p>
      <w:pPr>
        <w:spacing w:after="0" w:line="12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CRG recently announced plans to open new restaurants in Baltimore, MD; Washington, D.C.; and Reston, VA in early 2024, mid 2024 and early 2025,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Framebridge is a custom framing service company, headquartered in Washington, D.C., with 19 retail locations in the Washington, D.C., New York City, Atlanta, GA, Philadelphia, PA, Boston, MA and Chicago, IL areas and two manufacturing facilities in Kentucky and New Jersey.</w:t>
      </w:r>
    </w:p>
    <w:p>
      <w:pPr>
        <w:spacing w:after="0" w:line="236" w:lineRule="auto"/>
        <w:rPr>
          <w:sz w:val="20"/>
          <w:szCs w:val="20"/>
          <w:color w:val="auto"/>
        </w:rPr>
      </w:pPr>
      <w:r>
        <w:rPr>
          <w:rFonts w:ascii="Arial" w:cs="Arial" w:eastAsia="Arial" w:hAnsi="Arial"/>
          <w:sz w:val="18"/>
          <w:szCs w:val="18"/>
          <w:color w:val="auto"/>
        </w:rPr>
        <w:t>Framebridge continues to explore opportunities for further store expansion. Revenues increased modestly in the second quarter of 2023 but</w:t>
      </w:r>
    </w:p>
    <w:p>
      <w:pPr>
        <w:ind w:right="120"/>
        <w:spacing w:after="0" w:line="226" w:lineRule="auto"/>
        <w:rPr>
          <w:sz w:val="20"/>
          <w:szCs w:val="20"/>
          <w:color w:val="auto"/>
        </w:rPr>
      </w:pPr>
      <w:r>
        <w:rPr>
          <w:rFonts w:ascii="Arial" w:cs="Arial" w:eastAsia="Arial" w:hAnsi="Arial"/>
          <w:sz w:val="18"/>
          <w:szCs w:val="18"/>
          <w:color w:val="auto"/>
        </w:rPr>
        <w:t>were flat for the first half of 2023, as Framebridge worked through a significant backlog of orders in the first quarter of 2022 that had built-up in the fourth quarter of 2021. In the fourth quarter of 2022, Framebridge successfully managed their production operations for timely</w:t>
      </w:r>
    </w:p>
    <w:p>
      <w:pPr>
        <w:spacing w:after="0" w:line="236" w:lineRule="auto"/>
        <w:rPr>
          <w:sz w:val="20"/>
          <w:szCs w:val="20"/>
          <w:color w:val="auto"/>
        </w:rPr>
      </w:pPr>
      <w:r>
        <w:rPr>
          <w:rFonts w:ascii="Arial" w:cs="Arial" w:eastAsia="Arial" w:hAnsi="Arial"/>
          <w:sz w:val="18"/>
          <w:szCs w:val="18"/>
          <w:color w:val="auto"/>
        </w:rPr>
        <w:t>completion of holiday orders without a significant backlog of orders going into the first quarter of 2023. Retail revenue increased in the</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second quarter and first six months of 2023 from same-store sales growth and operating additional retail stores compared to the same periods in 2022. Framebridge is an investment stage business and reported significant operating losses in the first six months of 2023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with a reduction in losses in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0" w:lineRule="exact"/>
        <w:rPr>
          <w:sz w:val="20"/>
          <w:szCs w:val="20"/>
          <w:color w:val="auto"/>
        </w:rPr>
      </w:pPr>
    </w:p>
    <w:p>
      <w:pPr>
        <w:ind w:right="620"/>
        <w:spacing w:after="0" w:line="255"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though three core elements of digital success: media, creative and commerce; Slate and Foreign Policy, which publish online and print magazines and</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websites; and two investment stage businesses, Decile and City Cast. Slate, Foreign Policy and City Cast reported revenue increases in the first six months of 2023, while Code3 reported revenue declines. Losses from each of these five businesses in the first six months of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affected operating results.</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Other businesses also included Pinna, which was sold in June 2023 when the Company entered into a merger agreement with Realm of Possibility, Inc. (Realm), a provider of audio entertainment services, to merge Pinna with Realm in return for a noncontrolling financial interest</w:t>
      </w:r>
    </w:p>
    <w:p>
      <w:pPr>
        <w:spacing w:after="0" w:line="236" w:lineRule="auto"/>
        <w:rPr>
          <w:sz w:val="20"/>
          <w:szCs w:val="20"/>
          <w:color w:val="auto"/>
        </w:rPr>
      </w:pPr>
      <w:r>
        <w:rPr>
          <w:rFonts w:ascii="Arial" w:cs="Arial" w:eastAsia="Arial" w:hAnsi="Arial"/>
          <w:sz w:val="18"/>
          <w:szCs w:val="18"/>
          <w:color w:val="auto"/>
        </w:rPr>
        <w:t>in the merged entity. In connection with the merger, the Company recorded a $10.0 million non-cash, non-operating gain related to the</w:t>
      </w:r>
    </w:p>
    <w:p>
      <w:pPr>
        <w:ind w:right="240"/>
        <w:spacing w:after="0" w:line="235" w:lineRule="auto"/>
        <w:rPr>
          <w:sz w:val="20"/>
          <w:szCs w:val="20"/>
          <w:color w:val="auto"/>
        </w:rPr>
      </w:pPr>
      <w:r>
        <w:rPr>
          <w:rFonts w:ascii="Arial" w:cs="Arial" w:eastAsia="Arial" w:hAnsi="Arial"/>
          <w:sz w:val="18"/>
          <w:szCs w:val="18"/>
          <w:color w:val="auto"/>
        </w:rPr>
        <w:t>transaction. The Company held a noncontrolling interest in Realm prior to the transaction and continues to hold a noncontrolling interest in Realm following the transaction. The Company’s investment in Realm is reported as an equity method investment.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included CyberVista, which was sold in October 2022 when the Company announced a strategic merger of</w:t>
      </w:r>
    </w:p>
    <w:p>
      <w:pPr>
        <w:spacing w:after="0" w:line="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CyberVista and CyberWire, a B2B cybersecurity audio network to form a new parent company, N2K Networks. The Company’s investment in N2K Networks is reported as an equity method investment.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the first and second quarters of 2023, Code3 implemented a SIP to reduce the number of employees, which is being funded by the assets</w:t>
      </w:r>
    </w:p>
    <w:p>
      <w:pPr>
        <w:spacing w:after="0" w:line="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of the Company’s pension plan; $1.2 million and $0.6 million in related non-operating pension expense was recorded in the first and second quarters of 2023,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4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8" w:lineRule="exact"/>
        <w:rPr>
          <w:sz w:val="20"/>
          <w:szCs w:val="20"/>
          <w:color w:val="auto"/>
        </w:rPr>
      </w:pPr>
    </w:p>
    <w:p>
      <w:pPr>
        <w:ind w:right="680"/>
        <w:spacing w:after="0" w:line="244"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8"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At June 30, 2023, the Company held an approximate 18% interest in Intersection Holdings, LLC (Intersection), a company that provides digital marketing and advertising services and products for cities, transit systems, airports, and other public and private spaces; and a 49.9%</w:t>
      </w:r>
    </w:p>
    <w:p>
      <w:pPr>
        <w:spacing w:after="0" w:line="236" w:lineRule="auto"/>
        <w:rPr>
          <w:sz w:val="20"/>
          <w:szCs w:val="20"/>
          <w:color w:val="auto"/>
        </w:rPr>
      </w:pPr>
      <w:r>
        <w:rPr>
          <w:rFonts w:ascii="Arial" w:cs="Arial" w:eastAsia="Arial" w:hAnsi="Arial"/>
          <w:sz w:val="18"/>
          <w:szCs w:val="18"/>
          <w:color w:val="auto"/>
        </w:rPr>
        <w:t>interest in N2K Networks on a fully diluted basis. The Company also holds interests in several other affiliates, including a number of home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health and hospice joint ventures managed by GHG and two joint ventures managed by Kaplan. Overall, the Company recorded equity in losses of affiliates of $6.1 million for the second quarter of 2023, compared to earnings of $1.4 million for the second quarter of 2022. These</w:t>
      </w:r>
    </w:p>
    <w:p>
      <w:pPr>
        <w:spacing w:after="0" w:line="1"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amounts include $ 8.6 million and $0.4 million in net losses for the second quarter of 2023 and 2022, respectively, from affiliates whose operations are not managed by the Company.</w:t>
      </w:r>
    </w:p>
    <w:p>
      <w:pPr>
        <w:spacing w:after="0" w:line="117"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The Company recorded equity in losses of affiliates of $1.5 million for the first six months of 2023, compared to earnings of $ 4.0 million for the first six months of 2022. These amounts include $6.8 million and $0.1 million in net losses for the first six months of 2023 and 2022, respectively, from affiliates whose operations are not managed by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$10.2 million and $23.3 million for the second quarter and first six months of 2023,</w:t>
      </w:r>
    </w:p>
    <w:p>
      <w:pPr>
        <w:spacing w:after="0" w:line="8"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respectively, compared to $15.3 million and $26.0 million for the second quarter and first six months of 2022, respectively. The Company recorded a credit to interest expense of $1.2 million in the second quarter of 2023 and interest expense of $0.3 million in the first six months</w:t>
      </w:r>
    </w:p>
    <w:p>
      <w:pPr>
        <w:spacing w:after="0" w:line="2"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of 2023, to adjust the fair value of the mandatorily redeemable noncontrolling interest at GHG. The Company recorded interest expense of $8.0 million and $11.4 million in the second quarter and first six months of 2022, respectively, to adjust the fair value of the mandatorily</w:t>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redeemable noncontrolling interest at GHG. Excluding these adjustments, the increase in net interest expense relates primarily to increased debt at the automotive dealerships and higher interest rates on the Company’s variable debt.</w:t>
      </w:r>
    </w:p>
    <w:p>
      <w:pPr>
        <w:spacing w:after="0" w:line="11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At June 30, 2023, the Company had $706.7 million in borrowings outstanding at an average interest rate of 6.0%, and cash, marketable equity securities and other investments of $813.7 million. At June 30, 2023, the Company had $188.1 million outstanding on its $300 million revolving credit facility.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net non-operating pension and postretirement benefit income of $29.8 million and $61.7 million for the second</w:t>
      </w:r>
    </w:p>
    <w:p>
      <w:pPr>
        <w:spacing w:after="0" w:line="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quarter and first six months of 2023, respectively, compared to $50.9 million and $101.4 million for the second quarter and first six months of 2022,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recorded $5.5 million in expenses related to non-operating SIPs at other businesses and the</w:t>
      </w:r>
    </w:p>
    <w:p>
      <w:pPr>
        <w:spacing w:after="0" w:line="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education and television broadcasting divisions. In the first quarter of 2023, the Company recorded $4.1 million in expenses related to non-operating SIPs at other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8"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Overall, the Company recognized $78.6 million and $96.7 million in net gains on marketable equity securities in the second quarter and first six months of 2023, respectively, compared to $165.5 million and $118.6 million in net losses on marketable equity securities in the second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six months of 2022,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Company recorded total other non-operating income, net, of $15.8 million for the second quarter of 2023, compared to $ 1.2 million for the second quarter of 2022. The 2023 amounts included a non-cash gain of $10.0 million on the sale of Pinna; $2.2 million in gains related to</w:t>
      </w:r>
    </w:p>
    <w:p>
      <w:pPr>
        <w:spacing w:after="0" w:line="2"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the sale of businesses and contingent consideration; $1.6 million in foreign currency gains; a $1.3 million fair value increase on a cost method investment, and other items. The 2022 amounts included $0.8 million in gains related to the sale of businesses and contingent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and other items; partially offset by $0.5 million in foreign currency losses.</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Company recorded total non-operating income, net, of $18.9 million for the first six months of 2023, compared to $4.1 million for the first six months of 2022. The 2023 amounts included a non-cash gain of $10.0 million on the sale of Pinna; $3.2 million in gains related to the sale</w:t>
      </w:r>
    </w:p>
    <w:p>
      <w:pPr>
        <w:spacing w:after="0" w:line="236" w:lineRule="auto"/>
        <w:rPr>
          <w:sz w:val="20"/>
          <w:szCs w:val="20"/>
          <w:color w:val="auto"/>
        </w:rPr>
      </w:pPr>
      <w:r>
        <w:rPr>
          <w:rFonts w:ascii="Arial" w:cs="Arial" w:eastAsia="Arial" w:hAnsi="Arial"/>
          <w:sz w:val="18"/>
          <w:szCs w:val="18"/>
          <w:color w:val="auto"/>
        </w:rPr>
        <w:t>of businesses and contingent consideration; a $3.1 million fair value increase on cost method investments; a $0.8 million gain on sales of</w:t>
      </w:r>
    </w:p>
    <w:p>
      <w:pPr>
        <w:ind w:right="120"/>
        <w:spacing w:after="0" w:line="235" w:lineRule="auto"/>
        <w:rPr>
          <w:sz w:val="20"/>
          <w:szCs w:val="20"/>
          <w:color w:val="auto"/>
        </w:rPr>
      </w:pPr>
      <w:r>
        <w:rPr>
          <w:rFonts w:ascii="Arial" w:cs="Arial" w:eastAsia="Arial" w:hAnsi="Arial"/>
          <w:sz w:val="18"/>
          <w:szCs w:val="18"/>
          <w:color w:val="auto"/>
        </w:rPr>
        <w:t>cost method investments; $0.1 million in foreign currency gains, and other items. The 2022 amounts included $1.7 million in gains related to the sale 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20"/>
          </w:cols>
          <w:pgMar w:left="320" w:top="1035" w:right="359" w:bottom="1440" w:gutter="0" w:footer="0" w:header="0"/>
        </w:sectPr>
      </w:pP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20" w:top="1035" w:right="359" w:bottom="1440" w:gutter="0" w:footer="0" w:header="0"/>
          <w:type w:val="continuous"/>
        </w:sectPr>
      </w:pPr>
    </w:p>
    <w:bookmarkStart w:id="11" w:name="page12"/>
    <w:bookmarkEnd w:id="11"/>
    <w:p>
      <w:pPr>
        <w:ind w:right="560"/>
        <w:spacing w:after="0" w:line="260" w:lineRule="auto"/>
        <w:rPr>
          <w:sz w:val="20"/>
          <w:szCs w:val="20"/>
          <w:color w:val="auto"/>
        </w:rPr>
      </w:pPr>
      <w:r>
        <w:rPr>
          <w:rFonts w:ascii="Arial" w:cs="Arial" w:eastAsia="Arial" w:hAnsi="Arial"/>
          <w:sz w:val="18"/>
          <w:szCs w:val="18"/>
          <w:color w:val="auto"/>
        </w:rPr>
        <w:t>businesses and contingent consideration; a $1.0 million gain sale of a cost method investment; a $0.6 million gain on sale of an equity affiliate, and other items; partially offset by $1.5 million on foreign currency losses.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2023 and 2022 was 25.6% and 32.2%,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4"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The calculation of diluted earnings per share for the second quarter and first six months of 2023 was based on 4,712,626 and 4,744,076 weighted average shares outstanding, respectively, compared to 4,842,383 and 4,870,316, respectively, for the second quarter and first six</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months of 2022. At June 30, 2023, there were 4,684,690 shares outstanding. On May 4, 2023, the Board of Directors authorized the Company to acquire up to 500,000 shares of its Class B common stock; the Company has remaining authorization for 444,715 shares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press release, in the Company’s Annual Report on Form 10-K and in the Company’s 2022 Annual Report to Stockholders, are “forward-</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looking statements” within the meaning of the Private Securities Litigation Reform Act of 1995. Actual results may differ materially from those projected as a result of certain risks and uncertainties. Other forward-looking statements include comments about expectations related to</w:t>
      </w:r>
    </w:p>
    <w:p>
      <w:pPr>
        <w:spacing w:after="0" w:line="235" w:lineRule="auto"/>
        <w:rPr>
          <w:sz w:val="20"/>
          <w:szCs w:val="20"/>
          <w:color w:val="auto"/>
        </w:rPr>
      </w:pPr>
      <w:r>
        <w:rPr>
          <w:rFonts w:ascii="Arial" w:cs="Arial" w:eastAsia="Arial" w:hAnsi="Arial"/>
          <w:sz w:val="18"/>
          <w:szCs w:val="18"/>
          <w:color w:val="auto"/>
        </w:rPr>
        <w:t>acquisitions or dispositions or related business activities, including the TOSA, the Company’s business strategies and objectives, the</w:t>
      </w:r>
    </w:p>
    <w:p>
      <w:pPr>
        <w:ind w:right="140"/>
        <w:spacing w:after="0"/>
        <w:rPr>
          <w:sz w:val="20"/>
          <w:szCs w:val="20"/>
          <w:color w:val="auto"/>
        </w:rPr>
      </w:pPr>
      <w:r>
        <w:rPr>
          <w:rFonts w:ascii="Arial" w:cs="Arial" w:eastAsia="Arial" w:hAnsi="Arial"/>
          <w:sz w:val="17"/>
          <w:szCs w:val="17"/>
          <w:color w:val="auto"/>
        </w:rPr>
        <w:t>prospects for growth in the Company’s various business operations and the Company’s future financial performance. As with any projection or forecast, forward-looking statements are subject to various risks and uncertainties, including the risks and uncertainties described in Item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1A of the Company’s Annual Report on Form 10-K, that could cause actual results or events to differ materially from those anticipated in such statements. Accordingly, undue reliance should not be placed on any forward-looking statement made by or on behalf of the Company. The</w:t>
      </w:r>
    </w:p>
    <w:p>
      <w:pPr>
        <w:spacing w:after="0" w:line="1"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Company assumes no obligation to update any forward-looking statement after the date on which such statement is made, even if new information subsequently becomes available.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883" w:right="359" w:bottom="1440" w:gutter="0" w:footer="0" w:header="0"/>
        </w:sectPr>
      </w:pPr>
    </w:p>
    <w:bookmarkStart w:id="12" w:name="page13"/>
    <w:bookmarkEnd w:id="12"/>
    <w:p>
      <w:pPr>
        <w:ind w:left="426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1,104,999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933,302</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1,012,537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859,672</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21,103</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19,413</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13,304</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14,889</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58,055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39,328</w:t>
            </w: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8"/>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(6,115)</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1,548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(11,774)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(15,973)</w:t>
            </w: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29,815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50,871</w:t>
            </w: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8"/>
        </w:trPr>
        <w:tc>
          <w:tcPr>
            <w:tcW w:w="808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18"/>
                <w:szCs w:val="18"/>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78,648</w:t>
            </w:r>
          </w:p>
        </w:tc>
        <w:tc>
          <w:tcPr>
            <w:tcW w:w="3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(165,540)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15,794</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Pr>
          <w:p>
            <w:pPr>
              <w:spacing w:after="0"/>
              <w:rPr>
                <w:sz w:val="18"/>
                <w:szCs w:val="18"/>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165,971</w:t>
            </w:r>
          </w:p>
        </w:tc>
        <w:tc>
          <w:tcPr>
            <w:tcW w:w="3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(88,015)</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20" w:type="dxa"/>
            <w:vAlign w:val="bottom"/>
          </w:tcPr>
          <w:p>
            <w:pPr>
              <w:spacing w:after="0"/>
              <w:rPr>
                <w:sz w:val="19"/>
                <w:szCs w:val="19"/>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41,800</w:t>
            </w:r>
          </w:p>
        </w:tc>
        <w:tc>
          <w:tcPr>
            <w:tcW w:w="3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(21,400)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19"/>
                <w:szCs w:val="19"/>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124,171</w:t>
            </w:r>
          </w:p>
        </w:tc>
        <w:tc>
          <w:tcPr>
            <w:tcW w:w="3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(66,615)</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(1,383)</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122,788</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(67,485)</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8080" w:type="dxa"/>
            <w:vAlign w:val="bottom"/>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25.96</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(13.95)</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0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4,700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4,842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25.89</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(13.95)</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0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4,713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4,842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37" w:right="339" w:bottom="1440" w:gutter="0" w:footer="0" w:header="0"/>
        </w:sectPr>
      </w:pPr>
    </w:p>
    <w:bookmarkStart w:id="13" w:name="page14"/>
    <w:bookmarkEnd w:id="13"/>
    <w:p>
      <w:pPr>
        <w:ind w:left="386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ind w:left="316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2,136,545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1,848,023</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1,981,713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1,700,035</w:t>
            </w: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41,128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38,888</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27,248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29,801</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1"/>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85,711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79,299</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(1,454)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2,752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1,411</w:t>
            </w:r>
          </w:p>
        </w:tc>
        <w:tc>
          <w:tcPr>
            <w:tcW w:w="7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(26,068)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(27,390)</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61,660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101,376</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96,670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(118,628)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18,877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238,148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44,151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61,000</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177,148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29,951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175,060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36.78</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4,729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4,857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36.67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4,744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37" w:right="339" w:bottom="1440" w:gutter="0" w:footer="0" w:header="0"/>
        </w:sectPr>
      </w:pPr>
    </w:p>
    <w:bookmarkStart w:id="14" w:name="page15"/>
    <w:bookmarkEnd w:id="14"/>
    <w:p>
      <w:pPr>
        <w:ind w:left="426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BUSINESS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402,227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353,013</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780,268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711,025</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118,829</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122,386</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231,706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245,805</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120,082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127,062</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234,666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243,002</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113,282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76,385</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215,341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143,640</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260,672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147,602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493,233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298,569</w:t>
            </w: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90,449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107,326</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182,457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206,943</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850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850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(1,392)</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(1,976)</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7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1,104,999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933,302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2,136,545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1,848,023</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372,111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727,112</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334,308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671,908</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85,639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82,704</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169,933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166,225</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108,100</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122,560</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215,356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228,525</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104,905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70,123</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204,028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131,019</w:t>
            </w: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251,212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140,237</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472,930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284,126</w:t>
            </w: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114,310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133,670</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237,319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264,031</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12,059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10,844</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26,132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23,851</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(1,392)</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(1,976)</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7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1,046,944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893,974</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2,050,834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1,768,724</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30,116</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53,156</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18,705</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61</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39,117</w:t>
            </w: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33,190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39,682</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61,773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79,580</w:t>
            </w: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11,982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4,502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19,310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14,477</w:t>
            </w: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8,377</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6,262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11,313</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12,621</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9,460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7,365</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20,303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14,443</w:t>
            </w: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(23,861)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(26,344)</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(54,862)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(57,088)</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1"/>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(11,209)</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(10,844)</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(25,282)</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(23,851)</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58,055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39,328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85,711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79,299</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49"/>
        </w:trPr>
        <w:tc>
          <w:tcPr>
            <w:tcW w:w="474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Amortization of Intangible Assets and Impairment of Long-</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180"/>
              <w:spacing w:after="0"/>
              <w:rPr>
                <w:sz w:val="20"/>
                <w:szCs w:val="20"/>
                <w:color w:val="auto"/>
              </w:rPr>
            </w:pPr>
            <w:r>
              <w:rPr>
                <w:rFonts w:ascii="Arial" w:cs="Arial" w:eastAsia="Arial" w:hAnsi="Arial"/>
                <w:sz w:val="16"/>
                <w:szCs w:val="16"/>
                <w:b w:val="1"/>
                <w:bCs w:val="1"/>
                <w:color w:val="auto"/>
              </w:rPr>
              <w:t>Lived Assets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3,984</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8,400</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4,064</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8,210</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1,360</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2,725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4,332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5,164</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9,194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10,327</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882</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988</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1,836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1,917</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2,743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3,313</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5,838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6,627</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1"/>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13,304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14,889</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27,993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29,801</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49"/>
        </w:trPr>
        <w:tc>
          <w:tcPr>
            <w:tcW w:w="474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180"/>
              <w:spacing w:after="0"/>
              <w:rPr>
                <w:sz w:val="20"/>
                <w:szCs w:val="20"/>
                <w:color w:val="auto"/>
              </w:rPr>
            </w:pPr>
            <w:r>
              <w:rPr>
                <w:rFonts w:ascii="Arial" w:cs="Arial" w:eastAsia="Arial" w:hAnsi="Arial"/>
                <w:sz w:val="16"/>
                <w:szCs w:val="16"/>
                <w:b w:val="1"/>
                <w:bCs w:val="1"/>
                <w:color w:val="auto"/>
              </w:rPr>
              <w:t>Assets and Impairment of Long-Lived Assets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34,100</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61,556</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22,769</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47,327</w:t>
            </w: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34,553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41,042</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64,498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82,300</w:t>
            </w: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16,314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9,666</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28,504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24,804</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9,259</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7,250</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13,149</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14,538</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9,460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7,365</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20,303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14,443</w:t>
            </w: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(21,118)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(23,031)</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(49,024)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(50,461)</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1"/>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(11,209)</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(10,844)</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(25,282)</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(23,851)</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71,359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54,217</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113,704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109,100</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937" w:right="339" w:bottom="1032"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937" w:right="339" w:bottom="1032"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0"/>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2022</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9,460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8,531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18,428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17,036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48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3,087</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6,123</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6,374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2,287</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4,569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4,751</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1,287</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2,391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1,148</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2,261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1,529</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3,681</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4,114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7,050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8,029</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4"/>
        </w:trPr>
        <w:tc>
          <w:tcPr>
            <w:tcW w:w="48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153</w:t>
            </w: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306</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7"/>
        </w:trPr>
        <w:tc>
          <w:tcPr>
            <w:tcW w:w="48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21,103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41,128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2,256</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4,454</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1,931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4,467</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805</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1,665</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1,782</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281</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556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48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2,685</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7,042</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613</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477</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1,185</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997</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1"/>
        </w:trPr>
        <w:tc>
          <w:tcPr>
            <w:tcW w:w="48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928</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1,904</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6"/>
        </w:trPr>
        <w:tc>
          <w:tcPr>
            <w:tcW w:w="486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7,573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16,816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11,024</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line="220"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45,816</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84,438</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33,231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68,830</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38,445</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44,983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72,286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90,456</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48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18,882</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12,213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33,629</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30,107</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13,231</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7,798</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22,582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15,682</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10,613</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8,122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22,574</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15,983</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(16,824)</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(18,440)</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(40,789)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(41,435)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4"/>
        </w:trPr>
        <w:tc>
          <w:tcPr>
            <w:tcW w:w="48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(10,128)</w:t>
            </w: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(23,072)</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(20,611)</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100,035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78,623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171,648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159,012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00" w:right="140" w:hanging="298"/>
        <w:spacing w:after="0" w:line="273"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36" w:right="339" w:bottom="1440" w:gutter="0" w:footer="0" w:header="0"/>
        </w:sectPr>
      </w:pPr>
    </w:p>
    <w:bookmarkStart w:id="16" w:name="page17"/>
    <w:bookmarkEnd w:id="16"/>
    <w:p>
      <w:pPr>
        <w:ind w:left="426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ind w:left="4040"/>
        <w:spacing w:after="0"/>
        <w:rPr>
          <w:sz w:val="20"/>
          <w:szCs w:val="20"/>
          <w:color w:val="auto"/>
        </w:rPr>
      </w:pPr>
      <w:r>
        <w:rPr>
          <w:rFonts w:ascii="Arial" w:cs="Arial" w:eastAsia="Arial" w:hAnsi="Arial"/>
          <w:sz w:val="18"/>
          <w:szCs w:val="18"/>
          <w:u w:val="single" w:color="auto"/>
          <w:color w:val="auto"/>
        </w:rPr>
        <w:t>EDUCATION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237,663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200,871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464,739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405,384</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90,291</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74,427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168,632</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151,676</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74,616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77,546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148,203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153,850</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2,887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2,445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5,259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4,798</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1"/>
        </w:trPr>
        <w:tc>
          <w:tcPr>
            <w:tcW w:w="48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(3,230)</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(6,565)</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402,227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353,013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780,268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711,025</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216,912</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422,687</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181,808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365,757</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72,496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71,415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143,754</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143,317</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71,104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72,717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140,940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145,650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10,711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6,524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17,921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13,620</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3,984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4,064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7,923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8,210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477</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(3,096)</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(6,590)</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372,111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334,308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727,112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671,908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20,751</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42,052</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19,063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39,627</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17,795</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24,878</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8,359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3,512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4,829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7,263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8,200</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(7,824)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(4,079)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(12,662)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(8,822)</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(3,984)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(7,923)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(8,210)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(477)</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8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30,116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53,156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39,117</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45"/>
        </w:trPr>
        <w:tc>
          <w:tcPr>
            <w:tcW w:w="4820" w:type="dxa"/>
            <w:vAlign w:val="bottom"/>
          </w:tcPr>
          <w:p>
            <w:pPr>
              <w:ind w:left="20"/>
              <w:spacing w:after="0" w:line="145"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180"/>
              <w:spacing w:after="0"/>
              <w:rPr>
                <w:sz w:val="20"/>
                <w:szCs w:val="20"/>
                <w:color w:val="auto"/>
              </w:rPr>
            </w:pPr>
            <w:r>
              <w:rPr>
                <w:rFonts w:ascii="Arial" w:cs="Arial" w:eastAsia="Arial" w:hAnsi="Arial"/>
                <w:sz w:val="16"/>
                <w:szCs w:val="16"/>
                <w:b w:val="1"/>
                <w:bCs w:val="1"/>
                <w:color w:val="auto"/>
              </w:rPr>
              <w:t>Assets and Impairment of Long-Lived Assets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20,751</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42,052</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19,063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39,627</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17,795</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24,878</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8,359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3,512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4,829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7,263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8,200</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(7,824)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(4,079)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(12,662)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(8,822)</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1"/>
        </w:trPr>
        <w:tc>
          <w:tcPr>
            <w:tcW w:w="48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34,100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61,556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47,327</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6,903</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13,233</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5,794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11,549</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1,071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2,173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1,461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2,970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3,217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1"/>
        </w:trPr>
        <w:tc>
          <w:tcPr>
            <w:tcW w:w="48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9,460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18,428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2"/>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81</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161</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923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1,845</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1,023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2,047</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2,077</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48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229</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401</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2,256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4,454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4,467</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27,735</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55,446</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24,920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51,311</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19,789</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4,959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28,896</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12,466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5,996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7,302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12,280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13,494</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(7,570)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(3,894)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(12,209)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(8,404)</w:t>
            </w: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1"/>
        </w:trPr>
        <w:tc>
          <w:tcPr>
            <w:tcW w:w="48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45,816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84,438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68,830</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00" w:right="140" w:hanging="298"/>
        <w:spacing w:after="0" w:line="273"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937" w:right="339" w:bottom="291"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937" w:right="339" w:bottom="291"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w:t>
      </w:r>
    </w:p>
    <w:p>
      <w:pPr>
        <w:spacing w:after="0" w:line="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146"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6"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6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 directly relate to the sale of the Company’s services or products. The accounting principles generally accepted in the United States (“GAAP”)</w:t>
      </w:r>
    </w:p>
    <w:p>
      <w:pPr>
        <w:spacing w:after="0" w:line="236" w:lineRule="auto"/>
        <w:rPr>
          <w:sz w:val="20"/>
          <w:szCs w:val="20"/>
          <w:color w:val="auto"/>
        </w:rPr>
      </w:pPr>
      <w:r>
        <w:rPr>
          <w:rFonts w:ascii="Arial" w:cs="Arial" w:eastAsia="Arial" w:hAnsi="Arial"/>
          <w:sz w:val="18"/>
          <w:szCs w:val="18"/>
          <w:color w:val="auto"/>
        </w:rPr>
        <w:t>require that the Company include the gains and losses on marketable equity securities and net interest expense related to fair value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Condensed Consolidated Statements of Operations. The Company excludes the gains and losses on marketable equity securities and net interest expense related to fair value adjustments of the</w:t>
      </w:r>
    </w:p>
    <w:p>
      <w:pPr>
        <w:spacing w:after="0" w:line="2"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mandatorily redeemable noncontrolling interest from the non-GAAP adjusted net income because these items are independent of the Company’s core operations and not indicative of the performance of the Company’s business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8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81" w:lineRule="exact"/>
        <w:rPr>
          <w:sz w:val="20"/>
          <w:szCs w:val="20"/>
          <w:color w:val="auto"/>
        </w:rPr>
      </w:pPr>
    </w:p>
    <w:p>
      <w:pPr>
        <w:ind w:left="6940"/>
        <w:spacing w:after="0"/>
        <w:rPr>
          <w:sz w:val="20"/>
          <w:szCs w:val="20"/>
          <w:color w:val="auto"/>
        </w:rPr>
      </w:pPr>
      <w:r>
        <w:rPr>
          <w:rFonts w:ascii="Arial" w:cs="Arial" w:eastAsia="Arial" w:hAnsi="Arial"/>
          <w:sz w:val="16"/>
          <w:szCs w:val="16"/>
          <w:b w:val="1"/>
          <w:bCs w:val="1"/>
          <w:color w:val="auto"/>
        </w:rPr>
        <w:t>Three Months Ended June 30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center"/>
              <w:ind w:right="144"/>
              <w:spacing w:after="0"/>
              <w:rPr>
                <w:sz w:val="20"/>
                <w:szCs w:val="20"/>
                <w:color w:val="auto"/>
              </w:rPr>
            </w:pPr>
            <w:r>
              <w:rPr>
                <w:rFonts w:ascii="Arial" w:cs="Arial" w:eastAsia="Arial" w:hAnsi="Arial"/>
                <w:sz w:val="15"/>
                <w:szCs w:val="15"/>
                <w:color w:val="auto"/>
              </w:rPr>
              <w:t>(Loss)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8"/>
              </w:rPr>
              <w:t>Income</w:t>
            </w: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Net Income</w:t>
            </w:r>
          </w:p>
        </w:tc>
        <w:tc>
          <w:tcPr>
            <w:tcW w:w="300" w:type="dxa"/>
            <w:vAlign w:val="bottom"/>
          </w:tcPr>
          <w:p>
            <w:pPr>
              <w:spacing w:after="0"/>
              <w:rPr>
                <w:sz w:val="14"/>
                <w:szCs w:val="14"/>
                <w:color w:val="auto"/>
              </w:rPr>
            </w:pPr>
          </w:p>
        </w:tc>
        <w:tc>
          <w:tcPr>
            <w:tcW w:w="840" w:type="dxa"/>
            <w:vAlign w:val="bottom"/>
          </w:tcPr>
          <w:p>
            <w:pPr>
              <w:jc w:val="center"/>
              <w:ind w:right="14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4"/>
                <w:szCs w:val="14"/>
                <w:color w:val="auto"/>
              </w:rPr>
            </w:pPr>
          </w:p>
        </w:tc>
        <w:tc>
          <w:tcPr>
            <w:tcW w:w="860" w:type="dxa"/>
            <w:vAlign w:val="bottom"/>
          </w:tcPr>
          <w:p>
            <w:pPr>
              <w:jc w:val="right"/>
              <w:ind w:right="64"/>
              <w:spacing w:after="0" w:line="162" w:lineRule="exact"/>
              <w:rPr>
                <w:sz w:val="20"/>
                <w:szCs w:val="20"/>
                <w:color w:val="auto"/>
              </w:rPr>
            </w:pPr>
            <w:r>
              <w:rPr>
                <w:rFonts w:ascii="Arial" w:cs="Arial" w:eastAsia="Arial" w:hAnsi="Arial"/>
                <w:sz w:val="15"/>
                <w:szCs w:val="15"/>
                <w:color w:val="auto"/>
              </w:rPr>
              <w:t>Net (Loss)</w:t>
            </w: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rPr>
              <w:t>Taxes</w:t>
            </w:r>
          </w:p>
        </w:tc>
        <w:tc>
          <w:tcPr>
            <w:tcW w:w="9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w w:val="98"/>
              </w:rPr>
              <w:t>before</w:t>
            </w:r>
          </w:p>
        </w:tc>
        <w:tc>
          <w:tcPr>
            <w:tcW w:w="240" w:type="dxa"/>
            <w:vAlign w:val="bottom"/>
          </w:tcPr>
          <w:p>
            <w:pPr>
              <w:spacing w:after="0"/>
              <w:rPr>
                <w:sz w:val="11"/>
                <w:szCs w:val="11"/>
                <w:color w:val="auto"/>
              </w:rPr>
            </w:pPr>
          </w:p>
        </w:tc>
        <w:tc>
          <w:tcPr>
            <w:tcW w:w="900" w:type="dxa"/>
            <w:vAlign w:val="bottom"/>
            <w:vMerge w:val="restart"/>
          </w:tcPr>
          <w:p>
            <w:pPr>
              <w:jc w:val="center"/>
              <w:ind w:right="224"/>
              <w:spacing w:after="0"/>
              <w:rPr>
                <w:sz w:val="20"/>
                <w:szCs w:val="20"/>
                <w:color w:val="auto"/>
              </w:rPr>
            </w:pPr>
            <w:r>
              <w:rPr>
                <w:rFonts w:ascii="Arial" w:cs="Arial" w:eastAsia="Arial" w:hAnsi="Arial"/>
                <w:sz w:val="15"/>
                <w:szCs w:val="15"/>
                <w:color w:val="auto"/>
                <w:w w:val="97"/>
              </w:rPr>
              <w:t>Taxes</w:t>
            </w:r>
          </w:p>
        </w:tc>
        <w:tc>
          <w:tcPr>
            <w:tcW w:w="120" w:type="dxa"/>
            <w:vAlign w:val="bottom"/>
          </w:tcPr>
          <w:p>
            <w:pPr>
              <w:spacing w:after="0"/>
              <w:rPr>
                <w:sz w:val="11"/>
                <w:szCs w:val="11"/>
                <w:color w:val="auto"/>
              </w:rPr>
            </w:pPr>
          </w:p>
        </w:tc>
        <w:tc>
          <w:tcPr>
            <w:tcW w:w="860" w:type="dxa"/>
            <w:vAlign w:val="bottom"/>
            <w:vMerge w:val="restart"/>
          </w:tcPr>
          <w:p>
            <w:pPr>
              <w:jc w:val="right"/>
              <w:ind w:right="164"/>
              <w:spacing w:after="0"/>
              <w:rPr>
                <w:sz w:val="20"/>
                <w:szCs w:val="20"/>
                <w:color w:val="auto"/>
              </w:rPr>
            </w:pPr>
            <w:r>
              <w:rPr>
                <w:rFonts w:ascii="Arial" w:cs="Arial" w:eastAsia="Arial" w:hAnsi="Arial"/>
                <w:sz w:val="15"/>
                <w:szCs w:val="15"/>
                <w:color w:val="auto"/>
              </w:rPr>
              <w:t>Income</w:t>
            </w:r>
          </w:p>
        </w:tc>
        <w:tc>
          <w:tcPr>
            <w:tcW w:w="0" w:type="dxa"/>
            <w:vAlign w:val="bottom"/>
          </w:tcPr>
          <w:p>
            <w:pPr>
              <w:spacing w:after="0"/>
              <w:rPr>
                <w:sz w:val="1"/>
                <w:szCs w:val="1"/>
                <w:color w:val="auto"/>
              </w:rPr>
            </w:pPr>
          </w:p>
        </w:tc>
      </w:tr>
      <w:tr>
        <w:trPr>
          <w:trHeight w:val="44"/>
        </w:trPr>
        <w:tc>
          <w:tcPr>
            <w:tcW w:w="4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left="4"/>
              <w:spacing w:after="0"/>
              <w:rPr>
                <w:sz w:val="20"/>
                <w:szCs w:val="20"/>
                <w:color w:val="auto"/>
              </w:rPr>
            </w:pPr>
            <w:r>
              <w:rPr>
                <w:rFonts w:ascii="Arial" w:cs="Arial" w:eastAsia="Arial" w:hAnsi="Arial"/>
                <w:sz w:val="15"/>
                <w:szCs w:val="15"/>
                <w:color w:val="auto"/>
              </w:rPr>
              <w:t>income taxes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880" w:type="dxa"/>
            <w:vAlign w:val="bottom"/>
          </w:tcPr>
          <w:p>
            <w:pPr>
              <w:ind w:left="20"/>
              <w:spacing w:after="0" w:line="161"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4"/>
              <w:spacing w:after="0"/>
              <w:rPr>
                <w:sz w:val="20"/>
                <w:szCs w:val="20"/>
                <w:color w:val="auto"/>
              </w:rPr>
            </w:pPr>
            <w:r>
              <w:rPr>
                <w:rFonts w:ascii="Arial" w:cs="Arial" w:eastAsia="Arial" w:hAnsi="Arial"/>
                <w:sz w:val="15"/>
                <w:szCs w:val="15"/>
                <w:b w:val="1"/>
                <w:bCs w:val="1"/>
                <w:color w:val="auto"/>
              </w:rPr>
              <w:t>165,971</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41,800</w:t>
            </w:r>
          </w:p>
        </w:tc>
        <w:tc>
          <w:tcPr>
            <w:tcW w:w="12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124,171</w:t>
            </w:r>
          </w:p>
        </w:tc>
        <w:tc>
          <w:tcPr>
            <w:tcW w:w="3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(88,015)</w:t>
            </w:r>
          </w:p>
        </w:tc>
        <w:tc>
          <w:tcPr>
            <w:tcW w:w="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(21,400)</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(66,615)</w:t>
            </w:r>
          </w:p>
        </w:tc>
        <w:tc>
          <w:tcPr>
            <w:tcW w:w="0" w:type="dxa"/>
            <w:vAlign w:val="bottom"/>
          </w:tcPr>
          <w:p>
            <w:pPr>
              <w:spacing w:after="0"/>
              <w:rPr>
                <w:sz w:val="1"/>
                <w:szCs w:val="1"/>
                <w:color w:val="auto"/>
              </w:rPr>
            </w:pPr>
          </w:p>
        </w:tc>
      </w:tr>
      <w:tr>
        <w:trPr>
          <w:trHeight w:val="224"/>
        </w:trPr>
        <w:tc>
          <w:tcPr>
            <w:tcW w:w="488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(1,383)</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w:t>
            </w:r>
          </w:p>
        </w:tc>
        <w:tc>
          <w:tcPr>
            <w:tcW w:w="0" w:type="dxa"/>
            <w:vAlign w:val="bottom"/>
          </w:tcPr>
          <w:p>
            <w:pPr>
              <w:spacing w:after="0"/>
              <w:rPr>
                <w:sz w:val="1"/>
                <w:szCs w:val="1"/>
                <w:color w:val="auto"/>
              </w:rPr>
            </w:pPr>
          </w:p>
        </w:tc>
      </w:tr>
      <w:tr>
        <w:trPr>
          <w:trHeight w:val="215"/>
        </w:trPr>
        <w:tc>
          <w:tcPr>
            <w:tcW w:w="488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122,788</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(67,485)</w:t>
            </w: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7"/>
                <w:szCs w:val="17"/>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(4,260)</w:t>
            </w: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(4,233)</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8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(3,239)</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(3,214)</w:t>
            </w:r>
          </w:p>
        </w:tc>
        <w:tc>
          <w:tcPr>
            <w:tcW w:w="0" w:type="dxa"/>
            <w:vAlign w:val="bottom"/>
          </w:tcPr>
          <w:p>
            <w:pPr>
              <w:spacing w:after="0"/>
              <w:rPr>
                <w:sz w:val="1"/>
                <w:szCs w:val="1"/>
                <w:color w:val="auto"/>
              </w:rPr>
            </w:pPr>
          </w:p>
        </w:tc>
      </w:tr>
      <w:tr>
        <w:trPr>
          <w:trHeight w:val="243"/>
        </w:trPr>
        <w:tc>
          <w:tcPr>
            <w:tcW w:w="4880" w:type="dxa"/>
            <w:vAlign w:val="bottom"/>
          </w:tcPr>
          <w:p>
            <w:pPr>
              <w:ind w:left="32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21"/>
                <w:szCs w:val="21"/>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b w:val="1"/>
                <w:bCs w:val="1"/>
                <w:color w:val="auto"/>
              </w:rPr>
              <w:t>5,517</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4,098</w:t>
            </w:r>
          </w:p>
        </w:tc>
        <w:tc>
          <w:tcPr>
            <w:tcW w:w="300" w:type="dxa"/>
            <w:vAlign w:val="bottom"/>
          </w:tcPr>
          <w:p>
            <w:pPr>
              <w:spacing w:after="0"/>
              <w:rPr>
                <w:sz w:val="21"/>
                <w:szCs w:val="21"/>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320"/>
              <w:spacing w:after="0"/>
              <w:rPr>
                <w:sz w:val="20"/>
                <w:szCs w:val="20"/>
                <w:color w:val="auto"/>
              </w:rPr>
            </w:pPr>
            <w:r>
              <w:rPr>
                <w:rFonts w:ascii="Arial" w:cs="Arial" w:eastAsia="Arial" w:hAnsi="Arial"/>
                <w:sz w:val="15"/>
                <w:szCs w:val="15"/>
                <w:color w:val="auto"/>
              </w:rPr>
              <w:t>Net (gains) losses on marketable equity securities</w:t>
            </w:r>
          </w:p>
        </w:tc>
        <w:tc>
          <w:tcPr>
            <w:tcW w:w="16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(78,648)</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(20,704)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(57,944)</w:t>
            </w:r>
          </w:p>
        </w:tc>
        <w:tc>
          <w:tcPr>
            <w:tcW w:w="300" w:type="dxa"/>
            <w:vAlign w:val="bottom"/>
          </w:tcPr>
          <w:p>
            <w:pPr>
              <w:spacing w:after="0"/>
              <w:rPr>
                <w:sz w:val="21"/>
                <w:szCs w:val="21"/>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165,540</w:t>
            </w:r>
          </w:p>
        </w:tc>
        <w:tc>
          <w:tcPr>
            <w:tcW w:w="240" w:type="dxa"/>
            <w:vAlign w:val="bottom"/>
          </w:tcPr>
          <w:p>
            <w:pPr>
              <w:spacing w:after="0"/>
              <w:rPr>
                <w:sz w:val="21"/>
                <w:szCs w:val="21"/>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43,147</w:t>
            </w:r>
          </w:p>
        </w:tc>
        <w:tc>
          <w:tcPr>
            <w:tcW w:w="12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122,393</w:t>
            </w:r>
          </w:p>
        </w:tc>
        <w:tc>
          <w:tcPr>
            <w:tcW w:w="0" w:type="dxa"/>
            <w:vAlign w:val="bottom"/>
          </w:tcPr>
          <w:p>
            <w:pPr>
              <w:spacing w:after="0"/>
              <w:rPr>
                <w:sz w:val="1"/>
                <w:szCs w:val="1"/>
                <w:color w:val="auto"/>
              </w:rPr>
            </w:pPr>
          </w:p>
        </w:tc>
      </w:tr>
      <w:tr>
        <w:trPr>
          <w:trHeight w:val="187"/>
        </w:trPr>
        <w:tc>
          <w:tcPr>
            <w:tcW w:w="488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6"/>
                <w:szCs w:val="16"/>
                <w:color w:val="auto"/>
              </w:rPr>
            </w:pPr>
          </w:p>
        </w:tc>
        <w:tc>
          <w:tcPr>
            <w:tcW w:w="8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8,633</w:t>
            </w: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2,273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6,360</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8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430</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230"/>
        </w:trPr>
        <w:tc>
          <w:tcPr>
            <w:tcW w:w="4880" w:type="dxa"/>
            <w:vAlign w:val="bottom"/>
          </w:tcPr>
          <w:p>
            <w:pPr>
              <w:ind w:left="32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(10,033)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(2,641)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(7,392)</w:t>
            </w:r>
          </w:p>
        </w:tc>
        <w:tc>
          <w:tcPr>
            <w:tcW w:w="30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4880" w:type="dxa"/>
            <w:vAlign w:val="bottom"/>
          </w:tcPr>
          <w:p>
            <w:pPr>
              <w:ind w:left="320"/>
              <w:spacing w:after="0"/>
              <w:rPr>
                <w:sz w:val="20"/>
                <w:szCs w:val="20"/>
                <w:color w:val="auto"/>
              </w:rPr>
            </w:pPr>
            <w:r>
              <w:rPr>
                <w:rFonts w:ascii="Arial" w:cs="Arial" w:eastAsia="Arial" w:hAnsi="Arial"/>
                <w:sz w:val="15"/>
                <w:szCs w:val="15"/>
                <w:color w:val="auto"/>
              </w:rPr>
              <w:t>Non-operating gain from write-up and sale of cost method</w:t>
            </w:r>
          </w:p>
        </w:tc>
        <w:tc>
          <w:tcPr>
            <w:tcW w:w="160" w:type="dxa"/>
            <w:vAlign w:val="bottom"/>
          </w:tcPr>
          <w:p>
            <w:pPr>
              <w:spacing w:after="0"/>
              <w:rPr>
                <w:sz w:val="15"/>
                <w:szCs w:val="15"/>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(1,320)</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(973)</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80" w:type="dxa"/>
            <w:vAlign w:val="bottom"/>
          </w:tcPr>
          <w:p>
            <w:pPr>
              <w:ind w:left="48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880" w:type="dxa"/>
            <w:vAlign w:val="bottom"/>
          </w:tcPr>
          <w:p>
            <w:pPr>
              <w:ind w:left="320"/>
              <w:spacing w:after="0"/>
              <w:rPr>
                <w:sz w:val="20"/>
                <w:szCs w:val="20"/>
                <w:color w:val="auto"/>
              </w:rPr>
            </w:pPr>
            <w:r>
              <w:rPr>
                <w:rFonts w:ascii="Arial" w:cs="Arial" w:eastAsia="Arial" w:hAnsi="Arial"/>
                <w:sz w:val="15"/>
                <w:szCs w:val="15"/>
                <w:color w:val="auto"/>
              </w:rPr>
              <w:t>Interest (credit) expense related to the fair value adjustment of the</w:t>
            </w:r>
          </w:p>
        </w:tc>
        <w:tc>
          <w:tcPr>
            <w:tcW w:w="160" w:type="dxa"/>
            <w:vAlign w:val="bottom"/>
          </w:tcPr>
          <w:p>
            <w:pPr>
              <w:spacing w:after="0"/>
              <w:rPr>
                <w:sz w:val="16"/>
                <w:szCs w:val="16"/>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(1,179)</w:t>
            </w: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(1,152)</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8,007</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365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7,642</w:t>
            </w: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61,552</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59,654</w:t>
            </w:r>
          </w:p>
        </w:tc>
        <w:tc>
          <w:tcPr>
            <w:tcW w:w="0" w:type="dxa"/>
            <w:vAlign w:val="bottom"/>
          </w:tcPr>
          <w:p>
            <w:pPr>
              <w:spacing w:after="0"/>
              <w:rPr>
                <w:sz w:val="1"/>
                <w:szCs w:val="1"/>
                <w:color w:val="auto"/>
              </w:rPr>
            </w:pPr>
          </w:p>
        </w:tc>
      </w:tr>
      <w:tr>
        <w:trPr>
          <w:trHeight w:val="3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(loss) per common share, as reported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25.89</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(13.95)</w:t>
            </w:r>
          </w:p>
        </w:tc>
        <w:tc>
          <w:tcPr>
            <w:tcW w:w="0" w:type="dxa"/>
            <w:vAlign w:val="bottom"/>
          </w:tcPr>
          <w:p>
            <w:pPr>
              <w:spacing w:after="0"/>
              <w:rPr>
                <w:sz w:val="1"/>
                <w:szCs w:val="1"/>
                <w:color w:val="auto"/>
              </w:rPr>
            </w:pPr>
          </w:p>
        </w:tc>
      </w:tr>
      <w:tr>
        <w:trPr>
          <w:trHeight w:val="194"/>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(0.89)</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8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(0.66)</w:t>
            </w:r>
          </w:p>
        </w:tc>
        <w:tc>
          <w:tcPr>
            <w:tcW w:w="0" w:type="dxa"/>
            <w:vAlign w:val="bottom"/>
          </w:tcPr>
          <w:p>
            <w:pPr>
              <w:spacing w:after="0"/>
              <w:rPr>
                <w:sz w:val="1"/>
                <w:szCs w:val="1"/>
                <w:color w:val="auto"/>
              </w:rPr>
            </w:pPr>
          </w:p>
        </w:tc>
      </w:tr>
      <w:tr>
        <w:trPr>
          <w:trHeight w:val="229"/>
        </w:trPr>
        <w:tc>
          <w:tcPr>
            <w:tcW w:w="4880" w:type="dxa"/>
            <w:vAlign w:val="bottom"/>
          </w:tcPr>
          <w:p>
            <w:pPr>
              <w:ind w:left="32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0.86</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320"/>
              <w:spacing w:after="0"/>
              <w:rPr>
                <w:sz w:val="20"/>
                <w:szCs w:val="20"/>
                <w:color w:val="auto"/>
              </w:rPr>
            </w:pPr>
            <w:r>
              <w:rPr>
                <w:rFonts w:ascii="Arial" w:cs="Arial" w:eastAsia="Arial" w:hAnsi="Arial"/>
                <w:sz w:val="15"/>
                <w:szCs w:val="15"/>
                <w:color w:val="auto"/>
              </w:rPr>
              <w:t>Net (gains) losses on marketable equity securities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(12.22)</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25.05</w:t>
            </w:r>
          </w:p>
        </w:tc>
        <w:tc>
          <w:tcPr>
            <w:tcW w:w="0" w:type="dxa"/>
            <w:vAlign w:val="bottom"/>
          </w:tcPr>
          <w:p>
            <w:pPr>
              <w:spacing w:after="0"/>
              <w:rPr>
                <w:sz w:val="1"/>
                <w:szCs w:val="1"/>
                <w:color w:val="auto"/>
              </w:rPr>
            </w:pPr>
          </w:p>
        </w:tc>
      </w:tr>
      <w:tr>
        <w:trPr>
          <w:trHeight w:val="187"/>
        </w:trPr>
        <w:tc>
          <w:tcPr>
            <w:tcW w:w="488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1.34</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8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230"/>
        </w:trPr>
        <w:tc>
          <w:tcPr>
            <w:tcW w:w="4880" w:type="dxa"/>
            <w:vAlign w:val="bottom"/>
          </w:tcPr>
          <w:p>
            <w:pPr>
              <w:ind w:left="32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(1.56)</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4880" w:type="dxa"/>
            <w:vAlign w:val="bottom"/>
          </w:tcPr>
          <w:p>
            <w:pPr>
              <w:ind w:left="320"/>
              <w:spacing w:after="0"/>
              <w:rPr>
                <w:sz w:val="20"/>
                <w:szCs w:val="20"/>
                <w:color w:val="auto"/>
              </w:rPr>
            </w:pPr>
            <w:r>
              <w:rPr>
                <w:rFonts w:ascii="Arial" w:cs="Arial" w:eastAsia="Arial" w:hAnsi="Arial"/>
                <w:sz w:val="15"/>
                <w:szCs w:val="15"/>
                <w:color w:val="auto"/>
              </w:rPr>
              <w:t>Non-operating gain from write-up and sale of cost method</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(0.21)</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80" w:type="dxa"/>
            <w:vAlign w:val="bottom"/>
          </w:tcPr>
          <w:p>
            <w:pPr>
              <w:ind w:left="48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880" w:type="dxa"/>
            <w:vAlign w:val="bottom"/>
          </w:tcPr>
          <w:p>
            <w:pPr>
              <w:ind w:left="320"/>
              <w:spacing w:after="0"/>
              <w:rPr>
                <w:sz w:val="20"/>
                <w:szCs w:val="20"/>
                <w:color w:val="auto"/>
              </w:rPr>
            </w:pPr>
            <w:r>
              <w:rPr>
                <w:rFonts w:ascii="Arial" w:cs="Arial" w:eastAsia="Arial" w:hAnsi="Arial"/>
                <w:sz w:val="15"/>
                <w:szCs w:val="15"/>
                <w:color w:val="auto"/>
              </w:rPr>
              <w:t>Interest (credit) expense related to the fair value adjustment of the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(0.24)</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19"/>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12.97</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12.07</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83" w:right="339" w:bottom="1440" w:gutter="0" w:footer="0" w:header="0"/>
        </w:sectPr>
      </w:pPr>
    </w:p>
    <w:bookmarkStart w:id="19" w:name="page20"/>
    <w:bookmarkEnd w:id="19"/>
    <w:p>
      <w:pPr>
        <w:ind w:left="7040"/>
        <w:spacing w:after="0"/>
        <w:rPr>
          <w:sz w:val="20"/>
          <w:szCs w:val="20"/>
          <w:color w:val="auto"/>
        </w:rPr>
      </w:pPr>
      <w:r>
        <w:rPr>
          <w:rFonts w:ascii="Arial" w:cs="Arial" w:eastAsia="Arial" w:hAnsi="Arial"/>
          <w:sz w:val="16"/>
          <w:szCs w:val="16"/>
          <w:b w:val="1"/>
          <w:bCs w:val="1"/>
          <w:color w:val="auto"/>
        </w:rPr>
        <w:t>Six Months Ended June 30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64"/>
              <w:spacing w:after="0" w:line="168" w:lineRule="exact"/>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6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restart"/>
          </w:tcPr>
          <w:p>
            <w:pPr>
              <w:jc w:val="center"/>
              <w:ind w:right="184"/>
              <w:spacing w:after="0" w:line="162" w:lineRule="exact"/>
              <w:rPr>
                <w:sz w:val="20"/>
                <w:szCs w:val="20"/>
                <w:color w:val="auto"/>
              </w:rPr>
            </w:pPr>
            <w:r>
              <w:rPr>
                <w:rFonts w:ascii="Arial" w:cs="Arial" w:eastAsia="Arial" w:hAnsi="Arial"/>
                <w:sz w:val="15"/>
                <w:szCs w:val="15"/>
                <w:b w:val="1"/>
                <w:bCs w:val="1"/>
                <w:color w:val="auto"/>
                <w:w w:val="98"/>
              </w:rPr>
              <w:t>Income</w:t>
            </w: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right"/>
              <w:ind w:right="24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103"/>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8"/>
                <w:szCs w:val="8"/>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center"/>
              <w:ind w:right="22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20" w:type="dxa"/>
            <w:vAlign w:val="bottom"/>
            <w:gridSpan w:val="2"/>
            <w:vMerge w:val="restart"/>
          </w:tcPr>
          <w:p>
            <w:pPr>
              <w:jc w:val="right"/>
              <w:ind w:right="4"/>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0"/>
                <w:szCs w:val="10"/>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90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238,148</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61,000</w:t>
            </w: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177,148</w:t>
            </w:r>
          </w:p>
        </w:tc>
        <w:tc>
          <w:tcPr>
            <w:tcW w:w="2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44,151</w:t>
            </w:r>
          </w:p>
        </w:tc>
        <w:tc>
          <w:tcPr>
            <w:tcW w:w="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14,200</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29,951</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(2,088)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(1,812)</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175,060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28,139</w:t>
            </w:r>
          </w:p>
        </w:tc>
        <w:tc>
          <w:tcPr>
            <w:tcW w:w="0" w:type="dxa"/>
            <w:vAlign w:val="bottom"/>
          </w:tcPr>
          <w:p>
            <w:pPr>
              <w:spacing w:after="0"/>
              <w:rPr>
                <w:sz w:val="1"/>
                <w:szCs w:val="1"/>
                <w:color w:val="auto"/>
              </w:rPr>
            </w:pPr>
          </w:p>
        </w:tc>
      </w:tr>
      <w:tr>
        <w:trPr>
          <w:trHeight w:val="22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7"/>
                <w:szCs w:val="17"/>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(4,150)</w:t>
            </w:r>
          </w:p>
        </w:tc>
        <w:tc>
          <w:tcPr>
            <w:tcW w:w="200" w:type="dxa"/>
            <w:vAlign w:val="bottom"/>
          </w:tcPr>
          <w:p>
            <w:pPr>
              <w:spacing w:after="0"/>
              <w:rPr>
                <w:sz w:val="17"/>
                <w:szCs w:val="17"/>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(26)</w:t>
            </w: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(4,124)</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(3,163)</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(24)</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(3,139)</w:t>
            </w:r>
          </w:p>
        </w:tc>
        <w:tc>
          <w:tcPr>
            <w:tcW w:w="0" w:type="dxa"/>
            <w:vAlign w:val="bottom"/>
          </w:tcPr>
          <w:p>
            <w:pPr>
              <w:spacing w:after="0"/>
              <w:rPr>
                <w:sz w:val="1"/>
                <w:szCs w:val="1"/>
                <w:color w:val="auto"/>
              </w:rPr>
            </w:pPr>
          </w:p>
        </w:tc>
      </w:tr>
      <w:tr>
        <w:trPr>
          <w:trHeight w:val="20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7"/>
                <w:szCs w:val="17"/>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9,646</w:t>
            </w:r>
          </w:p>
        </w:tc>
        <w:tc>
          <w:tcPr>
            <w:tcW w:w="200" w:type="dxa"/>
            <w:vAlign w:val="bottom"/>
          </w:tcPr>
          <w:p>
            <w:pPr>
              <w:spacing w:after="0"/>
              <w:rPr>
                <w:sz w:val="17"/>
                <w:szCs w:val="17"/>
                <w:color w:val="auto"/>
              </w:rPr>
            </w:pPr>
          </w:p>
        </w:tc>
        <w:tc>
          <w:tcPr>
            <w:tcW w:w="9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2,481</w:t>
            </w:r>
          </w:p>
        </w:tc>
        <w:tc>
          <w:tcPr>
            <w:tcW w:w="220" w:type="dxa"/>
            <w:vAlign w:val="bottom"/>
          </w:tcPr>
          <w:p>
            <w:pPr>
              <w:spacing w:after="0"/>
              <w:rPr>
                <w:sz w:val="17"/>
                <w:szCs w:val="17"/>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7,165</w:t>
            </w:r>
          </w:p>
        </w:tc>
        <w:tc>
          <w:tcPr>
            <w:tcW w:w="280" w:type="dxa"/>
            <w:vAlign w:val="bottom"/>
          </w:tcPr>
          <w:p>
            <w:pPr>
              <w:spacing w:after="0"/>
              <w:rPr>
                <w:sz w:val="17"/>
                <w:szCs w:val="17"/>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vMerge w:val="restart"/>
          </w:tcPr>
          <w:p>
            <w:pPr>
              <w:jc w:val="right"/>
              <w:ind w:right="10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320"/>
              <w:spacing w:after="0"/>
              <w:rPr>
                <w:sz w:val="20"/>
                <w:szCs w:val="20"/>
                <w:color w:val="auto"/>
              </w:rPr>
            </w:pPr>
            <w:r>
              <w:rPr>
                <w:rFonts w:ascii="Arial" w:cs="Arial" w:eastAsia="Arial" w:hAnsi="Arial"/>
                <w:sz w:val="15"/>
                <w:szCs w:val="15"/>
                <w:color w:val="auto"/>
              </w:rPr>
              <w:t>Net (gains) losses on marketable equity securities</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(96,670)</w:t>
            </w:r>
          </w:p>
        </w:tc>
        <w:tc>
          <w:tcPr>
            <w:tcW w:w="200" w:type="dxa"/>
            <w:vAlign w:val="bottom"/>
          </w:tcPr>
          <w:p>
            <w:pPr>
              <w:spacing w:after="0"/>
              <w:rPr>
                <w:sz w:val="19"/>
                <w:szCs w:val="19"/>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b w:val="1"/>
                <w:bCs w:val="1"/>
                <w:color w:val="auto"/>
              </w:rPr>
              <w:t>(25,448)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(71,222)</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118,628</w:t>
            </w:r>
          </w:p>
        </w:tc>
        <w:tc>
          <w:tcPr>
            <w:tcW w:w="240" w:type="dxa"/>
            <w:vAlign w:val="bottom"/>
          </w:tcPr>
          <w:p>
            <w:pPr>
              <w:spacing w:after="0"/>
              <w:rPr>
                <w:sz w:val="19"/>
                <w:szCs w:val="19"/>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30,920</w:t>
            </w:r>
          </w:p>
        </w:tc>
        <w:tc>
          <w:tcPr>
            <w:tcW w:w="24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87,708</w:t>
            </w:r>
          </w:p>
        </w:tc>
        <w:tc>
          <w:tcPr>
            <w:tcW w:w="0" w:type="dxa"/>
            <w:vAlign w:val="bottom"/>
          </w:tcPr>
          <w:p>
            <w:pPr>
              <w:spacing w:after="0"/>
              <w:rPr>
                <w:sz w:val="1"/>
                <w:szCs w:val="1"/>
                <w:color w:val="auto"/>
              </w:rPr>
            </w:pPr>
          </w:p>
        </w:tc>
      </w:tr>
      <w:tr>
        <w:trPr>
          <w:trHeight w:val="184"/>
        </w:trPr>
        <w:tc>
          <w:tcPr>
            <w:tcW w:w="490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6,820</w:t>
            </w:r>
          </w:p>
        </w:tc>
        <w:tc>
          <w:tcPr>
            <w:tcW w:w="20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1,795</w:t>
            </w:r>
          </w:p>
        </w:tc>
        <w:tc>
          <w:tcPr>
            <w:tcW w:w="220" w:type="dxa"/>
            <w:vAlign w:val="bottom"/>
          </w:tcPr>
          <w:p>
            <w:pPr>
              <w:spacing w:after="0"/>
              <w:rPr>
                <w:sz w:val="15"/>
                <w:szCs w:val="15"/>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5,025</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73</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19</w:t>
            </w: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30"/>
        </w:trPr>
        <w:tc>
          <w:tcPr>
            <w:tcW w:w="4900" w:type="dxa"/>
            <w:vAlign w:val="bottom"/>
          </w:tcPr>
          <w:p>
            <w:pPr>
              <w:ind w:left="32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(10,033)</w:t>
            </w:r>
          </w:p>
        </w:tc>
        <w:tc>
          <w:tcPr>
            <w:tcW w:w="200" w:type="dxa"/>
            <w:vAlign w:val="bottom"/>
          </w:tcPr>
          <w:p>
            <w:pPr>
              <w:spacing w:after="0"/>
              <w:rPr>
                <w:sz w:val="19"/>
                <w:szCs w:val="19"/>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b w:val="1"/>
                <w:bCs w:val="1"/>
                <w:color w:val="auto"/>
              </w:rPr>
              <w:t>(2,641)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(7,392)</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from write-up and sales of equity and cost</w:t>
            </w:r>
          </w:p>
        </w:tc>
        <w:tc>
          <w:tcPr>
            <w:tcW w:w="160" w:type="dxa"/>
            <w:vAlign w:val="bottom"/>
          </w:tcPr>
          <w:p>
            <w:pPr>
              <w:spacing w:after="0"/>
              <w:rPr>
                <w:sz w:val="16"/>
                <w:szCs w:val="16"/>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(3,935)</w:t>
            </w:r>
          </w:p>
        </w:tc>
        <w:tc>
          <w:tcPr>
            <w:tcW w:w="200" w:type="dxa"/>
            <w:vAlign w:val="bottom"/>
          </w:tcPr>
          <w:p>
            <w:pPr>
              <w:spacing w:after="0"/>
              <w:rPr>
                <w:sz w:val="16"/>
                <w:szCs w:val="16"/>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(1,008)</w:t>
            </w: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(2,927)</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(1,680)</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(422)</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(1,258)</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6"/>
                <w:szCs w:val="16"/>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289</w:t>
            </w:r>
          </w:p>
        </w:tc>
        <w:tc>
          <w:tcPr>
            <w:tcW w:w="200" w:type="dxa"/>
            <w:vAlign w:val="bottom"/>
          </w:tcPr>
          <w:p>
            <w:pPr>
              <w:spacing w:after="0"/>
              <w:rPr>
                <w:sz w:val="16"/>
                <w:szCs w:val="16"/>
                <w:color w:val="auto"/>
              </w:rPr>
            </w:pPr>
          </w:p>
        </w:tc>
        <w:tc>
          <w:tcPr>
            <w:tcW w:w="9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47</w:t>
            </w:r>
          </w:p>
        </w:tc>
        <w:tc>
          <w:tcPr>
            <w:tcW w:w="220" w:type="dxa"/>
            <w:vAlign w:val="bottom"/>
          </w:tcPr>
          <w:p>
            <w:pPr>
              <w:spacing w:after="0"/>
              <w:rPr>
                <w:sz w:val="16"/>
                <w:szCs w:val="16"/>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242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11,430</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510</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10,920</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101,827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122,424</w:t>
            </w:r>
          </w:p>
        </w:tc>
        <w:tc>
          <w:tcPr>
            <w:tcW w:w="0" w:type="dxa"/>
            <w:vAlign w:val="bottom"/>
          </w:tcPr>
          <w:p>
            <w:pPr>
              <w:spacing w:after="0"/>
              <w:rPr>
                <w:sz w:val="1"/>
                <w:szCs w:val="1"/>
                <w:color w:val="auto"/>
              </w:rPr>
            </w:pPr>
          </w:p>
        </w:tc>
      </w:tr>
      <w:tr>
        <w:trPr>
          <w:trHeight w:val="3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36.67</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194"/>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(0.86)</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(0.64)</w:t>
            </w:r>
          </w:p>
        </w:tc>
        <w:tc>
          <w:tcPr>
            <w:tcW w:w="0" w:type="dxa"/>
            <w:vAlign w:val="bottom"/>
          </w:tcPr>
          <w:p>
            <w:pPr>
              <w:spacing w:after="0"/>
              <w:rPr>
                <w:sz w:val="1"/>
                <w:szCs w:val="1"/>
                <w:color w:val="auto"/>
              </w:rPr>
            </w:pPr>
          </w:p>
        </w:tc>
      </w:tr>
      <w:tr>
        <w:trPr>
          <w:trHeight w:val="20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1.50</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20"/>
              <w:spacing w:after="0"/>
              <w:rPr>
                <w:sz w:val="20"/>
                <w:szCs w:val="20"/>
                <w:color w:val="auto"/>
              </w:rPr>
            </w:pPr>
            <w:r>
              <w:rPr>
                <w:rFonts w:ascii="Arial" w:cs="Arial" w:eastAsia="Arial" w:hAnsi="Arial"/>
                <w:sz w:val="15"/>
                <w:szCs w:val="15"/>
                <w:color w:val="auto"/>
              </w:rPr>
              <w:t>Net (gains) losses on marketable equity securities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(14.92)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17.90</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1.05</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from write-up and sales of equity and cost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(0.61)</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87"/>
        </w:trPr>
        <w:tc>
          <w:tcPr>
            <w:tcW w:w="4900" w:type="dxa"/>
            <w:vAlign w:val="bottom"/>
          </w:tcPr>
          <w:p>
            <w:pPr>
              <w:ind w:left="320"/>
              <w:spacing w:after="0"/>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0.05</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21.33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24.98</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2023-08-02T07:43:04Z</dcterms:created>
  <dcterms:modified xsi:type="dcterms:W3CDTF">2023-08-02T07:43:04Z</dcterms:modified>
</cp:coreProperties>
</file>