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This report (including all exhibits)</w:t>
      </w:r>
    </w:p>
    <w:p>
      <w:pPr>
        <w:spacing w:after="0" w:line="4"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consists of a total of 15 pages, of which this</w:t>
      </w:r>
    </w:p>
    <w:p>
      <w:pPr>
        <w:spacing w:after="0" w:line="4" w:lineRule="exact"/>
        <w:rPr>
          <w:sz w:val="24"/>
          <w:szCs w:val="24"/>
          <w:color w:val="auto"/>
        </w:rPr>
      </w:pPr>
    </w:p>
    <w:p>
      <w:pPr>
        <w:ind w:left="1341"/>
        <w:spacing w:after="0"/>
        <w:tabs>
          <w:tab w:leader="none" w:pos="3141" w:val="left"/>
        </w:tabs>
        <w:rPr>
          <w:sz w:val="20"/>
          <w:szCs w:val="20"/>
          <w:color w:val="auto"/>
        </w:rPr>
      </w:pPr>
      <w:r>
        <w:rPr>
          <w:rFonts w:ascii="Courier New" w:cs="Courier New" w:eastAsia="Courier New" w:hAnsi="Courier New"/>
          <w:sz w:val="16"/>
          <w:szCs w:val="16"/>
          <w:color w:val="auto"/>
        </w:rPr>
        <w:t>page is number 1.</w:t>
        <w:tab/>
        <w:t>The exhibit index is on page 13.</w:t>
      </w:r>
    </w:p>
    <w:p>
      <w:pPr>
        <w:spacing w:after="0" w:line="373"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781"/>
        <w:spacing w:after="0"/>
        <w:tabs>
          <w:tab w:leader="none" w:pos="4301"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21"/>
          </w:cols>
          <w:pgMar w:left="239" w:top="238" w:right="1440" w:bottom="1440" w:gutter="0" w:footer="0" w:header="0"/>
        </w:sectPr>
      </w:pPr>
    </w:p>
    <w:p>
      <w:pPr>
        <w:spacing w:after="0" w:line="200" w:lineRule="exact"/>
        <w:rPr>
          <w:sz w:val="24"/>
          <w:szCs w:val="24"/>
          <w:color w:val="auto"/>
        </w:rPr>
      </w:pPr>
    </w:p>
    <w:p>
      <w:pPr>
        <w:spacing w:after="0" w:line="360" w:lineRule="exact"/>
        <w:rPr>
          <w:sz w:val="24"/>
          <w:szCs w:val="24"/>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July 3, 1994</w:t>
      </w:r>
      <w:r>
        <w:rPr>
          <w:sz w:val="20"/>
          <w:szCs w:val="20"/>
          <w:color w:val="auto"/>
        </w:rPr>
        <w:tab/>
      </w:r>
      <w:r>
        <w:rPr>
          <w:rFonts w:ascii="Courier New" w:cs="Courier New" w:eastAsia="Courier New" w:hAnsi="Courier New"/>
          <w:sz w:val="15"/>
          <w:szCs w:val="15"/>
          <w:color w:val="auto"/>
        </w:rPr>
        <w:t>Commission File Number 1-6714</w:t>
      </w:r>
    </w:p>
    <w:p>
      <w:pPr>
        <w:spacing w:after="0" w:line="3" w:lineRule="exact"/>
        <w:rPr>
          <w:sz w:val="24"/>
          <w:szCs w:val="24"/>
          <w:color w:val="auto"/>
        </w:rPr>
      </w:pPr>
    </w:p>
    <w:p>
      <w:pPr>
        <w:sectPr>
          <w:pgSz w:w="11900" w:h="16838" w:orient="portrait"/>
          <w:cols w:equalWidth="0" w:num="2">
            <w:col w:w="1641" w:space="180"/>
            <w:col w:w="8399"/>
          </w:cols>
          <w:pgMar w:left="239" w:top="238" w:right="1440" w:bottom="1440" w:gutter="0" w:footer="0" w:header="0"/>
          <w:type w:val="continuous"/>
        </w:sect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1721"/>
        <w:spacing w:after="0"/>
        <w:tabs>
          <w:tab w:leader="none" w:pos="5641"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4"/>
          <w:szCs w:val="24"/>
          <w:color w:val="auto"/>
        </w:rPr>
      </w:pPr>
    </w:p>
    <w:p>
      <w:pPr>
        <w:ind w:left="861"/>
        <w:spacing w:after="0"/>
        <w:tabs>
          <w:tab w:leader="none" w:pos="5461"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line="4" w:lineRule="exact"/>
        <w:rPr>
          <w:sz w:val="24"/>
          <w:szCs w:val="24"/>
          <w:color w:val="auto"/>
        </w:rPr>
      </w:pPr>
    </w:p>
    <w:p>
      <w:pPr>
        <w:ind w:left="861"/>
        <w:spacing w:after="0"/>
        <w:tabs>
          <w:tab w:leader="none" w:pos="5461"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73" w:lineRule="exact"/>
        <w:rPr>
          <w:sz w:val="24"/>
          <w:szCs w:val="24"/>
          <w:color w:val="auto"/>
        </w:rPr>
      </w:pPr>
    </w:p>
    <w:p>
      <w:pPr>
        <w:ind w:left="281"/>
        <w:spacing w:after="0"/>
        <w:tabs>
          <w:tab w:leader="none" w:pos="3541" w:val="left"/>
          <w:tab w:leader="none" w:pos="6321"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4"/>
          <w:szCs w:val="24"/>
          <w:color w:val="auto"/>
        </w:rPr>
      </w:pPr>
    </w:p>
    <w:p>
      <w:pPr>
        <w:ind w:left="861"/>
        <w:spacing w:after="0"/>
        <w:tabs>
          <w:tab w:leader="none" w:pos="6321"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73" w:lineRule="exact"/>
        <w:rPr>
          <w:sz w:val="24"/>
          <w:szCs w:val="24"/>
          <w:color w:val="auto"/>
        </w:rPr>
      </w:pPr>
    </w:p>
    <w:p>
      <w:pPr>
        <w:ind w:left="3641" w:hanging="567"/>
        <w:spacing w:after="0"/>
        <w:tabs>
          <w:tab w:leader="none" w:pos="36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58"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Indicate by check mark whether the registrant (1) has filed all</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reports required to be filed by Section 13 or 15(d) of the Securities Exchange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Act of 1934 during the preceding 12 months (or for such shorter period that the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registrant was required to file such reports), and (2) has been subject to such</w:t>
      </w:r>
    </w:p>
    <w:p>
      <w:pPr>
        <w:spacing w:after="0" w:line="4" w:lineRule="exact"/>
        <w:rPr>
          <w:sz w:val="24"/>
          <w:szCs w:val="24"/>
          <w:color w:val="auto"/>
        </w:rPr>
      </w:pPr>
    </w:p>
    <w:p>
      <w:pPr>
        <w:ind w:left="1"/>
        <w:spacing w:after="0"/>
        <w:tabs>
          <w:tab w:leader="none" w:pos="4121" w:val="left"/>
          <w:tab w:leader="none" w:pos="4681" w:val="left"/>
          <w:tab w:leader="none" w:pos="5161" w:val="left"/>
          <w:tab w:leader="none" w:pos="5561" w:val="left"/>
          <w:tab w:leader="none" w:pos="6421" w:val="left"/>
        </w:tabs>
        <w:rPr>
          <w:sz w:val="20"/>
          <w:szCs w:val="20"/>
          <w:color w:val="auto"/>
        </w:rPr>
      </w:pPr>
      <w:r>
        <w:rPr>
          <w:rFonts w:ascii="Courier New" w:cs="Courier New" w:eastAsia="Courier New" w:hAnsi="Courier New"/>
          <w:sz w:val="16"/>
          <w:szCs w:val="16"/>
          <w:color w:val="auto"/>
        </w:rPr>
        <w:t>filing requirements for the past 90 days.</w:t>
        <w:tab/>
        <w:t>Yes</w:t>
        <w:tab/>
        <w:t>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4421"/>
        <w:spacing w:after="0"/>
        <w:tabs>
          <w:tab w:leader="none" w:pos="57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Shares outstanding at July 31, 1994:</w:t>
      </w:r>
    </w:p>
    <w:p>
      <w:pPr>
        <w:sectPr>
          <w:pgSz w:w="11900" w:h="16838" w:orient="portrait"/>
          <w:cols w:equalWidth="0" w:num="1">
            <w:col w:w="10221"/>
          </w:cols>
          <w:pgMar w:left="239" w:top="238" w:right="1440" w:bottom="1440" w:gutter="0" w:footer="0" w:header="0"/>
          <w:type w:val="continuous"/>
        </w:sectPr>
      </w:pPr>
    </w:p>
    <w:p>
      <w:pPr>
        <w:spacing w:after="0" w:line="375" w:lineRule="exact"/>
        <w:rPr>
          <w:sz w:val="24"/>
          <w:szCs w:val="24"/>
          <w:color w:val="auto"/>
        </w:rPr>
      </w:pPr>
    </w:p>
    <w:p>
      <w:pPr>
        <w:ind w:left="1641"/>
        <w:spacing w:after="0"/>
        <w:rPr>
          <w:sz w:val="20"/>
          <w:szCs w:val="20"/>
          <w:color w:val="auto"/>
        </w:rPr>
      </w:pPr>
      <w:r>
        <w:rPr>
          <w:rFonts w:ascii="Courier New" w:cs="Courier New" w:eastAsia="Courier New" w:hAnsi="Courier New"/>
          <w:sz w:val="15"/>
          <w:szCs w:val="15"/>
          <w:color w:val="auto"/>
        </w:rPr>
        <w:t>Class A Common Stock</w:t>
      </w:r>
    </w:p>
    <w:p>
      <w:pPr>
        <w:spacing w:after="0" w:line="15" w:lineRule="exact"/>
        <w:rPr>
          <w:sz w:val="24"/>
          <w:szCs w:val="24"/>
          <w:color w:val="auto"/>
        </w:rPr>
      </w:pPr>
    </w:p>
    <w:p>
      <w:pPr>
        <w:ind w:left="1641"/>
        <w:spacing w:after="0"/>
        <w:rPr>
          <w:sz w:val="20"/>
          <w:szCs w:val="20"/>
          <w:color w:val="auto"/>
        </w:rPr>
      </w:pPr>
      <w:r>
        <w:rPr>
          <w:rFonts w:ascii="Courier New" w:cs="Courier New" w:eastAsia="Courier New" w:hAnsi="Courier New"/>
          <w:sz w:val="15"/>
          <w:szCs w:val="15"/>
          <w:color w:val="auto"/>
        </w:rPr>
        <w:t>Class B Common Stock</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1,843,250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9,645,105 Shares</w:t>
      </w:r>
    </w:p>
    <w:p>
      <w:pPr>
        <w:sectPr>
          <w:pgSz w:w="11900" w:h="16838" w:orient="portrait"/>
          <w:cols w:equalWidth="0" w:num="2">
            <w:col w:w="4181" w:space="720"/>
            <w:col w:w="5319"/>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WASHINGTON POST COMPANY</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35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Condensed Consolidated Statements of Income</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(Unaudited) for the Thirteen and Twenty-six</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Weeks Ended July 3, 1994 and</w:t>
      </w:r>
    </w:p>
    <w:p>
      <w:pPr>
        <w:spacing w:after="0" w:line="4" w:lineRule="exact"/>
        <w:rPr>
          <w:sz w:val="20"/>
          <w:szCs w:val="20"/>
          <w:color w:val="auto"/>
        </w:rPr>
      </w:pPr>
    </w:p>
    <w:p>
      <w:pPr>
        <w:ind w:left="1340"/>
        <w:spacing w:after="0"/>
        <w:tabs>
          <w:tab w:leader="dot" w:pos="7280" w:val="left"/>
        </w:tabs>
        <w:rPr>
          <w:sz w:val="20"/>
          <w:szCs w:val="20"/>
          <w:color w:val="auto"/>
        </w:rPr>
      </w:pPr>
      <w:r>
        <w:rPr>
          <w:rFonts w:ascii="Courier New" w:cs="Courier New" w:eastAsia="Courier New" w:hAnsi="Courier New"/>
          <w:sz w:val="16"/>
          <w:szCs w:val="16"/>
          <w:color w:val="auto"/>
        </w:rPr>
        <w:t>July 4, 1993</w:t>
      </w:r>
      <w:r>
        <w:rPr>
          <w:sz w:val="20"/>
          <w:szCs w:val="20"/>
          <w:color w:val="auto"/>
        </w:rPr>
        <w:tab/>
      </w:r>
      <w:r>
        <w:rPr>
          <w:rFonts w:ascii="Courier New" w:cs="Courier New" w:eastAsia="Courier New" w:hAnsi="Courier New"/>
          <w:sz w:val="16"/>
          <w:szCs w:val="16"/>
          <w:color w:val="auto"/>
        </w:rPr>
        <w:t>3</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4" w:lineRule="exact"/>
        <w:rPr>
          <w:sz w:val="20"/>
          <w:szCs w:val="20"/>
          <w:color w:val="auto"/>
        </w:rPr>
      </w:pPr>
    </w:p>
    <w:p>
      <w:pPr>
        <w:ind w:left="1340"/>
        <w:spacing w:after="0"/>
        <w:tabs>
          <w:tab w:leader="dot" w:pos="7280" w:val="left"/>
        </w:tabs>
        <w:rPr>
          <w:sz w:val="20"/>
          <w:szCs w:val="20"/>
          <w:color w:val="auto"/>
        </w:rPr>
      </w:pPr>
      <w:r>
        <w:rPr>
          <w:rFonts w:ascii="Courier New" w:cs="Courier New" w:eastAsia="Courier New" w:hAnsi="Courier New"/>
          <w:sz w:val="16"/>
          <w:szCs w:val="16"/>
          <w:color w:val="auto"/>
        </w:rPr>
        <w:t>at July 3, 1994 and January 2, 1994</w:t>
      </w:r>
      <w:r>
        <w:rPr>
          <w:sz w:val="20"/>
          <w:szCs w:val="20"/>
          <w:color w:val="auto"/>
        </w:rPr>
        <w:tab/>
      </w:r>
      <w:r>
        <w:rPr>
          <w:rFonts w:ascii="Courier New" w:cs="Courier New" w:eastAsia="Courier New" w:hAnsi="Courier New"/>
          <w:sz w:val="16"/>
          <w:szCs w:val="16"/>
          <w:color w:val="auto"/>
        </w:rPr>
        <w:t>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(Unaudited) for the Twenty-six Weeks Ended</w:t>
      </w:r>
    </w:p>
    <w:p>
      <w:pPr>
        <w:spacing w:after="0" w:line="4" w:lineRule="exact"/>
        <w:rPr>
          <w:sz w:val="20"/>
          <w:szCs w:val="20"/>
          <w:color w:val="auto"/>
        </w:rPr>
      </w:pPr>
    </w:p>
    <w:p>
      <w:pPr>
        <w:ind w:left="1340"/>
        <w:spacing w:after="0"/>
        <w:tabs>
          <w:tab w:leader="dot" w:pos="7280" w:val="left"/>
        </w:tabs>
        <w:rPr>
          <w:sz w:val="20"/>
          <w:szCs w:val="20"/>
          <w:color w:val="auto"/>
        </w:rPr>
      </w:pPr>
      <w:r>
        <w:rPr>
          <w:rFonts w:ascii="Courier New" w:cs="Courier New" w:eastAsia="Courier New" w:hAnsi="Courier New"/>
          <w:sz w:val="16"/>
          <w:szCs w:val="16"/>
          <w:color w:val="auto"/>
        </w:rPr>
        <w:t>July 3, 1994 and July 4, 1993</w:t>
      </w:r>
      <w:r>
        <w:rPr>
          <w:sz w:val="20"/>
          <w:szCs w:val="20"/>
          <w:color w:val="auto"/>
        </w:rPr>
        <w:tab/>
      </w:r>
      <w:r>
        <w:rPr>
          <w:rFonts w:ascii="Courier New" w:cs="Courier New" w:eastAsia="Courier New" w:hAnsi="Courier New"/>
          <w:sz w:val="16"/>
          <w:szCs w:val="16"/>
          <w:color w:val="auto"/>
        </w:rPr>
        <w:t>5</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4" w:lineRule="exact"/>
        <w:rPr>
          <w:sz w:val="20"/>
          <w:szCs w:val="20"/>
          <w:color w:val="auto"/>
        </w:rPr>
      </w:pPr>
    </w:p>
    <w:p>
      <w:pPr>
        <w:ind w:left="1340"/>
        <w:spacing w:after="0"/>
        <w:tabs>
          <w:tab w:leader="dot" w:pos="7280" w:val="left"/>
        </w:tabs>
        <w:rPr>
          <w:sz w:val="20"/>
          <w:szCs w:val="20"/>
          <w:color w:val="auto"/>
        </w:rPr>
      </w:pPr>
      <w:r>
        <w:rPr>
          <w:rFonts w:ascii="Courier New" w:cs="Courier New" w:eastAsia="Courier New" w:hAnsi="Courier New"/>
          <w:sz w:val="16"/>
          <w:szCs w:val="16"/>
          <w:color w:val="auto"/>
        </w:rPr>
        <w:t>(Unaudited)</w:t>
      </w:r>
      <w:r>
        <w:rPr>
          <w:sz w:val="20"/>
          <w:szCs w:val="20"/>
          <w:color w:val="auto"/>
        </w:rPr>
        <w:tab/>
      </w:r>
      <w:r>
        <w:rPr>
          <w:rFonts w:ascii="Courier New" w:cs="Courier New" w:eastAsia="Courier New" w:hAnsi="Courier New"/>
          <w:sz w:val="16"/>
          <w:szCs w:val="16"/>
          <w:color w:val="auto"/>
        </w:rPr>
        <w:t>6</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Results of</w:t>
      </w:r>
    </w:p>
    <w:p>
      <w:pPr>
        <w:spacing w:after="0" w:line="4" w:lineRule="exact"/>
        <w:rPr>
          <w:sz w:val="20"/>
          <w:szCs w:val="20"/>
          <w:color w:val="auto"/>
        </w:rPr>
      </w:pPr>
    </w:p>
    <w:p>
      <w:pPr>
        <w:ind w:left="1340"/>
        <w:spacing w:after="0"/>
        <w:tabs>
          <w:tab w:leader="dot" w:pos="7280" w:val="left"/>
        </w:tabs>
        <w:rPr>
          <w:sz w:val="20"/>
          <w:szCs w:val="20"/>
          <w:color w:val="auto"/>
        </w:rPr>
      </w:pPr>
      <w:r>
        <w:rPr>
          <w:rFonts w:ascii="Courier New" w:cs="Courier New" w:eastAsia="Courier New" w:hAnsi="Courier New"/>
          <w:sz w:val="16"/>
          <w:szCs w:val="16"/>
          <w:color w:val="auto"/>
        </w:rPr>
        <w:t>Operations and Financial Condition</w:t>
      </w:r>
      <w:r>
        <w:rPr>
          <w:sz w:val="20"/>
          <w:szCs w:val="20"/>
          <w:color w:val="auto"/>
        </w:rPr>
        <w:tab/>
      </w:r>
      <w:r>
        <w:rPr>
          <w:rFonts w:ascii="Courier New" w:cs="Courier New" w:eastAsia="Courier New" w:hAnsi="Courier New"/>
          <w:sz w:val="16"/>
          <w:szCs w:val="16"/>
          <w:color w:val="auto"/>
        </w:rPr>
        <w:t>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Submission of Matters to a Vote of</w:t>
      </w:r>
    </w:p>
    <w:p>
      <w:pPr>
        <w:spacing w:after="0" w:line="4" w:lineRule="exact"/>
        <w:rPr>
          <w:sz w:val="20"/>
          <w:szCs w:val="20"/>
          <w:color w:val="auto"/>
        </w:rPr>
      </w:pPr>
    </w:p>
    <w:p>
      <w:pPr>
        <w:ind w:left="860"/>
        <w:spacing w:after="0"/>
        <w:tabs>
          <w:tab w:leader="dot" w:pos="7180" w:val="left"/>
        </w:tabs>
        <w:rPr>
          <w:sz w:val="20"/>
          <w:szCs w:val="20"/>
          <w:color w:val="auto"/>
        </w:rPr>
      </w:pPr>
      <w:r>
        <w:rPr>
          <w:rFonts w:ascii="Courier New" w:cs="Courier New" w:eastAsia="Courier New" w:hAnsi="Courier New"/>
          <w:sz w:val="16"/>
          <w:szCs w:val="16"/>
          <w:color w:val="auto"/>
        </w:rPr>
        <w:t>Security Holders</w:t>
      </w:r>
      <w:r>
        <w:rPr>
          <w:sz w:val="20"/>
          <w:szCs w:val="20"/>
          <w:color w:val="auto"/>
        </w:rPr>
        <w:tab/>
      </w:r>
      <w:r>
        <w:rPr>
          <w:rFonts w:ascii="Courier New" w:cs="Courier New" w:eastAsia="Courier New" w:hAnsi="Courier New"/>
          <w:sz w:val="16"/>
          <w:szCs w:val="16"/>
          <w:color w:val="auto"/>
        </w:rPr>
        <w:t>12</w:t>
      </w:r>
    </w:p>
    <w:p>
      <w:pPr>
        <w:spacing w:after="0" w:line="188" w:lineRule="exact"/>
        <w:rPr>
          <w:sz w:val="20"/>
          <w:szCs w:val="20"/>
          <w:color w:val="auto"/>
        </w:rPr>
      </w:pPr>
    </w:p>
    <w:p>
      <w:pPr>
        <w:spacing w:after="0"/>
        <w:tabs>
          <w:tab w:leader="none" w:pos="840" w:val="left"/>
          <w:tab w:leader="dot" w:pos="7180"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6"/>
          <w:szCs w:val="16"/>
          <w:color w:val="auto"/>
        </w:rPr>
        <w:t>13</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14</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Exhibit 11</w:t>
      </w:r>
      <w:r>
        <w:rPr>
          <w:sz w:val="20"/>
          <w:szCs w:val="20"/>
          <w:color w:val="auto"/>
        </w:rPr>
        <w:tab/>
      </w: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54"/>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1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739"/>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Courier New" w:cs="Courier New" w:eastAsia="Courier New" w:hAnsi="Courier New"/>
                <w:sz w:val="16"/>
                <w:szCs w:val="16"/>
                <w:color w:val="auto"/>
              </w:rPr>
              <w:t>THIRTEEN WEEKS ENDED</w:t>
            </w:r>
          </w:p>
        </w:tc>
        <w:tc>
          <w:tcPr>
            <w:tcW w:w="480" w:type="dxa"/>
            <w:vAlign w:val="bottom"/>
          </w:tcPr>
          <w:p>
            <w:pPr>
              <w:spacing w:after="0"/>
              <w:rPr>
                <w:sz w:val="16"/>
                <w:szCs w:val="16"/>
                <w:color w:val="auto"/>
              </w:rPr>
            </w:pPr>
          </w:p>
        </w:tc>
        <w:tc>
          <w:tcPr>
            <w:tcW w:w="240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w w:val="99"/>
              </w:rPr>
              <w:t>TWENTY-SIX WEEKS ENDED</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600" w:type="dxa"/>
            <w:vAlign w:val="bottom"/>
            <w:gridSpan w:val="4"/>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JULY 3,</w:t>
            </w:r>
          </w:p>
        </w:tc>
        <w:tc>
          <w:tcPr>
            <w:tcW w:w="48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JULY 4,</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JULY 3,</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JULY 4,</w:t>
            </w:r>
          </w:p>
        </w:tc>
      </w:tr>
      <w:tr>
        <w:trPr>
          <w:trHeight w:val="185"/>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82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1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1993</w:t>
            </w:r>
          </w:p>
        </w:tc>
        <w:tc>
          <w:tcPr>
            <w:tcW w:w="48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9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ADVERTISING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261,682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233,078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473,877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447,680</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CIRCULATION AND SUBSCRIBER</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110,098</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112,779</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219,263</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226,207</w:t>
            </w: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33,033</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30,848</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70,127</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64,524</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404,813</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376,705</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763,267</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738,411</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216,229</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193,597</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415,782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388,680</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97,160</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99,949</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186,117</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197,732</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 OF</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15,360</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15,100</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30,070</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30,082</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AMORTIZATION OF GOODWILL AND OTHER</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INTANGIBLES</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6,502</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4,058</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10,533</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8,125</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335,251</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312,704</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642,502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624,619</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69,562</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64,001</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120,765</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113,792</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EQUITY IN EARNINGS (LOSSES) OF AFFILIATES</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2,211</w:t>
            </w:r>
          </w:p>
        </w:tc>
        <w:tc>
          <w:tcPr>
            <w:tcW w:w="4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(591)</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(3,174)</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(2,386)</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2,030</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2,488</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5,595</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5,094</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820" w:type="dxa"/>
            <w:vAlign w:val="bottom"/>
          </w:tcPr>
          <w:p>
            <w:pPr>
              <w:spacing w:after="0"/>
              <w:rPr>
                <w:sz w:val="16"/>
                <w:szCs w:val="16"/>
                <w:color w:val="auto"/>
              </w:rPr>
            </w:pPr>
          </w:p>
        </w:tc>
        <w:tc>
          <w:tcPr>
            <w:tcW w:w="11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(1,413)</w:t>
            </w:r>
          </w:p>
        </w:tc>
        <w:tc>
          <w:tcPr>
            <w:tcW w:w="4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(985)</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(2,848)</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(2,431)</w:t>
            </w: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638</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2,606</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587</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 AND CUMULATIVE</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EFFECT OF CHANGE IN ACCOUNTING PRINCIPLE</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72,392</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65,551</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122,944</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114,656</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860" w:type="dxa"/>
            <w:vAlign w:val="bottom"/>
          </w:tcPr>
          <w:p>
            <w:pPr>
              <w:ind w:left="200"/>
              <w:spacing w:after="0"/>
              <w:rPr>
                <w:sz w:val="20"/>
                <w:szCs w:val="20"/>
                <w:color w:val="auto"/>
              </w:rPr>
            </w:pPr>
            <w:r>
              <w:rPr>
                <w:rFonts w:ascii="Courier New" w:cs="Courier New" w:eastAsia="Courier New" w:hAnsi="Courier New"/>
                <w:sz w:val="16"/>
                <w:szCs w:val="16"/>
                <w:color w:val="auto"/>
                <w:w w:val="95"/>
              </w:rPr>
              <w:t>CURRENT</w:t>
            </w: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31,763</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28,237</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54,725</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49,228</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w:t>
            </w:r>
          </w:p>
        </w:tc>
        <w:tc>
          <w:tcPr>
            <w:tcW w:w="820" w:type="dxa"/>
            <w:vAlign w:val="bottom"/>
          </w:tcPr>
          <w:p>
            <w:pPr>
              <w:spacing w:after="0"/>
              <w:rPr>
                <w:sz w:val="16"/>
                <w:szCs w:val="16"/>
                <w:color w:val="auto"/>
              </w:rPr>
            </w:pPr>
          </w:p>
        </w:tc>
        <w:tc>
          <w:tcPr>
            <w:tcW w:w="11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(628)</w:t>
            </w:r>
          </w:p>
        </w:tc>
        <w:tc>
          <w:tcPr>
            <w:tcW w:w="480" w:type="dxa"/>
            <w:vAlign w:val="bottom"/>
          </w:tcPr>
          <w:p>
            <w:pPr>
              <w:spacing w:after="0"/>
              <w:rPr>
                <w:sz w:val="16"/>
                <w:szCs w:val="16"/>
                <w:color w:val="auto"/>
              </w:rPr>
            </w:pP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(677)</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(1,850)</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31,135</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27,560</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52,875</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48,160</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CUMULATIVE EFFECT OF</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CHANGE IN ACCOUNTING PRINCIPLE</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41,257</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37,991</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70,069</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66,496</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CUMULATIVE EFFECT OF CHANGE IN METHOD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 ACCOUNTING FOR INCOME TAXES</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11,600</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41,257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37,991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70,069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78,096</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BEFORE CUMULATIVE EFFECT OF CHANGE IN</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CUMULATIVE EFFECT OF CHANGE IN</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0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5"/>
        </w:trPr>
        <w:tc>
          <w:tcPr>
            <w:tcW w:w="8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04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SHARES OUTSTANDING</w:t>
            </w:r>
          </w:p>
        </w:tc>
        <w:tc>
          <w:tcPr>
            <w:tcW w:w="820" w:type="dxa"/>
            <w:vAlign w:val="bottom"/>
          </w:tcPr>
          <w:p>
            <w:pPr>
              <w:spacing w:after="0"/>
              <w:rPr>
                <w:sz w:val="24"/>
                <w:szCs w:val="24"/>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11,667</w:t>
            </w:r>
          </w:p>
        </w:tc>
        <w:tc>
          <w:tcPr>
            <w:tcW w:w="480" w:type="dxa"/>
            <w:vAlign w:val="bottom"/>
          </w:tcPr>
          <w:p>
            <w:pPr>
              <w:spacing w:after="0"/>
              <w:rPr>
                <w:sz w:val="24"/>
                <w:szCs w:val="24"/>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11,755</w:t>
            </w:r>
          </w:p>
        </w:tc>
        <w:tc>
          <w:tcPr>
            <w:tcW w:w="480" w:type="dxa"/>
            <w:vAlign w:val="bottom"/>
          </w:tcPr>
          <w:p>
            <w:pPr>
              <w:spacing w:after="0"/>
              <w:rPr>
                <w:sz w:val="24"/>
                <w:szCs w:val="24"/>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11,693</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11,775</w:t>
            </w:r>
          </w:p>
        </w:tc>
      </w:tr>
    </w:tbl>
    <w:p>
      <w:pPr>
        <w:sectPr>
          <w:pgSz w:w="11900" w:h="16838" w:orient="portrait"/>
          <w:cols w:equalWidth="0" w:num="1">
            <w:col w:w="11520"/>
          </w:cols>
          <w:pgMar w:left="240" w:top="300"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292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4.</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924"/>
        </w:trPr>
        <w:tc>
          <w:tcPr>
            <w:tcW w:w="61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JULY 3,</w:t>
            </w:r>
          </w:p>
        </w:tc>
        <w:tc>
          <w:tcPr>
            <w:tcW w:w="15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JANUARY 2,</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480" w:type="dxa"/>
            <w:vAlign w:val="bottom"/>
          </w:tcPr>
          <w:p>
            <w:pPr>
              <w:spacing w:after="0"/>
              <w:rPr>
                <w:sz w:val="16"/>
                <w:szCs w:val="16"/>
                <w:color w:val="auto"/>
              </w:rPr>
            </w:pPr>
          </w:p>
        </w:tc>
        <w:tc>
          <w:tcPr>
            <w:tcW w:w="14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1994</w:t>
            </w:r>
          </w:p>
        </w:tc>
        <w:tc>
          <w:tcPr>
            <w:tcW w:w="54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8"/>
              </w:rPr>
              <w:t>--------</w:t>
            </w:r>
          </w:p>
        </w:tc>
        <w:tc>
          <w:tcPr>
            <w:tcW w:w="15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480" w:type="dxa"/>
            <w:vAlign w:val="bottom"/>
          </w:tcPr>
          <w:p>
            <w:pPr>
              <w:ind w:left="14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97,257</w:t>
            </w:r>
          </w:p>
        </w:tc>
        <w:tc>
          <w:tcPr>
            <w:tcW w:w="54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171,512</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MARKETABLE SECURITIES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14,785</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258,412</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DOUBTFUL ACCOUNTS AND ALLOWANCES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172,307</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140,518</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18,203</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16,419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PROGRAM RIGHTS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17,950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15,460</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15,734</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23,253</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336,236</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625,574</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162,159</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155,251</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180,768</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166,433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611,423</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579,423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29,639</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29,287</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821,830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775,143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8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(493,742)</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(469,359)</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328,088</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305,784</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32,416</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28,799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57,540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29,135</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418,044</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363,718</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528,795</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309,157</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198,263</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168,804</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ind w:left="14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1,643,497</w:t>
            </w:r>
          </w:p>
        </w:tc>
        <w:tc>
          <w:tcPr>
            <w:tcW w:w="54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1,622,504</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480" w:type="dxa"/>
            <w:vAlign w:val="bottom"/>
          </w:tcPr>
          <w:p>
            <w:pPr>
              <w:ind w:left="14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176,729</w:t>
            </w:r>
          </w:p>
        </w:tc>
        <w:tc>
          <w:tcPr>
            <w:tcW w:w="54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163,553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17,206</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15,726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76,775</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79,254</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270,710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258,533</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198,168</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191,088</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50,332</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51,768</w:t>
            </w: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35,958</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33,696</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555,168</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535,085</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CAPITAL STOCK</w:t>
            </w:r>
          </w:p>
        </w:tc>
        <w:tc>
          <w:tcPr>
            <w:tcW w:w="148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20,000</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21,290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21,354</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1,616,017</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1,570,546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5,451</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ADJUSTMENT</w:t>
            </w: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5,291</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2,908</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48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(579,720)</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(527,389)</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1,088,329</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1,087,419</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480" w:type="dxa"/>
            <w:vAlign w:val="bottom"/>
          </w:tcPr>
          <w:p>
            <w:pPr>
              <w:ind w:left="14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1,643,497</w:t>
            </w:r>
          </w:p>
        </w:tc>
        <w:tc>
          <w:tcPr>
            <w:tcW w:w="54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1,622,504</w:t>
            </w:r>
          </w:p>
        </w:tc>
      </w:tr>
      <w:tr>
        <w:trPr>
          <w:trHeight w:val="185"/>
        </w:trPr>
        <w:tc>
          <w:tcPr>
            <w:tcW w:w="6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560"/>
          </w:cols>
          <w:pgMar w:left="240" w:top="300" w:right="109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24"/>
        </w:trPr>
        <w:tc>
          <w:tcPr>
            <w:tcW w:w="624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4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TWENTY-SIX WEEKS ENDED</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JULY 3,</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JULY 4,</w:t>
            </w:r>
          </w:p>
        </w:tc>
      </w:tr>
      <w:tr>
        <w:trPr>
          <w:trHeight w:val="185"/>
        </w:trPr>
        <w:tc>
          <w:tcPr>
            <w:tcW w:w="62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8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70,069</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78,096</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PROVIDED BY OPERATING ACTIVITIES:</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CUMULATIVE EFFECT OF CHANGE IN ACCOUNTING</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PRINCIPLE</w:t>
            </w:r>
          </w:p>
        </w:tc>
        <w:tc>
          <w:tcPr>
            <w:tcW w:w="158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(11,600)</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AND EQUIPMENT</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30,070</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30,082</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10,533</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8,125</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PROGRAM RIGHTS</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10,195</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9,501</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DOUBTFUL ACCOUNTS</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29,428</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26,913</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(DECREASE) IN INTEREST AND INCOME TAXES</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PAYABLE</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(1,082)</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(3,476)</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DEFERRED INCOME TAXES</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(1,850)</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(1,068)</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CHANGE IN ASSETS AND LIABILITIES:</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RECEIVABLE</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(60,837)</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(49,132)</w:t>
            </w: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(INCREASE) DECREASE IN INVENTORIES</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(1,784)</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991</w:t>
            </w:r>
          </w:p>
        </w:tc>
      </w:tr>
      <w:tr>
        <w:trPr>
          <w:trHeight w:val="185"/>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PAYABLE AND ACCRUED</w:t>
            </w: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240" w:type="dxa"/>
            <w:vAlign w:val="bottom"/>
          </w:tcPr>
          <w:p>
            <w:pPr>
              <w:ind w:left="860"/>
              <w:spacing w:after="0"/>
              <w:rPr>
                <w:sz w:val="20"/>
                <w:szCs w:val="20"/>
                <w:color w:val="auto"/>
              </w:rPr>
            </w:pPr>
            <w:r>
              <w:rPr>
                <w:rFonts w:ascii="Courier New" w:cs="Courier New" w:eastAsia="Courier New" w:hAnsi="Courier New"/>
                <w:sz w:val="16"/>
                <w:szCs w:val="16"/>
                <w:color w:val="auto"/>
              </w:rPr>
              <w:t>LIABILITIES</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12,556</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2,771</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2,565</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(1,894)</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ind w:left="8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spacing w:after="0"/>
              <w:rPr>
                <w:sz w:val="24"/>
                <w:szCs w:val="24"/>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99,863</w:t>
            </w:r>
          </w:p>
        </w:tc>
        <w:tc>
          <w:tcPr>
            <w:tcW w:w="48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89,309</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(44,108)</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(44,732)</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PURCHASES OF MARKETABLE SECURITIES</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(14,657)</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(208,743)</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256,617</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261,200</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(284,207)</w:t>
            </w:r>
          </w:p>
        </w:tc>
        <w:tc>
          <w:tcPr>
            <w:tcW w:w="48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PAYMENTS FOR PROGRAM RIGHTS</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(9,867)</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(10,704)</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405</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(1,558)</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ind w:left="860"/>
              <w:spacing w:after="0"/>
              <w:rPr>
                <w:sz w:val="20"/>
                <w:szCs w:val="20"/>
                <w:color w:val="auto"/>
              </w:rPr>
            </w:pPr>
            <w:r>
              <w:rPr>
                <w:rFonts w:ascii="Courier New" w:cs="Courier New" w:eastAsia="Courier New" w:hAnsi="Courier New"/>
                <w:sz w:val="16"/>
                <w:szCs w:val="16"/>
                <w:color w:val="auto"/>
              </w:rPr>
              <w:t>NET CASH (USED) BY INVESTING ACTIVITIES</w:t>
            </w:r>
          </w:p>
        </w:tc>
        <w:tc>
          <w:tcPr>
            <w:tcW w:w="1580" w:type="dxa"/>
            <w:vAlign w:val="bottom"/>
          </w:tcPr>
          <w:p>
            <w:pPr>
              <w:spacing w:after="0"/>
              <w:rPr>
                <w:sz w:val="24"/>
                <w:szCs w:val="24"/>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(95,817)</w:t>
            </w:r>
          </w:p>
        </w:tc>
        <w:tc>
          <w:tcPr>
            <w:tcW w:w="48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(4,537)</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(1,400)</w:t>
            </w:r>
          </w:p>
        </w:tc>
        <w:tc>
          <w:tcPr>
            <w:tcW w:w="48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(24,598)</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(24,741)</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15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(52,303)</w:t>
            </w:r>
          </w:p>
        </w:tc>
        <w:tc>
          <w:tcPr>
            <w:tcW w:w="48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(14,947)</w:t>
            </w:r>
          </w:p>
        </w:tc>
      </w:tr>
      <w:tr>
        <w:trPr>
          <w:trHeight w:val="185"/>
        </w:trPr>
        <w:tc>
          <w:tcPr>
            <w:tcW w:w="62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FINANCING ACTIVITIES</w:t>
            </w:r>
          </w:p>
        </w:tc>
        <w:tc>
          <w:tcPr>
            <w:tcW w:w="1580" w:type="dxa"/>
            <w:vAlign w:val="bottom"/>
          </w:tcPr>
          <w:p>
            <w:pPr>
              <w:spacing w:after="0"/>
              <w:rPr>
                <w:sz w:val="24"/>
                <w:szCs w:val="24"/>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(78,301)</w:t>
            </w:r>
          </w:p>
        </w:tc>
        <w:tc>
          <w:tcPr>
            <w:tcW w:w="48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(39,627)</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580" w:type="dxa"/>
            <w:vAlign w:val="bottom"/>
          </w:tcPr>
          <w:p>
            <w:pPr>
              <w:spacing w:after="0"/>
              <w:rPr>
                <w:sz w:val="24"/>
                <w:szCs w:val="24"/>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(74,255)</w:t>
            </w:r>
          </w:p>
        </w:tc>
        <w:tc>
          <w:tcPr>
            <w:tcW w:w="48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45,145</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1580" w:type="dxa"/>
            <w:vAlign w:val="bottom"/>
          </w:tcPr>
          <w:p>
            <w:pPr>
              <w:spacing w:after="0"/>
              <w:rPr>
                <w:sz w:val="24"/>
                <w:szCs w:val="24"/>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171,512</w:t>
            </w:r>
          </w:p>
        </w:tc>
        <w:tc>
          <w:tcPr>
            <w:tcW w:w="48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86,840</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97,257</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131,985</w:t>
            </w:r>
          </w:p>
        </w:tc>
      </w:tr>
      <w:tr>
        <w:trPr>
          <w:trHeight w:val="185"/>
        </w:trPr>
        <w:tc>
          <w:tcPr>
            <w:tcW w:w="6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660"/>
          </w:cols>
          <w:pgMar w:left="240" w:top="300" w:right="99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7500"/>
        <w:spacing w:after="0"/>
        <w:rPr>
          <w:sz w:val="20"/>
          <w:szCs w:val="20"/>
          <w:color w:val="auto"/>
        </w:rPr>
      </w:pPr>
      <w:r>
        <w:rPr>
          <w:rFonts w:ascii="Courier New" w:cs="Courier New" w:eastAsia="Courier New" w:hAnsi="Courier New"/>
          <w:sz w:val="16"/>
          <w:szCs w:val="16"/>
          <w:color w:val="auto"/>
        </w:rPr>
        <w:t>6.</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90" w:lineRule="exact"/>
        <w:rPr>
          <w:sz w:val="20"/>
          <w:szCs w:val="20"/>
          <w:color w:val="auto"/>
        </w:rPr>
      </w:pPr>
    </w:p>
    <w:p>
      <w:pPr>
        <w:ind w:right="3080"/>
        <w:spacing w:after="0" w:line="264"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tab/>
        <w:t>SUMMARIZED COMBINED (UNAUDITED) RESULTS OF OPERATIONS FOR THE SECOND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AND YEAR-TO-DATE OF 1994 AND 1993 FOR THE COMPANY'S AFFILIATES ARE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34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SECOND QUARTER</w:t>
            </w:r>
          </w:p>
        </w:tc>
        <w:tc>
          <w:tcPr>
            <w:tcW w:w="288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YEAR-TO-DATE</w:t>
            </w:r>
          </w:p>
        </w:tc>
      </w:tr>
      <w:tr>
        <w:trPr>
          <w:trHeight w:val="185"/>
        </w:trPr>
        <w:tc>
          <w:tcPr>
            <w:tcW w:w="4380" w:type="dxa"/>
            <w:vAlign w:val="bottom"/>
          </w:tcPr>
          <w:p>
            <w:pPr>
              <w:spacing w:after="0"/>
              <w:rPr>
                <w:sz w:val="16"/>
                <w:szCs w:val="16"/>
                <w:color w:val="auto"/>
              </w:rPr>
            </w:pPr>
          </w:p>
        </w:tc>
        <w:tc>
          <w:tcPr>
            <w:tcW w:w="3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216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1993</w:t>
            </w:r>
          </w:p>
        </w:tc>
        <w:tc>
          <w:tcPr>
            <w:tcW w:w="16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4380" w:type="dxa"/>
            <w:vAlign w:val="bottom"/>
          </w:tcPr>
          <w:p>
            <w:pPr>
              <w:spacing w:after="0"/>
              <w:rPr>
                <w:sz w:val="16"/>
                <w:szCs w:val="16"/>
                <w:color w:val="auto"/>
              </w:rPr>
            </w:pPr>
          </w:p>
        </w:tc>
        <w:tc>
          <w:tcPr>
            <w:tcW w:w="216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16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$199,742</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6"/>
              </w:rPr>
              <w:t>$166,021</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$360,661</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$328,322</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16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19,111</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13,685</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16,670</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9,556</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16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6,152</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4,275</w:t>
            </w: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952</w:t>
            </w:r>
          </w:p>
        </w:tc>
      </w:tr>
      <w:tr>
        <w:trPr>
          <w:trHeight w:val="554"/>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NOTE 3:  IN APRIL 1994 THE COMPANY ACQUIRED SUBSTANTIALLY ALL OF THE ASSETS</w:t>
            </w: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COMPRISING THE BUSINESSES OF TELEVISION STATIONS KPRC- TV, AN NBC AFFILIATE IN</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HOUSTON, TEXAS, AND KSAT-TV, AN ABC AFFILIATE IN SAN ANTONIO, TEXAS, FOR $253</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MILLION IN CASH.  THE TRANSACTION WAS ACCOUNTED FOR AS A PURCHASE AND THE</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RESULTS OF OPERATIONS OF THE TELEVISION STATIONS WERE INCLUDED WITH THOSE OF</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THE COMPANY FOR THE PERIOD SUBSEQUENT TO THE DATE OF ACQUISITION.</w:t>
            </w: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7780" w:type="dxa"/>
            <w:vAlign w:val="bottom"/>
            <w:gridSpan w:val="3"/>
          </w:tcPr>
          <w:p>
            <w:pPr>
              <w:ind w:left="1060"/>
              <w:spacing w:after="0"/>
              <w:rPr>
                <w:sz w:val="20"/>
                <w:szCs w:val="20"/>
                <w:color w:val="auto"/>
              </w:rPr>
            </w:pPr>
            <w:r>
              <w:rPr>
                <w:rFonts w:ascii="Courier New" w:cs="Courier New" w:eastAsia="Courier New" w:hAnsi="Courier New"/>
                <w:sz w:val="16"/>
                <w:szCs w:val="16"/>
                <w:color w:val="auto"/>
              </w:rPr>
              <w:t>THE FOLLOWING STATEMENTS PRESENT THE COMPANY'S UNAUDITED PRO FORMA</w:t>
            </w: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CONDENSED CONSOLIDATED INCOME STATEMENTS FOR THE SIX MONTHS ENDED JULY 3, 1994,</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AND JULY 4, 1993, AS IF THE ACQUISITION OF THE TELEVISION STATIONS HAD OCCURRED</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AT THE BEGINNING OF EACH SIX MONTH PERIOD.  AMOUNTS REFLECT AN ALLOCATION OF</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THE PURCHASE PRICE TO THE ACQUIRED NET TANGIBLE ASSETS, WITH THE EXCESS BEING</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AMORTIZED OVER A PERIOD OF 15 YEARS.  THE REVENUES AND RESULTS OF OPERATIONS</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PRESENTED IN THE PRO FORMA INCOME STATEMENTS DO NOT NECESSARILY REFLECT THE</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7780" w:type="dxa"/>
            <w:vAlign w:val="bottom"/>
            <w:gridSpan w:val="3"/>
          </w:tcPr>
          <w:p>
            <w:pPr>
              <w:spacing w:after="0"/>
              <w:rPr>
                <w:sz w:val="20"/>
                <w:szCs w:val="20"/>
                <w:color w:val="auto"/>
              </w:rPr>
            </w:pPr>
            <w:r>
              <w:rPr>
                <w:rFonts w:ascii="Courier New" w:cs="Courier New" w:eastAsia="Courier New" w:hAnsi="Courier New"/>
                <w:sz w:val="16"/>
                <w:szCs w:val="16"/>
                <w:color w:val="auto"/>
              </w:rPr>
              <w:t>RESULTS OF OPERATIONS THAT WOULD ACTUALLY HAVE BEEN OBTAINED IF THE ACQUISITION</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HAD OCCURRED AT THE BEGINNING OF EACH SIX MONTH PERIOD.</w:t>
            </w: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39"/>
        </w:trPr>
        <w:tc>
          <w:tcPr>
            <w:tcW w:w="4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 INCOME STATEMENTS</w:t>
            </w:r>
          </w:p>
        </w:tc>
      </w:tr>
      <w:tr>
        <w:trPr>
          <w:trHeight w:val="185"/>
        </w:trPr>
        <w:tc>
          <w:tcPr>
            <w:tcW w:w="4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FOR THE SIX-MONTHS ENDED</w:t>
            </w:r>
          </w:p>
        </w:tc>
      </w:tr>
      <w:tr>
        <w:trPr>
          <w:trHeight w:val="185"/>
        </w:trPr>
        <w:tc>
          <w:tcPr>
            <w:tcW w:w="4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Courier New" w:cs="Courier New" w:eastAsia="Courier New" w:hAnsi="Courier New"/>
                <w:sz w:val="16"/>
                <w:szCs w:val="16"/>
                <w:color w:val="auto"/>
              </w:rPr>
              <w:t>JULY 3,</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JULY 4,</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4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$782,634</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$770,564</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BEFORE CUMULATIVE EFFECT OF CHANGE IN</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$69,605</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$67,087</w:t>
            </w: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AFTER CUMULATIVE EFFECT OF CHANGE IN</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$69,605</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$78,687</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BEFORE CUMULATIVE EFFECT OF CHANGE IN</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$5.95</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$5.70</w:t>
            </w: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AFTER CUMULATIVE EFFECT OF CHANGE IN</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$5.95</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$6.68</w:t>
            </w:r>
          </w:p>
        </w:tc>
      </w:tr>
    </w:tbl>
    <w:p>
      <w:pPr>
        <w:spacing w:after="0" w:line="200" w:lineRule="exact"/>
        <w:rPr>
          <w:sz w:val="20"/>
          <w:szCs w:val="20"/>
          <w:color w:val="auto"/>
        </w:rPr>
      </w:pPr>
    </w:p>
    <w:p>
      <w:pPr>
        <w:spacing w:after="0" w:line="360" w:lineRule="exact"/>
        <w:rPr>
          <w:sz w:val="20"/>
          <w:szCs w:val="20"/>
          <w:color w:val="auto"/>
        </w:rPr>
      </w:pPr>
    </w:p>
    <w:p>
      <w:pPr>
        <w:ind w:right="3080" w:firstLine="1057"/>
        <w:spacing w:after="0" w:line="244" w:lineRule="auto"/>
        <w:rPr>
          <w:sz w:val="20"/>
          <w:szCs w:val="20"/>
          <w:color w:val="auto"/>
        </w:rPr>
      </w:pPr>
      <w:r>
        <w:rPr>
          <w:rFonts w:ascii="Courier New" w:cs="Courier New" w:eastAsia="Courier New" w:hAnsi="Courier New"/>
          <w:sz w:val="16"/>
          <w:szCs w:val="16"/>
          <w:color w:val="auto"/>
        </w:rPr>
        <w:t>IN MAY 1994 THE COMPANY ACQUIRED AN 80 PERCENT INTEREST IN MAMMOTH MICRO PRODUCTIONS, A PRODUCER AND PUBLISHER OF MULTIMEDIA CD-ROM TITLES, FOR $23 MILLION IN CASH. THIS TRANSACTION WAS ACCOUNTED FOR AS A PURCHASE AND, ACCORDINGLY THE ASSETS AND LIABILITIES HAVE BEEN RECORDED AT THEIR ESTIMATED FAIR VALUES AT THE DATE OF ACQUISITION. THE EXCESS OF THE COST OVER THE FAIR VALUE OF NET ASSETS ACQUIRED IS BEING AMORTIZED OVER VARIOUS PERIODS UP TO 15 YEARS. RESULTS OF OPERATIONS OF THE ACQUIRED BUSINESS WERE INCLUDED WITH THOSE OF THE COMPANY FOR THE PERIOD SUBSEQUENT TO THE DATE OF ACQUISITION.</w:t>
      </w:r>
    </w:p>
    <w:p>
      <w:pPr>
        <w:spacing w:after="0" w:line="374" w:lineRule="exact"/>
        <w:rPr>
          <w:sz w:val="20"/>
          <w:szCs w:val="20"/>
          <w:color w:val="auto"/>
        </w:rPr>
      </w:pPr>
    </w:p>
    <w:p>
      <w:pPr>
        <w:ind w:right="3560"/>
        <w:spacing w:after="0" w:line="242" w:lineRule="auto"/>
        <w:rPr>
          <w:sz w:val="20"/>
          <w:szCs w:val="20"/>
          <w:color w:val="auto"/>
        </w:rPr>
      </w:pPr>
      <w:r>
        <w:rPr>
          <w:rFonts w:ascii="Courier New" w:cs="Courier New" w:eastAsia="Courier New" w:hAnsi="Courier New"/>
          <w:sz w:val="16"/>
          <w:szCs w:val="16"/>
          <w:color w:val="auto"/>
        </w:rPr>
        <w:t>NOTE 4: DURING THE SECOND QUARTER OF 1994 THE COMPANY REPURCHASED 224,600 SHARES OF ITS CLASS B COMMON STOCK AT A COST OF $52.3 MILLION.</w:t>
      </w:r>
    </w:p>
    <w:p>
      <w:pPr>
        <w:sectPr>
          <w:pgSz w:w="11900" w:h="16838" w:orient="portrait"/>
          <w:cols w:equalWidth="0" w:num="1">
            <w:col w:w="10660"/>
          </w:cols>
          <w:pgMar w:left="240" w:top="300" w:right="99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7.</w:t>
      </w:r>
    </w:p>
    <w:p>
      <w:pPr>
        <w:spacing w:after="0" w:line="375" w:lineRule="exact"/>
        <w:rPr>
          <w:sz w:val="20"/>
          <w:szCs w:val="20"/>
          <w:color w:val="auto"/>
        </w:rPr>
      </w:pPr>
    </w:p>
    <w:p>
      <w:pPr>
        <w:ind w:right="4459"/>
        <w:spacing w:after="0" w:line="242"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fluctuations in advertising volume. For that reason, the results of operations for each quarter are compared with those of the corresponding quarter in the preceding year.</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SECOND QUARTER COMPARISONS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Net income for the second quarter of 1994 was $41.3 million,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of 9 percent from net income of $38.0 million in the second 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last year. Earnings per share increased 10 percent to $3.54 per share,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$3.23 per share in the second quarter of 1993, with a smaller number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Revenues for the second quarter of 1994 rose 7 percent to $404.8 million, from $376.7 million in the same period last year. Advertising revenues rose 12 percent and other revenues increased 7 percent, while circulation and subscriber revenues fell 2 percent. The newspaper division, Newsweek and other businesses all posted higher revenue in the second quarter this year. The broadcast division had exceptionally strong revenue gains, primarily reflecting the results of the two television stations acquired on April 22.</w:t>
      </w:r>
    </w:p>
    <w:p>
      <w:pPr>
        <w:spacing w:after="0" w:line="189" w:lineRule="exact"/>
        <w:rPr>
          <w:sz w:val="20"/>
          <w:szCs w:val="20"/>
          <w:color w:val="auto"/>
        </w:rPr>
      </w:pPr>
    </w:p>
    <w:p>
      <w:pPr>
        <w:ind w:right="2639" w:firstLine="865"/>
        <w:spacing w:after="0" w:line="260" w:lineRule="auto"/>
        <w:rPr>
          <w:sz w:val="20"/>
          <w:szCs w:val="20"/>
          <w:color w:val="auto"/>
        </w:rPr>
      </w:pPr>
      <w:r>
        <w:rPr>
          <w:rFonts w:ascii="Courier New" w:cs="Courier New" w:eastAsia="Courier New" w:hAnsi="Courier New"/>
          <w:sz w:val="15"/>
          <w:szCs w:val="15"/>
          <w:color w:val="auto"/>
        </w:rPr>
        <w:t>Costs and expenses for the second quarter of 1994 increased 7 percent to $335.3 million, from $312.7 million in the second quarter of 1993. Operating expenses increased 12 percent, while selling, general and administrative expenses decreased 3 percent compared with the second quarter last year. Approximately 50 percent of the total increase relates to additional expenses associated with the newly acquired businesses, while the remainder</w:t>
      </w:r>
    </w:p>
    <w:p>
      <w:pPr>
        <w:spacing w:after="0" w:line="4"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reflects normal increases in the costs of operations. In the second quarter of 1994 operating income rose to $69.6 million, a 9 percent increase over $64.0 million in 1993.</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NEWSPAPER DIVISION. At the newspaper division revenues increased 5 percent in the second quarter of 1994. Advertising revenues for the division rose 6.5 percent, with a 1.1 percent increase in advertising linage at The Washington Post. Classified volume grew 6 percent in the quarter with recruitment advertising remaining strong. Retail linage was down 6 percent, while general rose almost 9 percent compared with the same period last year. Preprint volume increased 22 percent over the second quarter of 1993; lower rates initiated at the beginning of the fourth quarter of 1993, have attracted advertisers to preprints from other forms of outside advertising. Circulation</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increased almost 1 percent compared with the first quarter of 1993.</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at the end of April, increased 39 percent over the second quarter of 1993. Local advertising revenues increased 49 percent and national advertising revenues rose 36 percent in the second quarter of 1994. Approximately 80 percent of the increase is attributable to the newly acquired stations.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MAGAZINE DIVISION. Newsweek revenues in the second quarter of 1994 increased 1 percent. Advertising revenues rose almost 1 percent, primarily due to a slight increase in volume at the domestic edition and higher rates at the international editions. Circulation revenues were up 2 percent at Newsweek, with increased newsstand sales the major contributor to the improvement. In the second quarter Newsweek published the same number of weekly issues (13) as in 1993, but 1994 includes 1 additional newsstand-only special issue.</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CABLE DIVISION. At the cable division second quarter 1994 revenues were 4 percent lower than 1993, primarily as a result of an 8 percent decline in subscriber revenues. This decrease in subscriber revenues is a result of the decrease in subscriber rates attributable to the rate freeze and reductions enacted in the 1992 Cable Act and the results of operations in the United Kingdom, which were subsequently sold during 1993. Excluding foreign operations, cable division revenues decreased 1 percent in the second quarter of 1994.</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OTHER BUSINESSES. In the second quarter of 1994, revenues from other businesses, principally Stanley H. Kaplan Educational Center, Pro Am Sports System (PASS), and Legi-Slate, increased 8 percent. Revenues at Kaplan rose 5 percent over the second quarter of 1993, and enrollments increased 3 percent.</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second quarter of 1994 was income of $2.2 million, compared with a loss of $.6 million in the second quarter of 1993. Better results at the company's newspaper affiliates were the major factor contributing to the improvement.</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NON-OPERATING ITEMS. Interest income, net of interest expense, was $.6 million, compared with $1.5 million in the same period last year. The decrease was attributable to lower invested cash balances.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 COMPARISONS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Earnings for the first six months of 1994 were $70.1 million, an increase of 5 percent over net income of $66.5 million in the first half of 1993. Earnings per share increased 6 percent to $5.99 per</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share, from $5.65 per share in the first six months last year, with a smaller number of shares outstanding. Net income in 1993 does not include a one-time credit of $11.6 million ($.98 per share) resulting from the adoption of Statement of Financial Accounting Standards No. 109, "Accounting for Income Taxes." Including this credit, net income in the first half of 1993 was $78.1 million ($6.63 per share).</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Total revenues for the first six months of 1994 increased 3 percent to $763.3 million, from $738.4 million in the comparable period last year. Advertising revenues, which include the results of the two new television stations in 1994, increased 6 percent, while circulation and subscriber revenues fell 3 percent. Other revenues increased 9 percent over the first half of 1993.</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Total costs and expenses increased 3 percent during the first six months of 1994 to $642.5 million, from $624.6 million in the corresponding period of 1993. Operating expenses increased 7 percent, while selling, general and administrative expenses decreased 6 percent compared with the first half of 1993. Normal increases in fixed costs, such as payroll and fringe benefits, and circulation related expenses, were partially offset by lower newsprint and magazine paper expense. Over 60 percent of the total increase relates to additional expenses associated with the newly acquired businesses. In the first half of 1994 operating income rose to $120.8 million, a 6 percent increase over $113.8 million in the same period last year.</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NEWSPAPER DIVISION. Newspaper division revenues were up 2 percent in the first half of 1994, over the comparable period of 1993. Although advertising volume at The Washington Post fell 1.2 percent in the first six months of 1994, advertising revenues for the division rose 3 percent in the period due to strong performances in general and classified advertising volume at The Post. Circulation revenues for the division increased almost 1 percent when compared with the first half of 1993. Daily circulation at The Post was essentially even with the prior year, while Sunday circulation was up by less than 1 percent.</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at the end of April, increased 28 percent over the first six months of 1993. In the first half of 1994 local advertising revenues rose 33 percent and national advertising revenues increased 26 percent. Approximately 65 percent of the increase is attributable to the newly acquired stations.</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MAGAZINE DIVISION. At Newsweek revenues decreased 3 percent in the first half of 1994. A major contributor to the decline was a 6 percent decrease in advertising revenues, which resulted from lower rates at the domestic edition and lower volume, despite the publication of one additional newsstand-only issue in 1994. In the</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first six months of 1994, circulation revenues decreased 1 percent, primarily due to lower newsstand volume and less favorable currency rates at the international editions.</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CABLE DIVISION. Cable division revenues were down 3 percent in the first half of 1994. Subscriber revenues fell 8 percent in the first six months of 1994, principally due to a decrease in subscriber rates attributable to the rate freeze and reductions enacted in the Cable Act, which was partially offset by a 2 percent increase in basic subscribers. In 1993 results also included operations in the United Kingdom, which were subsequently sold. Excluding foreign operations, cable division revenues were even with the first six months of 1993.</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OTHER BUSINESSES. At the company's other businesses, revenues rose 9 percent in the first half of 1994. Improved results at Stanley H. Kaplan Educational Center was the major contributor to the increase over 1993.</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during the first half of 1994 was a loss of $3.2 million, compared with a loss of $2.4 million in the first six months of 1993. Lower results from the company's newsprint affiliates, which were partially offset by improved earnings at the newspaper affiliates, were the major contributors to the decrease.</w:t>
      </w:r>
    </w:p>
    <w:p>
      <w:pPr>
        <w:spacing w:after="0" w:line="188"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NON-OPERATING ITEMS. Interest income, net of interest expense, was even with the first six months of 1993, primarily due to lower invested cash balances and higher interest rates. In 1993 net interest income included the capitalization of interest, higher invested cash balances and lower interest rates.</w:t>
      </w:r>
    </w:p>
    <w:p>
      <w:pPr>
        <w:spacing w:after="0" w:line="173"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Other income in the first half of 1994 was $2.6 million, compared with $.6 million in the comparable period of 1993. In 1994 other income included a gain of $2.5 million resulting from a change in the company's ownership interest in one of its affiliates.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December 1993 the Federal Communications Commission</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(FCC) awarded a pioneer's preference for personal communications services (PCS) to American PCS, L.P. (known as American Personal Communications or APC), a limited partnership in which the company has a 70 percent interest. Under the terms of the initial award, the license was to be awarded at no cost to the pioneer. Pursuant to the award, in January 1994, APC filed an application for a PCS authorization with the FCC. APC has begun some operations, and immediately following receipt of authorization from the FCC, the company expects to substantially increase the level of capital investment in the business.</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On August 9, 1994, the FCC reversed its position with respect to awarding licenses to pioneers at no cost. Under the terms of the new</w:t>
      </w:r>
    </w:p>
    <w:p>
      <w:pPr>
        <w:sectPr>
          <w:pgSz w:w="11900" w:h="16838" w:orient="portrait"/>
          <w:cols w:equalWidth="0" w:num="1">
            <w:col w:w="10219"/>
          </w:cols>
          <w:pgMar w:left="24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decision pioneers will now have to pay the lesser of either 90 percent of the winning bid for a similar license in the same market or 90 percent of the weighted average price of the top 10 winning bids nationwide. Such cost for APC will not be determinable until the conclusion of the auction process, but it will be in addition to the company's initial estimate of construction costs, which could approximate $200 million.</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In February 1994, the FCC issued new rules related to pricing and the reregulation of the cable industry, which took effect on July 14, 1994, and which will reduce cable revenues. The company has evaluated the rules and does not expect them to have a material effect on consolidated financial results.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Post-Newsweek Stations now has six television stations, two each affiliated with ABC, CBS and NBC. Several of these stations have negotiated long-term affiliation agreements during the past 15 months. As a result of these agreements, Post-Newsweek Stations will receive significantly improved network compensation over the life of the contracts, which together with the acquisition of the Texas stations, is projected to increase materially broadcast division operating income. The full effect of the increases will be felt beginning in the third quarter of 1994 and in subsequent periods.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July 1994, Katharine Graham, chairman of the executive committee, announced her intention to resign as a trustee of certain trusts holding Class A shares and to relinquish her right to vote certain other Class A shares held in trust. These changes are subject to the approval of the FCC because of the company's ownership of television properties. If effected these changes will reduce the percentage of Class A shares voted by Mrs. Graham, from 52.4 percent to 29.1 percent and the combined percentage of Class A shares voted by Mrs. Graham and Donald E. Graham, chairman and chief executive officer, from 66.6 percent to 56.8 percent.</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During the first half of 1994 the company repurchased 224,600 shares of its Class B common stock at a cost of approximately $52.3 million.</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1993.</w:t>
      </w:r>
    </w:p>
    <w:p>
      <w:pPr>
        <w:sectPr>
          <w:pgSz w:w="11900" w:h="16838" w:orient="portrait"/>
          <w:cols w:equalWidth="0" w:num="1">
            <w:col w:w="10219"/>
          </w:cols>
          <w:pgMar w:left="240" w:top="30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At the Company's May 12, 1994, Annual Meeting of Stockholders, the stockholders elected each of the nominees to its Board of Directors named in the Company's proxy statement dated March 31, 1994. The voting results are set forth below:</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Election of the nominees to the Board of Directors: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1260" w:type="dxa"/>
            <w:vAlign w:val="bottom"/>
          </w:tcPr>
          <w:p>
            <w:pPr>
              <w:spacing w:after="0"/>
              <w:rPr>
                <w:sz w:val="15"/>
                <w:szCs w:val="15"/>
                <w:color w:val="auto"/>
              </w:rPr>
            </w:pPr>
          </w:p>
        </w:tc>
        <w:tc>
          <w:tcPr>
            <w:tcW w:w="2640" w:type="dxa"/>
            <w:vAlign w:val="bottom"/>
          </w:tcPr>
          <w:p>
            <w:pPr>
              <w:ind w:left="860"/>
              <w:spacing w:after="0"/>
              <w:rPr>
                <w:sz w:val="20"/>
                <w:szCs w:val="20"/>
                <w:color w:val="auto"/>
              </w:rPr>
            </w:pPr>
            <w:r>
              <w:rPr>
                <w:rFonts w:ascii="Courier New" w:cs="Courier New" w:eastAsia="Courier New" w:hAnsi="Courier New"/>
                <w:sz w:val="16"/>
                <w:szCs w:val="16"/>
                <w:color w:val="auto"/>
              </w:rPr>
              <w:t>CLASS A DIRECTORS</w:t>
            </w:r>
          </w:p>
        </w:tc>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BROKER</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NOMINEE</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FOR</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WITHHELD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NON-VOTES</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260" w:type="dxa"/>
            <w:vAlign w:val="bottom"/>
          </w:tcPr>
          <w:p>
            <w:pPr>
              <w:spacing w:after="0"/>
              <w:rPr>
                <w:sz w:val="20"/>
                <w:szCs w:val="20"/>
                <w:color w:val="auto"/>
              </w:rPr>
            </w:pPr>
            <w:r>
              <w:rPr>
                <w:rFonts w:ascii="Courier New" w:cs="Courier New" w:eastAsia="Courier New" w:hAnsi="Courier New"/>
                <w:sz w:val="16"/>
                <w:szCs w:val="16"/>
                <w:color w:val="auto"/>
              </w:rPr>
              <w:t>Cohen</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Gillespie</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D. Graham</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K. Graham</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Ruane</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Simmons</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Spoon</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Wilson</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1,843,250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- 0 -</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554"/>
        </w:trPr>
        <w:tc>
          <w:tcPr>
            <w:tcW w:w="1260" w:type="dxa"/>
            <w:vAlign w:val="bottom"/>
          </w:tcPr>
          <w:p>
            <w:pPr>
              <w:spacing w:after="0"/>
              <w:rPr>
                <w:sz w:val="24"/>
                <w:szCs w:val="24"/>
                <w:color w:val="auto"/>
              </w:rPr>
            </w:pPr>
          </w:p>
        </w:tc>
        <w:tc>
          <w:tcPr>
            <w:tcW w:w="2640" w:type="dxa"/>
            <w:vAlign w:val="bottom"/>
          </w:tcPr>
          <w:p>
            <w:pPr>
              <w:ind w:left="860"/>
              <w:spacing w:after="0"/>
              <w:rPr>
                <w:sz w:val="20"/>
                <w:szCs w:val="20"/>
                <w:color w:val="auto"/>
              </w:rPr>
            </w:pPr>
            <w:r>
              <w:rPr>
                <w:rFonts w:ascii="Courier New" w:cs="Courier New" w:eastAsia="Courier New" w:hAnsi="Courier New"/>
                <w:sz w:val="16"/>
                <w:szCs w:val="16"/>
                <w:color w:val="auto"/>
              </w:rPr>
              <w:t>CLASS B DIRECTORS</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39"/>
        </w:trPr>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BROKER</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NOMINEE</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FOR</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WITHHELD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NON-VOTES</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260" w:type="dxa"/>
            <w:vAlign w:val="bottom"/>
          </w:tcPr>
          <w:p>
            <w:pPr>
              <w:spacing w:after="0"/>
              <w:rPr>
                <w:sz w:val="20"/>
                <w:szCs w:val="20"/>
                <w:color w:val="auto"/>
              </w:rPr>
            </w:pPr>
            <w:r>
              <w:rPr>
                <w:rFonts w:ascii="Courier New" w:cs="Courier New" w:eastAsia="Courier New" w:hAnsi="Courier New"/>
                <w:sz w:val="16"/>
                <w:szCs w:val="16"/>
                <w:color w:val="auto"/>
              </w:rPr>
              <w:t>Burke</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8,018,824</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13,532</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Gomory</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8,019,790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12,566</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Keough</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8,019,720</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12,636</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r>
        <w:trPr>
          <w:trHeight w:val="185"/>
        </w:trPr>
        <w:tc>
          <w:tcPr>
            <w:tcW w:w="1260" w:type="dxa"/>
            <w:vAlign w:val="bottom"/>
          </w:tcPr>
          <w:p>
            <w:pPr>
              <w:spacing w:after="0"/>
              <w:rPr>
                <w:sz w:val="20"/>
                <w:szCs w:val="20"/>
                <w:color w:val="auto"/>
              </w:rPr>
            </w:pPr>
            <w:r>
              <w:rPr>
                <w:rFonts w:ascii="Courier New" w:cs="Courier New" w:eastAsia="Courier New" w:hAnsi="Courier New"/>
                <w:sz w:val="16"/>
                <w:szCs w:val="16"/>
                <w:color w:val="auto"/>
              </w:rPr>
              <w:t>Preiskel</w:t>
            </w:r>
          </w:p>
        </w:tc>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8,017,838</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14,518</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- 0 -</w:t>
            </w:r>
          </w:p>
        </w:tc>
      </w:tr>
    </w:tbl>
    <w:p>
      <w:pPr>
        <w:sectPr>
          <w:pgSz w:w="11900" w:h="16838" w:orient="portrait"/>
          <w:cols w:equalWidth="0" w:num="1">
            <w:col w:w="10219"/>
          </w:cols>
          <w:pgMar w:left="240" w:top="300" w:right="1440" w:bottom="1440" w:gutter="0" w:footer="0" w:header="0"/>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373" w:lineRule="exact"/>
        <w:rPr>
          <w:sz w:val="20"/>
          <w:szCs w:val="20"/>
          <w:color w:val="auto"/>
        </w:rPr>
      </w:pPr>
    </w:p>
    <w:p>
      <w:pPr>
        <w:ind w:left="1641" w:hanging="777"/>
        <w:spacing w:after="0"/>
        <w:tabs>
          <w:tab w:leader="none" w:pos="16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 is filed as an exhibit to this report: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tabs>
          <w:tab w:leader="none" w:pos="7661"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FILING</w:t>
      </w:r>
    </w:p>
    <w:p>
      <w:pPr>
        <w:spacing w:after="0" w:line="4" w:lineRule="exact"/>
        <w:rPr>
          <w:sz w:val="20"/>
          <w:szCs w:val="20"/>
          <w:color w:val="auto"/>
        </w:rPr>
      </w:pPr>
    </w:p>
    <w:p>
      <w:pPr>
        <w:ind w:left="1"/>
        <w:spacing w:after="0"/>
        <w:tabs>
          <w:tab w:leader="none" w:pos="3241" w:val="left"/>
          <w:tab w:leader="none" w:pos="7561"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PAGE NUMBER</w:t>
      </w:r>
    </w:p>
    <w:p>
      <w:pPr>
        <w:spacing w:after="0" w:line="188" w:lineRule="exact"/>
        <w:rPr>
          <w:sz w:val="20"/>
          <w:szCs w:val="20"/>
          <w:color w:val="auto"/>
        </w:rPr>
      </w:pPr>
    </w:p>
    <w:p>
      <w:pPr>
        <w:ind w:left="281"/>
        <w:spacing w:after="0"/>
        <w:tabs>
          <w:tab w:leader="none" w:pos="1621"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Calculation of average number of</w:t>
      </w:r>
    </w:p>
    <w:p>
      <w:pPr>
        <w:spacing w:after="0" w:line="4" w:lineRule="exact"/>
        <w:rPr>
          <w:sz w:val="20"/>
          <w:szCs w:val="20"/>
          <w:color w:val="auto"/>
        </w:rPr>
      </w:pPr>
    </w:p>
    <w:p>
      <w:pPr>
        <w:jc w:val="right"/>
        <w:ind w:right="2159"/>
        <w:spacing w:after="0"/>
        <w:tabs>
          <w:tab w:leader="dot" w:pos="740" w:val="left"/>
        </w:tabs>
        <w:rPr>
          <w:sz w:val="20"/>
          <w:szCs w:val="20"/>
          <w:color w:val="auto"/>
        </w:rPr>
      </w:pPr>
      <w:r>
        <w:rPr>
          <w:rFonts w:ascii="Courier New" w:cs="Courier New" w:eastAsia="Courier New" w:hAnsi="Courier New"/>
          <w:sz w:val="16"/>
          <w:szCs w:val="16"/>
          <w:color w:val="auto"/>
        </w:rPr>
        <w:t>shares outstanding</w:t>
      </w:r>
      <w:r>
        <w:rPr>
          <w:sz w:val="20"/>
          <w:szCs w:val="20"/>
          <w:color w:val="auto"/>
        </w:rPr>
        <w:tab/>
      </w:r>
      <w:r>
        <w:rPr>
          <w:rFonts w:ascii="Courier New" w:cs="Courier New" w:eastAsia="Courier New" w:hAnsi="Courier New"/>
          <w:sz w:val="15"/>
          <w:szCs w:val="15"/>
          <w:color w:val="auto"/>
        </w:rPr>
        <w:t>15</w:t>
      </w:r>
    </w:p>
    <w:p>
      <w:pPr>
        <w:spacing w:after="0" w:line="375" w:lineRule="exact"/>
        <w:rPr>
          <w:sz w:val="20"/>
          <w:szCs w:val="20"/>
          <w:color w:val="auto"/>
        </w:rPr>
      </w:pPr>
    </w:p>
    <w:p>
      <w:pPr>
        <w:ind w:left="481" w:right="2539" w:hanging="481"/>
        <w:spacing w:after="0" w:line="244"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covered by this report the Company filed a Current Report on Form 8-K dated April 22, 1994, which (i) described under Item 2 ("Acquisition or Disposition of Assets.") the Company's purchase of substantially all of the assets comprising the businesses of television stations KPRC-TV, an NBC affiliate in Houston, Texas, and KSAT-TV, an ABC affiliate in San Antonio, Texas, and (ii) included under Item 7 ("Financial Statements and Exhibits.") the financial information required by the instructions to such Item.</w:t>
      </w:r>
    </w:p>
    <w:p>
      <w:pPr>
        <w:sectPr>
          <w:pgSz w:w="11900" w:h="16838" w:orient="portrait"/>
          <w:cols w:equalWidth="0" w:num="1">
            <w:col w:w="10221"/>
          </w:cols>
          <w:pgMar w:left="239"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6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WASHINGTON POST COMPANY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Courier New" w:cs="Courier New" w:eastAsia="Courier New" w:hAnsi="Courier New"/>
          <w:sz w:val="15"/>
          <w:szCs w:val="15"/>
          <w:color w:val="auto"/>
        </w:rPr>
        <w:t>August 16,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Donald E. Graham, Chairman &amp;</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80" w:space="200"/>
            <w:col w:w="1440" w:space="660"/>
            <w:col w:w="7439"/>
          </w:cols>
          <w:pgMar w:left="240" w:top="300"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spacing w:after="0" w:line="274" w:lineRule="auto"/>
        <w:rPr>
          <w:sz w:val="20"/>
          <w:szCs w:val="20"/>
          <w:color w:val="auto"/>
        </w:rPr>
      </w:pPr>
      <w:r>
        <w:rPr>
          <w:rFonts w:ascii="Courier New" w:cs="Courier New" w:eastAsia="Courier New" w:hAnsi="Courier New"/>
          <w:sz w:val="15"/>
          <w:szCs w:val="15"/>
          <w:color w:val="auto"/>
        </w:rPr>
        <w:t>August 16,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80" w:space="200"/>
            <w:col w:w="1440" w:space="480"/>
            <w:col w:w="7619"/>
          </w:cols>
          <w:pgMar w:left="240" w:top="300"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15.</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11</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CALCULATION OF AVERAGE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NUMBER OF SHARES OUTSTANDING</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Thirteen Weeks Ended</w:t>
            </w:r>
          </w:p>
        </w:tc>
        <w:tc>
          <w:tcPr>
            <w:tcW w:w="2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Twenty-Six Weeks Ended</w:t>
            </w:r>
          </w:p>
        </w:tc>
      </w:tr>
      <w:tr>
        <w:trPr>
          <w:trHeight w:val="185"/>
        </w:trPr>
        <w:tc>
          <w:tcPr>
            <w:tcW w:w="2440" w:type="dxa"/>
            <w:vAlign w:val="bottom"/>
          </w:tcPr>
          <w:p>
            <w:pPr>
              <w:spacing w:after="0"/>
              <w:rPr>
                <w:sz w:val="16"/>
                <w:szCs w:val="16"/>
                <w:color w:val="auto"/>
              </w:rPr>
            </w:pP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44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July 3,</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July 4,</w:t>
            </w:r>
          </w:p>
        </w:tc>
        <w:tc>
          <w:tcPr>
            <w:tcW w:w="13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July 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July 4,</w:t>
            </w:r>
          </w:p>
        </w:tc>
      </w:tr>
      <w:tr>
        <w:trPr>
          <w:trHeight w:val="185"/>
        </w:trPr>
        <w:tc>
          <w:tcPr>
            <w:tcW w:w="2440" w:type="dxa"/>
            <w:vAlign w:val="bottom"/>
          </w:tcPr>
          <w:p>
            <w:pPr>
              <w:spacing w:after="0"/>
              <w:rPr>
                <w:sz w:val="16"/>
                <w:szCs w:val="16"/>
                <w:color w:val="auto"/>
              </w:rPr>
            </w:pPr>
          </w:p>
        </w:tc>
        <w:tc>
          <w:tcPr>
            <w:tcW w:w="9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1994</w:t>
            </w:r>
          </w:p>
        </w:tc>
        <w:tc>
          <w:tcPr>
            <w:tcW w:w="12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1993</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244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stock outstanding</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11,713</w:t>
            </w:r>
          </w:p>
        </w:tc>
        <w:tc>
          <w:tcPr>
            <w:tcW w:w="12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11,750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11,713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11,798</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equivalent shares com-</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puted under the "treasury</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w:t>
            </w:r>
          </w:p>
        </w:tc>
      </w:tr>
      <w:tr>
        <w:trPr>
          <w:trHeight w:val="185"/>
        </w:trPr>
        <w:tc>
          <w:tcPr>
            <w:tcW w:w="244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Average number of</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during the period</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11,667</w:t>
            </w:r>
          </w:p>
        </w:tc>
        <w:tc>
          <w:tcPr>
            <w:tcW w:w="12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11,755</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11,693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11,775</w:t>
            </w:r>
          </w:p>
        </w:tc>
      </w:tr>
      <w:tr>
        <w:trPr>
          <w:trHeight w:val="185"/>
        </w:trPr>
        <w:tc>
          <w:tcPr>
            <w:tcW w:w="244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20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2019-12-13T08:17:13Z</dcterms:created>
  <dcterms:modified xsi:type="dcterms:W3CDTF">2019-12-13T08:17:13Z</dcterms:modified>
</cp:coreProperties>
</file>