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95,115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289,000 shares (Shared)</w:t>
      </w:r>
    </w:p>
    <w:p>
      <w:pPr>
        <w:ind w:left="4860"/>
        <w:spacing w:after="0" w:line="238" w:lineRule="auto"/>
        <w:rPr>
          <w:sz w:val="20"/>
          <w:szCs w:val="20"/>
          <w:color w:val="auto"/>
        </w:rPr>
      </w:pPr>
      <w:r>
        <w:rPr>
          <w:rFonts w:ascii="Courier New" w:cs="Courier New" w:eastAsia="Courier New" w:hAnsi="Courier New"/>
          <w:sz w:val="18"/>
          <w:szCs w:val="18"/>
          <w:color w:val="auto"/>
        </w:rPr>
        <w:t>4,186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740" w:hanging="1045"/>
        <w:spacing w:after="0"/>
        <w:tabs>
          <w:tab w:leader="none" w:pos="4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99,301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289,000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388,301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12/31/10)</w:t>
      </w:r>
    </w:p>
    <w:p>
      <w:pPr>
        <w:ind w:left="1060"/>
        <w:spacing w:after="0" w:line="238" w:lineRule="auto"/>
        <w:rPr>
          <w:sz w:val="20"/>
          <w:szCs w:val="20"/>
          <w:color w:val="auto"/>
        </w:rPr>
      </w:pPr>
      <w:r>
        <w:rPr>
          <w:rFonts w:ascii="Courier New" w:cs="Courier New" w:eastAsia="Courier New" w:hAnsi="Courier New"/>
          <w:sz w:val="18"/>
          <w:szCs w:val="18"/>
          <w:color w:val="auto"/>
        </w:rPr>
        <w:t>388,301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5.4 %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7,205,624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95,115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- 289,000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Longleaf Partners Small Cap Fund - 289,000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- 4,186.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99,301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- 289,000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- 289,000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136" w:right="1440" w:bottom="0" w:gutter="0" w:footer="0" w:header="0"/>
          <w:type w:val="continuous"/>
        </w:sectPr>
      </w:pPr>
    </w:p>
    <w:bookmarkStart w:id="4" w:name="page5"/>
    <w:bookmarkEnd w:id="4"/>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7, 2011.</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WPO13G3.doc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#3</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WPO13G3.doc</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2019-12-10T04:15:27Z</dcterms:created>
  <dcterms:modified xsi:type="dcterms:W3CDTF">2019-12-10T04:15:27Z</dcterms:modified>
</cp:coreProperties>
</file>