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132715</wp:posOffset>
            </wp:positionV>
            <wp:extent cx="516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1-6714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WASHINGTON POST COMPANY</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3040" w:type="dxa"/>
        <w:tblCellMar>
          <w:top w:w="0" w:type="dxa"/>
          <w:left w:w="0" w:type="dxa"/>
          <w:bottom w:w="0" w:type="dxa"/>
          <w:right w:w="0" w:type="dxa"/>
        </w:tblCellMar>
      </w:tblPr>
      <w:tr>
        <w:trPr>
          <w:trHeight w:val="221"/>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6"/>
              </w:rPr>
              <w:t>Delaware</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920" w:type="dxa"/>
            <w:vAlign w:val="bottom"/>
          </w:tcPr>
          <w:p>
            <w:pPr>
              <w:jc w:val="center"/>
              <w:ind w:right="844"/>
              <w:spacing w:after="0" w:line="149" w:lineRule="exact"/>
              <w:rPr>
                <w:sz w:val="20"/>
                <w:szCs w:val="20"/>
                <w:color w:val="auto"/>
              </w:rPr>
            </w:pPr>
            <w:r>
              <w:rPr>
                <w:rFonts w:ascii="Arial" w:cs="Arial" w:eastAsia="Arial" w:hAnsi="Arial"/>
                <w:sz w:val="14"/>
                <w:szCs w:val="14"/>
                <w:color w:val="auto"/>
                <w:w w:val="95"/>
              </w:rPr>
              <w:t>(State or other jurisdiction of</w:t>
            </w:r>
          </w:p>
        </w:tc>
        <w:tc>
          <w:tcPr>
            <w:tcW w:w="1980" w:type="dxa"/>
            <w:vAlign w:val="bottom"/>
          </w:tcPr>
          <w:p>
            <w:pPr>
              <w:jc w:val="center"/>
              <w:ind w:left="864"/>
              <w:spacing w:after="0" w:line="149" w:lineRule="exact"/>
              <w:rPr>
                <w:sz w:val="20"/>
                <w:szCs w:val="20"/>
                <w:color w:val="auto"/>
              </w:rPr>
            </w:pPr>
            <w:r>
              <w:rPr>
                <w:rFonts w:ascii="Arial" w:cs="Arial" w:eastAsia="Arial" w:hAnsi="Arial"/>
                <w:sz w:val="14"/>
                <w:szCs w:val="14"/>
                <w:color w:val="auto"/>
                <w:w w:val="97"/>
              </w:rPr>
              <w:t>(I.R.S. Employer</w:t>
            </w:r>
          </w:p>
        </w:tc>
      </w:tr>
      <w:tr>
        <w:trPr>
          <w:trHeight w:val="162"/>
        </w:trPr>
        <w:tc>
          <w:tcPr>
            <w:tcW w:w="2920" w:type="dxa"/>
            <w:vAlign w:val="bottom"/>
          </w:tcPr>
          <w:p>
            <w:pPr>
              <w:jc w:val="center"/>
              <w:ind w:right="844"/>
              <w:spacing w:after="0"/>
              <w:rPr>
                <w:sz w:val="20"/>
                <w:szCs w:val="20"/>
                <w:color w:val="auto"/>
              </w:rPr>
            </w:pPr>
            <w:r>
              <w:rPr>
                <w:rFonts w:ascii="Arial" w:cs="Arial" w:eastAsia="Arial" w:hAnsi="Arial"/>
                <w:sz w:val="14"/>
                <w:szCs w:val="14"/>
                <w:color w:val="auto"/>
                <w:w w:val="96"/>
              </w:rPr>
              <w:t>incorporation or organization)</w:t>
            </w:r>
          </w:p>
        </w:tc>
        <w:tc>
          <w:tcPr>
            <w:tcW w:w="1980" w:type="dxa"/>
            <w:vAlign w:val="bottom"/>
          </w:tcPr>
          <w:p>
            <w:pPr>
              <w:jc w:val="center"/>
              <w:ind w:left="864"/>
              <w:spacing w:after="0"/>
              <w:rPr>
                <w:sz w:val="20"/>
                <w:szCs w:val="20"/>
                <w:color w:val="auto"/>
              </w:rPr>
            </w:pPr>
            <w:r>
              <w:rPr>
                <w:rFonts w:ascii="Arial" w:cs="Arial" w:eastAsia="Arial" w:hAnsi="Arial"/>
                <w:sz w:val="14"/>
                <w:szCs w:val="14"/>
                <w:color w:val="auto"/>
                <w:w w:val="95"/>
              </w:rPr>
              <w:t>Identification No.)</w:t>
            </w:r>
          </w:p>
        </w:tc>
      </w:tr>
      <w:tr>
        <w:trPr>
          <w:trHeight w:val="373"/>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7"/>
              </w:rPr>
              <w:t>1150 15th Street, N.W.</w:t>
            </w:r>
          </w:p>
        </w:tc>
        <w:tc>
          <w:tcPr>
            <w:tcW w:w="1980" w:type="dxa"/>
            <w:vAlign w:val="bottom"/>
          </w:tcPr>
          <w:p>
            <w:pPr>
              <w:jc w:val="right"/>
              <w:ind w:right="204"/>
              <w:spacing w:after="0"/>
              <w:rPr>
                <w:sz w:val="20"/>
                <w:szCs w:val="20"/>
                <w:color w:val="auto"/>
              </w:rPr>
            </w:pPr>
            <w:r>
              <w:rPr>
                <w:rFonts w:ascii="Arial" w:cs="Arial" w:eastAsia="Arial" w:hAnsi="Arial"/>
                <w:sz w:val="18"/>
                <w:szCs w:val="18"/>
                <w:b w:val="1"/>
                <w:bCs w:val="1"/>
                <w:color w:val="auto"/>
              </w:rPr>
              <w:t>20071</w:t>
            </w:r>
          </w:p>
        </w:tc>
      </w:tr>
      <w:tr>
        <w:trPr>
          <w:trHeight w:val="221"/>
        </w:trPr>
        <w:tc>
          <w:tcPr>
            <w:tcW w:w="2920" w:type="dxa"/>
            <w:vAlign w:val="bottom"/>
          </w:tcPr>
          <w:p>
            <w:pPr>
              <w:jc w:val="center"/>
              <w:ind w:right="844"/>
              <w:spacing w:after="0"/>
              <w:rPr>
                <w:sz w:val="20"/>
                <w:szCs w:val="20"/>
                <w:color w:val="auto"/>
              </w:rPr>
            </w:pPr>
            <w:r>
              <w:rPr>
                <w:rFonts w:ascii="Arial" w:cs="Arial" w:eastAsia="Arial" w:hAnsi="Arial"/>
                <w:sz w:val="18"/>
                <w:szCs w:val="18"/>
                <w:b w:val="1"/>
                <w:bCs w:val="1"/>
                <w:color w:val="auto"/>
                <w:w w:val="97"/>
              </w:rPr>
              <w:t>Washington, D.C. 20071</w:t>
            </w:r>
          </w:p>
        </w:tc>
        <w:tc>
          <w:tcPr>
            <w:tcW w:w="1980" w:type="dxa"/>
            <w:vAlign w:val="bottom"/>
          </w:tcPr>
          <w:p>
            <w:pPr>
              <w:jc w:val="center"/>
              <w:ind w:left="864"/>
              <w:spacing w:after="0"/>
              <w:rPr>
                <w:sz w:val="20"/>
                <w:szCs w:val="20"/>
                <w:color w:val="auto"/>
              </w:rPr>
            </w:pPr>
            <w:r>
              <w:rPr>
                <w:rFonts w:ascii="Arial" w:cs="Arial" w:eastAsia="Arial" w:hAnsi="Arial"/>
                <w:sz w:val="14"/>
                <w:szCs w:val="14"/>
                <w:color w:val="auto"/>
                <w:w w:val="96"/>
              </w:rPr>
              <w:t>(Zip Code)</w:t>
            </w:r>
          </w:p>
        </w:tc>
      </w:tr>
      <w:tr>
        <w:trPr>
          <w:trHeight w:val="149"/>
        </w:trPr>
        <w:tc>
          <w:tcPr>
            <w:tcW w:w="2920" w:type="dxa"/>
            <w:vAlign w:val="bottom"/>
          </w:tcPr>
          <w:p>
            <w:pPr>
              <w:jc w:val="center"/>
              <w:ind w:right="844"/>
              <w:spacing w:after="0" w:line="149" w:lineRule="exact"/>
              <w:rPr>
                <w:sz w:val="20"/>
                <w:szCs w:val="20"/>
                <w:color w:val="auto"/>
              </w:rPr>
            </w:pPr>
            <w:r>
              <w:rPr>
                <w:rFonts w:ascii="Arial" w:cs="Arial" w:eastAsia="Arial" w:hAnsi="Arial"/>
                <w:sz w:val="14"/>
                <w:szCs w:val="14"/>
                <w:color w:val="auto"/>
                <w:w w:val="97"/>
              </w:rPr>
              <w:t>(Address of principal</w:t>
            </w:r>
          </w:p>
        </w:tc>
        <w:tc>
          <w:tcPr>
            <w:tcW w:w="1980" w:type="dxa"/>
            <w:vAlign w:val="bottom"/>
          </w:tcPr>
          <w:p>
            <w:pPr>
              <w:spacing w:after="0"/>
              <w:rPr>
                <w:sz w:val="12"/>
                <w:szCs w:val="12"/>
                <w:color w:val="auto"/>
              </w:rPr>
            </w:pPr>
          </w:p>
        </w:tc>
      </w:tr>
      <w:tr>
        <w:trPr>
          <w:trHeight w:val="162"/>
        </w:trPr>
        <w:tc>
          <w:tcPr>
            <w:tcW w:w="2920" w:type="dxa"/>
            <w:vAlign w:val="bottom"/>
          </w:tcPr>
          <w:p>
            <w:pPr>
              <w:jc w:val="center"/>
              <w:ind w:right="844"/>
              <w:spacing w:after="0"/>
              <w:rPr>
                <w:sz w:val="20"/>
                <w:szCs w:val="20"/>
                <w:color w:val="auto"/>
              </w:rPr>
            </w:pPr>
            <w:r>
              <w:rPr>
                <w:rFonts w:ascii="Arial" w:cs="Arial" w:eastAsia="Arial" w:hAnsi="Arial"/>
                <w:sz w:val="14"/>
                <w:szCs w:val="14"/>
                <w:color w:val="auto"/>
                <w:w w:val="94"/>
              </w:rPr>
              <w:t>executive office)</w:t>
            </w:r>
          </w:p>
        </w:tc>
        <w:tc>
          <w:tcPr>
            <w:tcW w:w="1980" w:type="dxa"/>
            <w:vAlign w:val="bottom"/>
          </w:tcPr>
          <w:p>
            <w:pPr>
              <w:spacing w:after="0"/>
              <w:rPr>
                <w:sz w:val="14"/>
                <w:szCs w:val="14"/>
                <w:color w:val="auto"/>
              </w:rPr>
            </w:pPr>
          </w:p>
        </w:tc>
      </w:tr>
    </w:tbl>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jc w:val="center"/>
        <w:spacing w:after="0"/>
        <w:rPr>
          <w:sz w:val="20"/>
          <w:szCs w:val="20"/>
          <w:color w:val="auto"/>
        </w:rPr>
      </w:pPr>
      <w:r>
        <w:rPr>
          <w:rFonts w:ascii="Arial" w:cs="Arial" w:eastAsia="Arial" w:hAnsi="Arial"/>
          <w:sz w:val="18"/>
          <w:szCs w:val="18"/>
          <w:b w:val="1"/>
          <w:bCs w:val="1"/>
          <w:color w:val="auto"/>
        </w:rPr>
        <w:t>(202) 334-6000</w:t>
      </w:r>
    </w:p>
    <w:p>
      <w:pPr>
        <w:spacing w:after="0" w:line="212" w:lineRule="exact"/>
        <w:rPr>
          <w:sz w:val="24"/>
          <w:szCs w:val="24"/>
          <w:color w:val="auto"/>
        </w:rPr>
      </w:pPr>
    </w:p>
    <w:p>
      <w:pPr>
        <w:ind w:right="180"/>
        <w:spacing w:after="0" w:line="26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tbl>
      <w:tblPr>
        <w:tblLayout w:type="fixed"/>
        <w:tblInd w:w="0" w:type="dxa"/>
        <w:tblCellMar>
          <w:top w:w="0" w:type="dxa"/>
          <w:left w:w="0" w:type="dxa"/>
          <w:bottom w:w="0" w:type="dxa"/>
          <w:right w:w="0" w:type="dxa"/>
        </w:tblCellMar>
      </w:tblPr>
      <w:tr>
        <w:trPr>
          <w:trHeight w:val="203"/>
        </w:trPr>
        <w:tc>
          <w:tcPr>
            <w:tcW w:w="3780" w:type="dxa"/>
            <w:vAlign w:val="bottom"/>
            <w:gridSpan w:val="6"/>
          </w:tcPr>
          <w:p>
            <w:pPr>
              <w:spacing w:after="0" w:line="203" w:lineRule="exact"/>
              <w:rPr>
                <w:sz w:val="20"/>
                <w:szCs w:val="20"/>
                <w:color w:val="auto"/>
              </w:rPr>
            </w:pPr>
            <w:r>
              <w:rPr>
                <w:rFonts w:ascii="Arial" w:cs="Arial" w:eastAsia="Arial" w:hAnsi="Arial"/>
                <w:sz w:val="18"/>
                <w:szCs w:val="18"/>
                <w:color w:val="auto"/>
              </w:rPr>
              <w:t>such filing requirements for the past 90 days.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72"/>
        </w:trPr>
        <w:tc>
          <w:tcPr>
            <w:tcW w:w="1240" w:type="dxa"/>
            <w:vAlign w:val="bottom"/>
            <w:gridSpan w:val="4"/>
          </w:tcPr>
          <w:p>
            <w:pPr>
              <w:spacing w:after="0" w:line="172" w:lineRule="exact"/>
              <w:rPr>
                <w:sz w:val="20"/>
                <w:szCs w:val="20"/>
                <w:color w:val="auto"/>
              </w:rPr>
            </w:pPr>
            <w:r>
              <w:rPr>
                <w:rFonts w:ascii="Arial" w:cs="Arial" w:eastAsia="Arial" w:hAnsi="Arial"/>
                <w:sz w:val="18"/>
                <w:szCs w:val="18"/>
                <w:color w:val="auto"/>
              </w:rPr>
              <w:t>Yes  X  .  No</w:t>
            </w:r>
          </w:p>
        </w:tc>
        <w:tc>
          <w:tcPr>
            <w:tcW w:w="2540" w:type="dxa"/>
            <w:vAlign w:val="bottom"/>
            <w:gridSpan w:val="2"/>
          </w:tcPr>
          <w:p>
            <w:pPr>
              <w:jc w:val="right"/>
              <w:ind w:right="2120"/>
              <w:spacing w:after="0" w:line="17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1"/>
        </w:trPr>
        <w:tc>
          <w:tcPr>
            <w:tcW w:w="3780" w:type="dxa"/>
            <w:vAlign w:val="bottom"/>
            <w:gridSpan w:val="6"/>
          </w:tcPr>
          <w:p>
            <w:pPr>
              <w:spacing w:after="0"/>
              <w:rPr>
                <w:sz w:val="20"/>
                <w:szCs w:val="20"/>
                <w:color w:val="auto"/>
              </w:rPr>
            </w:pPr>
            <w:r>
              <w:rPr>
                <w:rFonts w:ascii="Arial" w:cs="Arial" w:eastAsia="Arial" w:hAnsi="Arial"/>
                <w:sz w:val="18"/>
                <w:szCs w:val="18"/>
                <w:color w:val="auto"/>
              </w:rPr>
              <w:t>Shares outstanding at November 8, 2001:</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Class A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1,722,250</w:t>
            </w:r>
          </w:p>
        </w:tc>
        <w:tc>
          <w:tcPr>
            <w:tcW w:w="620" w:type="dxa"/>
            <w:vAlign w:val="bottom"/>
          </w:tcPr>
          <w:p>
            <w:pPr>
              <w:ind w:left="60"/>
              <w:spacing w:after="0"/>
              <w:rPr>
                <w:sz w:val="20"/>
                <w:szCs w:val="20"/>
                <w:color w:val="auto"/>
              </w:rPr>
            </w:pPr>
            <w:r>
              <w:rPr>
                <w:rFonts w:ascii="Arial" w:cs="Arial" w:eastAsia="Arial" w:hAnsi="Arial"/>
                <w:sz w:val="18"/>
                <w:szCs w:val="18"/>
                <w:color w:val="auto"/>
                <w:w w:val="94"/>
              </w:rPr>
              <w:t>Shares</w:t>
            </w:r>
          </w:p>
        </w:tc>
      </w:tr>
      <w:tr>
        <w:trPr>
          <w:trHeight w:val="486"/>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7,769,021</w:t>
            </w:r>
          </w:p>
        </w:tc>
        <w:tc>
          <w:tcPr>
            <w:tcW w:w="620" w:type="dxa"/>
            <w:vAlign w:val="bottom"/>
          </w:tcPr>
          <w:p>
            <w:pPr>
              <w:ind w:left="60"/>
              <w:spacing w:after="0"/>
              <w:rPr>
                <w:sz w:val="20"/>
                <w:szCs w:val="20"/>
                <w:color w:val="auto"/>
              </w:rPr>
            </w:pPr>
            <w:r>
              <w:rPr>
                <w:rFonts w:ascii="Arial" w:cs="Arial" w:eastAsia="Arial" w:hAnsi="Arial"/>
                <w:sz w:val="18"/>
                <w:szCs w:val="18"/>
                <w:color w:val="auto"/>
                <w:w w:val="94"/>
              </w:rPr>
              <w:t>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7" w:lineRule="exact"/>
        <w:rPr>
          <w:sz w:val="24"/>
          <w:szCs w:val="24"/>
          <w:color w:val="auto"/>
        </w:rPr>
      </w:pPr>
    </w:p>
    <w:p>
      <w:pPr>
        <w:ind w:left="9120"/>
        <w:spacing w:after="0"/>
        <w:rPr>
          <w:sz w:val="20"/>
          <w:szCs w:val="20"/>
          <w:color w:val="auto"/>
        </w:rPr>
      </w:pPr>
      <w:r>
        <w:rPr>
          <w:rFonts w:ascii="Arial" w:cs="Arial" w:eastAsia="Arial" w:hAnsi="Arial"/>
          <w:sz w:val="18"/>
          <w:szCs w:val="18"/>
          <w:color w:val="auto"/>
        </w:rPr>
        <w:t>Page</w:t>
      </w:r>
    </w:p>
    <w:p>
      <w:pPr>
        <w:spacing w:after="0" w:line="16"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b w:val="1"/>
          <w:bCs w:val="1"/>
          <w:i w:val="1"/>
          <w:iCs w:val="1"/>
          <w:color w:val="auto"/>
        </w:rPr>
        <w:t>PART I.</w:t>
      </w:r>
      <w:r>
        <w:rPr>
          <w:sz w:val="20"/>
          <w:szCs w:val="20"/>
          <w:color w:val="auto"/>
        </w:rPr>
        <w:tab/>
      </w:r>
      <w:r>
        <w:rPr>
          <w:rFonts w:ascii="Arial" w:cs="Arial" w:eastAsia="Arial" w:hAnsi="Arial"/>
          <w:sz w:val="16"/>
          <w:szCs w:val="16"/>
          <w:b w:val="1"/>
          <w:bCs w:val="1"/>
          <w:i w:val="1"/>
          <w:iCs w:val="1"/>
          <w:color w:val="auto"/>
        </w:rPr>
        <w:t>FINANCIAL INFORMATION</w:t>
      </w:r>
    </w:p>
    <w:p>
      <w:pPr>
        <w:spacing w:after="0" w:line="29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Item 1. Financial Statements</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20" w:type="dxa"/>
            <w:vAlign w:val="bottom"/>
            <w:vMerge w:val="restart"/>
          </w:tcPr>
          <w:p>
            <w:pPr>
              <w:jc w:val="center"/>
              <w:ind w:left="912"/>
              <w:spacing w:after="0"/>
              <w:rPr>
                <w:sz w:val="20"/>
                <w:szCs w:val="20"/>
                <w:color w:val="auto"/>
              </w:rPr>
            </w:pPr>
            <w:r>
              <w:rPr>
                <w:rFonts w:ascii="Arial" w:cs="Arial" w:eastAsia="Arial" w:hAnsi="Arial"/>
                <w:sz w:val="18"/>
                <w:szCs w:val="18"/>
                <w:color w:val="auto"/>
                <w:w w:val="92"/>
              </w:rPr>
              <w:t>a.</w:t>
            </w:r>
          </w:p>
        </w:tc>
        <w:tc>
          <w:tcPr>
            <w:tcW w:w="7460" w:type="dxa"/>
            <w:vAlign w:val="bottom"/>
          </w:tcPr>
          <w:p>
            <w:pPr>
              <w:ind w:left="220"/>
              <w:spacing w:after="0"/>
              <w:rPr>
                <w:sz w:val="20"/>
                <w:szCs w:val="20"/>
                <w:color w:val="auto"/>
              </w:rPr>
            </w:pPr>
            <w:r>
              <w:rPr>
                <w:rFonts w:ascii="Arial" w:cs="Arial" w:eastAsia="Arial" w:hAnsi="Arial"/>
                <w:sz w:val="18"/>
                <w:szCs w:val="18"/>
                <w:color w:val="auto"/>
                <w:w w:val="99"/>
              </w:rPr>
              <w:t>Condensed Consolidated Statements of Income (Unaudited) for the Thirteen Weeks Ended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September 30, 2001 and October 1, 2000</w:t>
            </w:r>
          </w:p>
        </w:tc>
        <w:tc>
          <w:tcPr>
            <w:tcW w:w="360" w:type="dxa"/>
            <w:vAlign w:val="bottom"/>
            <w:vMerge w:val="restart"/>
          </w:tcPr>
          <w:p>
            <w:pPr>
              <w:jc w:val="center"/>
              <w:ind w:left="5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620" w:type="dxa"/>
            <w:vAlign w:val="bottom"/>
            <w:vMerge w:val="restart"/>
          </w:tcPr>
          <w:p>
            <w:pPr>
              <w:jc w:val="center"/>
              <w:ind w:left="912"/>
              <w:spacing w:after="0"/>
              <w:rPr>
                <w:sz w:val="20"/>
                <w:szCs w:val="20"/>
                <w:color w:val="auto"/>
              </w:rPr>
            </w:pPr>
            <w:r>
              <w:rPr>
                <w:rFonts w:ascii="Arial" w:cs="Arial" w:eastAsia="Arial" w:hAnsi="Arial"/>
                <w:sz w:val="18"/>
                <w:szCs w:val="18"/>
                <w:color w:val="auto"/>
                <w:w w:val="92"/>
              </w:rPr>
              <w:t>b.</w:t>
            </w:r>
          </w:p>
        </w:tc>
        <w:tc>
          <w:tcPr>
            <w:tcW w:w="7460" w:type="dxa"/>
            <w:vAlign w:val="bottom"/>
          </w:tcPr>
          <w:p>
            <w:pPr>
              <w:ind w:left="220"/>
              <w:spacing w:after="0"/>
              <w:rPr>
                <w:sz w:val="20"/>
                <w:szCs w:val="20"/>
                <w:color w:val="auto"/>
              </w:rPr>
            </w:pPr>
            <w:r>
              <w:rPr>
                <w:rFonts w:ascii="Arial" w:cs="Arial" w:eastAsia="Arial" w:hAnsi="Arial"/>
                <w:sz w:val="18"/>
                <w:szCs w:val="18"/>
                <w:color w:val="auto"/>
              </w:rPr>
              <w:t>Condensed Consolidated Statements of Comprehensive Income (Unaudited) for the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Thirteen Weeks Ended September 30, 2001 and October 1, 2000</w:t>
            </w:r>
          </w:p>
        </w:tc>
        <w:tc>
          <w:tcPr>
            <w:tcW w:w="360" w:type="dxa"/>
            <w:vAlign w:val="bottom"/>
            <w:vMerge w:val="restart"/>
          </w:tcPr>
          <w:p>
            <w:pPr>
              <w:jc w:val="center"/>
              <w:ind w:left="5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620" w:type="dxa"/>
            <w:vAlign w:val="bottom"/>
            <w:vMerge w:val="restart"/>
          </w:tcPr>
          <w:p>
            <w:pPr>
              <w:jc w:val="center"/>
              <w:ind w:left="912"/>
              <w:spacing w:after="0"/>
              <w:rPr>
                <w:sz w:val="20"/>
                <w:szCs w:val="20"/>
                <w:color w:val="auto"/>
              </w:rPr>
            </w:pPr>
            <w:r>
              <w:rPr>
                <w:rFonts w:ascii="Arial" w:cs="Arial" w:eastAsia="Arial" w:hAnsi="Arial"/>
                <w:sz w:val="18"/>
                <w:szCs w:val="18"/>
                <w:color w:val="auto"/>
                <w:w w:val="99"/>
              </w:rPr>
              <w:t>c.</w:t>
            </w:r>
          </w:p>
        </w:tc>
        <w:tc>
          <w:tcPr>
            <w:tcW w:w="7460" w:type="dxa"/>
            <w:vAlign w:val="bottom"/>
          </w:tcPr>
          <w:p>
            <w:pPr>
              <w:ind w:left="220"/>
              <w:spacing w:after="0"/>
              <w:rPr>
                <w:sz w:val="20"/>
                <w:szCs w:val="20"/>
                <w:color w:val="auto"/>
              </w:rPr>
            </w:pPr>
            <w:r>
              <w:rPr>
                <w:rFonts w:ascii="Arial" w:cs="Arial" w:eastAsia="Arial" w:hAnsi="Arial"/>
                <w:sz w:val="18"/>
                <w:szCs w:val="18"/>
                <w:color w:val="auto"/>
              </w:rPr>
              <w:t>Condensed Consolidated Balance Sheets at September 30, 2001 (Unaudited) and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December 31, 2000</w:t>
            </w:r>
          </w:p>
        </w:tc>
        <w:tc>
          <w:tcPr>
            <w:tcW w:w="360" w:type="dxa"/>
            <w:vAlign w:val="bottom"/>
            <w:vMerge w:val="restart"/>
          </w:tcPr>
          <w:p>
            <w:pPr>
              <w:jc w:val="center"/>
              <w:ind w:left="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620" w:type="dxa"/>
            <w:vAlign w:val="bottom"/>
            <w:vMerge w:val="restart"/>
          </w:tcPr>
          <w:p>
            <w:pPr>
              <w:jc w:val="center"/>
              <w:ind w:left="912"/>
              <w:spacing w:after="0"/>
              <w:rPr>
                <w:sz w:val="20"/>
                <w:szCs w:val="20"/>
                <w:color w:val="auto"/>
              </w:rPr>
            </w:pPr>
            <w:r>
              <w:rPr>
                <w:rFonts w:ascii="Arial" w:cs="Arial" w:eastAsia="Arial" w:hAnsi="Arial"/>
                <w:sz w:val="18"/>
                <w:szCs w:val="18"/>
                <w:color w:val="auto"/>
                <w:w w:val="92"/>
              </w:rPr>
              <w:t>d.</w:t>
            </w:r>
          </w:p>
        </w:tc>
        <w:tc>
          <w:tcPr>
            <w:tcW w:w="7460" w:type="dxa"/>
            <w:vAlign w:val="bottom"/>
          </w:tcPr>
          <w:p>
            <w:pPr>
              <w:ind w:left="220"/>
              <w:spacing w:after="0"/>
              <w:rPr>
                <w:sz w:val="20"/>
                <w:szCs w:val="20"/>
                <w:color w:val="auto"/>
              </w:rPr>
            </w:pPr>
            <w:r>
              <w:rPr>
                <w:rFonts w:ascii="Arial" w:cs="Arial" w:eastAsia="Arial" w:hAnsi="Arial"/>
                <w:sz w:val="18"/>
                <w:szCs w:val="18"/>
                <w:color w:val="auto"/>
              </w:rPr>
              <w:t>Condensed Consolidated Statements of Cash Flows (Unaudited) for the Thirteen Weeks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7460" w:type="dxa"/>
            <w:vAlign w:val="bottom"/>
            <w:vMerge w:val="restart"/>
          </w:tcPr>
          <w:p>
            <w:pPr>
              <w:ind w:left="220"/>
              <w:spacing w:after="0"/>
              <w:rPr>
                <w:sz w:val="20"/>
                <w:szCs w:val="20"/>
                <w:color w:val="auto"/>
              </w:rPr>
            </w:pPr>
            <w:r>
              <w:rPr>
                <w:rFonts w:ascii="Arial" w:cs="Arial" w:eastAsia="Arial" w:hAnsi="Arial"/>
                <w:sz w:val="18"/>
                <w:szCs w:val="18"/>
                <w:color w:val="auto"/>
              </w:rPr>
              <w:t>Ended September 30, 2001 and October 1, 2000</w:t>
            </w:r>
          </w:p>
        </w:tc>
        <w:tc>
          <w:tcPr>
            <w:tcW w:w="360" w:type="dxa"/>
            <w:vAlign w:val="bottom"/>
            <w:vMerge w:val="restart"/>
          </w:tcPr>
          <w:p>
            <w:pPr>
              <w:jc w:val="center"/>
              <w:ind w:left="5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7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1620" w:type="dxa"/>
            <w:vAlign w:val="bottom"/>
          </w:tcPr>
          <w:p>
            <w:pPr>
              <w:jc w:val="center"/>
              <w:ind w:left="912"/>
              <w:spacing w:after="0"/>
              <w:rPr>
                <w:sz w:val="20"/>
                <w:szCs w:val="20"/>
                <w:color w:val="auto"/>
              </w:rPr>
            </w:pPr>
            <w:r>
              <w:rPr>
                <w:rFonts w:ascii="Arial" w:cs="Arial" w:eastAsia="Arial" w:hAnsi="Arial"/>
                <w:sz w:val="18"/>
                <w:szCs w:val="18"/>
                <w:color w:val="auto"/>
                <w:w w:val="92"/>
              </w:rPr>
              <w:t>e.</w:t>
            </w:r>
          </w:p>
        </w:tc>
        <w:tc>
          <w:tcPr>
            <w:tcW w:w="7460" w:type="dxa"/>
            <w:vAlign w:val="bottom"/>
          </w:tcPr>
          <w:p>
            <w:pPr>
              <w:ind w:left="220"/>
              <w:spacing w:after="0"/>
              <w:rPr>
                <w:sz w:val="20"/>
                <w:szCs w:val="20"/>
                <w:color w:val="auto"/>
              </w:rPr>
            </w:pPr>
            <w:r>
              <w:rPr>
                <w:rFonts w:ascii="Arial" w:cs="Arial" w:eastAsia="Arial" w:hAnsi="Arial"/>
                <w:sz w:val="18"/>
                <w:szCs w:val="18"/>
                <w:color w:val="auto"/>
              </w:rPr>
              <w:t>Notes to Condensed Consolidated Financial Statements (Unaudited)</w:t>
            </w:r>
          </w:p>
        </w:tc>
        <w:tc>
          <w:tcPr>
            <w:tcW w:w="360" w:type="dxa"/>
            <w:vAlign w:val="bottom"/>
          </w:tcPr>
          <w:p>
            <w:pPr>
              <w:jc w:val="center"/>
              <w:ind w:left="5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48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Item 2. Management's Discussion and Analysis of Results of Operations and Financial Condition</w:t>
            </w:r>
          </w:p>
        </w:tc>
        <w:tc>
          <w:tcPr>
            <w:tcW w:w="360" w:type="dxa"/>
            <w:vAlign w:val="bottom"/>
          </w:tcPr>
          <w:p>
            <w:pPr>
              <w:jc w:val="center"/>
              <w:ind w:left="72"/>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459"/>
        </w:trPr>
        <w:tc>
          <w:tcPr>
            <w:tcW w:w="9080" w:type="dxa"/>
            <w:vAlign w:val="bottom"/>
            <w:gridSpan w:val="2"/>
          </w:tcPr>
          <w:p>
            <w:pPr>
              <w:jc w:val="center"/>
              <w:ind w:right="6392"/>
              <w:spacing w:after="0"/>
              <w:rPr>
                <w:sz w:val="20"/>
                <w:szCs w:val="20"/>
                <w:color w:val="auto"/>
              </w:rPr>
            </w:pPr>
            <w:r>
              <w:rPr>
                <w:rFonts w:ascii="Arial" w:cs="Arial" w:eastAsia="Arial" w:hAnsi="Arial"/>
                <w:sz w:val="18"/>
                <w:szCs w:val="18"/>
                <w:b w:val="1"/>
                <w:bCs w:val="1"/>
                <w:i w:val="1"/>
                <w:iCs w:val="1"/>
                <w:color w:val="auto"/>
                <w:w w:val="96"/>
              </w:rPr>
              <w:t>PART II. OTHER INFORMATION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Item 6. Exhibits and Reports on Form 8-K</w:t>
            </w:r>
          </w:p>
        </w:tc>
        <w:tc>
          <w:tcPr>
            <w:tcW w:w="360" w:type="dxa"/>
            <w:vAlign w:val="bottom"/>
          </w:tcPr>
          <w:p>
            <w:pPr>
              <w:jc w:val="center"/>
              <w:ind w:left="72"/>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473"/>
        </w:trPr>
        <w:tc>
          <w:tcPr>
            <w:tcW w:w="1620" w:type="dxa"/>
            <w:vAlign w:val="bottom"/>
          </w:tcPr>
          <w:p>
            <w:pPr>
              <w:spacing w:after="0"/>
              <w:rPr>
                <w:sz w:val="20"/>
                <w:szCs w:val="20"/>
                <w:color w:val="auto"/>
              </w:rPr>
            </w:pPr>
            <w:r>
              <w:rPr>
                <w:rFonts w:ascii="Arial" w:cs="Arial" w:eastAsia="Arial" w:hAnsi="Arial"/>
                <w:sz w:val="18"/>
                <w:szCs w:val="18"/>
                <w:b w:val="1"/>
                <w:bCs w:val="1"/>
                <w:i w:val="1"/>
                <w:iCs w:val="1"/>
                <w:color w:val="auto"/>
              </w:rPr>
              <w:t>Signatures</w:t>
            </w:r>
          </w:p>
        </w:tc>
        <w:tc>
          <w:tcPr>
            <w:tcW w:w="7460" w:type="dxa"/>
            <w:vAlign w:val="bottom"/>
          </w:tcPr>
          <w:p>
            <w:pPr>
              <w:spacing w:after="0"/>
              <w:rPr>
                <w:sz w:val="24"/>
                <w:szCs w:val="24"/>
                <w:color w:val="auto"/>
              </w:rPr>
            </w:pPr>
          </w:p>
        </w:tc>
        <w:tc>
          <w:tcPr>
            <w:tcW w:w="360" w:type="dxa"/>
            <w:vAlign w:val="bottom"/>
          </w:tcPr>
          <w:p>
            <w:pPr>
              <w:jc w:val="center"/>
              <w:ind w:left="72"/>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229" w:right="239" w:bottom="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Exhibit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gridSpan w:val="12"/>
          </w:tcPr>
          <w:p>
            <w:pPr>
              <w:jc w:val="right"/>
              <w:ind w:right="20"/>
              <w:spacing w:after="0"/>
              <w:rPr>
                <w:sz w:val="20"/>
                <w:szCs w:val="20"/>
                <w:color w:val="auto"/>
              </w:rPr>
            </w:pPr>
            <w:r>
              <w:rPr>
                <w:rFonts w:ascii="Arial" w:cs="Arial" w:eastAsia="Arial" w:hAnsi="Arial"/>
                <w:sz w:val="18"/>
                <w:szCs w:val="18"/>
                <w:b w:val="1"/>
                <w:bCs w:val="1"/>
                <w:color w:val="auto"/>
              </w:rPr>
              <w:t>Thirteen Weeks Ended</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15"/>
          </w:tcPr>
          <w:p>
            <w:pPr>
              <w:jc w:val="right"/>
              <w:ind w:right="44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486"/>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7"/>
          </w:tcPr>
          <w:p>
            <w:pPr>
              <w:jc w:val="right"/>
              <w:ind w:right="520"/>
              <w:spacing w:after="0"/>
              <w:rPr>
                <w:sz w:val="20"/>
                <w:szCs w:val="20"/>
                <w:color w:val="auto"/>
              </w:rPr>
            </w:pPr>
            <w:r>
              <w:rPr>
                <w:rFonts w:ascii="Arial" w:cs="Arial" w:eastAsia="Arial" w:hAnsi="Arial"/>
                <w:sz w:val="18"/>
                <w:szCs w:val="18"/>
                <w:color w:val="auto"/>
              </w:rPr>
              <w:t>September 30,</w:t>
            </w:r>
          </w:p>
        </w:tc>
        <w:tc>
          <w:tcPr>
            <w:tcW w:w="1120" w:type="dxa"/>
            <w:vAlign w:val="bottom"/>
            <w:gridSpan w:val="7"/>
          </w:tcPr>
          <w:p>
            <w:pPr>
              <w:jc w:val="right"/>
              <w:ind w:right="280"/>
              <w:spacing w:after="0"/>
              <w:rPr>
                <w:sz w:val="20"/>
                <w:szCs w:val="20"/>
                <w:color w:val="auto"/>
              </w:rPr>
            </w:pPr>
            <w:r>
              <w:rPr>
                <w:rFonts w:ascii="Arial" w:cs="Arial" w:eastAsia="Arial" w:hAnsi="Arial"/>
                <w:sz w:val="18"/>
                <w:szCs w:val="18"/>
                <w:color w:val="auto"/>
                <w:w w:val="97"/>
              </w:rPr>
              <w:t>October 1,</w:t>
            </w:r>
          </w:p>
        </w:tc>
        <w:tc>
          <w:tcPr>
            <w:tcW w:w="1660" w:type="dxa"/>
            <w:vAlign w:val="bottom"/>
            <w:gridSpan w:val="7"/>
          </w:tcPr>
          <w:p>
            <w:pPr>
              <w:jc w:val="right"/>
              <w:ind w:right="28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24"/>
                <w:szCs w:val="24"/>
                <w:color w:val="auto"/>
              </w:rPr>
            </w:pPr>
          </w:p>
        </w:tc>
        <w:tc>
          <w:tcPr>
            <w:tcW w:w="900" w:type="dxa"/>
            <w:vAlign w:val="bottom"/>
            <w:gridSpan w:val="7"/>
          </w:tcPr>
          <w:p>
            <w:pPr>
              <w:jc w:val="right"/>
              <w:ind w:right="60"/>
              <w:spacing w:after="0"/>
              <w:rPr>
                <w:sz w:val="20"/>
                <w:szCs w:val="20"/>
                <w:color w:val="auto"/>
              </w:rPr>
            </w:pPr>
            <w:r>
              <w:rPr>
                <w:rFonts w:ascii="Arial" w:cs="Arial" w:eastAsia="Arial" w:hAnsi="Arial"/>
                <w:sz w:val="18"/>
                <w:szCs w:val="18"/>
                <w:color w:val="auto"/>
                <w:w w:val="97"/>
              </w:rPr>
              <w:t>October 1,</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2001</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960" w:type="dxa"/>
            <w:vAlign w:val="bottom"/>
          </w:tcPr>
          <w:p>
            <w:pPr>
              <w:spacing w:after="0"/>
              <w:rPr>
                <w:sz w:val="20"/>
                <w:szCs w:val="20"/>
                <w:color w:val="auto"/>
              </w:rPr>
            </w:pPr>
            <w:r>
              <w:rPr>
                <w:rFonts w:ascii="Arial" w:cs="Arial" w:eastAsia="Arial" w:hAnsi="Arial"/>
                <w:sz w:val="18"/>
                <w:szCs w:val="18"/>
                <w:color w:val="auto"/>
              </w:rPr>
              <w:t>Operating revenues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800" w:type="dxa"/>
            <w:vAlign w:val="bottom"/>
          </w:tcPr>
          <w:p>
            <w:pPr>
              <w:spacing w:after="0"/>
              <w:rPr>
                <w:sz w:val="21"/>
                <w:szCs w:val="21"/>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$277,425</w:t>
            </w:r>
          </w:p>
        </w:tc>
        <w:tc>
          <w:tcPr>
            <w:tcW w:w="52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$338,428</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$ 888,281</w:t>
            </w:r>
          </w:p>
        </w:tc>
        <w:tc>
          <w:tcPr>
            <w:tcW w:w="280" w:type="dxa"/>
            <w:vAlign w:val="bottom"/>
          </w:tcPr>
          <w:p>
            <w:pPr>
              <w:spacing w:after="0"/>
              <w:rPr>
                <w:sz w:val="21"/>
                <w:szCs w:val="21"/>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$1,010,807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Circulation and subscriber</w:t>
            </w:r>
          </w:p>
        </w:tc>
        <w:tc>
          <w:tcPr>
            <w:tcW w:w="800" w:type="dxa"/>
            <w:vAlign w:val="bottom"/>
          </w:tcPr>
          <w:p>
            <w:pPr>
              <w:spacing w:after="0"/>
              <w:rPr>
                <w:sz w:val="21"/>
                <w:szCs w:val="21"/>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177,925</w:t>
            </w:r>
          </w:p>
        </w:tc>
        <w:tc>
          <w:tcPr>
            <w:tcW w:w="52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151,144</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482,609</w:t>
            </w:r>
          </w:p>
        </w:tc>
        <w:tc>
          <w:tcPr>
            <w:tcW w:w="280" w:type="dxa"/>
            <w:vAlign w:val="bottom"/>
          </w:tcPr>
          <w:p>
            <w:pPr>
              <w:spacing w:after="0"/>
              <w:rPr>
                <w:sz w:val="21"/>
                <w:szCs w:val="21"/>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447,639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Education</w:t>
            </w:r>
          </w:p>
        </w:tc>
        <w:tc>
          <w:tcPr>
            <w:tcW w:w="800" w:type="dxa"/>
            <w:vAlign w:val="bottom"/>
          </w:tcPr>
          <w:p>
            <w:pPr>
              <w:spacing w:after="0"/>
              <w:rPr>
                <w:sz w:val="21"/>
                <w:szCs w:val="21"/>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127,159</w:t>
            </w:r>
          </w:p>
        </w:tc>
        <w:tc>
          <w:tcPr>
            <w:tcW w:w="52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99,428</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368,103</w:t>
            </w:r>
          </w:p>
        </w:tc>
        <w:tc>
          <w:tcPr>
            <w:tcW w:w="280" w:type="dxa"/>
            <w:vAlign w:val="bottom"/>
          </w:tcPr>
          <w:p>
            <w:pPr>
              <w:spacing w:after="0"/>
              <w:rPr>
                <w:sz w:val="21"/>
                <w:szCs w:val="21"/>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240,261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60"/>
              <w:spacing w:after="0" w:line="205" w:lineRule="exact"/>
              <w:rPr>
                <w:sz w:val="20"/>
                <w:szCs w:val="20"/>
                <w:color w:val="auto"/>
              </w:rPr>
            </w:pPr>
            <w:r>
              <w:rPr>
                <w:rFonts w:ascii="Arial" w:cs="Arial" w:eastAsia="Arial" w:hAnsi="Arial"/>
                <w:sz w:val="18"/>
                <w:szCs w:val="18"/>
                <w:color w:val="auto"/>
              </w:rPr>
              <w:t>Other</w:t>
            </w:r>
          </w:p>
        </w:tc>
        <w:tc>
          <w:tcPr>
            <w:tcW w:w="80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6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13,007</w:t>
            </w:r>
          </w:p>
        </w:tc>
        <w:tc>
          <w:tcPr>
            <w:tcW w:w="5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13,452</w:t>
            </w:r>
          </w:p>
        </w:tc>
        <w:tc>
          <w:tcPr>
            <w:tcW w:w="280" w:type="dxa"/>
            <w:vAlign w:val="bottom"/>
          </w:tcPr>
          <w:p>
            <w:pPr>
              <w:spacing w:after="0"/>
              <w:rPr>
                <w:sz w:val="17"/>
                <w:szCs w:val="17"/>
                <w:color w:val="auto"/>
              </w:rPr>
            </w:pPr>
          </w:p>
        </w:tc>
        <w:tc>
          <w:tcPr>
            <w:tcW w:w="700" w:type="dxa"/>
            <w:vAlign w:val="bottom"/>
            <w:gridSpan w:val="4"/>
          </w:tcPr>
          <w:p>
            <w:pPr>
              <w:spacing w:after="0"/>
              <w:rPr>
                <w:sz w:val="17"/>
                <w:szCs w:val="17"/>
                <w:color w:val="auto"/>
              </w:rPr>
            </w:pPr>
          </w:p>
        </w:tc>
        <w:tc>
          <w:tcPr>
            <w:tcW w:w="6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48,034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8"/>
              </w:rPr>
              <w:t>42,057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595,516</w:t>
            </w:r>
          </w:p>
        </w:tc>
        <w:tc>
          <w:tcPr>
            <w:tcW w:w="52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602,452</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1,787,027</w:t>
            </w:r>
          </w:p>
        </w:tc>
        <w:tc>
          <w:tcPr>
            <w:tcW w:w="280" w:type="dxa"/>
            <w:vAlign w:val="bottom"/>
          </w:tcPr>
          <w:p>
            <w:pPr>
              <w:spacing w:after="0"/>
              <w:rPr>
                <w:sz w:val="24"/>
                <w:szCs w:val="24"/>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1,740,764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9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800" w:type="dxa"/>
            <w:vAlign w:val="bottom"/>
          </w:tcPr>
          <w:p>
            <w:pPr>
              <w:spacing w:after="0"/>
              <w:rPr>
                <w:sz w:val="21"/>
                <w:szCs w:val="21"/>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348,776</w:t>
            </w:r>
          </w:p>
        </w:tc>
        <w:tc>
          <w:tcPr>
            <w:tcW w:w="52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340,733</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1,033,509</w:t>
            </w:r>
          </w:p>
        </w:tc>
        <w:tc>
          <w:tcPr>
            <w:tcW w:w="280" w:type="dxa"/>
            <w:vAlign w:val="bottom"/>
          </w:tcPr>
          <w:p>
            <w:pPr>
              <w:spacing w:after="0"/>
              <w:rPr>
                <w:sz w:val="21"/>
                <w:szCs w:val="21"/>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953,031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960" w:type="dxa"/>
            <w:vAlign w:val="bottom"/>
          </w:tcPr>
          <w:p>
            <w:pPr>
              <w:ind w:left="260"/>
              <w:spacing w:after="0"/>
              <w:rPr>
                <w:sz w:val="20"/>
                <w:szCs w:val="20"/>
                <w:color w:val="auto"/>
              </w:rPr>
            </w:pPr>
            <w:r>
              <w:rPr>
                <w:rFonts w:ascii="Arial" w:cs="Arial" w:eastAsia="Arial" w:hAnsi="Arial"/>
                <w:sz w:val="18"/>
                <w:szCs w:val="18"/>
                <w:color w:val="auto"/>
                <w:w w:val="97"/>
              </w:rPr>
              <w:t>Selling, general and administrative</w:t>
            </w:r>
          </w:p>
        </w:tc>
        <w:tc>
          <w:tcPr>
            <w:tcW w:w="800" w:type="dxa"/>
            <w:vAlign w:val="bottom"/>
          </w:tcPr>
          <w:p>
            <w:pPr>
              <w:spacing w:after="0"/>
              <w:rPr>
                <w:sz w:val="23"/>
                <w:szCs w:val="23"/>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144,954</w:t>
            </w:r>
          </w:p>
        </w:tc>
        <w:tc>
          <w:tcPr>
            <w:tcW w:w="520" w:type="dxa"/>
            <w:vAlign w:val="bottom"/>
          </w:tcPr>
          <w:p>
            <w:pPr>
              <w:spacing w:after="0"/>
              <w:rPr>
                <w:sz w:val="23"/>
                <w:szCs w:val="23"/>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131,206</w:t>
            </w:r>
          </w:p>
        </w:tc>
        <w:tc>
          <w:tcPr>
            <w:tcW w:w="280" w:type="dxa"/>
            <w:vAlign w:val="bottom"/>
          </w:tcPr>
          <w:p>
            <w:pPr>
              <w:spacing w:after="0"/>
              <w:rPr>
                <w:sz w:val="23"/>
                <w:szCs w:val="23"/>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444,278</w:t>
            </w:r>
          </w:p>
        </w:tc>
        <w:tc>
          <w:tcPr>
            <w:tcW w:w="280" w:type="dxa"/>
            <w:vAlign w:val="bottom"/>
          </w:tcPr>
          <w:p>
            <w:pPr>
              <w:spacing w:after="0"/>
              <w:rPr>
                <w:sz w:val="23"/>
                <w:szCs w:val="23"/>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405,332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8"/>
                <w:szCs w:val="18"/>
                <w:color w:val="auto"/>
              </w:rPr>
              <w:t>Depreciation of property, plant</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400"/>
              <w:spacing w:after="0"/>
              <w:rPr>
                <w:sz w:val="20"/>
                <w:szCs w:val="20"/>
                <w:color w:val="auto"/>
              </w:rPr>
            </w:pPr>
            <w:r>
              <w:rPr>
                <w:rFonts w:ascii="Arial" w:cs="Arial" w:eastAsia="Arial" w:hAnsi="Arial"/>
                <w:sz w:val="18"/>
                <w:szCs w:val="18"/>
                <w:color w:val="auto"/>
              </w:rPr>
              <w:t>and equipment</w:t>
            </w:r>
          </w:p>
        </w:tc>
        <w:tc>
          <w:tcPr>
            <w:tcW w:w="800" w:type="dxa"/>
            <w:vAlign w:val="bottom"/>
          </w:tcPr>
          <w:p>
            <w:pPr>
              <w:spacing w:after="0"/>
              <w:rPr>
                <w:sz w:val="21"/>
                <w:szCs w:val="21"/>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34,765</w:t>
            </w:r>
          </w:p>
        </w:tc>
        <w:tc>
          <w:tcPr>
            <w:tcW w:w="52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30,019</w:t>
            </w:r>
          </w:p>
        </w:tc>
        <w:tc>
          <w:tcPr>
            <w:tcW w:w="280" w:type="dxa"/>
            <w:vAlign w:val="bottom"/>
          </w:tcPr>
          <w:p>
            <w:pPr>
              <w:spacing w:after="0"/>
              <w:rPr>
                <w:sz w:val="21"/>
                <w:szCs w:val="21"/>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105,264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87,043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Arial" w:cs="Arial" w:eastAsia="Arial" w:hAnsi="Arial"/>
                <w:sz w:val="18"/>
                <w:szCs w:val="18"/>
                <w:color w:val="auto"/>
              </w:rPr>
              <w:t>Amortization of goodwill and</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400"/>
              <w:spacing w:after="0" w:line="205" w:lineRule="exact"/>
              <w:rPr>
                <w:sz w:val="20"/>
                <w:szCs w:val="20"/>
                <w:color w:val="auto"/>
              </w:rPr>
            </w:pPr>
            <w:r>
              <w:rPr>
                <w:rFonts w:ascii="Arial" w:cs="Arial" w:eastAsia="Arial" w:hAnsi="Arial"/>
                <w:sz w:val="18"/>
                <w:szCs w:val="18"/>
                <w:color w:val="auto"/>
              </w:rPr>
              <w:t>other Intangibles</w:t>
            </w:r>
          </w:p>
        </w:tc>
        <w:tc>
          <w:tcPr>
            <w:tcW w:w="80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6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20,068</w:t>
            </w:r>
          </w:p>
        </w:tc>
        <w:tc>
          <w:tcPr>
            <w:tcW w:w="5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15,937</w:t>
            </w:r>
          </w:p>
        </w:tc>
        <w:tc>
          <w:tcPr>
            <w:tcW w:w="280" w:type="dxa"/>
            <w:vAlign w:val="bottom"/>
          </w:tcPr>
          <w:p>
            <w:pPr>
              <w:spacing w:after="0"/>
              <w:rPr>
                <w:sz w:val="17"/>
                <w:szCs w:val="17"/>
                <w:color w:val="auto"/>
              </w:rPr>
            </w:pPr>
          </w:p>
        </w:tc>
        <w:tc>
          <w:tcPr>
            <w:tcW w:w="700" w:type="dxa"/>
            <w:vAlign w:val="bottom"/>
            <w:gridSpan w:val="4"/>
          </w:tcPr>
          <w:p>
            <w:pPr>
              <w:spacing w:after="0"/>
              <w:rPr>
                <w:sz w:val="17"/>
                <w:szCs w:val="17"/>
                <w:color w:val="auto"/>
              </w:rPr>
            </w:pPr>
          </w:p>
        </w:tc>
        <w:tc>
          <w:tcPr>
            <w:tcW w:w="6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57,185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8"/>
              </w:rPr>
              <w:t>45,430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548,563</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517,895</w:t>
            </w:r>
          </w:p>
        </w:tc>
        <w:tc>
          <w:tcPr>
            <w:tcW w:w="2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1,640,236</w:t>
            </w:r>
          </w:p>
        </w:tc>
        <w:tc>
          <w:tcPr>
            <w:tcW w:w="2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4"/>
              </w:rPr>
              <w:t>1,490,836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29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46,953</w:t>
            </w:r>
          </w:p>
        </w:tc>
        <w:tc>
          <w:tcPr>
            <w:tcW w:w="52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84,557</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146,791</w:t>
            </w:r>
          </w:p>
        </w:tc>
        <w:tc>
          <w:tcPr>
            <w:tcW w:w="280" w:type="dxa"/>
            <w:vAlign w:val="bottom"/>
          </w:tcPr>
          <w:p>
            <w:pPr>
              <w:spacing w:after="0"/>
              <w:rPr>
                <w:sz w:val="24"/>
                <w:szCs w:val="24"/>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249,928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9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260"/>
              <w:spacing w:after="0"/>
              <w:rPr>
                <w:sz w:val="20"/>
                <w:szCs w:val="20"/>
                <w:color w:val="auto"/>
              </w:rPr>
            </w:pPr>
            <w:r>
              <w:rPr>
                <w:rFonts w:ascii="Arial" w:cs="Arial" w:eastAsia="Arial" w:hAnsi="Arial"/>
                <w:sz w:val="18"/>
                <w:szCs w:val="18"/>
                <w:color w:val="auto"/>
              </w:rPr>
              <w:t>Equity in losses of affiliates, net</w:t>
            </w:r>
          </w:p>
        </w:tc>
        <w:tc>
          <w:tcPr>
            <w:tcW w:w="800" w:type="dxa"/>
            <w:vAlign w:val="bottom"/>
          </w:tcPr>
          <w:p>
            <w:pPr>
              <w:spacing w:after="0"/>
              <w:rPr>
                <w:sz w:val="20"/>
                <w:szCs w:val="20"/>
                <w:color w:val="auto"/>
              </w:rPr>
            </w:pPr>
          </w:p>
        </w:tc>
        <w:tc>
          <w:tcPr>
            <w:tcW w:w="1940" w:type="dxa"/>
            <w:vAlign w:val="bottom"/>
            <w:gridSpan w:val="7"/>
          </w:tcPr>
          <w:p>
            <w:pPr>
              <w:jc w:val="right"/>
              <w:ind w:right="460"/>
              <w:spacing w:after="0"/>
              <w:rPr>
                <w:sz w:val="20"/>
                <w:szCs w:val="20"/>
                <w:color w:val="auto"/>
              </w:rPr>
            </w:pPr>
            <w:r>
              <w:rPr>
                <w:rFonts w:ascii="Arial" w:cs="Arial" w:eastAsia="Arial" w:hAnsi="Arial"/>
                <w:sz w:val="18"/>
                <w:szCs w:val="18"/>
                <w:color w:val="auto"/>
              </w:rPr>
              <w:t>(5,535)</w:t>
            </w:r>
          </w:p>
        </w:tc>
        <w:tc>
          <w:tcPr>
            <w:tcW w:w="1120" w:type="dxa"/>
            <w:vAlign w:val="bottom"/>
            <w:gridSpan w:val="7"/>
          </w:tcPr>
          <w:p>
            <w:pPr>
              <w:jc w:val="right"/>
              <w:ind w:right="240"/>
              <w:spacing w:after="0"/>
              <w:rPr>
                <w:sz w:val="20"/>
                <w:szCs w:val="20"/>
                <w:color w:val="auto"/>
              </w:rPr>
            </w:pPr>
            <w:r>
              <w:rPr>
                <w:rFonts w:ascii="Arial" w:cs="Arial" w:eastAsia="Arial" w:hAnsi="Arial"/>
                <w:sz w:val="18"/>
                <w:szCs w:val="18"/>
                <w:color w:val="auto"/>
              </w:rPr>
              <w:t>(8,890)</w:t>
            </w:r>
          </w:p>
        </w:tc>
        <w:tc>
          <w:tcPr>
            <w:tcW w:w="1660" w:type="dxa"/>
            <w:vAlign w:val="bottom"/>
            <w:gridSpan w:val="7"/>
          </w:tcPr>
          <w:p>
            <w:pPr>
              <w:jc w:val="right"/>
              <w:ind w:right="220"/>
              <w:spacing w:after="0"/>
              <w:rPr>
                <w:sz w:val="20"/>
                <w:szCs w:val="20"/>
                <w:color w:val="auto"/>
              </w:rPr>
            </w:pPr>
            <w:r>
              <w:rPr>
                <w:rFonts w:ascii="Arial" w:cs="Arial" w:eastAsia="Arial" w:hAnsi="Arial"/>
                <w:sz w:val="18"/>
                <w:szCs w:val="18"/>
                <w:color w:val="auto"/>
              </w:rPr>
              <w:t>(24,636)</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(29,666)</w:t>
            </w:r>
          </w:p>
        </w:tc>
        <w:tc>
          <w:tcPr>
            <w:tcW w:w="0" w:type="dxa"/>
            <w:vAlign w:val="bottom"/>
          </w:tcPr>
          <w:p>
            <w:pPr>
              <w:spacing w:after="0"/>
              <w:rPr>
                <w:sz w:val="1"/>
                <w:szCs w:val="1"/>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226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1,597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1940" w:type="dxa"/>
            <w:vAlign w:val="bottom"/>
            <w:gridSpan w:val="7"/>
          </w:tcPr>
          <w:p>
            <w:pPr>
              <w:jc w:val="right"/>
              <w:ind w:right="460"/>
              <w:spacing w:after="0"/>
              <w:rPr>
                <w:sz w:val="20"/>
                <w:szCs w:val="20"/>
                <w:color w:val="auto"/>
              </w:rPr>
            </w:pPr>
            <w:r>
              <w:rPr>
                <w:rFonts w:ascii="Arial" w:cs="Arial" w:eastAsia="Arial" w:hAnsi="Arial"/>
                <w:sz w:val="18"/>
                <w:szCs w:val="18"/>
                <w:color w:val="auto"/>
              </w:rPr>
              <w:t>(11,861)</w:t>
            </w:r>
          </w:p>
        </w:tc>
        <w:tc>
          <w:tcPr>
            <w:tcW w:w="1120" w:type="dxa"/>
            <w:vAlign w:val="bottom"/>
            <w:gridSpan w:val="7"/>
          </w:tcPr>
          <w:p>
            <w:pPr>
              <w:jc w:val="right"/>
              <w:ind w:right="240"/>
              <w:spacing w:after="0"/>
              <w:rPr>
                <w:sz w:val="20"/>
                <w:szCs w:val="20"/>
                <w:color w:val="auto"/>
              </w:rPr>
            </w:pPr>
            <w:r>
              <w:rPr>
                <w:rFonts w:ascii="Arial" w:cs="Arial" w:eastAsia="Arial" w:hAnsi="Arial"/>
                <w:sz w:val="18"/>
                <w:szCs w:val="18"/>
                <w:color w:val="auto"/>
              </w:rPr>
              <w:t>(14,617)</w:t>
            </w:r>
          </w:p>
        </w:tc>
        <w:tc>
          <w:tcPr>
            <w:tcW w:w="1660" w:type="dxa"/>
            <w:vAlign w:val="bottom"/>
            <w:gridSpan w:val="7"/>
          </w:tcPr>
          <w:p>
            <w:pPr>
              <w:jc w:val="right"/>
              <w:ind w:right="220"/>
              <w:spacing w:after="0"/>
              <w:rPr>
                <w:sz w:val="20"/>
                <w:szCs w:val="20"/>
                <w:color w:val="auto"/>
              </w:rPr>
            </w:pPr>
            <w:r>
              <w:rPr>
                <w:rFonts w:ascii="Arial" w:cs="Arial" w:eastAsia="Arial" w:hAnsi="Arial"/>
                <w:sz w:val="18"/>
                <w:szCs w:val="18"/>
                <w:color w:val="auto"/>
              </w:rPr>
              <w:t>(39,726)</w:t>
            </w:r>
          </w:p>
        </w:tc>
        <w:tc>
          <w:tcPr>
            <w:tcW w:w="1160" w:type="dxa"/>
            <w:vAlign w:val="bottom"/>
            <w:gridSpan w:val="8"/>
          </w:tcPr>
          <w:p>
            <w:pPr>
              <w:jc w:val="right"/>
              <w:spacing w:after="0"/>
              <w:rPr>
                <w:sz w:val="20"/>
                <w:szCs w:val="20"/>
                <w:color w:val="auto"/>
              </w:rPr>
            </w:pPr>
            <w:r>
              <w:rPr>
                <w:rFonts w:ascii="Arial" w:cs="Arial" w:eastAsia="Arial" w:hAnsi="Arial"/>
                <w:sz w:val="18"/>
                <w:szCs w:val="18"/>
                <w:color w:val="auto"/>
              </w:rPr>
              <w:t>(39,757)</w:t>
            </w:r>
          </w:p>
        </w:tc>
        <w:tc>
          <w:tcPr>
            <w:tcW w:w="0" w:type="dxa"/>
            <w:vAlign w:val="bottom"/>
          </w:tcPr>
          <w:p>
            <w:pPr>
              <w:spacing w:after="0"/>
              <w:rPr>
                <w:sz w:val="1"/>
                <w:szCs w:val="1"/>
                <w:color w:val="auto"/>
              </w:rPr>
            </w:pPr>
          </w:p>
        </w:tc>
      </w:tr>
      <w:tr>
        <w:trPr>
          <w:trHeight w:val="205"/>
        </w:trPr>
        <w:tc>
          <w:tcPr>
            <w:tcW w:w="2960" w:type="dxa"/>
            <w:vAlign w:val="bottom"/>
          </w:tcPr>
          <w:p>
            <w:pPr>
              <w:ind w:left="260"/>
              <w:spacing w:after="0" w:line="205" w:lineRule="exact"/>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17"/>
                <w:szCs w:val="17"/>
                <w:color w:val="auto"/>
              </w:rPr>
            </w:pPr>
          </w:p>
        </w:tc>
        <w:tc>
          <w:tcPr>
            <w:tcW w:w="840" w:type="dxa"/>
            <w:vAlign w:val="bottom"/>
            <w:gridSpan w:val="4"/>
          </w:tcPr>
          <w:p>
            <w:pPr>
              <w:spacing w:after="0"/>
              <w:rPr>
                <w:sz w:val="17"/>
                <w:szCs w:val="17"/>
                <w:color w:val="auto"/>
              </w:rPr>
            </w:pPr>
          </w:p>
        </w:tc>
        <w:tc>
          <w:tcPr>
            <w:tcW w:w="1100" w:type="dxa"/>
            <w:vAlign w:val="bottom"/>
            <w:gridSpan w:val="3"/>
          </w:tcPr>
          <w:p>
            <w:pPr>
              <w:jc w:val="right"/>
              <w:ind w:right="460"/>
              <w:spacing w:after="0" w:line="205" w:lineRule="exact"/>
              <w:rPr>
                <w:sz w:val="20"/>
                <w:szCs w:val="20"/>
                <w:color w:val="auto"/>
              </w:rPr>
            </w:pPr>
            <w:r>
              <w:rPr>
                <w:rFonts w:ascii="Arial" w:cs="Arial" w:eastAsia="Arial" w:hAnsi="Arial"/>
                <w:sz w:val="18"/>
                <w:szCs w:val="18"/>
                <w:color w:val="auto"/>
                <w:w w:val="92"/>
              </w:rPr>
              <w:t>(25,365)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Arial" w:cs="Arial" w:eastAsia="Arial" w:hAnsi="Arial"/>
                <w:sz w:val="18"/>
                <w:szCs w:val="18"/>
                <w:color w:val="auto"/>
              </w:rPr>
              <w:t>238</w:t>
            </w:r>
          </w:p>
        </w:tc>
        <w:tc>
          <w:tcPr>
            <w:tcW w:w="280" w:type="dxa"/>
            <w:vAlign w:val="bottom"/>
          </w:tcPr>
          <w:p>
            <w:pPr>
              <w:spacing w:after="0"/>
              <w:rPr>
                <w:sz w:val="17"/>
                <w:szCs w:val="17"/>
                <w:color w:val="auto"/>
              </w:rPr>
            </w:pPr>
          </w:p>
        </w:tc>
        <w:tc>
          <w:tcPr>
            <w:tcW w:w="13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272,688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right w:val="single" w:sz="8" w:color="auto"/>
            </w:tcBorders>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24"/>
                <w:szCs w:val="24"/>
                <w:color w:val="auto"/>
              </w:rPr>
            </w:pPr>
          </w:p>
        </w:tc>
        <w:tc>
          <w:tcPr>
            <w:tcW w:w="840" w:type="dxa"/>
            <w:vAlign w:val="bottom"/>
            <w:gridSpan w:val="4"/>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4,418</w:t>
            </w:r>
          </w:p>
        </w:tc>
        <w:tc>
          <w:tcPr>
            <w:tcW w:w="52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61,516</w:t>
            </w:r>
          </w:p>
        </w:tc>
        <w:tc>
          <w:tcPr>
            <w:tcW w:w="28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356,714</w:t>
            </w:r>
          </w:p>
        </w:tc>
        <w:tc>
          <w:tcPr>
            <w:tcW w:w="28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176,062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24"/>
                <w:szCs w:val="24"/>
                <w:color w:val="auto"/>
              </w:rPr>
            </w:pPr>
          </w:p>
        </w:tc>
        <w:tc>
          <w:tcPr>
            <w:tcW w:w="840" w:type="dxa"/>
            <w:vAlign w:val="bottom"/>
            <w:gridSpan w:val="4"/>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2,850</w:t>
            </w:r>
          </w:p>
        </w:tc>
        <w:tc>
          <w:tcPr>
            <w:tcW w:w="52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28,000</w:t>
            </w:r>
          </w:p>
        </w:tc>
        <w:tc>
          <w:tcPr>
            <w:tcW w:w="28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141,600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77,300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1,568</w:t>
            </w:r>
          </w:p>
        </w:tc>
        <w:tc>
          <w:tcPr>
            <w:tcW w:w="52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33,516</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215,114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98,762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76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920" w:type="dxa"/>
            <w:vAlign w:val="bottom"/>
            <w:gridSpan w:val="5"/>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1660" w:type="dxa"/>
            <w:vAlign w:val="bottom"/>
            <w:gridSpan w:val="7"/>
          </w:tcPr>
          <w:p>
            <w:pPr>
              <w:jc w:val="right"/>
              <w:ind w:right="220"/>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$1,305</w:t>
            </w:r>
          </w:p>
        </w:tc>
        <w:tc>
          <w:tcPr>
            <w:tcW w:w="52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$ 33,253</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$ 214,062</w:t>
            </w:r>
          </w:p>
        </w:tc>
        <w:tc>
          <w:tcPr>
            <w:tcW w:w="280" w:type="dxa"/>
            <w:vAlign w:val="bottom"/>
          </w:tcPr>
          <w:p>
            <w:pPr>
              <w:spacing w:after="0"/>
              <w:rPr>
                <w:sz w:val="24"/>
                <w:szCs w:val="24"/>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$ 97,736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29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0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$ 0.14</w:t>
            </w:r>
          </w:p>
        </w:tc>
        <w:tc>
          <w:tcPr>
            <w:tcW w:w="520" w:type="dxa"/>
            <w:vAlign w:val="bottom"/>
          </w:tcPr>
          <w:p>
            <w:pPr>
              <w:spacing w:after="0"/>
              <w:rPr>
                <w:sz w:val="24"/>
                <w:szCs w:val="24"/>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$22.57</w:t>
            </w:r>
          </w:p>
        </w:tc>
        <w:tc>
          <w:tcPr>
            <w:tcW w:w="280" w:type="dxa"/>
            <w:vAlign w:val="bottom"/>
          </w:tcPr>
          <w:p>
            <w:pPr>
              <w:spacing w:after="0"/>
              <w:rPr>
                <w:sz w:val="24"/>
                <w:szCs w:val="24"/>
                <w:color w:val="auto"/>
              </w:rPr>
            </w:pP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29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0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$ 0.14</w:t>
            </w:r>
          </w:p>
        </w:tc>
        <w:tc>
          <w:tcPr>
            <w:tcW w:w="520" w:type="dxa"/>
            <w:vAlign w:val="bottom"/>
          </w:tcPr>
          <w:p>
            <w:pPr>
              <w:spacing w:after="0"/>
              <w:rPr>
                <w:sz w:val="24"/>
                <w:szCs w:val="24"/>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$ 22.53</w:t>
            </w:r>
          </w:p>
        </w:tc>
        <w:tc>
          <w:tcPr>
            <w:tcW w:w="280" w:type="dxa"/>
            <w:vAlign w:val="bottom"/>
          </w:tcPr>
          <w:p>
            <w:pPr>
              <w:spacing w:after="0"/>
              <w:rPr>
                <w:sz w:val="24"/>
                <w:szCs w:val="24"/>
                <w:color w:val="auto"/>
              </w:rPr>
            </w:pP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376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$ 1.40</w:t>
            </w:r>
          </w:p>
        </w:tc>
        <w:tc>
          <w:tcPr>
            <w:tcW w:w="520" w:type="dxa"/>
            <w:vAlign w:val="bottom"/>
          </w:tcPr>
          <w:p>
            <w:pPr>
              <w:spacing w:after="0"/>
              <w:rPr>
                <w:sz w:val="24"/>
                <w:szCs w:val="24"/>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$ 5.60</w:t>
            </w:r>
          </w:p>
        </w:tc>
        <w:tc>
          <w:tcPr>
            <w:tcW w:w="280" w:type="dxa"/>
            <w:vAlign w:val="bottom"/>
          </w:tcPr>
          <w:p>
            <w:pPr>
              <w:spacing w:after="0"/>
              <w:rPr>
                <w:sz w:val="24"/>
                <w:szCs w:val="24"/>
                <w:color w:val="auto"/>
              </w:rPr>
            </w:pP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60" w:type="dxa"/>
            <w:vAlign w:val="bottom"/>
            <w:vMerge w:val="restart"/>
          </w:tcPr>
          <w:p>
            <w:pPr>
              <w:spacing w:after="0"/>
              <w:rPr>
                <w:sz w:val="20"/>
                <w:szCs w:val="20"/>
                <w:color w:val="auto"/>
              </w:rPr>
            </w:pPr>
            <w:r>
              <w:rPr>
                <w:rFonts w:ascii="Arial" w:cs="Arial" w:eastAsia="Arial" w:hAnsi="Arial"/>
                <w:sz w:val="18"/>
                <w:szCs w:val="18"/>
                <w:color w:val="auto"/>
              </w:rPr>
              <w:t>Basic average number of common</w:t>
            </w:r>
          </w:p>
        </w:tc>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296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60" w:type="dxa"/>
            <w:vAlign w:val="bottom"/>
          </w:tcPr>
          <w:p>
            <w:pPr>
              <w:spacing w:after="0"/>
              <w:rPr>
                <w:sz w:val="20"/>
                <w:szCs w:val="20"/>
                <w:color w:val="auto"/>
              </w:rPr>
            </w:pPr>
            <w:r>
              <w:rPr>
                <w:rFonts w:ascii="Arial" w:cs="Arial" w:eastAsia="Arial" w:hAnsi="Arial"/>
                <w:sz w:val="18"/>
                <w:szCs w:val="18"/>
                <w:color w:val="auto"/>
              </w:rPr>
              <w:t>outstanding</w:t>
            </w:r>
          </w:p>
        </w:tc>
        <w:tc>
          <w:tcPr>
            <w:tcW w:w="80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9,489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9,448</w:t>
            </w:r>
          </w:p>
        </w:tc>
        <w:tc>
          <w:tcPr>
            <w:tcW w:w="280" w:type="dxa"/>
            <w:vAlign w:val="bottom"/>
          </w:tcPr>
          <w:p>
            <w:pPr>
              <w:spacing w:after="0"/>
              <w:rPr>
                <w:sz w:val="18"/>
                <w:szCs w:val="18"/>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9,484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2960" w:type="dxa"/>
            <w:vAlign w:val="bottom"/>
          </w:tcPr>
          <w:p>
            <w:pPr>
              <w:spacing w:after="0"/>
              <w:rPr>
                <w:sz w:val="20"/>
                <w:szCs w:val="20"/>
                <w:color w:val="auto"/>
              </w:rPr>
            </w:pPr>
            <w:r>
              <w:rPr>
                <w:rFonts w:ascii="Arial" w:cs="Arial" w:eastAsia="Arial" w:hAnsi="Arial"/>
                <w:sz w:val="18"/>
                <w:szCs w:val="18"/>
                <w:color w:val="auto"/>
              </w:rPr>
              <w:t>Diluted average number of common</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8"/>
                <w:szCs w:val="18"/>
                <w:color w:val="auto"/>
              </w:rPr>
              <w:t>shares outstanding</w:t>
            </w:r>
          </w:p>
        </w:tc>
        <w:tc>
          <w:tcPr>
            <w:tcW w:w="80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9,502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9,463</w:t>
            </w:r>
          </w:p>
        </w:tc>
        <w:tc>
          <w:tcPr>
            <w:tcW w:w="280" w:type="dxa"/>
            <w:vAlign w:val="bottom"/>
          </w:tcPr>
          <w:p>
            <w:pPr>
              <w:spacing w:after="0"/>
              <w:rPr>
                <w:sz w:val="18"/>
                <w:szCs w:val="18"/>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9,500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-2264410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-2264410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-2264410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-2264410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-2264410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-2264410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-2264410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-2264410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-1818005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-1818005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-1818005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-1818005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-1818005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-1818005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-1818005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-1818005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-1372235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-1372235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-1372235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-1372235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-1372235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-1372235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-1372235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-1372235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-926465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-926465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-926465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-926465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-926465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-926465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-926465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-926465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90" w:lineRule="exact"/>
        <w:rPr>
          <w:sz w:val="20"/>
          <w:szCs w:val="20"/>
          <w:color w:val="auto"/>
        </w:rPr>
      </w:pPr>
    </w:p>
    <w:p>
      <w:pPr>
        <w:ind w:left="4160"/>
        <w:spacing w:after="0"/>
        <w:tabs>
          <w:tab w:leader="none" w:pos="7060" w:val="left"/>
        </w:tabs>
        <w:rPr>
          <w:sz w:val="20"/>
          <w:szCs w:val="20"/>
          <w:color w:val="auto"/>
        </w:rPr>
      </w:pPr>
      <w:r>
        <w:rPr>
          <w:rFonts w:ascii="Arial" w:cs="Arial" w:eastAsia="Arial" w:hAnsi="Arial"/>
          <w:sz w:val="18"/>
          <w:szCs w:val="18"/>
          <w:b w:val="1"/>
          <w:bCs w:val="1"/>
          <w:color w:val="auto"/>
        </w:rPr>
        <w:t>Thirteen Weeks Ended</w:t>
      </w:r>
      <w:r>
        <w:rPr>
          <w:sz w:val="20"/>
          <w:szCs w:val="20"/>
          <w:color w:val="auto"/>
        </w:rPr>
        <w:tab/>
      </w:r>
      <w:r>
        <w:rPr>
          <w:rFonts w:ascii="Arial" w:cs="Arial" w:eastAsia="Arial" w:hAnsi="Arial"/>
          <w:sz w:val="16"/>
          <w:szCs w:val="16"/>
          <w:b w:val="1"/>
          <w:bCs w:val="1"/>
          <w:color w:val="auto"/>
        </w:rPr>
        <w:t>Thirty-nine Weeks Ended</w:t>
      </w:r>
    </w:p>
    <w:p>
      <w:pPr>
        <w:sectPr>
          <w:pgSz w:w="11900" w:h="16838" w:orient="portrait"/>
          <w:cols w:equalWidth="0" w:num="1">
            <w:col w:w="11420"/>
          </w:cols>
          <w:pgMar w:left="240" w:top="143" w:right="239" w:bottom="0" w:gutter="0" w:footer="0" w:header="0"/>
        </w:sectPr>
      </w:pPr>
    </w:p>
    <w:bookmarkStart w:id="2" w:name="page3"/>
    <w:bookmarkEnd w:id="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800" w:type="dxa"/>
            <w:vAlign w:val="bottom"/>
            <w:gridSpan w:val="7"/>
          </w:tcPr>
          <w:p>
            <w:pPr>
              <w:jc w:val="right"/>
              <w:ind w:right="300"/>
              <w:spacing w:after="0"/>
              <w:rPr>
                <w:sz w:val="20"/>
                <w:szCs w:val="20"/>
                <w:color w:val="auto"/>
              </w:rPr>
            </w:pPr>
            <w:r>
              <w:rPr>
                <w:rFonts w:ascii="Arial" w:cs="Arial" w:eastAsia="Arial" w:hAnsi="Arial"/>
                <w:sz w:val="18"/>
                <w:szCs w:val="18"/>
                <w:color w:val="auto"/>
              </w:rPr>
              <w:t>September 30,</w:t>
            </w:r>
          </w:p>
        </w:tc>
        <w:tc>
          <w:tcPr>
            <w:tcW w:w="1340" w:type="dxa"/>
            <w:vAlign w:val="bottom"/>
            <w:gridSpan w:val="6"/>
          </w:tcPr>
          <w:p>
            <w:pPr>
              <w:jc w:val="right"/>
              <w:ind w:right="300"/>
              <w:spacing w:after="0"/>
              <w:rPr>
                <w:sz w:val="20"/>
                <w:szCs w:val="20"/>
                <w:color w:val="auto"/>
              </w:rPr>
            </w:pPr>
            <w:r>
              <w:rPr>
                <w:rFonts w:ascii="Arial" w:cs="Arial" w:eastAsia="Arial" w:hAnsi="Arial"/>
                <w:sz w:val="18"/>
                <w:szCs w:val="18"/>
                <w:color w:val="auto"/>
              </w:rPr>
              <w:t>October 1,</w:t>
            </w:r>
          </w:p>
        </w:tc>
        <w:tc>
          <w:tcPr>
            <w:tcW w:w="1920" w:type="dxa"/>
            <w:vAlign w:val="bottom"/>
            <w:gridSpan w:val="7"/>
          </w:tcPr>
          <w:p>
            <w:pPr>
              <w:jc w:val="right"/>
              <w:ind w:right="540"/>
              <w:spacing w:after="0"/>
              <w:rPr>
                <w:sz w:val="20"/>
                <w:szCs w:val="20"/>
                <w:color w:val="auto"/>
              </w:rPr>
            </w:pPr>
            <w:r>
              <w:rPr>
                <w:rFonts w:ascii="Arial" w:cs="Arial" w:eastAsia="Arial" w:hAnsi="Arial"/>
                <w:sz w:val="18"/>
                <w:szCs w:val="18"/>
                <w:color w:val="auto"/>
              </w:rPr>
              <w:t>September 30,</w:t>
            </w:r>
          </w:p>
        </w:tc>
        <w:tc>
          <w:tcPr>
            <w:tcW w:w="900" w:type="dxa"/>
            <w:vAlign w:val="bottom"/>
            <w:gridSpan w:val="7"/>
          </w:tcPr>
          <w:p>
            <w:pPr>
              <w:jc w:val="right"/>
              <w:ind w:right="60"/>
              <w:spacing w:after="0"/>
              <w:rPr>
                <w:sz w:val="20"/>
                <w:szCs w:val="20"/>
                <w:color w:val="auto"/>
              </w:rPr>
            </w:pPr>
            <w:r>
              <w:rPr>
                <w:rFonts w:ascii="Arial" w:cs="Arial" w:eastAsia="Arial" w:hAnsi="Arial"/>
                <w:sz w:val="18"/>
                <w:szCs w:val="18"/>
                <w:color w:val="auto"/>
                <w:w w:val="97"/>
              </w:rPr>
              <w:t>October 1,</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(In thousands)</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1"/>
                <w:szCs w:val="21"/>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r>
      <w:tr>
        <w:trPr>
          <w:trHeight w:val="448"/>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$ 1,568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$ 33,516</w:t>
            </w:r>
          </w:p>
        </w:tc>
        <w:tc>
          <w:tcPr>
            <w:tcW w:w="26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$215,114</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$ 98,762</w:t>
            </w:r>
          </w:p>
        </w:tc>
        <w:tc>
          <w:tcPr>
            <w:tcW w:w="40" w:type="dxa"/>
            <w:vAlign w:val="bottom"/>
          </w:tcPr>
          <w:p>
            <w:pPr>
              <w:spacing w:after="0"/>
              <w:rPr>
                <w:sz w:val="24"/>
                <w:szCs w:val="24"/>
                <w:color w:val="auto"/>
              </w:rPr>
            </w:pPr>
          </w:p>
        </w:tc>
      </w:tr>
      <w:tr>
        <w:trPr>
          <w:trHeight w:val="505"/>
        </w:trPr>
        <w:tc>
          <w:tcPr>
            <w:tcW w:w="3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36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800" w:type="dxa"/>
            <w:vAlign w:val="bottom"/>
            <w:gridSpan w:val="7"/>
          </w:tcPr>
          <w:p>
            <w:pPr>
              <w:jc w:val="right"/>
              <w:ind w:right="240"/>
              <w:spacing w:after="0"/>
              <w:rPr>
                <w:sz w:val="20"/>
                <w:szCs w:val="20"/>
                <w:color w:val="auto"/>
              </w:rPr>
            </w:pPr>
            <w:r>
              <w:rPr>
                <w:rFonts w:ascii="Arial" w:cs="Arial" w:eastAsia="Arial" w:hAnsi="Arial"/>
                <w:sz w:val="18"/>
                <w:szCs w:val="18"/>
                <w:color w:val="auto"/>
              </w:rPr>
              <w:t>(423)</w:t>
            </w:r>
          </w:p>
        </w:tc>
        <w:tc>
          <w:tcPr>
            <w:tcW w:w="1340" w:type="dxa"/>
            <w:vAlign w:val="bottom"/>
            <w:gridSpan w:val="6"/>
          </w:tcPr>
          <w:p>
            <w:pPr>
              <w:jc w:val="right"/>
              <w:ind w:right="220"/>
              <w:spacing w:after="0"/>
              <w:rPr>
                <w:sz w:val="20"/>
                <w:szCs w:val="20"/>
                <w:color w:val="auto"/>
              </w:rPr>
            </w:pPr>
            <w:r>
              <w:rPr>
                <w:rFonts w:ascii="Arial" w:cs="Arial" w:eastAsia="Arial" w:hAnsi="Arial"/>
                <w:sz w:val="18"/>
                <w:szCs w:val="18"/>
                <w:color w:val="auto"/>
              </w:rPr>
              <w:t>(2,266)</w:t>
            </w:r>
          </w:p>
        </w:tc>
        <w:tc>
          <w:tcPr>
            <w:tcW w:w="1920" w:type="dxa"/>
            <w:vAlign w:val="bottom"/>
            <w:gridSpan w:val="7"/>
          </w:tcPr>
          <w:p>
            <w:pPr>
              <w:jc w:val="right"/>
              <w:ind w:right="460"/>
              <w:spacing w:after="0"/>
              <w:rPr>
                <w:sz w:val="20"/>
                <w:szCs w:val="20"/>
                <w:color w:val="auto"/>
              </w:rPr>
            </w:pPr>
            <w:r>
              <w:rPr>
                <w:rFonts w:ascii="Arial" w:cs="Arial" w:eastAsia="Arial" w:hAnsi="Arial"/>
                <w:sz w:val="18"/>
                <w:szCs w:val="18"/>
                <w:color w:val="auto"/>
              </w:rPr>
              <w:t>(3,799)</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(3,445)</w:t>
            </w:r>
          </w:p>
        </w:tc>
      </w:tr>
      <w:tr>
        <w:trPr>
          <w:trHeight w:val="243"/>
        </w:trPr>
        <w:tc>
          <w:tcPr>
            <w:tcW w:w="3660" w:type="dxa"/>
            <w:vAlign w:val="bottom"/>
          </w:tcPr>
          <w:p>
            <w:pPr>
              <w:ind w:left="260"/>
              <w:spacing w:after="0"/>
              <w:rPr>
                <w:sz w:val="20"/>
                <w:szCs w:val="20"/>
                <w:color w:val="auto"/>
              </w:rPr>
            </w:pPr>
            <w:r>
              <w:rPr>
                <w:rFonts w:ascii="Arial" w:cs="Arial" w:eastAsia="Arial" w:hAnsi="Arial"/>
                <w:sz w:val="18"/>
                <w:szCs w:val="18"/>
                <w:color w:val="auto"/>
              </w:rPr>
              <w:t>Change in unrealized gain on</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660" w:type="dxa"/>
            <w:vAlign w:val="bottom"/>
          </w:tcPr>
          <w:p>
            <w:pPr>
              <w:ind w:left="400"/>
              <w:spacing w:after="0"/>
              <w:rPr>
                <w:sz w:val="20"/>
                <w:szCs w:val="20"/>
                <w:color w:val="auto"/>
              </w:rPr>
            </w:pPr>
            <w:r>
              <w:rPr>
                <w:rFonts w:ascii="Arial" w:cs="Arial" w:eastAsia="Arial" w:hAnsi="Arial"/>
                <w:sz w:val="18"/>
                <w:szCs w:val="18"/>
                <w:color w:val="auto"/>
              </w:rPr>
              <w:t>available-for-sale securities</w:t>
            </w:r>
          </w:p>
        </w:tc>
        <w:tc>
          <w:tcPr>
            <w:tcW w:w="1800" w:type="dxa"/>
            <w:vAlign w:val="bottom"/>
            <w:gridSpan w:val="7"/>
          </w:tcPr>
          <w:p>
            <w:pPr>
              <w:jc w:val="right"/>
              <w:ind w:right="240"/>
              <w:spacing w:after="0"/>
              <w:rPr>
                <w:sz w:val="20"/>
                <w:szCs w:val="20"/>
                <w:color w:val="auto"/>
              </w:rPr>
            </w:pPr>
            <w:r>
              <w:rPr>
                <w:rFonts w:ascii="Arial" w:cs="Arial" w:eastAsia="Arial" w:hAnsi="Arial"/>
                <w:sz w:val="18"/>
                <w:szCs w:val="18"/>
                <w:color w:val="auto"/>
              </w:rPr>
              <w:t>(3,439)</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30,296</w:t>
            </w:r>
          </w:p>
        </w:tc>
        <w:tc>
          <w:tcPr>
            <w:tcW w:w="260" w:type="dxa"/>
            <w:vAlign w:val="bottom"/>
          </w:tcPr>
          <w:p>
            <w:pPr>
              <w:spacing w:after="0"/>
              <w:rPr>
                <w:sz w:val="21"/>
                <w:szCs w:val="21"/>
                <w:color w:val="auto"/>
              </w:rPr>
            </w:pPr>
          </w:p>
        </w:tc>
        <w:tc>
          <w:tcPr>
            <w:tcW w:w="1920" w:type="dxa"/>
            <w:vAlign w:val="bottom"/>
            <w:gridSpan w:val="7"/>
          </w:tcPr>
          <w:p>
            <w:pPr>
              <w:jc w:val="right"/>
              <w:ind w:right="460"/>
              <w:spacing w:after="0"/>
              <w:rPr>
                <w:sz w:val="20"/>
                <w:szCs w:val="20"/>
                <w:color w:val="auto"/>
              </w:rPr>
            </w:pPr>
            <w:r>
              <w:rPr>
                <w:rFonts w:ascii="Arial" w:cs="Arial" w:eastAsia="Arial" w:hAnsi="Arial"/>
                <w:sz w:val="18"/>
                <w:szCs w:val="18"/>
                <w:color w:val="auto"/>
              </w:rPr>
              <w:t>(2,067)</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660" w:type="dxa"/>
            <w:vAlign w:val="bottom"/>
          </w:tcPr>
          <w:p>
            <w:pPr>
              <w:ind w:left="260"/>
              <w:spacing w:after="0"/>
              <w:rPr>
                <w:sz w:val="20"/>
                <w:szCs w:val="20"/>
                <w:color w:val="auto"/>
              </w:rPr>
            </w:pPr>
            <w:r>
              <w:rPr>
                <w:rFonts w:ascii="Arial" w:cs="Arial" w:eastAsia="Arial" w:hAnsi="Arial"/>
                <w:sz w:val="18"/>
                <w:szCs w:val="18"/>
                <w:color w:val="auto"/>
              </w:rPr>
              <w:t>Less: reclassification adjustment</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660" w:type="dxa"/>
            <w:vAlign w:val="bottom"/>
          </w:tcPr>
          <w:p>
            <w:pPr>
              <w:ind w:left="400"/>
              <w:spacing w:after="0"/>
              <w:rPr>
                <w:sz w:val="20"/>
                <w:szCs w:val="20"/>
                <w:color w:val="auto"/>
              </w:rPr>
            </w:pPr>
            <w:r>
              <w:rPr>
                <w:rFonts w:ascii="Arial" w:cs="Arial" w:eastAsia="Arial" w:hAnsi="Arial"/>
                <w:sz w:val="18"/>
                <w:szCs w:val="18"/>
                <w:color w:val="auto"/>
              </w:rPr>
              <w:t>for realized gains included in</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5"/>
        </w:trPr>
        <w:tc>
          <w:tcPr>
            <w:tcW w:w="3660" w:type="dxa"/>
            <w:vAlign w:val="bottom"/>
          </w:tcPr>
          <w:p>
            <w:pPr>
              <w:ind w:left="400"/>
              <w:spacing w:after="0" w:line="205" w:lineRule="exact"/>
              <w:rPr>
                <w:sz w:val="20"/>
                <w:szCs w:val="20"/>
                <w:color w:val="auto"/>
              </w:rPr>
            </w:pPr>
            <w:r>
              <w:rPr>
                <w:rFonts w:ascii="Arial" w:cs="Arial" w:eastAsia="Arial" w:hAnsi="Arial"/>
                <w:sz w:val="18"/>
                <w:szCs w:val="18"/>
                <w:color w:val="auto"/>
              </w:rPr>
              <w:t>net income</w:t>
            </w:r>
          </w:p>
        </w:tc>
        <w:tc>
          <w:tcPr>
            <w:tcW w:w="1060" w:type="dxa"/>
            <w:vAlign w:val="bottom"/>
            <w:gridSpan w:val="4"/>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4"/>
          </w:tcPr>
          <w:p>
            <w:pPr>
              <w:spacing w:after="0"/>
              <w:rPr>
                <w:sz w:val="17"/>
                <w:szCs w:val="17"/>
                <w:color w:val="auto"/>
              </w:rPr>
            </w:pP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00" w:type="dxa"/>
            <w:vAlign w:val="bottom"/>
            <w:gridSpan w:val="4"/>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color w:val="auto"/>
              </w:rPr>
              <w:t>3,238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4"/>
          </w:tcPr>
          <w:p>
            <w:pPr>
              <w:spacing w:after="0"/>
              <w:rPr>
                <w:sz w:val="17"/>
                <w:szCs w:val="17"/>
                <w:color w:val="auto"/>
              </w:rPr>
            </w:pPr>
          </w:p>
        </w:tc>
        <w:tc>
          <w:tcPr>
            <w:tcW w:w="5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(197)</w:t>
            </w:r>
          </w:p>
        </w:tc>
      </w:tr>
      <w:tr>
        <w:trPr>
          <w:trHeight w:val="20"/>
        </w:trPr>
        <w:tc>
          <w:tcPr>
            <w:tcW w:w="3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2"/>
        </w:trPr>
        <w:tc>
          <w:tcPr>
            <w:tcW w:w="3660" w:type="dxa"/>
            <w:vAlign w:val="bottom"/>
          </w:tcPr>
          <w:p>
            <w:pPr>
              <w:spacing w:after="0"/>
              <w:rPr>
                <w:sz w:val="22"/>
                <w:szCs w:val="22"/>
                <w:color w:val="auto"/>
              </w:rPr>
            </w:pPr>
          </w:p>
        </w:tc>
        <w:tc>
          <w:tcPr>
            <w:tcW w:w="1800" w:type="dxa"/>
            <w:vAlign w:val="bottom"/>
            <w:gridSpan w:val="7"/>
          </w:tcPr>
          <w:p>
            <w:pPr>
              <w:jc w:val="right"/>
              <w:ind w:right="240"/>
              <w:spacing w:after="0"/>
              <w:rPr>
                <w:sz w:val="20"/>
                <w:szCs w:val="20"/>
                <w:color w:val="auto"/>
              </w:rPr>
            </w:pPr>
            <w:r>
              <w:rPr>
                <w:rFonts w:ascii="Arial" w:cs="Arial" w:eastAsia="Arial" w:hAnsi="Arial"/>
                <w:sz w:val="18"/>
                <w:szCs w:val="18"/>
                <w:color w:val="auto"/>
              </w:rPr>
              <w:t>(3,838)</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28,030</w:t>
            </w:r>
          </w:p>
        </w:tc>
        <w:tc>
          <w:tcPr>
            <w:tcW w:w="260" w:type="dxa"/>
            <w:vAlign w:val="bottom"/>
          </w:tcPr>
          <w:p>
            <w:pPr>
              <w:spacing w:after="0"/>
              <w:rPr>
                <w:sz w:val="22"/>
                <w:szCs w:val="22"/>
                <w:color w:val="auto"/>
              </w:rPr>
            </w:pPr>
          </w:p>
        </w:tc>
        <w:tc>
          <w:tcPr>
            <w:tcW w:w="1920" w:type="dxa"/>
            <w:vAlign w:val="bottom"/>
            <w:gridSpan w:val="7"/>
          </w:tcPr>
          <w:p>
            <w:pPr>
              <w:jc w:val="right"/>
              <w:ind w:right="460"/>
              <w:spacing w:after="0"/>
              <w:rPr>
                <w:sz w:val="20"/>
                <w:szCs w:val="20"/>
                <w:color w:val="auto"/>
              </w:rPr>
            </w:pPr>
            <w:r>
              <w:rPr>
                <w:rFonts w:ascii="Arial" w:cs="Arial" w:eastAsia="Arial" w:hAnsi="Arial"/>
                <w:sz w:val="18"/>
                <w:szCs w:val="18"/>
                <w:color w:val="auto"/>
              </w:rPr>
              <w:t>(2,628)</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(1,766)</w:t>
            </w:r>
          </w:p>
        </w:tc>
      </w:tr>
      <w:tr>
        <w:trPr>
          <w:trHeight w:val="486"/>
        </w:trPr>
        <w:tc>
          <w:tcPr>
            <w:tcW w:w="3660" w:type="dxa"/>
            <w:vAlign w:val="bottom"/>
          </w:tcPr>
          <w:p>
            <w:pPr>
              <w:spacing w:after="0"/>
              <w:rPr>
                <w:sz w:val="20"/>
                <w:szCs w:val="20"/>
                <w:color w:val="auto"/>
              </w:rPr>
            </w:pPr>
            <w:r>
              <w:rPr>
                <w:rFonts w:ascii="Arial" w:cs="Arial" w:eastAsia="Arial" w:hAnsi="Arial"/>
                <w:sz w:val="18"/>
                <w:szCs w:val="18"/>
                <w:color w:val="auto"/>
              </w:rPr>
              <w:t>Income tax benefit (expense) related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3660" w:type="dxa"/>
            <w:vAlign w:val="bottom"/>
          </w:tcPr>
          <w:p>
            <w:pPr>
              <w:ind w:left="260"/>
              <w:spacing w:after="0" w:line="205" w:lineRule="exact"/>
              <w:rPr>
                <w:sz w:val="20"/>
                <w:szCs w:val="20"/>
                <w:color w:val="auto"/>
              </w:rPr>
            </w:pPr>
            <w:r>
              <w:rPr>
                <w:rFonts w:ascii="Arial" w:cs="Arial" w:eastAsia="Arial" w:hAnsi="Arial"/>
                <w:sz w:val="18"/>
                <w:szCs w:val="18"/>
                <w:color w:val="auto"/>
              </w:rPr>
              <w:t>to other comprehensive loss</w:t>
            </w:r>
          </w:p>
        </w:tc>
        <w:tc>
          <w:tcPr>
            <w:tcW w:w="980" w:type="dxa"/>
            <w:vAlign w:val="bottom"/>
            <w:gridSpan w:val="3"/>
          </w:tcPr>
          <w:p>
            <w:pPr>
              <w:spacing w:after="0"/>
              <w:rPr>
                <w:sz w:val="17"/>
                <w:szCs w:val="17"/>
                <w:color w:val="auto"/>
              </w:rPr>
            </w:pPr>
          </w:p>
        </w:tc>
        <w:tc>
          <w:tcPr>
            <w:tcW w:w="5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1,333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6"/>
          </w:tcPr>
          <w:p>
            <w:pPr>
              <w:jc w:val="right"/>
              <w:ind w:right="220"/>
              <w:spacing w:after="0" w:line="205" w:lineRule="exact"/>
              <w:rPr>
                <w:sz w:val="20"/>
                <w:szCs w:val="20"/>
                <w:color w:val="auto"/>
              </w:rPr>
            </w:pPr>
            <w:r>
              <w:rPr>
                <w:rFonts w:ascii="Arial" w:cs="Arial" w:eastAsia="Arial" w:hAnsi="Arial"/>
                <w:sz w:val="18"/>
                <w:szCs w:val="18"/>
                <w:color w:val="auto"/>
              </w:rPr>
              <w:t>(11,757)</w:t>
            </w:r>
          </w:p>
        </w:tc>
        <w:tc>
          <w:tcPr>
            <w:tcW w:w="1920" w:type="dxa"/>
            <w:vAlign w:val="bottom"/>
            <w:gridSpan w:val="7"/>
          </w:tcPr>
          <w:p>
            <w:pPr>
              <w:jc w:val="right"/>
              <w:ind w:right="460"/>
              <w:spacing w:after="0" w:line="205" w:lineRule="exact"/>
              <w:rPr>
                <w:sz w:val="20"/>
                <w:szCs w:val="20"/>
                <w:color w:val="auto"/>
              </w:rPr>
            </w:pPr>
            <w:r>
              <w:rPr>
                <w:rFonts w:ascii="Arial" w:cs="Arial" w:eastAsia="Arial" w:hAnsi="Arial"/>
                <w:sz w:val="18"/>
                <w:szCs w:val="18"/>
                <w:color w:val="auto"/>
              </w:rPr>
              <w:t>(513)</w:t>
            </w:r>
          </w:p>
        </w:tc>
        <w:tc>
          <w:tcPr>
            <w:tcW w:w="900" w:type="dxa"/>
            <w:vAlign w:val="bottom"/>
            <w:gridSpan w:val="7"/>
          </w:tcPr>
          <w:p>
            <w:pPr>
              <w:jc w:val="right"/>
              <w:spacing w:after="0" w:line="205" w:lineRule="exact"/>
              <w:rPr>
                <w:sz w:val="20"/>
                <w:szCs w:val="20"/>
                <w:color w:val="auto"/>
              </w:rPr>
            </w:pPr>
            <w:r>
              <w:rPr>
                <w:rFonts w:ascii="Arial" w:cs="Arial" w:eastAsia="Arial" w:hAnsi="Arial"/>
                <w:sz w:val="18"/>
                <w:szCs w:val="18"/>
                <w:color w:val="auto"/>
              </w:rPr>
              <w:t>(564)</w:t>
            </w:r>
          </w:p>
        </w:tc>
      </w:tr>
      <w:tr>
        <w:trPr>
          <w:trHeight w:val="20"/>
        </w:trPr>
        <w:tc>
          <w:tcPr>
            <w:tcW w:w="3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36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w w:val="98"/>
              </w:rPr>
              <w:t>(2,505)</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16,273</w:t>
            </w:r>
          </w:p>
        </w:tc>
        <w:tc>
          <w:tcPr>
            <w:tcW w:w="260" w:type="dxa"/>
            <w:vAlign w:val="bottom"/>
          </w:tcPr>
          <w:p>
            <w:pPr>
              <w:spacing w:after="0"/>
              <w:rPr>
                <w:sz w:val="19"/>
                <w:szCs w:val="19"/>
                <w:color w:val="auto"/>
              </w:rPr>
            </w:pPr>
          </w:p>
        </w:tc>
        <w:tc>
          <w:tcPr>
            <w:tcW w:w="1920" w:type="dxa"/>
            <w:vAlign w:val="bottom"/>
            <w:gridSpan w:val="7"/>
          </w:tcPr>
          <w:p>
            <w:pPr>
              <w:jc w:val="right"/>
              <w:ind w:right="460"/>
              <w:spacing w:after="0"/>
              <w:rPr>
                <w:sz w:val="20"/>
                <w:szCs w:val="20"/>
                <w:color w:val="auto"/>
              </w:rPr>
            </w:pPr>
            <w:r>
              <w:rPr>
                <w:rFonts w:ascii="Arial" w:cs="Arial" w:eastAsia="Arial" w:hAnsi="Arial"/>
                <w:sz w:val="18"/>
                <w:szCs w:val="18"/>
                <w:color w:val="auto"/>
              </w:rPr>
              <w:t>(3,141)</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(2,330)</w:t>
            </w:r>
          </w:p>
        </w:tc>
      </w:tr>
      <w:tr>
        <w:trPr>
          <w:trHeight w:val="20"/>
        </w:trPr>
        <w:tc>
          <w:tcPr>
            <w:tcW w:w="3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5"/>
        </w:trPr>
        <w:tc>
          <w:tcPr>
            <w:tcW w:w="3660" w:type="dxa"/>
            <w:vAlign w:val="bottom"/>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gridSpan w:val="2"/>
          </w:tcPr>
          <w:p>
            <w:pPr>
              <w:spacing w:after="0"/>
              <w:rPr>
                <w:sz w:val="24"/>
                <w:szCs w:val="24"/>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8"/>
                <w:szCs w:val="18"/>
                <w:color w:val="auto"/>
              </w:rPr>
              <w:t>$ (937)</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$ 49,789</w:t>
            </w:r>
          </w:p>
        </w:tc>
        <w:tc>
          <w:tcPr>
            <w:tcW w:w="26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$211,973</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$ 96,432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3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8"/>
                <w:szCs w:val="18"/>
                <w:color w:val="auto"/>
              </w:rPr>
            </w:pPr>
          </w:p>
        </w:tc>
        <w:tc>
          <w:tcPr>
            <w:tcW w:w="3100" w:type="dxa"/>
            <w:vAlign w:val="bottom"/>
            <w:gridSpan w:val="6"/>
          </w:tcPr>
          <w:p>
            <w:pPr>
              <w:jc w:val="right"/>
              <w:ind w:right="14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8"/>
                <w:szCs w:val="18"/>
                <w:color w:val="auto"/>
              </w:rPr>
            </w:pPr>
          </w:p>
        </w:tc>
        <w:tc>
          <w:tcPr>
            <w:tcW w:w="1140" w:type="dxa"/>
            <w:vAlign w:val="bottom"/>
            <w:gridSpan w:val="7"/>
            <w:vMerge w:val="restart"/>
          </w:tcPr>
          <w:p>
            <w:pPr>
              <w:jc w:val="right"/>
              <w:ind w:right="2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76"/>
        </w:trPr>
        <w:tc>
          <w:tcPr>
            <w:tcW w:w="50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3"/>
            <w:vMerge w:val="restart"/>
          </w:tcPr>
          <w:p>
            <w:pPr>
              <w:jc w:val="right"/>
              <w:ind w:right="140"/>
              <w:spacing w:after="0" w:line="202" w:lineRule="exact"/>
              <w:rPr>
                <w:sz w:val="20"/>
                <w:szCs w:val="20"/>
                <w:color w:val="auto"/>
              </w:rPr>
            </w:pPr>
            <w:r>
              <w:rPr>
                <w:rFonts w:ascii="Arial" w:cs="Arial" w:eastAsia="Arial" w:hAnsi="Arial"/>
                <w:sz w:val="18"/>
                <w:szCs w:val="18"/>
                <w:color w:val="auto"/>
              </w:rPr>
              <w:t>2001</w:t>
            </w:r>
          </w:p>
        </w:tc>
        <w:tc>
          <w:tcPr>
            <w:tcW w:w="220" w:type="dxa"/>
            <w:vAlign w:val="bottom"/>
          </w:tcPr>
          <w:p>
            <w:pPr>
              <w:spacing w:after="0"/>
              <w:rPr>
                <w:sz w:val="6"/>
                <w:szCs w:val="6"/>
                <w:color w:val="auto"/>
              </w:rPr>
            </w:pPr>
          </w:p>
        </w:tc>
        <w:tc>
          <w:tcPr>
            <w:tcW w:w="1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50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7"/>
            <w:vMerge w:val="restart"/>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gridSpan w:val="5"/>
            <w:vMerge w:val="restart"/>
          </w:tcPr>
          <w:p>
            <w:pPr>
              <w:jc w:val="right"/>
              <w:ind w:right="14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2"/>
                <w:szCs w:val="12"/>
                <w:color w:val="auto"/>
              </w:rPr>
            </w:pPr>
          </w:p>
        </w:tc>
        <w:tc>
          <w:tcPr>
            <w:tcW w:w="11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0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96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23,848</w:t>
            </w: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20,345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Investments in marketable equity securities</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11,491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10,948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306,923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306,016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Federal and state income taxes receivable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12,370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24,259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15,178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60"/>
              <w:spacing w:after="0" w:line="205" w:lineRule="exact"/>
              <w:rPr>
                <w:sz w:val="20"/>
                <w:szCs w:val="20"/>
                <w:color w:val="auto"/>
              </w:rPr>
            </w:pPr>
            <w:r>
              <w:rPr>
                <w:rFonts w:ascii="Arial" w:cs="Arial" w:eastAsia="Arial" w:hAnsi="Arial"/>
                <w:sz w:val="18"/>
                <w:szCs w:val="18"/>
                <w:color w:val="auto"/>
              </w:rPr>
              <w:t>Other current assets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rPr>
              <w:t>41,376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4"/>
          </w:tcPr>
          <w:p>
            <w:pPr>
              <w:spacing w:after="0"/>
              <w:rPr>
                <w:sz w:val="17"/>
                <w:szCs w:val="17"/>
                <w:color w:val="auto"/>
              </w:rPr>
            </w:pPr>
          </w:p>
        </w:tc>
        <w:tc>
          <w:tcPr>
            <w:tcW w:w="6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40,210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407,897</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4"/>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405,067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Buildings</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264,642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263,311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Machinery, equipment and fixtures</w:t>
            </w:r>
          </w:p>
        </w:tc>
        <w:tc>
          <w:tcPr>
            <w:tcW w:w="2940" w:type="dxa"/>
            <w:vAlign w:val="bottom"/>
            <w:gridSpan w:val="5"/>
          </w:tcPr>
          <w:p>
            <w:pPr>
              <w:jc w:val="right"/>
              <w:spacing w:after="0"/>
              <w:rPr>
                <w:sz w:val="20"/>
                <w:szCs w:val="20"/>
                <w:color w:val="auto"/>
              </w:rPr>
            </w:pPr>
            <w:r>
              <w:rPr>
                <w:rFonts w:ascii="Arial" w:cs="Arial" w:eastAsia="Arial" w:hAnsi="Arial"/>
                <w:sz w:val="18"/>
                <w:szCs w:val="18"/>
                <w:color w:val="auto"/>
              </w:rPr>
              <w:t>1,391,652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1,217,282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60"/>
              <w:spacing w:after="0" w:line="205" w:lineRule="exact"/>
              <w:rPr>
                <w:sz w:val="20"/>
                <w:szCs w:val="20"/>
                <w:color w:val="auto"/>
              </w:rPr>
            </w:pPr>
            <w:r>
              <w:rPr>
                <w:rFonts w:ascii="Arial" w:cs="Arial" w:eastAsia="Arial" w:hAnsi="Arial"/>
                <w:sz w:val="18"/>
                <w:szCs w:val="18"/>
                <w:color w:val="auto"/>
              </w:rPr>
              <w:t>Leasehold improvements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rPr>
              <w:t>77,856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4"/>
          </w:tcPr>
          <w:p>
            <w:pPr>
              <w:spacing w:after="0"/>
              <w:rPr>
                <w:sz w:val="17"/>
                <w:szCs w:val="17"/>
                <w:color w:val="auto"/>
              </w:rPr>
            </w:pPr>
          </w:p>
        </w:tc>
        <w:tc>
          <w:tcPr>
            <w:tcW w:w="6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70,706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Pr>
          <w:p>
            <w:pPr>
              <w:spacing w:after="0"/>
              <w:rPr>
                <w:sz w:val="22"/>
                <w:szCs w:val="22"/>
                <w:color w:val="auto"/>
              </w:rPr>
            </w:pPr>
          </w:p>
        </w:tc>
        <w:tc>
          <w:tcPr>
            <w:tcW w:w="2940" w:type="dxa"/>
            <w:vAlign w:val="bottom"/>
            <w:gridSpan w:val="5"/>
          </w:tcPr>
          <w:p>
            <w:pPr>
              <w:jc w:val="right"/>
              <w:spacing w:after="0"/>
              <w:rPr>
                <w:sz w:val="20"/>
                <w:szCs w:val="20"/>
                <w:color w:val="auto"/>
              </w:rPr>
            </w:pPr>
            <w:r>
              <w:rPr>
                <w:rFonts w:ascii="Arial" w:cs="Arial" w:eastAsia="Arial" w:hAnsi="Arial"/>
                <w:sz w:val="18"/>
                <w:szCs w:val="18"/>
                <w:color w:val="auto"/>
              </w:rPr>
              <w:t>1,734,150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1,551,299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60"/>
              <w:spacing w:after="0" w:line="205" w:lineRule="exact"/>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8"/>
              </w:rPr>
              <w:t>(769,273)</w:t>
            </w:r>
          </w:p>
        </w:tc>
        <w:tc>
          <w:tcPr>
            <w:tcW w:w="220" w:type="dxa"/>
            <w:vAlign w:val="bottom"/>
          </w:tcPr>
          <w:p>
            <w:pPr>
              <w:spacing w:after="0"/>
              <w:rPr>
                <w:sz w:val="17"/>
                <w:szCs w:val="17"/>
                <w:color w:val="auto"/>
              </w:rPr>
            </w:pPr>
          </w:p>
        </w:tc>
        <w:tc>
          <w:tcPr>
            <w:tcW w:w="1140" w:type="dxa"/>
            <w:vAlign w:val="bottom"/>
            <w:gridSpan w:val="7"/>
          </w:tcPr>
          <w:p>
            <w:pPr>
              <w:jc w:val="right"/>
              <w:spacing w:after="0" w:line="205" w:lineRule="exact"/>
              <w:rPr>
                <w:sz w:val="20"/>
                <w:szCs w:val="20"/>
                <w:color w:val="auto"/>
              </w:rPr>
            </w:pPr>
            <w:r>
              <w:rPr>
                <w:rFonts w:ascii="Arial" w:cs="Arial" w:eastAsia="Arial" w:hAnsi="Arial"/>
                <w:sz w:val="18"/>
                <w:szCs w:val="18"/>
                <w:color w:val="auto"/>
              </w:rPr>
              <w:t>(736,781)</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964,877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814,518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Land</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38,301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38,000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60"/>
              <w:spacing w:after="0" w:line="205" w:lineRule="exact"/>
              <w:rPr>
                <w:sz w:val="20"/>
                <w:szCs w:val="20"/>
                <w:color w:val="auto"/>
              </w:rPr>
            </w:pPr>
            <w:r>
              <w:rPr>
                <w:rFonts w:ascii="Arial" w:cs="Arial" w:eastAsia="Arial" w:hAnsi="Arial"/>
                <w:sz w:val="18"/>
                <w:szCs w:val="18"/>
                <w:color w:val="auto"/>
              </w:rPr>
              <w:t>Construction in progress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rPr>
              <w:t>77,472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4"/>
          </w:tcPr>
          <w:p>
            <w:pPr>
              <w:spacing w:after="0"/>
              <w:rPr>
                <w:sz w:val="17"/>
                <w:szCs w:val="17"/>
                <w:color w:val="auto"/>
              </w:rPr>
            </w:pPr>
          </w:p>
        </w:tc>
        <w:tc>
          <w:tcPr>
            <w:tcW w:w="68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74,543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Pr>
          <w:p>
            <w:pPr>
              <w:spacing w:after="0"/>
              <w:rPr>
                <w:sz w:val="22"/>
                <w:szCs w:val="22"/>
                <w:color w:val="auto"/>
              </w:rPr>
            </w:pPr>
          </w:p>
        </w:tc>
        <w:tc>
          <w:tcPr>
            <w:tcW w:w="2940" w:type="dxa"/>
            <w:vAlign w:val="bottom"/>
            <w:gridSpan w:val="5"/>
          </w:tcPr>
          <w:p>
            <w:pPr>
              <w:jc w:val="right"/>
              <w:spacing w:after="0"/>
              <w:rPr>
                <w:sz w:val="20"/>
                <w:szCs w:val="20"/>
                <w:color w:val="auto"/>
              </w:rPr>
            </w:pPr>
            <w:r>
              <w:rPr>
                <w:rFonts w:ascii="Arial" w:cs="Arial" w:eastAsia="Arial" w:hAnsi="Arial"/>
                <w:sz w:val="18"/>
                <w:szCs w:val="18"/>
                <w:color w:val="auto"/>
              </w:rPr>
              <w:t>1,080,650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927,061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207,319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210,189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103,305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131,629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2940" w:type="dxa"/>
            <w:vAlign w:val="bottom"/>
            <w:gridSpan w:val="5"/>
          </w:tcPr>
          <w:p>
            <w:pPr>
              <w:jc w:val="right"/>
              <w:spacing w:after="0"/>
              <w:rPr>
                <w:sz w:val="20"/>
                <w:szCs w:val="20"/>
                <w:color w:val="auto"/>
              </w:rPr>
            </w:pPr>
            <w:r>
              <w:rPr>
                <w:rFonts w:ascii="Arial" w:cs="Arial" w:eastAsia="Arial" w:hAnsi="Arial"/>
                <w:sz w:val="18"/>
                <w:szCs w:val="18"/>
                <w:color w:val="auto"/>
              </w:rPr>
              <w:t>1,227,085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1,007,720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Prepaid pension cost</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439,570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374,084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080" w:type="dxa"/>
            <w:vAlign w:val="bottom"/>
          </w:tcPr>
          <w:p>
            <w:pPr>
              <w:spacing w:after="0" w:line="205" w:lineRule="exact"/>
              <w:rPr>
                <w:sz w:val="20"/>
                <w:szCs w:val="20"/>
                <w:color w:val="auto"/>
              </w:rPr>
            </w:pPr>
            <w:r>
              <w:rPr>
                <w:rFonts w:ascii="Arial" w:cs="Arial" w:eastAsia="Arial" w:hAnsi="Arial"/>
                <w:sz w:val="18"/>
                <w:szCs w:val="18"/>
                <w:color w:val="auto"/>
              </w:rPr>
              <w:t>Deferred charges and other assets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126,207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74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144,993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Pr>
          <w:p>
            <w:pPr>
              <w:spacing w:after="0"/>
              <w:rPr>
                <w:sz w:val="22"/>
                <w:szCs w:val="22"/>
                <w:color w:val="auto"/>
              </w:rPr>
            </w:pPr>
          </w:p>
        </w:tc>
        <w:tc>
          <w:tcPr>
            <w:tcW w:w="2940" w:type="dxa"/>
            <w:vAlign w:val="bottom"/>
            <w:gridSpan w:val="5"/>
          </w:tcPr>
          <w:p>
            <w:pPr>
              <w:jc w:val="right"/>
              <w:spacing w:after="0"/>
              <w:rPr>
                <w:sz w:val="20"/>
                <w:szCs w:val="20"/>
                <w:color w:val="auto"/>
              </w:rPr>
            </w:pPr>
            <w:r>
              <w:rPr>
                <w:rFonts w:ascii="Arial" w:cs="Arial" w:eastAsia="Arial" w:hAnsi="Arial"/>
                <w:sz w:val="18"/>
                <w:szCs w:val="18"/>
                <w:color w:val="auto"/>
              </w:rPr>
              <w:t>$3,592,033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$3,200,743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508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08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304,116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$ 273,076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Deferred subscription revenue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81,552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6"/>
          </w:tcPr>
          <w:p>
            <w:pPr>
              <w:jc w:val="right"/>
              <w:ind w:right="20"/>
              <w:spacing w:after="0"/>
              <w:rPr>
                <w:sz w:val="20"/>
                <w:szCs w:val="20"/>
                <w:color w:val="auto"/>
              </w:rPr>
            </w:pPr>
            <w:r>
              <w:rPr>
                <w:rFonts w:ascii="Arial" w:cs="Arial" w:eastAsia="Arial" w:hAnsi="Arial"/>
                <w:sz w:val="18"/>
                <w:szCs w:val="18"/>
                <w:color w:val="auto"/>
              </w:rPr>
              <w:t>85,721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Dividends declared</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13,540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-1312545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-1312545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-1312545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-1312545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2" w:orient="portrait"/>
          <w:cols w:equalWidth="0" w:num="1">
            <w:col w:w="11420"/>
          </w:cols>
          <w:pgMar w:left="240" w:top="386"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04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340" w:type="dxa"/>
            <w:vAlign w:val="bottom"/>
            <w:gridSpan w:val="3"/>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1920" w:type="dxa"/>
            <w:vAlign w:val="bottom"/>
          </w:tcPr>
          <w:p>
            <w:pPr>
              <w:spacing w:after="0"/>
              <w:rPr>
                <w:sz w:val="17"/>
                <w:szCs w:val="17"/>
                <w:color w:val="auto"/>
              </w:rPr>
            </w:pPr>
          </w:p>
        </w:tc>
      </w:tr>
      <w:tr>
        <w:trPr>
          <w:trHeight w:val="262"/>
        </w:trPr>
        <w:tc>
          <w:tcPr>
            <w:tcW w:w="7040" w:type="dxa"/>
            <w:vAlign w:val="bottom"/>
          </w:tcPr>
          <w:p>
            <w:pPr>
              <w:spacing w:after="0"/>
              <w:rPr>
                <w:sz w:val="22"/>
                <w:szCs w:val="22"/>
                <w:color w:val="auto"/>
              </w:rPr>
            </w:pPr>
          </w:p>
        </w:tc>
        <w:tc>
          <w:tcPr>
            <w:tcW w:w="340" w:type="dxa"/>
            <w:vAlign w:val="bottom"/>
            <w:gridSpan w:val="3"/>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452,211</w:t>
            </w:r>
          </w:p>
        </w:tc>
        <w:tc>
          <w:tcPr>
            <w:tcW w:w="500" w:type="dxa"/>
            <w:vAlign w:val="bottom"/>
          </w:tcPr>
          <w:p>
            <w:pPr>
              <w:spacing w:after="0"/>
              <w:rPr>
                <w:sz w:val="22"/>
                <w:szCs w:val="22"/>
                <w:color w:val="auto"/>
              </w:rPr>
            </w:pPr>
          </w:p>
        </w:tc>
        <w:tc>
          <w:tcPr>
            <w:tcW w:w="280" w:type="dxa"/>
            <w:vAlign w:val="bottom"/>
            <w:gridSpan w:val="3"/>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408,797</w:t>
            </w: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486"/>
        </w:trPr>
        <w:tc>
          <w:tcPr>
            <w:tcW w:w="7040" w:type="dxa"/>
            <w:vAlign w:val="bottom"/>
          </w:tcPr>
          <w:p>
            <w:pPr>
              <w:spacing w:after="0"/>
              <w:rPr>
                <w:sz w:val="20"/>
                <w:szCs w:val="20"/>
                <w:color w:val="auto"/>
              </w:rPr>
            </w:pPr>
            <w:r>
              <w:rPr>
                <w:rFonts w:ascii="Arial" w:cs="Arial" w:eastAsia="Arial" w:hAnsi="Arial"/>
                <w:sz w:val="18"/>
                <w:szCs w:val="18"/>
                <w:color w:val="auto"/>
              </w:rPr>
              <w:t>Post retirement benefits other than pensions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128,706</w:t>
            </w:r>
          </w:p>
        </w:tc>
        <w:tc>
          <w:tcPr>
            <w:tcW w:w="5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128,764</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221,907</w:t>
            </w:r>
          </w:p>
        </w:tc>
        <w:tc>
          <w:tcPr>
            <w:tcW w:w="50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178,029</w:t>
            </w: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202,381</w:t>
            </w:r>
          </w:p>
        </w:tc>
        <w:tc>
          <w:tcPr>
            <w:tcW w:w="50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117,731</w:t>
            </w: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5"/>
        </w:trPr>
        <w:tc>
          <w:tcPr>
            <w:tcW w:w="7040" w:type="dxa"/>
            <w:vAlign w:val="bottom"/>
          </w:tcPr>
          <w:p>
            <w:pPr>
              <w:spacing w:after="0" w:line="205" w:lineRule="exact"/>
              <w:rPr>
                <w:sz w:val="20"/>
                <w:szCs w:val="20"/>
                <w:color w:val="auto"/>
              </w:rPr>
            </w:pPr>
            <w:r>
              <w:rPr>
                <w:rFonts w:ascii="Arial" w:cs="Arial" w:eastAsia="Arial" w:hAnsi="Arial"/>
                <w:sz w:val="18"/>
                <w:szCs w:val="18"/>
                <w:color w:val="auto"/>
              </w:rPr>
              <w:t>Long-term debt</w:t>
            </w:r>
          </w:p>
        </w:tc>
        <w:tc>
          <w:tcPr>
            <w:tcW w:w="300" w:type="dxa"/>
            <w:vAlign w:val="bottom"/>
            <w:gridSpan w:val="2"/>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921,108</w:t>
            </w:r>
          </w:p>
        </w:tc>
        <w:tc>
          <w:tcPr>
            <w:tcW w:w="5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74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873,267</w:t>
            </w:r>
          </w:p>
        </w:tc>
        <w:tc>
          <w:tcPr>
            <w:tcW w:w="192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3"/>
        </w:trPr>
        <w:tc>
          <w:tcPr>
            <w:tcW w:w="70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1,926,313</w:t>
            </w:r>
          </w:p>
        </w:tc>
        <w:tc>
          <w:tcPr>
            <w:tcW w:w="50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1,706,588</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66"/>
        </w:trPr>
        <w:tc>
          <w:tcPr>
            <w:tcW w:w="704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13,132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13,148</w:t>
            </w:r>
          </w:p>
        </w:tc>
        <w:tc>
          <w:tcPr>
            <w:tcW w:w="1920" w:type="dxa"/>
            <w:vAlign w:val="bottom"/>
          </w:tcPr>
          <w:p>
            <w:pPr>
              <w:spacing w:after="0"/>
              <w:rPr>
                <w:sz w:val="24"/>
                <w:szCs w:val="24"/>
                <w:color w:val="auto"/>
              </w:rPr>
            </w:pPr>
          </w:p>
        </w:tc>
      </w:tr>
      <w:tr>
        <w:trPr>
          <w:trHeight w:val="505"/>
        </w:trPr>
        <w:tc>
          <w:tcPr>
            <w:tcW w:w="704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20,000</w:t>
            </w:r>
          </w:p>
        </w:tc>
        <w:tc>
          <w:tcPr>
            <w:tcW w:w="500" w:type="dxa"/>
            <w:vAlign w:val="bottom"/>
          </w:tcPr>
          <w:p>
            <w:pPr>
              <w:spacing w:after="0"/>
              <w:rPr>
                <w:sz w:val="21"/>
                <w:szCs w:val="21"/>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20,000</w:t>
            </w:r>
          </w:p>
        </w:tc>
        <w:tc>
          <w:tcPr>
            <w:tcW w:w="1920" w:type="dxa"/>
            <w:vAlign w:val="bottom"/>
          </w:tcPr>
          <w:p>
            <w:pPr>
              <w:spacing w:after="0"/>
              <w:rPr>
                <w:sz w:val="21"/>
                <w:szCs w:val="2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137,755</w:t>
            </w:r>
          </w:p>
        </w:tc>
        <w:tc>
          <w:tcPr>
            <w:tcW w:w="50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128,159</w:t>
            </w: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3,015,079</w:t>
            </w:r>
          </w:p>
        </w:tc>
        <w:tc>
          <w:tcPr>
            <w:tcW w:w="50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2,854,122</w:t>
            </w: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70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7040" w:type="dxa"/>
            <w:vAlign w:val="bottom"/>
          </w:tcPr>
          <w:p>
            <w:pPr>
              <w:ind w:left="400"/>
              <w:spacing w:after="0"/>
              <w:rPr>
                <w:sz w:val="20"/>
                <w:szCs w:val="20"/>
                <w:color w:val="auto"/>
              </w:rPr>
            </w:pPr>
            <w:r>
              <w:rPr>
                <w:rFonts w:ascii="Arial" w:cs="Arial" w:eastAsia="Arial" w:hAnsi="Arial"/>
                <w:sz w:val="18"/>
                <w:szCs w:val="18"/>
                <w:color w:val="auto"/>
              </w:rPr>
              <w:t>Cumulative foreign currency translation</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5"/>
        </w:trPr>
        <w:tc>
          <w:tcPr>
            <w:tcW w:w="7040" w:type="dxa"/>
            <w:vAlign w:val="bottom"/>
          </w:tcPr>
          <w:p>
            <w:pPr>
              <w:ind w:left="500"/>
              <w:spacing w:after="0"/>
              <w:rPr>
                <w:sz w:val="20"/>
                <w:szCs w:val="20"/>
                <w:color w:val="auto"/>
              </w:rPr>
            </w:pPr>
            <w:r>
              <w:rPr>
                <w:rFonts w:ascii="Arial" w:cs="Arial" w:eastAsia="Arial" w:hAnsi="Arial"/>
                <w:sz w:val="18"/>
                <w:szCs w:val="18"/>
                <w:color w:val="auto"/>
              </w:rPr>
              <w:t>adjustment</w:t>
            </w:r>
          </w:p>
        </w:tc>
        <w:tc>
          <w:tcPr>
            <w:tcW w:w="1480" w:type="dxa"/>
            <w:vAlign w:val="bottom"/>
            <w:gridSpan w:val="5"/>
          </w:tcPr>
          <w:p>
            <w:pPr>
              <w:jc w:val="right"/>
              <w:ind w:right="440"/>
              <w:spacing w:after="0"/>
              <w:rPr>
                <w:sz w:val="20"/>
                <w:szCs w:val="20"/>
                <w:color w:val="auto"/>
              </w:rPr>
            </w:pPr>
            <w:r>
              <w:rPr>
                <w:rFonts w:ascii="Arial" w:cs="Arial" w:eastAsia="Arial" w:hAnsi="Arial"/>
                <w:sz w:val="18"/>
                <w:szCs w:val="18"/>
                <w:color w:val="auto"/>
              </w:rPr>
              <w:t>(10,373)</w:t>
            </w:r>
          </w:p>
        </w:tc>
        <w:tc>
          <w:tcPr>
            <w:tcW w:w="2900" w:type="dxa"/>
            <w:vAlign w:val="bottom"/>
            <w:gridSpan w:val="6"/>
          </w:tcPr>
          <w:p>
            <w:pPr>
              <w:jc w:val="right"/>
              <w:ind w:right="1880"/>
              <w:spacing w:after="0"/>
              <w:rPr>
                <w:sz w:val="20"/>
                <w:szCs w:val="20"/>
                <w:color w:val="auto"/>
              </w:rPr>
            </w:pPr>
            <w:r>
              <w:rPr>
                <w:rFonts w:ascii="Arial" w:cs="Arial" w:eastAsia="Arial" w:hAnsi="Arial"/>
                <w:sz w:val="18"/>
                <w:szCs w:val="18"/>
                <w:color w:val="auto"/>
              </w:rPr>
              <w:t>(6,574)</w:t>
            </w:r>
          </w:p>
        </w:tc>
      </w:tr>
      <w:tr>
        <w:trPr>
          <w:trHeight w:val="211"/>
        </w:trPr>
        <w:tc>
          <w:tcPr>
            <w:tcW w:w="7040" w:type="dxa"/>
            <w:vAlign w:val="bottom"/>
          </w:tcPr>
          <w:p>
            <w:pPr>
              <w:ind w:left="340"/>
              <w:spacing w:after="0"/>
              <w:rPr>
                <w:sz w:val="20"/>
                <w:szCs w:val="20"/>
                <w:color w:val="auto"/>
              </w:rPr>
            </w:pPr>
            <w:r>
              <w:rPr>
                <w:rFonts w:ascii="Arial" w:cs="Arial" w:eastAsia="Arial" w:hAnsi="Arial"/>
                <w:sz w:val="18"/>
                <w:szCs w:val="18"/>
                <w:color w:val="auto"/>
              </w:rPr>
              <w:t>Unrealized gain on available-for-sale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704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14,160</w:t>
            </w:r>
          </w:p>
        </w:tc>
        <w:tc>
          <w:tcPr>
            <w:tcW w:w="500" w:type="dxa"/>
            <w:vAlign w:val="bottom"/>
          </w:tcPr>
          <w:p>
            <w:pPr>
              <w:spacing w:after="0"/>
              <w:rPr>
                <w:sz w:val="21"/>
                <w:szCs w:val="21"/>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13,502</w:t>
            </w:r>
          </w:p>
        </w:tc>
        <w:tc>
          <w:tcPr>
            <w:tcW w:w="1920" w:type="dxa"/>
            <w:vAlign w:val="bottom"/>
          </w:tcPr>
          <w:p>
            <w:pPr>
              <w:spacing w:after="0"/>
              <w:rPr>
                <w:sz w:val="21"/>
                <w:szCs w:val="21"/>
                <w:color w:val="auto"/>
              </w:rPr>
            </w:pPr>
          </w:p>
        </w:tc>
      </w:tr>
      <w:tr>
        <w:trPr>
          <w:trHeight w:val="205"/>
        </w:trPr>
        <w:tc>
          <w:tcPr>
            <w:tcW w:w="7040" w:type="dxa"/>
            <w:vAlign w:val="bottom"/>
          </w:tcPr>
          <w:p>
            <w:pPr>
              <w:ind w:left="260"/>
              <w:spacing w:after="0" w:line="205" w:lineRule="exact"/>
              <w:rPr>
                <w:sz w:val="20"/>
                <w:szCs w:val="20"/>
                <w:color w:val="auto"/>
              </w:rPr>
            </w:pPr>
            <w:r>
              <w:rPr>
                <w:rFonts w:ascii="Arial" w:cs="Arial" w:eastAsia="Arial" w:hAnsi="Arial"/>
                <w:sz w:val="18"/>
                <w:szCs w:val="18"/>
                <w:color w:val="auto"/>
              </w:rPr>
              <w:t>Cost of Class B common stock held in treasury</w:t>
            </w:r>
          </w:p>
        </w:tc>
        <w:tc>
          <w:tcPr>
            <w:tcW w:w="1480" w:type="dxa"/>
            <w:vAlign w:val="bottom"/>
            <w:gridSpan w:val="5"/>
          </w:tcPr>
          <w:p>
            <w:pPr>
              <w:jc w:val="right"/>
              <w:ind w:right="440"/>
              <w:spacing w:after="0" w:line="205" w:lineRule="exact"/>
              <w:rPr>
                <w:sz w:val="20"/>
                <w:szCs w:val="20"/>
                <w:color w:val="auto"/>
              </w:rPr>
            </w:pPr>
            <w:r>
              <w:rPr>
                <w:rFonts w:ascii="Arial" w:cs="Arial" w:eastAsia="Arial" w:hAnsi="Arial"/>
                <w:sz w:val="18"/>
                <w:szCs w:val="18"/>
                <w:color w:val="auto"/>
              </w:rPr>
              <w:t>(1,524,033)</w:t>
            </w:r>
          </w:p>
        </w:tc>
        <w:tc>
          <w:tcPr>
            <w:tcW w:w="2900" w:type="dxa"/>
            <w:vAlign w:val="bottom"/>
            <w:gridSpan w:val="6"/>
          </w:tcPr>
          <w:p>
            <w:pPr>
              <w:jc w:val="right"/>
              <w:ind w:right="1880"/>
              <w:spacing w:after="0" w:line="205" w:lineRule="exact"/>
              <w:rPr>
                <w:sz w:val="20"/>
                <w:szCs w:val="20"/>
                <w:color w:val="auto"/>
              </w:rPr>
            </w:pPr>
            <w:r>
              <w:rPr>
                <w:rFonts w:ascii="Arial" w:cs="Arial" w:eastAsia="Arial" w:hAnsi="Arial"/>
                <w:sz w:val="18"/>
                <w:szCs w:val="18"/>
                <w:color w:val="auto"/>
              </w:rPr>
              <w:t>(1,528,202)</w:t>
            </w:r>
          </w:p>
        </w:tc>
      </w:tr>
      <w:tr>
        <w:trPr>
          <w:trHeight w:val="20"/>
        </w:trPr>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7040" w:type="dxa"/>
            <w:vAlign w:val="bottom"/>
          </w:tcPr>
          <w:p>
            <w:pPr>
              <w:spacing w:after="0"/>
              <w:rPr>
                <w:sz w:val="15"/>
                <w:szCs w:val="15"/>
                <w:color w:val="auto"/>
              </w:rPr>
            </w:pPr>
          </w:p>
        </w:tc>
        <w:tc>
          <w:tcPr>
            <w:tcW w:w="98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1,652,588</w:t>
            </w:r>
          </w:p>
        </w:tc>
        <w:tc>
          <w:tcPr>
            <w:tcW w:w="500" w:type="dxa"/>
            <w:vAlign w:val="bottom"/>
          </w:tcPr>
          <w:p>
            <w:pPr>
              <w:spacing w:after="0"/>
              <w:rPr>
                <w:sz w:val="15"/>
                <w:szCs w:val="15"/>
                <w:color w:val="auto"/>
              </w:rPr>
            </w:pPr>
          </w:p>
        </w:tc>
        <w:tc>
          <w:tcPr>
            <w:tcW w:w="96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1,481,007</w:t>
            </w: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2"/>
        </w:trPr>
        <w:tc>
          <w:tcPr>
            <w:tcW w:w="704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$3,592,033</w:t>
            </w:r>
          </w:p>
        </w:tc>
        <w:tc>
          <w:tcPr>
            <w:tcW w:w="5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$3,200,743</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07"/>
        </w:trPr>
        <w:tc>
          <w:tcPr>
            <w:tcW w:w="7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920" w:type="dxa"/>
            <w:vAlign w:val="bottom"/>
          </w:tcPr>
          <w:p>
            <w:pPr>
              <w:spacing w:after="0"/>
              <w:rPr>
                <w:sz w:val="9"/>
                <w:szCs w:val="9"/>
                <w:color w:val="auto"/>
              </w:rPr>
            </w:pPr>
          </w:p>
        </w:tc>
      </w:tr>
      <w:tr>
        <w:trPr>
          <w:trHeight w:val="186"/>
        </w:trPr>
        <w:tc>
          <w:tcPr>
            <w:tcW w:w="70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9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-155575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-155575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398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rPr>
              <w:t>Thirty-nine Weeks Ended</w:t>
            </w:r>
          </w:p>
        </w:tc>
      </w:tr>
      <w:tr>
        <w:trPr>
          <w:trHeight w:val="437"/>
        </w:trPr>
        <w:tc>
          <w:tcPr>
            <w:tcW w:w="5560" w:type="dxa"/>
            <w:vAlign w:val="bottom"/>
          </w:tcPr>
          <w:p>
            <w:pPr>
              <w:spacing w:after="0"/>
              <w:rPr>
                <w:sz w:val="24"/>
                <w:szCs w:val="24"/>
                <w:color w:val="auto"/>
              </w:rPr>
            </w:pPr>
          </w:p>
        </w:tc>
        <w:tc>
          <w:tcPr>
            <w:tcW w:w="2800" w:type="dxa"/>
            <w:vAlign w:val="bottom"/>
            <w:gridSpan w:val="4"/>
          </w:tcPr>
          <w:p>
            <w:pPr>
              <w:jc w:val="right"/>
              <w:ind w:right="380"/>
              <w:spacing w:after="0"/>
              <w:rPr>
                <w:sz w:val="20"/>
                <w:szCs w:val="20"/>
                <w:color w:val="auto"/>
              </w:rPr>
            </w:pPr>
            <w:r>
              <w:rPr>
                <w:rFonts w:ascii="Arial" w:cs="Arial" w:eastAsia="Arial" w:hAnsi="Arial"/>
                <w:sz w:val="18"/>
                <w:szCs w:val="18"/>
                <w:color w:val="auto"/>
              </w:rPr>
              <w:t>September 30,</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October 1,</w:t>
            </w:r>
          </w:p>
        </w:tc>
      </w:tr>
      <w:tr>
        <w:trPr>
          <w:trHeight w:val="211"/>
        </w:trPr>
        <w:tc>
          <w:tcPr>
            <w:tcW w:w="5560" w:type="dxa"/>
            <w:vAlign w:val="bottom"/>
          </w:tcPr>
          <w:p>
            <w:pPr>
              <w:spacing w:after="0"/>
              <w:rPr>
                <w:sz w:val="18"/>
                <w:szCs w:val="18"/>
                <w:color w:val="auto"/>
              </w:rPr>
            </w:pPr>
          </w:p>
        </w:tc>
        <w:tc>
          <w:tcPr>
            <w:tcW w:w="2800" w:type="dxa"/>
            <w:vAlign w:val="bottom"/>
            <w:gridSpan w:val="4"/>
          </w:tcPr>
          <w:p>
            <w:pPr>
              <w:jc w:val="right"/>
              <w:ind w:right="380"/>
              <w:spacing w:after="0"/>
              <w:rPr>
                <w:sz w:val="20"/>
                <w:szCs w:val="20"/>
                <w:color w:val="auto"/>
              </w:rPr>
            </w:pPr>
            <w:r>
              <w:rPr>
                <w:rFonts w:ascii="Arial" w:cs="Arial" w:eastAsia="Arial" w:hAnsi="Arial"/>
                <w:sz w:val="18"/>
                <w:szCs w:val="18"/>
                <w:color w:val="auto"/>
              </w:rPr>
              <w:t>2001</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r>
      <w:tr>
        <w:trPr>
          <w:trHeight w:val="446"/>
        </w:trPr>
        <w:tc>
          <w:tcPr>
            <w:tcW w:w="55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$215,114</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$98,762</w:t>
            </w:r>
          </w:p>
        </w:tc>
        <w:tc>
          <w:tcPr>
            <w:tcW w:w="60" w:type="dxa"/>
            <w:vAlign w:val="bottom"/>
          </w:tcPr>
          <w:p>
            <w:pPr>
              <w:spacing w:after="0"/>
              <w:rPr>
                <w:sz w:val="21"/>
                <w:szCs w:val="21"/>
                <w:color w:val="auto"/>
              </w:rPr>
            </w:pPr>
          </w:p>
        </w:tc>
      </w:tr>
      <w:tr>
        <w:trPr>
          <w:trHeight w:val="243"/>
        </w:trPr>
        <w:tc>
          <w:tcPr>
            <w:tcW w:w="55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provided by operating activities: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105,264</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87,043</w:t>
            </w:r>
          </w:p>
        </w:tc>
        <w:tc>
          <w:tcPr>
            <w:tcW w:w="60" w:type="dxa"/>
            <w:vAlign w:val="bottom"/>
          </w:tcPr>
          <w:p>
            <w:pPr>
              <w:spacing w:after="0"/>
              <w:rPr>
                <w:sz w:val="21"/>
                <w:szCs w:val="21"/>
                <w:color w:val="auto"/>
              </w:rPr>
            </w:pP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Amortization of goodwill and other intangibles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57,185</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45,430</w:t>
            </w:r>
          </w:p>
        </w:tc>
        <w:tc>
          <w:tcPr>
            <w:tcW w:w="60" w:type="dxa"/>
            <w:vAlign w:val="bottom"/>
          </w:tcPr>
          <w:p>
            <w:pPr>
              <w:spacing w:after="0"/>
              <w:rPr>
                <w:sz w:val="21"/>
                <w:szCs w:val="21"/>
                <w:color w:val="auto"/>
              </w:rPr>
            </w:pPr>
          </w:p>
        </w:tc>
      </w:tr>
      <w:tr>
        <w:trPr>
          <w:trHeight w:val="235"/>
        </w:trPr>
        <w:tc>
          <w:tcPr>
            <w:tcW w:w="5560" w:type="dxa"/>
            <w:vAlign w:val="bottom"/>
          </w:tcPr>
          <w:p>
            <w:pPr>
              <w:ind w:left="440"/>
              <w:spacing w:after="0"/>
              <w:rPr>
                <w:sz w:val="20"/>
                <w:szCs w:val="20"/>
                <w:color w:val="auto"/>
              </w:rPr>
            </w:pPr>
            <w:r>
              <w:rPr>
                <w:rFonts w:ascii="Arial" w:cs="Arial" w:eastAsia="Arial" w:hAnsi="Arial"/>
                <w:sz w:val="18"/>
                <w:szCs w:val="18"/>
                <w:color w:val="auto"/>
              </w:rPr>
              <w:t>Net pension benefit</w:t>
            </w:r>
          </w:p>
        </w:tc>
        <w:tc>
          <w:tcPr>
            <w:tcW w:w="2800" w:type="dxa"/>
            <w:vAlign w:val="bottom"/>
            <w:gridSpan w:val="4"/>
          </w:tcPr>
          <w:p>
            <w:pPr>
              <w:jc w:val="right"/>
              <w:ind w:right="320"/>
              <w:spacing w:after="0"/>
              <w:rPr>
                <w:sz w:val="20"/>
                <w:szCs w:val="20"/>
                <w:color w:val="auto"/>
              </w:rPr>
            </w:pPr>
            <w:r>
              <w:rPr>
                <w:rFonts w:ascii="Arial" w:cs="Arial" w:eastAsia="Arial" w:hAnsi="Arial"/>
                <w:sz w:val="18"/>
                <w:szCs w:val="18"/>
                <w:color w:val="auto"/>
              </w:rPr>
              <w:t>(60,269)</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(45,000)</w:t>
            </w:r>
          </w:p>
        </w:tc>
      </w:tr>
      <w:tr>
        <w:trPr>
          <w:trHeight w:val="211"/>
        </w:trPr>
        <w:tc>
          <w:tcPr>
            <w:tcW w:w="5560" w:type="dxa"/>
            <w:vAlign w:val="bottom"/>
          </w:tcPr>
          <w:p>
            <w:pPr>
              <w:ind w:left="440"/>
              <w:spacing w:after="0"/>
              <w:rPr>
                <w:sz w:val="20"/>
                <w:szCs w:val="20"/>
                <w:color w:val="auto"/>
              </w:rPr>
            </w:pPr>
            <w:r>
              <w:rPr>
                <w:rFonts w:ascii="Arial" w:cs="Arial" w:eastAsia="Arial" w:hAnsi="Arial"/>
                <w:sz w:val="18"/>
                <w:szCs w:val="18"/>
                <w:color w:val="auto"/>
              </w:rPr>
              <w:t>Gain from sale or exchange of certain businesses</w:t>
            </w:r>
          </w:p>
        </w:tc>
        <w:tc>
          <w:tcPr>
            <w:tcW w:w="2800" w:type="dxa"/>
            <w:vAlign w:val="bottom"/>
            <w:gridSpan w:val="4"/>
          </w:tcPr>
          <w:p>
            <w:pPr>
              <w:jc w:val="right"/>
              <w:ind w:right="320"/>
              <w:spacing w:after="0"/>
              <w:rPr>
                <w:sz w:val="20"/>
                <w:szCs w:val="20"/>
                <w:color w:val="auto"/>
              </w:rPr>
            </w:pPr>
            <w:r>
              <w:rPr>
                <w:rFonts w:ascii="Arial" w:cs="Arial" w:eastAsia="Arial" w:hAnsi="Arial"/>
                <w:sz w:val="18"/>
                <w:szCs w:val="18"/>
                <w:color w:val="auto"/>
              </w:rPr>
              <w:t>(321,091)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Loss/(gain) on disposition of marketable</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equity securities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3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(4,900)</w:t>
            </w: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Investment write-downs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43,850</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14,601</w:t>
            </w:r>
          </w:p>
        </w:tc>
        <w:tc>
          <w:tcPr>
            <w:tcW w:w="60" w:type="dxa"/>
            <w:vAlign w:val="bottom"/>
          </w:tcPr>
          <w:p>
            <w:pPr>
              <w:spacing w:after="0"/>
              <w:rPr>
                <w:sz w:val="21"/>
                <w:szCs w:val="21"/>
                <w:color w:val="auto"/>
              </w:rPr>
            </w:pP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Provision for deferred income taxes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84,207</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26,222</w:t>
            </w:r>
          </w:p>
        </w:tc>
        <w:tc>
          <w:tcPr>
            <w:tcW w:w="60" w:type="dxa"/>
            <w:vAlign w:val="bottom"/>
          </w:tcPr>
          <w:p>
            <w:pPr>
              <w:spacing w:after="0"/>
              <w:rPr>
                <w:sz w:val="21"/>
                <w:szCs w:val="21"/>
                <w:color w:val="auto"/>
              </w:rPr>
            </w:pP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Equity in losses of affiliates, net of</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distributions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24,636</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29,666</w:t>
            </w:r>
          </w:p>
        </w:tc>
        <w:tc>
          <w:tcPr>
            <w:tcW w:w="60" w:type="dxa"/>
            <w:vAlign w:val="bottom"/>
          </w:tcPr>
          <w:p>
            <w:pPr>
              <w:spacing w:after="0"/>
              <w:rPr>
                <w:sz w:val="21"/>
                <w:szCs w:val="21"/>
                <w:color w:val="auto"/>
              </w:rPr>
            </w:pPr>
          </w:p>
        </w:tc>
      </w:tr>
      <w:tr>
        <w:trPr>
          <w:trHeight w:val="243"/>
        </w:trPr>
        <w:tc>
          <w:tcPr>
            <w:tcW w:w="556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Decrease (increase) in accounts receivable, net</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(31,263)</w:t>
            </w:r>
          </w:p>
        </w:tc>
      </w:tr>
      <w:tr>
        <w:trPr>
          <w:trHeight w:val="235"/>
        </w:trPr>
        <w:tc>
          <w:tcPr>
            <w:tcW w:w="5560" w:type="dxa"/>
            <w:vAlign w:val="bottom"/>
          </w:tcPr>
          <w:p>
            <w:pPr>
              <w:ind w:left="540"/>
              <w:spacing w:after="0"/>
              <w:rPr>
                <w:sz w:val="20"/>
                <w:szCs w:val="20"/>
                <w:color w:val="auto"/>
              </w:rPr>
            </w:pPr>
            <w:r>
              <w:rPr>
                <w:rFonts w:ascii="Arial" w:cs="Arial" w:eastAsia="Arial" w:hAnsi="Arial"/>
                <w:sz w:val="18"/>
                <w:szCs w:val="18"/>
                <w:color w:val="auto"/>
              </w:rPr>
              <w:t>Increase in inventories</w:t>
            </w:r>
          </w:p>
        </w:tc>
        <w:tc>
          <w:tcPr>
            <w:tcW w:w="2800" w:type="dxa"/>
            <w:vAlign w:val="bottom"/>
            <w:gridSpan w:val="4"/>
          </w:tcPr>
          <w:p>
            <w:pPr>
              <w:jc w:val="right"/>
              <w:ind w:right="320"/>
              <w:spacing w:after="0"/>
              <w:rPr>
                <w:sz w:val="20"/>
                <w:szCs w:val="20"/>
                <w:color w:val="auto"/>
              </w:rPr>
            </w:pPr>
            <w:r>
              <w:rPr>
                <w:rFonts w:ascii="Arial" w:cs="Arial" w:eastAsia="Arial" w:hAnsi="Arial"/>
                <w:sz w:val="18"/>
                <w:szCs w:val="18"/>
                <w:color w:val="auto"/>
              </w:rPr>
              <w:t>(8,607)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(19,184)</w:t>
            </w:r>
          </w:p>
        </w:tc>
      </w:tr>
      <w:tr>
        <w:trPr>
          <w:trHeight w:val="211"/>
        </w:trPr>
        <w:tc>
          <w:tcPr>
            <w:tcW w:w="5560" w:type="dxa"/>
            <w:vAlign w:val="bottom"/>
          </w:tcPr>
          <w:p>
            <w:pPr>
              <w:ind w:left="540"/>
              <w:spacing w:after="0"/>
              <w:rPr>
                <w:sz w:val="20"/>
                <w:szCs w:val="20"/>
                <w:color w:val="auto"/>
              </w:rPr>
            </w:pPr>
            <w:r>
              <w:rPr>
                <w:rFonts w:ascii="Arial" w:cs="Arial" w:eastAsia="Arial" w:hAnsi="Arial"/>
                <w:sz w:val="18"/>
                <w:szCs w:val="18"/>
                <w:color w:val="auto"/>
              </w:rPr>
              <w:t>Increase in accounts payable and</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556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30,307</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27,174</w:t>
            </w:r>
          </w:p>
        </w:tc>
        <w:tc>
          <w:tcPr>
            <w:tcW w:w="60" w:type="dxa"/>
            <w:vAlign w:val="bottom"/>
          </w:tcPr>
          <w:p>
            <w:pPr>
              <w:spacing w:after="0"/>
              <w:rPr>
                <w:sz w:val="21"/>
                <w:szCs w:val="21"/>
                <w:color w:val="auto"/>
              </w:rPr>
            </w:pP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Decrease in income taxes receivable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12,370</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20,037</w:t>
            </w:r>
          </w:p>
        </w:tc>
        <w:tc>
          <w:tcPr>
            <w:tcW w:w="60" w:type="dxa"/>
            <w:vAlign w:val="bottom"/>
          </w:tcPr>
          <w:p>
            <w:pPr>
              <w:spacing w:after="0"/>
              <w:rPr>
                <w:sz w:val="21"/>
                <w:szCs w:val="21"/>
                <w:color w:val="auto"/>
              </w:rPr>
            </w:pP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Increase in income taxes payable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2,477</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540"/>
              <w:spacing w:after="0"/>
              <w:rPr>
                <w:sz w:val="20"/>
                <w:szCs w:val="20"/>
                <w:color w:val="auto"/>
              </w:rPr>
            </w:pPr>
            <w:r>
              <w:rPr>
                <w:rFonts w:ascii="Arial" w:cs="Arial" w:eastAsia="Arial" w:hAnsi="Arial"/>
                <w:sz w:val="18"/>
                <w:szCs w:val="18"/>
                <w:color w:val="auto"/>
              </w:rPr>
              <w:t>Decrease in other assets and other</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60" w:type="dxa"/>
            <w:vAlign w:val="bottom"/>
          </w:tcPr>
          <w:p>
            <w:pPr>
              <w:ind w:left="640"/>
              <w:spacing w:after="0"/>
              <w:rPr>
                <w:sz w:val="20"/>
                <w:szCs w:val="20"/>
                <w:color w:val="auto"/>
              </w:rPr>
            </w:pPr>
            <w:r>
              <w:rPr>
                <w:rFonts w:ascii="Arial" w:cs="Arial" w:eastAsia="Arial" w:hAnsi="Arial"/>
                <w:sz w:val="18"/>
                <w:szCs w:val="18"/>
                <w:color w:val="auto"/>
              </w:rPr>
              <w:t>liabilities, net</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52,188</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25,939</w:t>
            </w:r>
          </w:p>
        </w:tc>
        <w:tc>
          <w:tcPr>
            <w:tcW w:w="60" w:type="dxa"/>
            <w:vAlign w:val="bottom"/>
          </w:tcPr>
          <w:p>
            <w:pPr>
              <w:spacing w:after="0"/>
              <w:rPr>
                <w:sz w:val="21"/>
                <w:szCs w:val="21"/>
                <w:color w:val="auto"/>
              </w:rPr>
            </w:pPr>
          </w:p>
        </w:tc>
      </w:tr>
      <w:tr>
        <w:trPr>
          <w:trHeight w:val="205"/>
        </w:trPr>
        <w:tc>
          <w:tcPr>
            <w:tcW w:w="5560" w:type="dxa"/>
            <w:vAlign w:val="bottom"/>
          </w:tcPr>
          <w:p>
            <w:pPr>
              <w:ind w:left="340"/>
              <w:spacing w:after="0" w:line="205" w:lineRule="exact"/>
              <w:rPr>
                <w:sz w:val="20"/>
                <w:szCs w:val="20"/>
                <w:color w:val="auto"/>
              </w:rPr>
            </w:pPr>
            <w:r>
              <w:rPr>
                <w:rFonts w:ascii="Arial" w:cs="Arial" w:eastAsia="Arial" w:hAnsi="Arial"/>
                <w:sz w:val="18"/>
                <w:szCs w:val="18"/>
                <w:color w:val="auto"/>
              </w:rPr>
              <w:t>Other</w:t>
            </w:r>
          </w:p>
        </w:tc>
        <w:tc>
          <w:tcPr>
            <w:tcW w:w="1900" w:type="dxa"/>
            <w:vAlign w:val="bottom"/>
            <w:gridSpan w:val="2"/>
          </w:tcPr>
          <w:p>
            <w:pPr>
              <w:spacing w:after="0"/>
              <w:rPr>
                <w:sz w:val="17"/>
                <w:szCs w:val="17"/>
                <w:color w:val="auto"/>
              </w:rPr>
            </w:pPr>
          </w:p>
        </w:tc>
        <w:tc>
          <w:tcPr>
            <w:tcW w:w="900" w:type="dxa"/>
            <w:vAlign w:val="bottom"/>
            <w:gridSpan w:val="2"/>
          </w:tcPr>
          <w:p>
            <w:pPr>
              <w:jc w:val="right"/>
              <w:ind w:right="320"/>
              <w:spacing w:after="0" w:line="205" w:lineRule="exact"/>
              <w:rPr>
                <w:sz w:val="20"/>
                <w:szCs w:val="20"/>
                <w:color w:val="auto"/>
              </w:rPr>
            </w:pPr>
            <w:r>
              <w:rPr>
                <w:rFonts w:ascii="Arial" w:cs="Arial" w:eastAsia="Arial" w:hAnsi="Arial"/>
                <w:sz w:val="18"/>
                <w:szCs w:val="18"/>
                <w:color w:val="auto"/>
                <w:w w:val="98"/>
              </w:rPr>
              <w:t>(5,100)</w:t>
            </w:r>
          </w:p>
        </w:tc>
        <w:tc>
          <w:tcPr>
            <w:tcW w:w="11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(19,070)</w:t>
            </w:r>
          </w:p>
        </w:tc>
      </w:tr>
      <w:tr>
        <w:trPr>
          <w:trHeight w:val="20"/>
        </w:trPr>
        <w:tc>
          <w:tcPr>
            <w:tcW w:w="5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55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234,093</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255,457</w:t>
            </w:r>
          </w:p>
        </w:tc>
        <w:tc>
          <w:tcPr>
            <w:tcW w:w="60" w:type="dxa"/>
            <w:vAlign w:val="bottom"/>
          </w:tcPr>
          <w:p>
            <w:pPr>
              <w:spacing w:after="0"/>
              <w:rPr>
                <w:sz w:val="24"/>
                <w:szCs w:val="24"/>
                <w:color w:val="auto"/>
              </w:rPr>
            </w:pPr>
          </w:p>
        </w:tc>
      </w:tr>
      <w:tr>
        <w:trPr>
          <w:trHeight w:val="505"/>
        </w:trPr>
        <w:tc>
          <w:tcPr>
            <w:tcW w:w="5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5560" w:type="dxa"/>
            <w:vAlign w:val="bottom"/>
          </w:tcPr>
          <w:p>
            <w:pPr>
              <w:ind w:left="260"/>
              <w:spacing w:after="0"/>
              <w:rPr>
                <w:sz w:val="20"/>
                <w:szCs w:val="20"/>
                <w:color w:val="auto"/>
              </w:rPr>
            </w:pPr>
            <w:r>
              <w:rPr>
                <w:rFonts w:ascii="Arial" w:cs="Arial" w:eastAsia="Arial" w:hAnsi="Arial"/>
                <w:sz w:val="18"/>
                <w:szCs w:val="18"/>
                <w:color w:val="auto"/>
              </w:rPr>
              <w:t>Purchases of property, plant and equipment</w:t>
            </w:r>
          </w:p>
        </w:tc>
        <w:tc>
          <w:tcPr>
            <w:tcW w:w="2800" w:type="dxa"/>
            <w:vAlign w:val="bottom"/>
            <w:gridSpan w:val="4"/>
          </w:tcPr>
          <w:p>
            <w:pPr>
              <w:jc w:val="right"/>
              <w:ind w:right="320"/>
              <w:spacing w:after="0"/>
              <w:rPr>
                <w:sz w:val="20"/>
                <w:szCs w:val="20"/>
                <w:color w:val="auto"/>
              </w:rPr>
            </w:pPr>
            <w:r>
              <w:rPr>
                <w:rFonts w:ascii="Arial" w:cs="Arial" w:eastAsia="Arial" w:hAnsi="Arial"/>
                <w:sz w:val="18"/>
                <w:szCs w:val="18"/>
                <w:color w:val="auto"/>
              </w:rPr>
              <w:t>(167,500)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(108,585)</w:t>
            </w:r>
          </w:p>
        </w:tc>
      </w:tr>
      <w:tr>
        <w:trPr>
          <w:trHeight w:val="203"/>
        </w:trPr>
        <w:tc>
          <w:tcPr>
            <w:tcW w:w="5560" w:type="dxa"/>
            <w:vAlign w:val="bottom"/>
          </w:tcPr>
          <w:p>
            <w:pPr>
              <w:ind w:left="260"/>
              <w:spacing w:after="0" w:line="202" w:lineRule="exact"/>
              <w:rPr>
                <w:sz w:val="20"/>
                <w:szCs w:val="20"/>
                <w:color w:val="auto"/>
              </w:rPr>
            </w:pPr>
            <w:r>
              <w:rPr>
                <w:rFonts w:ascii="Arial" w:cs="Arial" w:eastAsia="Arial" w:hAnsi="Arial"/>
                <w:sz w:val="18"/>
                <w:szCs w:val="18"/>
                <w:color w:val="auto"/>
              </w:rPr>
              <w:t>Investments in certain businesses</w:t>
            </w:r>
          </w:p>
        </w:tc>
        <w:tc>
          <w:tcPr>
            <w:tcW w:w="280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(104,356)</w:t>
            </w: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(197,061)</w:t>
            </w:r>
          </w:p>
        </w:tc>
      </w:tr>
      <w:tr>
        <w:trPr>
          <w:trHeight w:val="211"/>
        </w:trPr>
        <w:tc>
          <w:tcPr>
            <w:tcW w:w="5560" w:type="dxa"/>
            <w:vAlign w:val="bottom"/>
          </w:tcPr>
          <w:p>
            <w:pPr>
              <w:ind w:left="260"/>
              <w:spacing w:after="0"/>
              <w:rPr>
                <w:sz w:val="20"/>
                <w:szCs w:val="20"/>
                <w:color w:val="auto"/>
              </w:rPr>
            </w:pPr>
            <w:r>
              <w:rPr>
                <w:rFonts w:ascii="Arial" w:cs="Arial" w:eastAsia="Arial" w:hAnsi="Arial"/>
                <w:sz w:val="18"/>
                <w:szCs w:val="18"/>
                <w:color w:val="auto"/>
              </w:rPr>
              <w:t>Net proceeds from sale of business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61,921</w:t>
            </w: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Proceeds from sale of marketable securities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6,287</w:t>
            </w:r>
          </w:p>
        </w:tc>
        <w:tc>
          <w:tcPr>
            <w:tcW w:w="60" w:type="dxa"/>
            <w:vAlign w:val="bottom"/>
          </w:tcPr>
          <w:p>
            <w:pPr>
              <w:spacing w:after="0"/>
              <w:rPr>
                <w:sz w:val="21"/>
                <w:szCs w:val="21"/>
                <w:color w:val="auto"/>
              </w:rPr>
            </w:pP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800" w:type="dxa"/>
            <w:vAlign w:val="bottom"/>
            <w:gridSpan w:val="4"/>
          </w:tcPr>
          <w:p>
            <w:pPr>
              <w:jc w:val="right"/>
              <w:ind w:right="320"/>
              <w:spacing w:after="0"/>
              <w:rPr>
                <w:sz w:val="20"/>
                <w:szCs w:val="20"/>
                <w:color w:val="auto"/>
              </w:rPr>
            </w:pPr>
            <w:r>
              <w:rPr>
                <w:rFonts w:ascii="Arial" w:cs="Arial" w:eastAsia="Arial" w:hAnsi="Arial"/>
                <w:sz w:val="18"/>
                <w:szCs w:val="18"/>
                <w:color w:val="auto"/>
              </w:rPr>
              <w:t>(32,787)</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5"/>
        </w:trPr>
        <w:tc>
          <w:tcPr>
            <w:tcW w:w="5560" w:type="dxa"/>
            <w:vAlign w:val="bottom"/>
          </w:tcPr>
          <w:p>
            <w:pPr>
              <w:ind w:left="260"/>
              <w:spacing w:after="0" w:line="205" w:lineRule="exact"/>
              <w:rPr>
                <w:sz w:val="20"/>
                <w:szCs w:val="20"/>
                <w:color w:val="auto"/>
              </w:rPr>
            </w:pPr>
            <w:r>
              <w:rPr>
                <w:rFonts w:ascii="Arial" w:cs="Arial" w:eastAsia="Arial" w:hAnsi="Arial"/>
                <w:sz w:val="18"/>
                <w:szCs w:val="18"/>
                <w:color w:val="auto"/>
              </w:rPr>
              <w:t>Other</w:t>
            </w:r>
          </w:p>
        </w:tc>
        <w:tc>
          <w:tcPr>
            <w:tcW w:w="1900" w:type="dxa"/>
            <w:vAlign w:val="bottom"/>
            <w:gridSpan w:val="2"/>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770</w:t>
            </w:r>
          </w:p>
        </w:tc>
        <w:tc>
          <w:tcPr>
            <w:tcW w:w="38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5"/>
              </w:rPr>
              <w:t>(14,879)</w:t>
            </w:r>
          </w:p>
        </w:tc>
      </w:tr>
      <w:tr>
        <w:trPr>
          <w:trHeight w:val="20"/>
        </w:trPr>
        <w:tc>
          <w:tcPr>
            <w:tcW w:w="5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gridSpan w:val="6"/>
          </w:tcPr>
          <w:p>
            <w:pPr>
              <w:jc w:val="right"/>
              <w:ind w:right="460"/>
              <w:spacing w:after="0"/>
              <w:rPr>
                <w:sz w:val="20"/>
                <w:szCs w:val="20"/>
                <w:color w:val="auto"/>
              </w:rPr>
            </w:pPr>
            <w:r>
              <w:rPr>
                <w:rFonts w:ascii="Arial" w:cs="Arial" w:eastAsia="Arial" w:hAnsi="Arial"/>
                <w:sz w:val="18"/>
                <w:szCs w:val="18"/>
                <w:color w:val="auto"/>
              </w:rPr>
              <w:t>(241,807)</w:t>
            </w:r>
          </w:p>
        </w:tc>
        <w:tc>
          <w:tcPr>
            <w:tcW w:w="2920" w:type="dxa"/>
            <w:vAlign w:val="bottom"/>
            <w:gridSpan w:val="6"/>
          </w:tcPr>
          <w:p>
            <w:pPr>
              <w:jc w:val="right"/>
              <w:ind w:right="1880"/>
              <w:spacing w:after="0"/>
              <w:rPr>
                <w:sz w:val="20"/>
                <w:szCs w:val="20"/>
                <w:color w:val="auto"/>
              </w:rPr>
            </w:pPr>
            <w:r>
              <w:rPr>
                <w:rFonts w:ascii="Arial" w:cs="Arial" w:eastAsia="Arial" w:hAnsi="Arial"/>
                <w:sz w:val="18"/>
                <w:szCs w:val="18"/>
                <w:color w:val="auto"/>
              </w:rPr>
              <w:t>(313,238)</w:t>
            </w:r>
          </w:p>
        </w:tc>
      </w:tr>
      <w:tr>
        <w:trPr>
          <w:trHeight w:val="464"/>
        </w:trPr>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43"/>
        </w:trPr>
        <w:tc>
          <w:tcPr>
            <w:tcW w:w="7020" w:type="dxa"/>
            <w:vAlign w:val="bottom"/>
          </w:tcPr>
          <w:p>
            <w:pPr>
              <w:ind w:left="260"/>
              <w:spacing w:after="0"/>
              <w:rPr>
                <w:sz w:val="20"/>
                <w:szCs w:val="20"/>
                <w:color w:val="auto"/>
              </w:rPr>
            </w:pPr>
            <w:r>
              <w:rPr>
                <w:rFonts w:ascii="Arial" w:cs="Arial" w:eastAsia="Arial" w:hAnsi="Arial"/>
                <w:sz w:val="18"/>
                <w:szCs w:val="18"/>
                <w:color w:val="auto"/>
              </w:rPr>
              <w:t>Net issuance of commercial paper</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48,037</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47,306</w:t>
            </w: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5"/>
        </w:trPr>
        <w:tc>
          <w:tcPr>
            <w:tcW w:w="70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480" w:type="dxa"/>
            <w:vAlign w:val="bottom"/>
            <w:gridSpan w:val="6"/>
          </w:tcPr>
          <w:p>
            <w:pPr>
              <w:jc w:val="right"/>
              <w:ind w:right="460"/>
              <w:spacing w:after="0"/>
              <w:rPr>
                <w:sz w:val="20"/>
                <w:szCs w:val="20"/>
                <w:color w:val="auto"/>
              </w:rPr>
            </w:pPr>
            <w:r>
              <w:rPr>
                <w:rFonts w:ascii="Arial" w:cs="Arial" w:eastAsia="Arial" w:hAnsi="Arial"/>
                <w:sz w:val="18"/>
                <w:szCs w:val="18"/>
                <w:color w:val="auto"/>
              </w:rPr>
              <w:t>(40,616)</w:t>
            </w:r>
          </w:p>
        </w:tc>
        <w:tc>
          <w:tcPr>
            <w:tcW w:w="2920" w:type="dxa"/>
            <w:vAlign w:val="bottom"/>
            <w:gridSpan w:val="6"/>
          </w:tcPr>
          <w:p>
            <w:pPr>
              <w:jc w:val="right"/>
              <w:ind w:right="1880"/>
              <w:spacing w:after="0"/>
              <w:rPr>
                <w:sz w:val="20"/>
                <w:szCs w:val="20"/>
                <w:color w:val="auto"/>
              </w:rPr>
            </w:pPr>
            <w:r>
              <w:rPr>
                <w:rFonts w:ascii="Arial" w:cs="Arial" w:eastAsia="Arial" w:hAnsi="Arial"/>
                <w:sz w:val="18"/>
                <w:szCs w:val="18"/>
                <w:color w:val="auto"/>
              </w:rPr>
              <w:t>(39,006)</w:t>
            </w:r>
          </w:p>
        </w:tc>
      </w:tr>
      <w:tr>
        <w:trPr>
          <w:trHeight w:val="203"/>
        </w:trPr>
        <w:tc>
          <w:tcPr>
            <w:tcW w:w="7020" w:type="dxa"/>
            <w:vAlign w:val="bottom"/>
          </w:tcPr>
          <w:p>
            <w:pPr>
              <w:ind w:left="260"/>
              <w:spacing w:after="0" w:line="202" w:lineRule="exact"/>
              <w:rPr>
                <w:sz w:val="20"/>
                <w:szCs w:val="20"/>
                <w:color w:val="auto"/>
              </w:rPr>
            </w:pPr>
            <w:r>
              <w:rPr>
                <w:rFonts w:ascii="Arial" w:cs="Arial" w:eastAsia="Arial" w:hAnsi="Arial"/>
                <w:sz w:val="18"/>
                <w:szCs w:val="18"/>
                <w:color w:val="auto"/>
              </w:rPr>
              <w:t>Common shares repurchased</w:t>
            </w:r>
          </w:p>
        </w:tc>
        <w:tc>
          <w:tcPr>
            <w:tcW w:w="1480" w:type="dxa"/>
            <w:vAlign w:val="bottom"/>
            <w:gridSpan w:val="6"/>
          </w:tcPr>
          <w:p>
            <w:pPr>
              <w:jc w:val="right"/>
              <w:ind w:right="460"/>
              <w:spacing w:after="0" w:line="202" w:lineRule="exact"/>
              <w:rPr>
                <w:sz w:val="20"/>
                <w:szCs w:val="20"/>
                <w:color w:val="auto"/>
              </w:rPr>
            </w:pPr>
            <w:r>
              <w:rPr>
                <w:rFonts w:ascii="Arial" w:cs="Arial" w:eastAsia="Arial" w:hAnsi="Arial"/>
                <w:sz w:val="18"/>
                <w:szCs w:val="18"/>
                <w:color w:val="auto"/>
              </w:rPr>
              <w:t>(445)</w:t>
            </w:r>
          </w:p>
        </w:tc>
        <w:tc>
          <w:tcPr>
            <w:tcW w:w="2920" w:type="dxa"/>
            <w:vAlign w:val="bottom"/>
            <w:gridSpan w:val="6"/>
          </w:tcPr>
          <w:p>
            <w:pPr>
              <w:jc w:val="right"/>
              <w:ind w:right="1880"/>
              <w:spacing w:after="0" w:line="202" w:lineRule="exact"/>
              <w:rPr>
                <w:sz w:val="20"/>
                <w:szCs w:val="20"/>
                <w:color w:val="auto"/>
              </w:rPr>
            </w:pPr>
            <w:r>
              <w:rPr>
                <w:rFonts w:ascii="Arial" w:cs="Arial" w:eastAsia="Arial" w:hAnsi="Arial"/>
                <w:sz w:val="18"/>
                <w:szCs w:val="18"/>
                <w:color w:val="auto"/>
              </w:rPr>
              <w:t>(253)</w:t>
            </w:r>
          </w:p>
        </w:tc>
      </w:tr>
      <w:tr>
        <w:trPr>
          <w:trHeight w:val="172"/>
        </w:trPr>
        <w:tc>
          <w:tcPr>
            <w:tcW w:w="7020" w:type="dxa"/>
            <w:vAlign w:val="bottom"/>
          </w:tcPr>
          <w:p>
            <w:pPr>
              <w:ind w:left="260"/>
              <w:spacing w:after="0" w:line="172" w:lineRule="exact"/>
              <w:rPr>
                <w:sz w:val="20"/>
                <w:szCs w:val="20"/>
                <w:color w:val="auto"/>
              </w:rPr>
            </w:pPr>
            <w:r>
              <w:rPr>
                <w:rFonts w:ascii="Arial" w:cs="Arial" w:eastAsia="Arial" w:hAnsi="Arial"/>
                <w:sz w:val="18"/>
                <w:szCs w:val="18"/>
                <w:color w:val="auto"/>
              </w:rPr>
              <w:t>Proceeds from exercise of stock options</w:t>
            </w:r>
          </w:p>
        </w:tc>
        <w:tc>
          <w:tcPr>
            <w:tcW w:w="380" w:type="dxa"/>
            <w:vAlign w:val="bottom"/>
            <w:gridSpan w:val="3"/>
          </w:tcPr>
          <w:p>
            <w:pPr>
              <w:spacing w:after="0"/>
              <w:rPr>
                <w:sz w:val="14"/>
                <w:szCs w:val="14"/>
                <w:color w:val="auto"/>
              </w:rPr>
            </w:pPr>
          </w:p>
        </w:tc>
        <w:tc>
          <w:tcPr>
            <w:tcW w:w="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4,241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gridSpan w:val="3"/>
          </w:tcPr>
          <w:p>
            <w:pPr>
              <w:spacing w:after="0"/>
              <w:rPr>
                <w:sz w:val="14"/>
                <w:szCs w:val="14"/>
                <w:color w:val="auto"/>
              </w:rPr>
            </w:pPr>
          </w:p>
        </w:tc>
        <w:tc>
          <w:tcPr>
            <w:tcW w:w="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4,014</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466"/>
        </w:trPr>
        <w:tc>
          <w:tcPr>
            <w:tcW w:w="702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11,217</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12,061</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05"/>
        </w:trPr>
        <w:tc>
          <w:tcPr>
            <w:tcW w:w="70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3,503</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6"/>
          </w:tcPr>
          <w:p>
            <w:pPr>
              <w:jc w:val="right"/>
              <w:ind w:right="1880"/>
              <w:spacing w:after="0"/>
              <w:rPr>
                <w:sz w:val="20"/>
                <w:szCs w:val="20"/>
                <w:color w:val="auto"/>
              </w:rPr>
            </w:pPr>
            <w:r>
              <w:rPr>
                <w:rFonts w:ascii="Arial" w:cs="Arial" w:eastAsia="Arial" w:hAnsi="Arial"/>
                <w:sz w:val="18"/>
                <w:szCs w:val="18"/>
                <w:color w:val="auto"/>
              </w:rPr>
              <w:t>(45,720)</w:t>
            </w:r>
          </w:p>
        </w:tc>
      </w:tr>
      <w:tr>
        <w:trPr>
          <w:trHeight w:val="448"/>
        </w:trPr>
        <w:tc>
          <w:tcPr>
            <w:tcW w:w="702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340" w:type="dxa"/>
            <w:vAlign w:val="bottom"/>
            <w:gridSpan w:val="2"/>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75,479</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05"/>
        </w:trPr>
        <w:tc>
          <w:tcPr>
            <w:tcW w:w="702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$ 23,848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$ 29,759</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0"/>
        </w:trPr>
        <w:tc>
          <w:tcPr>
            <w:tcW w:w="70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r>
      <w:tr>
        <w:trPr>
          <w:trHeight w:val="213"/>
        </w:trPr>
        <w:tc>
          <w:tcPr>
            <w:tcW w:w="70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2"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Exchanges and Dispositions</w:t>
      </w:r>
    </w:p>
    <w:p>
      <w:pPr>
        <w:spacing w:after="0" w:line="21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During the first nine months of 2001, the company spent approximately $104.4 million on business acquisitions and exchanges, which principally included the purchase of Southern Maryland Newspapers, a division of Chesapeake Publishing Corporation, and amounts paid as part of a cable system exchange with AT&amp;T Broadband.</w:t>
      </w:r>
    </w:p>
    <w:p>
      <w:pPr>
        <w:spacing w:after="0" w:line="20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Southern Maryland Newspapers publishes the Maryland Independent in Charles County, Maryland; the Lexington Park Enterprise in St. Mary's County, Maryland; and the Recorder in Calvert County, Maryland. The acquired newspapers have a combined total paid circulation of approximately 50,000.</w:t>
      </w:r>
    </w:p>
    <w:p>
      <w:pPr>
        <w:spacing w:after="0" w:line="20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 also acquired a provider of CFA exam preparation services and a company which provides pre-certification training for real estate, insurance and securities professionals during the first nine months of 2001.</w:t>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gain resulting from the cable system sale and exchange transactions, which is included in "Other, net" in the Condensed Consolidated Statements of Income, increased net income by $196.5 million, or $20.70 per share. For income tax purposes, a substantial component of the cable system sale and exchange transactions qualify as like-kind exchanges and therefore, a large portion of these transactions do not result in a current tax liability.</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During the first nine months of 2000, the company acquired Quest Education Corporation (on August 2, 2000) for approximately $177.7 million, including assumed debt and related acquisition expenses, and two cable systems serving approximately 8,500 subscribers in South Sioux City, NE (in June 2000) and Diamondhead, MS (in August 2000) for approximately $16.2 million.</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acquisition of Quest Education Corporation (Quest) was completed through an all cash tender offer in which the company purchased substantially all the outstanding stock of Quest for $18.35 per share. The acquisition was financed through the issuance of additional short-term borrowings. The operating results of Quest from the date of acquisition have been included in the Education segment.</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Quest, headquartered in Atlanta, Ga., is a leading provider of post-secondary education, currently serving more than 13,400 students in 30 schools located in 11 states. Quest's schools offer bachelor degrees, associate degrees, and diploma programs designed to provide students with the knowledge and skills necessary to qualify them for entry-level employment, primarily in the fields of health care, business and information technology.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business dispositions during the first nine months of 2000.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 in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30, 2001 and December 31, 2000 consist of the following (in thousands):</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211"/>
        </w:trPr>
        <w:tc>
          <w:tcPr>
            <w:tcW w:w="2820" w:type="dxa"/>
            <w:vAlign w:val="bottom"/>
          </w:tcPr>
          <w:p>
            <w:pPr>
              <w:spacing w:after="0"/>
              <w:rPr>
                <w:sz w:val="18"/>
                <w:szCs w:val="18"/>
                <w:color w:val="auto"/>
              </w:rPr>
            </w:pPr>
          </w:p>
        </w:tc>
        <w:tc>
          <w:tcPr>
            <w:tcW w:w="2620" w:type="dxa"/>
            <w:vAlign w:val="bottom"/>
            <w:gridSpan w:val="4"/>
          </w:tcPr>
          <w:p>
            <w:pPr>
              <w:jc w:val="right"/>
              <w:ind w:right="440"/>
              <w:spacing w:after="0"/>
              <w:rPr>
                <w:sz w:val="20"/>
                <w:szCs w:val="20"/>
                <w:color w:val="auto"/>
              </w:rPr>
            </w:pPr>
            <w:r>
              <w:rPr>
                <w:rFonts w:ascii="Arial" w:cs="Arial" w:eastAsia="Arial" w:hAnsi="Arial"/>
                <w:sz w:val="18"/>
                <w:szCs w:val="18"/>
                <w:color w:val="auto"/>
              </w:rPr>
              <w:t>September 30,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r>
      <w:tr>
        <w:trPr>
          <w:trHeight w:val="243"/>
        </w:trPr>
        <w:tc>
          <w:tcPr>
            <w:tcW w:w="2820" w:type="dxa"/>
            <w:vAlign w:val="bottom"/>
          </w:tcPr>
          <w:p>
            <w:pPr>
              <w:spacing w:after="0"/>
              <w:rPr>
                <w:sz w:val="21"/>
                <w:szCs w:val="21"/>
                <w:color w:val="auto"/>
              </w:rPr>
            </w:pPr>
          </w:p>
        </w:tc>
        <w:tc>
          <w:tcPr>
            <w:tcW w:w="2620" w:type="dxa"/>
            <w:vAlign w:val="bottom"/>
            <w:gridSpan w:val="4"/>
          </w:tcPr>
          <w:p>
            <w:pPr>
              <w:jc w:val="right"/>
              <w:ind w:right="440"/>
              <w:spacing w:after="0"/>
              <w:rPr>
                <w:sz w:val="20"/>
                <w:szCs w:val="20"/>
                <w:color w:val="auto"/>
              </w:rPr>
            </w:pPr>
            <w:r>
              <w:rPr>
                <w:rFonts w:ascii="Arial" w:cs="Arial" w:eastAsia="Arial" w:hAnsi="Arial"/>
                <w:sz w:val="18"/>
                <w:szCs w:val="18"/>
                <w:color w:val="auto"/>
              </w:rPr>
              <w:t>2001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2000</w:t>
            </w:r>
          </w:p>
        </w:tc>
      </w:tr>
      <w:tr>
        <w:trPr>
          <w:trHeight w:val="137"/>
        </w:trPr>
        <w:tc>
          <w:tcPr>
            <w:tcW w:w="2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r>
      <w:tr>
        <w:trPr>
          <w:trHeight w:val="321"/>
        </w:trPr>
        <w:tc>
          <w:tcPr>
            <w:tcW w:w="2820" w:type="dxa"/>
            <w:vAlign w:val="bottom"/>
          </w:tcPr>
          <w:p>
            <w:pPr>
              <w:spacing w:after="0"/>
              <w:rPr>
                <w:sz w:val="20"/>
                <w:szCs w:val="20"/>
                <w:color w:val="auto"/>
              </w:rPr>
            </w:pPr>
            <w:r>
              <w:rPr>
                <w:rFonts w:ascii="Arial" w:cs="Arial" w:eastAsia="Arial" w:hAnsi="Arial"/>
                <w:sz w:val="18"/>
                <w:szCs w:val="18"/>
                <w:color w:val="auto"/>
              </w:rPr>
              <w:t>Total cost</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$195,661</w:t>
            </w:r>
          </w:p>
        </w:tc>
        <w:tc>
          <w:tcPr>
            <w:tcW w:w="44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$199,159</w:t>
            </w:r>
          </w:p>
        </w:tc>
      </w:tr>
      <w:tr>
        <w:trPr>
          <w:trHeight w:val="172"/>
        </w:trPr>
        <w:tc>
          <w:tcPr>
            <w:tcW w:w="2820" w:type="dxa"/>
            <w:vAlign w:val="bottom"/>
          </w:tcPr>
          <w:p>
            <w:pPr>
              <w:spacing w:after="0" w:line="172" w:lineRule="exact"/>
              <w:rPr>
                <w:sz w:val="20"/>
                <w:szCs w:val="20"/>
                <w:color w:val="auto"/>
              </w:rPr>
            </w:pPr>
            <w:r>
              <w:rPr>
                <w:rFonts w:ascii="Arial" w:cs="Arial" w:eastAsia="Arial" w:hAnsi="Arial"/>
                <w:sz w:val="18"/>
                <w:szCs w:val="18"/>
                <w:color w:val="auto"/>
              </w:rPr>
              <w:t>Gross unrealized gains</w:t>
            </w:r>
          </w:p>
        </w:tc>
        <w:tc>
          <w:tcPr>
            <w:tcW w:w="1500" w:type="dxa"/>
            <w:vAlign w:val="bottom"/>
            <w:gridSpan w:val="2"/>
          </w:tcPr>
          <w:p>
            <w:pPr>
              <w:spacing w:after="0"/>
              <w:rPr>
                <w:sz w:val="14"/>
                <w:szCs w:val="14"/>
                <w:color w:val="auto"/>
              </w:rPr>
            </w:pPr>
          </w:p>
        </w:tc>
        <w:tc>
          <w:tcPr>
            <w:tcW w:w="6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23,149</w:t>
            </w:r>
          </w:p>
        </w:tc>
        <w:tc>
          <w:tcPr>
            <w:tcW w:w="4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8"/>
                <w:szCs w:val="18"/>
                <w:color w:val="auto"/>
              </w:rPr>
              <w:t>21,978</w:t>
            </w:r>
          </w:p>
        </w:tc>
      </w:tr>
    </w:tbl>
    <w:p>
      <w:pPr>
        <w:sectPr>
          <w:pgSz w:w="11900" w:h="16838" w:orient="portrait"/>
          <w:cols w:equalWidth="0" w:num="1">
            <w:col w:w="11420"/>
          </w:cols>
          <w:pgMar w:left="240" w:top="108" w:right="239" w:bottom="0" w:gutter="0" w:footer="0" w:header="0"/>
        </w:sectPr>
      </w:pPr>
    </w:p>
    <w:bookmarkStart w:id="5" w:name="page6"/>
    <w:bookmarkEnd w:id="5"/>
    <w:p>
      <w:pPr>
        <w:spacing w:after="0" w:line="1" w:lineRule="exact"/>
        <w:rPr>
          <w:sz w:val="20"/>
          <w:szCs w:val="20"/>
          <w:color w:val="auto"/>
        </w:rPr>
      </w:pPr>
    </w:p>
    <w:tbl>
      <w:tblPr>
        <w:tblLayout w:type="fixed"/>
        <w:tblInd w:w="2220" w:type="dxa"/>
        <w:tblCellMar>
          <w:top w:w="0" w:type="dxa"/>
          <w:left w:w="0" w:type="dxa"/>
          <w:bottom w:w="0" w:type="dxa"/>
          <w:right w:w="0" w:type="dxa"/>
        </w:tblCellMar>
      </w:tblPr>
      <w:tr>
        <w:trPr>
          <w:trHeight w:val="211"/>
        </w:trPr>
        <w:tc>
          <w:tcPr>
            <w:tcW w:w="4000" w:type="dxa"/>
            <w:vAlign w:val="bottom"/>
          </w:tcPr>
          <w:p>
            <w:pPr>
              <w:spacing w:after="0"/>
              <w:rPr>
                <w:sz w:val="20"/>
                <w:szCs w:val="20"/>
                <w:color w:val="auto"/>
              </w:rPr>
            </w:pPr>
            <w:r>
              <w:rPr>
                <w:rFonts w:ascii="Arial" w:cs="Arial" w:eastAsia="Arial" w:hAnsi="Arial"/>
                <w:sz w:val="18"/>
                <w:szCs w:val="18"/>
                <w:color w:val="auto"/>
              </w:rPr>
              <w:t>Total fair value</w:t>
            </w:r>
          </w:p>
        </w:tc>
        <w:tc>
          <w:tcPr>
            <w:tcW w:w="1000" w:type="dxa"/>
            <w:vAlign w:val="bottom"/>
          </w:tcPr>
          <w:p>
            <w:pPr>
              <w:jc w:val="right"/>
              <w:spacing w:after="0"/>
              <w:rPr>
                <w:sz w:val="20"/>
                <w:szCs w:val="20"/>
                <w:color w:val="auto"/>
              </w:rPr>
            </w:pPr>
            <w:r>
              <w:rPr>
                <w:rFonts w:ascii="Arial" w:cs="Arial" w:eastAsia="Arial" w:hAnsi="Arial"/>
                <w:sz w:val="18"/>
                <w:szCs w:val="18"/>
                <w:color w:val="auto"/>
              </w:rPr>
              <w:t>$218,810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$221,137</w:t>
            </w:r>
          </w:p>
        </w:tc>
      </w:tr>
      <w:tr>
        <w:trPr>
          <w:trHeight w:val="120"/>
        </w:trPr>
        <w:tc>
          <w:tcPr>
            <w:tcW w:w="40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the first nine months of 2001, proceeds from sales of marketable equity securities were $0.1 million. Gross realized losses on such sales were $0.4 million. During the first nine months of 2000, proceeds from sales of marketable equity securities were $6.3 million. Gross realized gains on such sales were $4.9 million. Gross realized gains upon the sale of marketable equity securities are included in "Other, net" in the Condensed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2001 and December 31, 2000, the carrying value of the Company's cost method investments was $40.9 million and $48.6</w:t>
      </w:r>
    </w:p>
    <w:p>
      <w:pPr>
        <w:spacing w:after="0"/>
        <w:rPr>
          <w:sz w:val="20"/>
          <w:szCs w:val="20"/>
          <w:color w:val="auto"/>
        </w:rPr>
      </w:pPr>
      <w:r>
        <w:rPr>
          <w:rFonts w:ascii="Arial" w:cs="Arial" w:eastAsia="Arial" w:hAnsi="Arial"/>
          <w:sz w:val="16"/>
          <w:szCs w:val="16"/>
          <w:color w:val="auto"/>
        </w:rPr>
        <w:t>million, respectively. During the third quarter and first nine months of 2001, the Company invested $4.0 million and $11.7 million, respectively,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companies constituting cost method investments; during the third quarter and first nine months of 2000, the Company invested $6.0 million and</w:t>
      </w:r>
    </w:p>
    <w:p>
      <w:pPr>
        <w:spacing w:after="0"/>
        <w:rPr>
          <w:sz w:val="20"/>
          <w:szCs w:val="20"/>
          <w:color w:val="auto"/>
        </w:rPr>
      </w:pPr>
      <w:r>
        <w:rPr>
          <w:rFonts w:ascii="Arial" w:cs="Arial" w:eastAsia="Arial" w:hAnsi="Arial"/>
          <w:sz w:val="16"/>
          <w:szCs w:val="16"/>
          <w:color w:val="auto"/>
        </w:rPr>
        <w:t>$32.4 million in such companies. The Company recorded charges of $8.6 million and $22.8 million during the third quarter and first nine months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2001, respectively, to write-down certain of its cost method investments to estimated fair value; for the same periods of 2000, the Company</w:t>
      </w:r>
    </w:p>
    <w:p>
      <w:pPr>
        <w:spacing w:after="0"/>
        <w:rPr>
          <w:sz w:val="20"/>
          <w:szCs w:val="20"/>
          <w:color w:val="auto"/>
        </w:rPr>
      </w:pPr>
      <w:r>
        <w:rPr>
          <w:rFonts w:ascii="Arial" w:cs="Arial" w:eastAsia="Arial" w:hAnsi="Arial"/>
          <w:sz w:val="18"/>
          <w:szCs w:val="18"/>
          <w:color w:val="auto"/>
        </w:rPr>
        <w:t>recorded charges of $2.0 million and $10.1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September 30, 2001, the Company had $971.1 million in total debt outstanding, which was comprised of $573.0 million of commercial paper borrowings and $398.1 million of 5.5 percent unsecured notes due February 15, 2009. At September 30, 2001, the Company has classified $523.0 million of its commercial paper borrowings as long-term debt in the Condensed Consolidated Balance Sheet as the Company has the ability and intent to finance such borrowings on a long-term basis.</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the third quarter and first nine months of 2001, the Company had average borrowings outstanding of approximately $995.9 million and $973.4 million, respectively, at average annual interest rates of approximately 4.5 percent and 5.1 percent, respectively. During the third quarter and first nine months of 2000, the Company had average borrowings outstanding of approximately $883.2 million and $845.3 million, respectively, at average annual interest rates of approximately 6.4 percent and 6.0 percent, respectively.</w:t>
      </w:r>
    </w:p>
    <w:p>
      <w:pPr>
        <w:spacing w:after="0" w:line="20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During the third quarter and first nine months of 2001, the Company incurred net interest expense on borrowings of $11.6 million and $38.1 million, respectively; for the same periods of 2000, the Company incurred interest expense on borrowings of $14.4 million and $39.0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2001 and 2000 asset information is as of September 30, 2001 and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Period</w:t>
      </w: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color w:val="auto"/>
              </w:rPr>
              <w:t>2001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Newspaper</w:t>
            </w:r>
          </w:p>
        </w:tc>
        <w:tc>
          <w:tcPr>
            <w:tcW w:w="4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Television</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8"/>
              </w:rPr>
              <w:t>Magazine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4"/>
          </w:tcPr>
          <w:p>
            <w:pPr>
              <w:jc w:val="right"/>
              <w:ind w:right="28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w w:val="92"/>
              </w:rPr>
              <w:t>Publishing</w:t>
            </w:r>
          </w:p>
        </w:tc>
        <w:tc>
          <w:tcPr>
            <w:tcW w:w="400" w:type="dxa"/>
            <w:vAlign w:val="bottom"/>
            <w:vMerge w:val="restart"/>
          </w:tcPr>
          <w:p>
            <w:pPr>
              <w:spacing w:after="0" w:line="20" w:lineRule="exact"/>
              <w:rPr>
                <w:sz w:val="1"/>
                <w:szCs w:val="1"/>
                <w:color w:val="auto"/>
              </w:rPr>
            </w:pPr>
          </w:p>
        </w:tc>
        <w:tc>
          <w:tcPr>
            <w:tcW w:w="116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color w:val="auto"/>
                <w:w w:val="92"/>
              </w:rPr>
              <w:t>Broadcasting</w:t>
            </w:r>
          </w:p>
        </w:tc>
        <w:tc>
          <w:tcPr>
            <w:tcW w:w="6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w w:val="92"/>
              </w:rPr>
              <w:t>Publishing</w:t>
            </w:r>
          </w:p>
        </w:tc>
        <w:tc>
          <w:tcPr>
            <w:tcW w:w="1480" w:type="dxa"/>
            <w:vAlign w:val="bottom"/>
            <w:gridSpan w:val="4"/>
            <w:vMerge w:val="restart"/>
          </w:tcPr>
          <w:p>
            <w:pPr>
              <w:ind w:left="360"/>
              <w:spacing w:after="0" w:line="149" w:lineRule="exact"/>
              <w:rPr>
                <w:sz w:val="20"/>
                <w:szCs w:val="20"/>
                <w:color w:val="auto"/>
              </w:rPr>
            </w:pPr>
            <w:r>
              <w:rPr>
                <w:rFonts w:ascii="Arial" w:cs="Arial" w:eastAsia="Arial" w:hAnsi="Arial"/>
                <w:sz w:val="14"/>
                <w:szCs w:val="14"/>
                <w:color w:val="auto"/>
              </w:rPr>
              <w:t>Television</w:t>
            </w:r>
          </w:p>
        </w:tc>
        <w:tc>
          <w:tcPr>
            <w:tcW w:w="88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color w:val="auto"/>
                <w:w w:val="93"/>
              </w:rPr>
              <w:t>Education</w:t>
            </w:r>
          </w:p>
        </w:tc>
        <w:tc>
          <w:tcPr>
            <w:tcW w:w="1120" w:type="dxa"/>
            <w:vAlign w:val="bottom"/>
            <w:gridSpan w:val="4"/>
            <w:vMerge w:val="restart"/>
          </w:tcPr>
          <w:p>
            <w:pPr>
              <w:ind w:left="480"/>
              <w:spacing w:after="0" w:line="149" w:lineRule="exact"/>
              <w:rPr>
                <w:sz w:val="20"/>
                <w:szCs w:val="20"/>
                <w:color w:val="auto"/>
              </w:rPr>
            </w:pPr>
            <w:r>
              <w:rPr>
                <w:rFonts w:ascii="Arial" w:cs="Arial" w:eastAsia="Arial" w:hAnsi="Arial"/>
                <w:sz w:val="14"/>
                <w:szCs w:val="14"/>
                <w:color w:val="auto"/>
              </w:rPr>
              <w:t>Office</w:t>
            </w:r>
          </w:p>
        </w:tc>
        <w:tc>
          <w:tcPr>
            <w:tcW w:w="1020" w:type="dxa"/>
            <w:vAlign w:val="bottom"/>
            <w:gridSpan w:val="7"/>
            <w:vMerge w:val="restart"/>
          </w:tcPr>
          <w:p>
            <w:pPr>
              <w:jc w:val="right"/>
              <w:ind w:right="4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line="20" w:lineRule="exact"/>
              <w:rPr>
                <w:sz w:val="1"/>
                <w:szCs w:val="1"/>
                <w:color w:val="auto"/>
              </w:rPr>
            </w:pPr>
          </w:p>
        </w:tc>
      </w:tr>
      <w:tr>
        <w:trPr>
          <w:trHeight w:val="129"/>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Operating revenues</w:t>
            </w:r>
          </w:p>
        </w:tc>
        <w:tc>
          <w:tcPr>
            <w:tcW w:w="4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$199,946</w:t>
            </w:r>
          </w:p>
        </w:tc>
        <w:tc>
          <w:tcPr>
            <w:tcW w:w="4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$ 68,191</w:t>
            </w:r>
          </w:p>
        </w:tc>
        <w:tc>
          <w:tcPr>
            <w:tcW w:w="380" w:type="dxa"/>
            <w:vAlign w:val="bottom"/>
          </w:tcPr>
          <w:p>
            <w:pPr>
              <w:spacing w:after="0"/>
              <w:rPr>
                <w:sz w:val="13"/>
                <w:szCs w:val="13"/>
                <w:color w:val="auto"/>
              </w:rPr>
            </w:pPr>
          </w:p>
        </w:tc>
        <w:tc>
          <w:tcPr>
            <w:tcW w:w="62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$101,546</w:t>
            </w:r>
          </w:p>
        </w:tc>
        <w:tc>
          <w:tcPr>
            <w:tcW w:w="36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$ 98,674</w:t>
            </w:r>
          </w:p>
        </w:tc>
        <w:tc>
          <w:tcPr>
            <w:tcW w:w="52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w w:val="99"/>
              </w:rPr>
              <w:t>$127,159</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gridSpan w:val="4"/>
          </w:tcPr>
          <w:p>
            <w:pPr>
              <w:jc w:val="right"/>
              <w:spacing w:after="0" w:line="156" w:lineRule="exact"/>
              <w:rPr>
                <w:sz w:val="20"/>
                <w:szCs w:val="20"/>
                <w:color w:val="auto"/>
              </w:rPr>
            </w:pPr>
            <w:r>
              <w:rPr>
                <w:rFonts w:ascii="Arial" w:cs="Arial" w:eastAsia="Arial" w:hAnsi="Arial"/>
                <w:sz w:val="14"/>
                <w:szCs w:val="14"/>
                <w:color w:val="auto"/>
              </w:rPr>
              <w:t>$ 595,516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84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$ 11,574</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$ 22,329</w:t>
            </w:r>
          </w:p>
        </w:tc>
        <w:tc>
          <w:tcPr>
            <w:tcW w:w="3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9,430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8,037</w:t>
            </w:r>
          </w:p>
        </w:tc>
        <w:tc>
          <w:tcPr>
            <w:tcW w:w="5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760</w:t>
            </w:r>
          </w:p>
        </w:tc>
        <w:tc>
          <w:tcPr>
            <w:tcW w:w="1120" w:type="dxa"/>
            <w:vAlign w:val="bottom"/>
            <w:gridSpan w:val="4"/>
          </w:tcPr>
          <w:p>
            <w:pPr>
              <w:jc w:val="right"/>
              <w:ind w:right="240"/>
              <w:spacing w:after="0"/>
              <w:rPr>
                <w:sz w:val="20"/>
                <w:szCs w:val="20"/>
                <w:color w:val="auto"/>
              </w:rPr>
            </w:pPr>
            <w:r>
              <w:rPr>
                <w:rFonts w:ascii="Arial" w:cs="Arial" w:eastAsia="Arial" w:hAnsi="Arial"/>
                <w:sz w:val="14"/>
                <w:szCs w:val="14"/>
                <w:color w:val="auto"/>
              </w:rPr>
              <w:t>$ (5,177)</w:t>
            </w:r>
          </w:p>
        </w:tc>
        <w:tc>
          <w:tcPr>
            <w:tcW w:w="560" w:type="dxa"/>
            <w:vAlign w:val="bottom"/>
            <w:gridSpan w:val="4"/>
          </w:tcPr>
          <w:p>
            <w:pPr>
              <w:jc w:val="right"/>
              <w:ind w:right="3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46,953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9"/>
              </w:rPr>
              <w:t>(5,535)</w:t>
            </w: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7"/>
          </w:tcPr>
          <w:p>
            <w:pPr>
              <w:jc w:val="right"/>
              <w:spacing w:after="0"/>
              <w:rPr>
                <w:sz w:val="20"/>
                <w:szCs w:val="20"/>
                <w:color w:val="auto"/>
              </w:rPr>
            </w:pPr>
            <w:r>
              <w:rPr>
                <w:rFonts w:ascii="Arial" w:cs="Arial" w:eastAsia="Arial" w:hAnsi="Arial"/>
                <w:sz w:val="14"/>
                <w:szCs w:val="14"/>
                <w:color w:val="auto"/>
              </w:rPr>
              <w:t>(11,635)</w:t>
            </w:r>
          </w:p>
        </w:tc>
        <w:tc>
          <w:tcPr>
            <w:tcW w:w="0" w:type="dxa"/>
            <w:vAlign w:val="bottom"/>
          </w:tcPr>
          <w:p>
            <w:pPr>
              <w:spacing w:after="0"/>
              <w:rPr>
                <w:sz w:val="1"/>
                <w:szCs w:val="1"/>
                <w:color w:val="auto"/>
              </w:rPr>
            </w:pPr>
          </w:p>
        </w:tc>
      </w:tr>
      <w:tr>
        <w:trPr>
          <w:trHeight w:val="217"/>
        </w:trPr>
        <w:tc>
          <w:tcPr>
            <w:tcW w:w="1840" w:type="dxa"/>
            <w:vAlign w:val="bottom"/>
            <w:gridSpan w:val="2"/>
          </w:tcPr>
          <w:p>
            <w:pPr>
              <w:spacing w:after="0"/>
              <w:rPr>
                <w:sz w:val="20"/>
                <w:szCs w:val="20"/>
                <w:color w:val="auto"/>
              </w:rPr>
            </w:pPr>
            <w:r>
              <w:rPr>
                <w:rFonts w:ascii="Arial" w:cs="Arial" w:eastAsia="Arial" w:hAnsi="Arial"/>
                <w:sz w:val="14"/>
                <w:szCs w:val="14"/>
                <w:color w:val="auto"/>
              </w:rPr>
              <w:t>Other expense, net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4"/>
                <w:szCs w:val="14"/>
                <w:color w:val="auto"/>
              </w:rPr>
              <w:t>(25,365)</w:t>
            </w:r>
          </w:p>
        </w:tc>
        <w:tc>
          <w:tcPr>
            <w:tcW w:w="0" w:type="dxa"/>
            <w:vAlign w:val="bottom"/>
          </w:tcPr>
          <w:p>
            <w:pPr>
              <w:spacing w:after="0"/>
              <w:rPr>
                <w:sz w:val="1"/>
                <w:szCs w:val="1"/>
                <w:color w:val="auto"/>
              </w:rPr>
            </w:pPr>
          </w:p>
        </w:tc>
      </w:tr>
      <w:tr>
        <w:trPr>
          <w:trHeight w:val="250"/>
        </w:trPr>
        <w:tc>
          <w:tcPr>
            <w:tcW w:w="1840" w:type="dxa"/>
            <w:vAlign w:val="bottom"/>
            <w:gridSpan w:val="2"/>
          </w:tcPr>
          <w:p>
            <w:pPr>
              <w:spacing w:after="0"/>
              <w:rPr>
                <w:sz w:val="20"/>
                <w:szCs w:val="20"/>
                <w:color w:val="auto"/>
              </w:rPr>
            </w:pPr>
            <w:r>
              <w:rPr>
                <w:rFonts w:ascii="Arial" w:cs="Arial" w:eastAsia="Arial" w:hAnsi="Arial"/>
                <w:sz w:val="14"/>
                <w:szCs w:val="14"/>
                <w:color w:val="auto"/>
              </w:rPr>
              <w:t>Income before income</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80"/>
              <w:spacing w:after="0"/>
              <w:rPr>
                <w:sz w:val="20"/>
                <w:szCs w:val="20"/>
                <w:color w:val="auto"/>
              </w:rPr>
            </w:pPr>
            <w:r>
              <w:rPr>
                <w:rFonts w:ascii="Arial" w:cs="Arial" w:eastAsia="Arial" w:hAnsi="Arial"/>
                <w:sz w:val="14"/>
                <w:szCs w:val="14"/>
                <w:color w:val="auto"/>
              </w:rPr>
              <w:t>taxes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4,418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84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8,911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$ 2,933</w:t>
            </w:r>
          </w:p>
        </w:tc>
        <w:tc>
          <w:tcPr>
            <w:tcW w:w="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1,160</w:t>
            </w:r>
          </w:p>
        </w:tc>
        <w:tc>
          <w:tcPr>
            <w:tcW w:w="5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w w:val="93"/>
              </w:rPr>
              <w:t>16,886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4,875</w:t>
            </w:r>
          </w:p>
        </w:tc>
        <w:tc>
          <w:tcPr>
            <w:tcW w:w="280" w:type="dxa"/>
            <w:vAlign w:val="bottom"/>
          </w:tcPr>
          <w:p>
            <w:pPr>
              <w:spacing w:after="0"/>
              <w:rPr>
                <w:sz w:val="24"/>
                <w:szCs w:val="24"/>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3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34,765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691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$ 3,534</w:t>
            </w:r>
          </w:p>
        </w:tc>
        <w:tc>
          <w:tcPr>
            <w:tcW w:w="3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1,667</w:t>
            </w:r>
          </w:p>
        </w:tc>
        <w:tc>
          <w:tcPr>
            <w:tcW w:w="5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w w:val="93"/>
              </w:rPr>
              <w:t>10,229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3,947</w:t>
            </w:r>
          </w:p>
        </w:tc>
        <w:tc>
          <w:tcPr>
            <w:tcW w:w="280" w:type="dxa"/>
            <w:vAlign w:val="bottom"/>
          </w:tcPr>
          <w:p>
            <w:pPr>
              <w:spacing w:after="0"/>
              <w:rPr>
                <w:sz w:val="21"/>
                <w:szCs w:val="21"/>
                <w:color w:val="auto"/>
              </w:rPr>
            </w:pP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3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20,068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Arial" w:cs="Arial" w:eastAsia="Arial" w:hAnsi="Arial"/>
                <w:sz w:val="14"/>
                <w:szCs w:val="14"/>
                <w:color w:val="auto"/>
              </w:rPr>
              <w:t>Pension credit (expense)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6,808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$ 1,565</w:t>
            </w:r>
          </w:p>
        </w:tc>
        <w:tc>
          <w:tcPr>
            <w:tcW w:w="3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$ 11,246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(152)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(170)</w:t>
            </w:r>
          </w:p>
        </w:tc>
        <w:tc>
          <w:tcPr>
            <w:tcW w:w="6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3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19,297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84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$712,783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$410,205</w:t>
            </w:r>
          </w:p>
        </w:tc>
        <w:tc>
          <w:tcPr>
            <w:tcW w:w="3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$483,138</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$1,109,470</w:t>
            </w:r>
          </w:p>
        </w:tc>
        <w:tc>
          <w:tcPr>
            <w:tcW w:w="5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9"/>
              </w:rPr>
              <w:t>$487,435</w:t>
            </w:r>
          </w:p>
        </w:tc>
        <w:tc>
          <w:tcPr>
            <w:tcW w:w="28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$ 66,887</w:t>
            </w:r>
          </w:p>
        </w:tc>
        <w:tc>
          <w:tcPr>
            <w:tcW w:w="280" w:type="dxa"/>
            <w:vAlign w:val="bottom"/>
          </w:tcPr>
          <w:p>
            <w:pPr>
              <w:spacing w:after="0"/>
              <w:rPr>
                <w:sz w:val="24"/>
                <w:szCs w:val="24"/>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color w:val="auto"/>
              </w:rPr>
              <w:t>$3,269,918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40" w:type="dxa"/>
            <w:vAlign w:val="bottom"/>
            <w:gridSpan w:val="2"/>
          </w:tcPr>
          <w:p>
            <w:pPr>
              <w:spacing w:after="0"/>
              <w:rPr>
                <w:sz w:val="20"/>
                <w:szCs w:val="20"/>
                <w:color w:val="auto"/>
              </w:rPr>
            </w:pPr>
            <w:r>
              <w:rPr>
                <w:rFonts w:ascii="Arial" w:cs="Arial" w:eastAsia="Arial" w:hAnsi="Arial"/>
                <w:sz w:val="14"/>
                <w:szCs w:val="14"/>
                <w:color w:val="auto"/>
              </w:rPr>
              <w:t>Investments in</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marketable equity</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2"/>
          </w:tcPr>
          <w:p>
            <w:pPr>
              <w:ind w:left="80"/>
              <w:spacing w:after="0"/>
              <w:rPr>
                <w:sz w:val="20"/>
                <w:szCs w:val="20"/>
                <w:color w:val="auto"/>
              </w:rPr>
            </w:pPr>
            <w:r>
              <w:rPr>
                <w:rFonts w:ascii="Arial" w:cs="Arial" w:eastAsia="Arial" w:hAnsi="Arial"/>
                <w:sz w:val="14"/>
                <w:szCs w:val="14"/>
                <w:color w:val="auto"/>
              </w:rPr>
              <w:t>securities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color w:val="auto"/>
              </w:rPr>
              <w:t>218,810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spacing w:after="0"/>
              <w:rPr>
                <w:sz w:val="20"/>
                <w:szCs w:val="20"/>
                <w:color w:val="auto"/>
              </w:rPr>
            </w:pPr>
            <w:r>
              <w:rPr>
                <w:rFonts w:ascii="Arial" w:cs="Arial" w:eastAsia="Arial" w:hAnsi="Arial"/>
                <w:sz w:val="14"/>
                <w:szCs w:val="14"/>
                <w:color w:val="auto"/>
              </w:rPr>
              <w:t>Investments in</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4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103,305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color w:val="auto"/>
              </w:rPr>
              <w:t>$3,592,033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-2018665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-2018665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color w:val="auto"/>
              </w:rPr>
              <w:t>2000</w:t>
            </w: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Newspaper</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Television</w:t>
            </w:r>
          </w:p>
        </w:tc>
        <w:tc>
          <w:tcPr>
            <w:tcW w:w="18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Magazine</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rPr>
              <w:t>Cable</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jc w:val="right"/>
              <w:ind w:right="480"/>
              <w:spacing w:after="0"/>
              <w:rPr>
                <w:sz w:val="20"/>
                <w:szCs w:val="20"/>
                <w:color w:val="auto"/>
              </w:rPr>
            </w:pPr>
            <w:r>
              <w:rPr>
                <w:rFonts w:ascii="Arial" w:cs="Arial" w:eastAsia="Arial" w:hAnsi="Arial"/>
                <w:sz w:val="14"/>
                <w:szCs w:val="14"/>
                <w:color w:val="auto"/>
              </w:rPr>
              <w:t>Corporate</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gridSpan w:val="3"/>
            <w:vMerge w:val="restart"/>
          </w:tcPr>
          <w:p>
            <w:pPr>
              <w:jc w:val="right"/>
              <w:ind w:right="380"/>
              <w:spacing w:after="0" w:line="149" w:lineRule="exact"/>
              <w:rPr>
                <w:sz w:val="20"/>
                <w:szCs w:val="20"/>
                <w:color w:val="auto"/>
              </w:rPr>
            </w:pPr>
            <w:r>
              <w:rPr>
                <w:rFonts w:ascii="Arial" w:cs="Arial" w:eastAsia="Arial" w:hAnsi="Arial"/>
                <w:sz w:val="14"/>
                <w:szCs w:val="14"/>
                <w:color w:val="auto"/>
              </w:rPr>
              <w:t>Publishing</w:t>
            </w:r>
          </w:p>
        </w:tc>
        <w:tc>
          <w:tcPr>
            <w:tcW w:w="9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color w:val="auto"/>
                <w:w w:val="92"/>
              </w:rPr>
              <w:t>Broadcasting</w:t>
            </w:r>
          </w:p>
        </w:tc>
        <w:tc>
          <w:tcPr>
            <w:tcW w:w="1140" w:type="dxa"/>
            <w:vAlign w:val="bottom"/>
            <w:gridSpan w:val="3"/>
            <w:vMerge w:val="restart"/>
          </w:tcPr>
          <w:p>
            <w:pPr>
              <w:jc w:val="right"/>
              <w:ind w:right="320"/>
              <w:spacing w:after="0" w:line="149" w:lineRule="exact"/>
              <w:rPr>
                <w:sz w:val="20"/>
                <w:szCs w:val="20"/>
                <w:color w:val="auto"/>
              </w:rPr>
            </w:pPr>
            <w:r>
              <w:rPr>
                <w:rFonts w:ascii="Arial" w:cs="Arial" w:eastAsia="Arial" w:hAnsi="Arial"/>
                <w:sz w:val="14"/>
                <w:szCs w:val="14"/>
                <w:color w:val="auto"/>
              </w:rPr>
              <w:t>Publishing</w:t>
            </w:r>
          </w:p>
        </w:tc>
        <w:tc>
          <w:tcPr>
            <w:tcW w:w="1140" w:type="dxa"/>
            <w:vAlign w:val="bottom"/>
            <w:gridSpan w:val="2"/>
            <w:vMerge w:val="restart"/>
          </w:tcPr>
          <w:p>
            <w:pPr>
              <w:jc w:val="right"/>
              <w:ind w:right="540"/>
              <w:spacing w:after="0" w:line="149" w:lineRule="exact"/>
              <w:rPr>
                <w:sz w:val="20"/>
                <w:szCs w:val="20"/>
                <w:color w:val="auto"/>
              </w:rPr>
            </w:pPr>
            <w:r>
              <w:rPr>
                <w:rFonts w:ascii="Arial" w:cs="Arial" w:eastAsia="Arial" w:hAnsi="Arial"/>
                <w:sz w:val="14"/>
                <w:szCs w:val="14"/>
                <w:color w:val="auto"/>
                <w:w w:val="91"/>
              </w:rPr>
              <w:t>Television</w:t>
            </w:r>
          </w:p>
        </w:tc>
        <w:tc>
          <w:tcPr>
            <w:tcW w:w="8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color w:val="auto"/>
                <w:w w:val="93"/>
              </w:rPr>
              <w:t>Education</w:t>
            </w:r>
          </w:p>
        </w:tc>
        <w:tc>
          <w:tcPr>
            <w:tcW w:w="500" w:type="dxa"/>
            <w:vAlign w:val="bottom"/>
            <w:vMerge w:val="restart"/>
          </w:tcPr>
          <w:p>
            <w:pPr>
              <w:spacing w:after="0" w:line="20" w:lineRule="exact"/>
              <w:rPr>
                <w:sz w:val="1"/>
                <w:szCs w:val="1"/>
                <w:color w:val="auto"/>
              </w:rPr>
            </w:pPr>
          </w:p>
        </w:tc>
        <w:tc>
          <w:tcPr>
            <w:tcW w:w="840" w:type="dxa"/>
            <w:vAlign w:val="bottom"/>
            <w:gridSpan w:val="3"/>
            <w:vMerge w:val="restart"/>
          </w:tcPr>
          <w:p>
            <w:pPr>
              <w:jc w:val="right"/>
              <w:ind w:right="480"/>
              <w:spacing w:after="0" w:line="149" w:lineRule="exact"/>
              <w:rPr>
                <w:sz w:val="20"/>
                <w:szCs w:val="20"/>
                <w:color w:val="auto"/>
              </w:rPr>
            </w:pPr>
            <w:r>
              <w:rPr>
                <w:rFonts w:ascii="Arial" w:cs="Arial" w:eastAsia="Arial" w:hAnsi="Arial"/>
                <w:sz w:val="14"/>
                <w:szCs w:val="14"/>
                <w:color w:val="auto"/>
                <w:w w:val="92"/>
              </w:rPr>
              <w:t>Office</w:t>
            </w:r>
          </w:p>
        </w:tc>
        <w:tc>
          <w:tcPr>
            <w:tcW w:w="80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line="20" w:lineRule="exact"/>
              <w:rPr>
                <w:sz w:val="1"/>
                <w:szCs w:val="1"/>
                <w:color w:val="auto"/>
              </w:rPr>
            </w:pPr>
          </w:p>
        </w:tc>
      </w:tr>
      <w:tr>
        <w:trPr>
          <w:trHeight w:val="129"/>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Operating revenues</w:t>
            </w:r>
          </w:p>
        </w:tc>
        <w:tc>
          <w:tcPr>
            <w:tcW w:w="1560" w:type="dxa"/>
            <w:vAlign w:val="bottom"/>
            <w:gridSpan w:val="3"/>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$227,634</w:t>
            </w:r>
          </w:p>
        </w:tc>
        <w:tc>
          <w:tcPr>
            <w:tcW w:w="38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$ 88,857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$95,911</w:t>
            </w:r>
          </w:p>
        </w:tc>
        <w:tc>
          <w:tcPr>
            <w:tcW w:w="320" w:type="dxa"/>
            <w:vAlign w:val="bottom"/>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$ 90,622</w:t>
            </w:r>
          </w:p>
        </w:tc>
        <w:tc>
          <w:tcPr>
            <w:tcW w:w="540" w:type="dxa"/>
            <w:vAlign w:val="bottom"/>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$ 99,428</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top w:val="single" w:sz="8" w:color="auto"/>
            </w:tcBorders>
          </w:tcPr>
          <w:p>
            <w:pPr>
              <w:jc w:val="right"/>
              <w:ind w:right="52"/>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$ 602,452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Income (loss) from</w:t>
      </w:r>
    </w:p>
    <w:p>
      <w:pPr>
        <w:sectPr>
          <w:pgSz w:w="11900" w:h="16838" w:orient="portrait"/>
          <w:cols w:equalWidth="0" w:num="1">
            <w:col w:w="11420"/>
          </w:cols>
          <w:pgMar w:left="240" w:top="143"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1900" w:type="dxa"/>
            <w:vAlign w:val="bottom"/>
          </w:tcPr>
          <w:p>
            <w:pPr>
              <w:ind w:left="80"/>
              <w:spacing w:after="0"/>
              <w:rPr>
                <w:sz w:val="20"/>
                <w:szCs w:val="20"/>
                <w:color w:val="auto"/>
              </w:rPr>
            </w:pPr>
            <w:r>
              <w:rPr>
                <w:rFonts w:ascii="Arial" w:cs="Arial" w:eastAsia="Arial" w:hAnsi="Arial"/>
                <w:sz w:val="14"/>
                <w:szCs w:val="14"/>
                <w:color w:val="auto"/>
              </w:rPr>
              <w:t>operations</w:t>
            </w:r>
          </w:p>
        </w:tc>
        <w:tc>
          <w:tcPr>
            <w:tcW w:w="1280" w:type="dxa"/>
            <w:vAlign w:val="bottom"/>
            <w:gridSpan w:val="2"/>
          </w:tcPr>
          <w:p>
            <w:pPr>
              <w:jc w:val="right"/>
              <w:ind w:right="232"/>
              <w:spacing w:after="0"/>
              <w:rPr>
                <w:sz w:val="20"/>
                <w:szCs w:val="20"/>
                <w:color w:val="auto"/>
              </w:rPr>
            </w:pPr>
            <w:r>
              <w:rPr>
                <w:rFonts w:ascii="Arial" w:cs="Arial" w:eastAsia="Arial" w:hAnsi="Arial"/>
                <w:sz w:val="14"/>
                <w:szCs w:val="14"/>
                <w:color w:val="auto"/>
              </w:rPr>
              <w:t>$ 34,994</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$ 41,906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4,577</w:t>
            </w:r>
          </w:p>
        </w:tc>
        <w:tc>
          <w:tcPr>
            <w:tcW w:w="1060" w:type="dxa"/>
            <w:vAlign w:val="bottom"/>
            <w:gridSpan w:val="2"/>
          </w:tcPr>
          <w:p>
            <w:pPr>
              <w:jc w:val="right"/>
              <w:ind w:right="232"/>
              <w:spacing w:after="0"/>
              <w:rPr>
                <w:sz w:val="20"/>
                <w:szCs w:val="20"/>
                <w:color w:val="auto"/>
              </w:rPr>
            </w:pPr>
            <w:r>
              <w:rPr>
                <w:rFonts w:ascii="Arial" w:cs="Arial" w:eastAsia="Arial" w:hAnsi="Arial"/>
                <w:sz w:val="14"/>
                <w:szCs w:val="14"/>
                <w:color w:val="auto"/>
              </w:rPr>
              <w:t>$ 15,923</w:t>
            </w:r>
          </w:p>
        </w:tc>
        <w:tc>
          <w:tcPr>
            <w:tcW w:w="1160" w:type="dxa"/>
            <w:vAlign w:val="bottom"/>
            <w:gridSpan w:val="2"/>
          </w:tcPr>
          <w:p>
            <w:pPr>
              <w:jc w:val="right"/>
              <w:ind w:right="212"/>
              <w:spacing w:after="0"/>
              <w:rPr>
                <w:sz w:val="20"/>
                <w:szCs w:val="20"/>
                <w:color w:val="auto"/>
              </w:rPr>
            </w:pPr>
            <w:r>
              <w:rPr>
                <w:rFonts w:ascii="Arial" w:cs="Arial" w:eastAsia="Arial" w:hAnsi="Arial"/>
                <w:sz w:val="14"/>
                <w:szCs w:val="14"/>
                <w:color w:val="auto"/>
              </w:rPr>
              <w:t>$ (6,668)</w:t>
            </w:r>
          </w:p>
        </w:tc>
        <w:tc>
          <w:tcPr>
            <w:tcW w:w="1100" w:type="dxa"/>
            <w:vAlign w:val="bottom"/>
            <w:gridSpan w:val="2"/>
          </w:tcPr>
          <w:p>
            <w:pPr>
              <w:jc w:val="right"/>
              <w:ind w:right="192"/>
              <w:spacing w:after="0"/>
              <w:rPr>
                <w:sz w:val="20"/>
                <w:szCs w:val="20"/>
                <w:color w:val="auto"/>
              </w:rPr>
            </w:pPr>
            <w:r>
              <w:rPr>
                <w:rFonts w:ascii="Arial" w:cs="Arial" w:eastAsia="Arial" w:hAnsi="Arial"/>
                <w:sz w:val="14"/>
                <w:szCs w:val="14"/>
                <w:color w:val="auto"/>
              </w:rPr>
              <w:t>$ (6,175)</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84,557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Equity in losses of</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80"/>
              <w:spacing w:after="0"/>
              <w:rPr>
                <w:sz w:val="20"/>
                <w:szCs w:val="20"/>
                <w:color w:val="auto"/>
              </w:rPr>
            </w:pPr>
            <w:r>
              <w:rPr>
                <w:rFonts w:ascii="Arial" w:cs="Arial" w:eastAsia="Arial" w:hAnsi="Arial"/>
                <w:sz w:val="14"/>
                <w:szCs w:val="14"/>
                <w:color w:val="auto"/>
              </w:rPr>
              <w:t>affiliates</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(8,890)</w:t>
            </w: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Interest expense, net</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(14,389)</w:t>
            </w: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Other income, net</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900" w:type="dxa"/>
            <w:vAlign w:val="bottom"/>
            <w:vMerge w:val="restart"/>
          </w:tcPr>
          <w:p>
            <w:pPr>
              <w:spacing w:after="0"/>
              <w:rPr>
                <w:sz w:val="20"/>
                <w:szCs w:val="20"/>
                <w:color w:val="auto"/>
              </w:rPr>
            </w:pPr>
            <w:r>
              <w:rPr>
                <w:rFonts w:ascii="Arial" w:cs="Arial" w:eastAsia="Arial" w:hAnsi="Arial"/>
                <w:sz w:val="14"/>
                <w:szCs w:val="14"/>
                <w:color w:val="auto"/>
              </w:rPr>
              <w:t>Income before income</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80"/>
              <w:spacing w:after="0"/>
              <w:rPr>
                <w:sz w:val="20"/>
                <w:szCs w:val="20"/>
                <w:color w:val="auto"/>
              </w:rPr>
            </w:pPr>
            <w:r>
              <w:rPr>
                <w:rFonts w:ascii="Arial" w:cs="Arial" w:eastAsia="Arial" w:hAnsi="Arial"/>
                <w:sz w:val="14"/>
                <w:szCs w:val="14"/>
                <w:color w:val="auto"/>
              </w:rPr>
              <w:t>taxes</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61,516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900" w:type="dxa"/>
            <w:vAlign w:val="bottom"/>
          </w:tcPr>
          <w:p>
            <w:pPr>
              <w:spacing w:after="0"/>
              <w:rPr>
                <w:sz w:val="20"/>
                <w:szCs w:val="20"/>
                <w:color w:val="auto"/>
              </w:rPr>
            </w:pPr>
            <w:r>
              <w:rPr>
                <w:rFonts w:ascii="Arial" w:cs="Arial" w:eastAsia="Arial" w:hAnsi="Arial"/>
                <w:sz w:val="14"/>
                <w:szCs w:val="14"/>
                <w:color w:val="auto"/>
              </w:rPr>
              <w:t>Depreciation expense</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32"/>
              <w:spacing w:after="0"/>
              <w:rPr>
                <w:sz w:val="20"/>
                <w:szCs w:val="20"/>
                <w:color w:val="auto"/>
              </w:rPr>
            </w:pPr>
            <w:r>
              <w:rPr>
                <w:rFonts w:ascii="Arial" w:cs="Arial" w:eastAsia="Arial" w:hAnsi="Arial"/>
                <w:sz w:val="14"/>
                <w:szCs w:val="14"/>
                <w:color w:val="auto"/>
                <w:w w:val="96"/>
              </w:rPr>
              <w:t>9,683</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$ 3,335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rPr>
                <w:sz w:val="20"/>
                <w:szCs w:val="20"/>
                <w:color w:val="auto"/>
              </w:rPr>
            </w:pPr>
            <w:r>
              <w:rPr>
                <w:rFonts w:ascii="Arial" w:cs="Arial" w:eastAsia="Arial" w:hAnsi="Arial"/>
                <w:sz w:val="14"/>
                <w:szCs w:val="14"/>
                <w:color w:val="auto"/>
              </w:rPr>
              <w:t>1,270</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2"/>
              <w:spacing w:after="0"/>
              <w:rPr>
                <w:sz w:val="20"/>
                <w:szCs w:val="20"/>
                <w:color w:val="auto"/>
              </w:rPr>
            </w:pPr>
            <w:r>
              <w:rPr>
                <w:rFonts w:ascii="Arial" w:cs="Arial" w:eastAsia="Arial" w:hAnsi="Arial"/>
                <w:sz w:val="14"/>
                <w:szCs w:val="14"/>
                <w:color w:val="auto"/>
                <w:w w:val="97"/>
              </w:rPr>
              <w:t>11,945</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52"/>
              <w:spacing w:after="0"/>
              <w:rPr>
                <w:sz w:val="20"/>
                <w:szCs w:val="20"/>
                <w:color w:val="auto"/>
              </w:rPr>
            </w:pPr>
            <w:r>
              <w:rPr>
                <w:rFonts w:ascii="Arial" w:cs="Arial" w:eastAsia="Arial" w:hAnsi="Arial"/>
                <w:sz w:val="14"/>
                <w:szCs w:val="14"/>
                <w:color w:val="auto"/>
                <w:w w:val="96"/>
              </w:rPr>
              <w:t>3,786</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30,019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Amortization expense</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32"/>
              <w:spacing w:after="0"/>
              <w:rPr>
                <w:sz w:val="20"/>
                <w:szCs w:val="20"/>
                <w:color w:val="auto"/>
              </w:rPr>
            </w:pPr>
            <w:r>
              <w:rPr>
                <w:rFonts w:ascii="Arial" w:cs="Arial" w:eastAsia="Arial" w:hAnsi="Arial"/>
                <w:sz w:val="14"/>
                <w:szCs w:val="14"/>
                <w:color w:val="auto"/>
              </w:rPr>
              <w:t>389</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$ 3,534</w:t>
            </w:r>
          </w:p>
        </w:tc>
        <w:tc>
          <w:tcPr>
            <w:tcW w:w="940" w:type="dxa"/>
            <w:vAlign w:val="bottom"/>
            <w:gridSpan w:val="2"/>
          </w:tcPr>
          <w:p>
            <w:pPr>
              <w:jc w:val="right"/>
              <w:ind w:right="92"/>
              <w:spacing w:after="0"/>
              <w:rPr>
                <w:sz w:val="20"/>
                <w:szCs w:val="20"/>
                <w:color w:val="auto"/>
              </w:rPr>
            </w:pPr>
            <w:r>
              <w:rPr>
                <w:rFonts w:ascii="Arial" w:cs="Arial" w:eastAsia="Arial" w:hAnsi="Arial"/>
                <w:sz w:val="14"/>
                <w:szCs w:val="14"/>
                <w:color w:val="auto"/>
              </w:rPr>
              <w:t>$ 1,697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7,401</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52"/>
              <w:spacing w:after="0"/>
              <w:rPr>
                <w:sz w:val="20"/>
                <w:szCs w:val="20"/>
                <w:color w:val="auto"/>
              </w:rPr>
            </w:pPr>
            <w:r>
              <w:rPr>
                <w:rFonts w:ascii="Arial" w:cs="Arial" w:eastAsia="Arial" w:hAnsi="Arial"/>
                <w:sz w:val="14"/>
                <w:szCs w:val="14"/>
                <w:color w:val="auto"/>
                <w:w w:val="96"/>
              </w:rPr>
              <w:t>2,916</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15,937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Pension credit (expense)</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32"/>
              <w:spacing w:after="0"/>
              <w:rPr>
                <w:sz w:val="20"/>
                <w:szCs w:val="20"/>
                <w:color w:val="auto"/>
              </w:rPr>
            </w:pPr>
            <w:r>
              <w:rPr>
                <w:rFonts w:ascii="Arial" w:cs="Arial" w:eastAsia="Arial" w:hAnsi="Arial"/>
                <w:sz w:val="14"/>
                <w:szCs w:val="14"/>
                <w:color w:val="auto"/>
                <w:w w:val="96"/>
              </w:rPr>
              <w:t>4,572</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$ 1,346</w:t>
            </w:r>
          </w:p>
        </w:tc>
        <w:tc>
          <w:tcPr>
            <w:tcW w:w="940" w:type="dxa"/>
            <w:vAlign w:val="bottom"/>
            <w:gridSpan w:val="2"/>
          </w:tcPr>
          <w:p>
            <w:pPr>
              <w:jc w:val="right"/>
              <w:ind w:right="92"/>
              <w:spacing w:after="0"/>
              <w:rPr>
                <w:sz w:val="20"/>
                <w:szCs w:val="20"/>
                <w:color w:val="auto"/>
              </w:rPr>
            </w:pPr>
            <w:r>
              <w:rPr>
                <w:rFonts w:ascii="Arial" w:cs="Arial" w:eastAsia="Arial" w:hAnsi="Arial"/>
                <w:sz w:val="14"/>
                <w:szCs w:val="14"/>
                <w:color w:val="auto"/>
              </w:rPr>
              <w:t>$ 9,001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(170)</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(172)</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14,577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900" w:type="dxa"/>
            <w:vAlign w:val="bottom"/>
          </w:tcPr>
          <w:p>
            <w:pPr>
              <w:spacing w:after="0"/>
              <w:rPr>
                <w:sz w:val="20"/>
                <w:szCs w:val="20"/>
                <w:color w:val="auto"/>
              </w:rPr>
            </w:pPr>
            <w:r>
              <w:rPr>
                <w:rFonts w:ascii="Arial" w:cs="Arial" w:eastAsia="Arial" w:hAnsi="Arial"/>
                <w:sz w:val="14"/>
                <w:szCs w:val="14"/>
                <w:color w:val="auto"/>
              </w:rPr>
              <w:t>Identifiable assets</w:t>
            </w:r>
          </w:p>
        </w:tc>
        <w:tc>
          <w:tcPr>
            <w:tcW w:w="1280" w:type="dxa"/>
            <w:vAlign w:val="bottom"/>
            <w:gridSpan w:val="2"/>
          </w:tcPr>
          <w:p>
            <w:pPr>
              <w:jc w:val="right"/>
              <w:ind w:right="232"/>
              <w:spacing w:after="0"/>
              <w:rPr>
                <w:sz w:val="20"/>
                <w:szCs w:val="20"/>
                <w:color w:val="auto"/>
              </w:rPr>
            </w:pPr>
            <w:r>
              <w:rPr>
                <w:rFonts w:ascii="Arial" w:cs="Arial" w:eastAsia="Arial" w:hAnsi="Arial"/>
                <w:sz w:val="14"/>
                <w:szCs w:val="14"/>
                <w:color w:val="auto"/>
              </w:rPr>
              <w:t>$684,908</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$430,444</w:t>
            </w:r>
          </w:p>
        </w:tc>
        <w:tc>
          <w:tcPr>
            <w:tcW w:w="940" w:type="dxa"/>
            <w:vAlign w:val="bottom"/>
            <w:gridSpan w:val="2"/>
          </w:tcPr>
          <w:p>
            <w:pPr>
              <w:jc w:val="right"/>
              <w:ind w:right="92"/>
              <w:spacing w:after="0"/>
              <w:rPr>
                <w:sz w:val="20"/>
                <w:szCs w:val="20"/>
                <w:color w:val="auto"/>
              </w:rPr>
            </w:pPr>
            <w:r>
              <w:rPr>
                <w:rFonts w:ascii="Arial" w:cs="Arial" w:eastAsia="Arial" w:hAnsi="Arial"/>
                <w:sz w:val="14"/>
                <w:szCs w:val="14"/>
                <w:color w:val="auto"/>
              </w:rPr>
              <w:t>$452,453</w:t>
            </w:r>
          </w:p>
        </w:tc>
        <w:tc>
          <w:tcPr>
            <w:tcW w:w="1060" w:type="dxa"/>
            <w:vAlign w:val="bottom"/>
            <w:gridSpan w:val="2"/>
          </w:tcPr>
          <w:p>
            <w:pPr>
              <w:jc w:val="right"/>
              <w:ind w:right="232"/>
              <w:spacing w:after="0"/>
              <w:rPr>
                <w:sz w:val="20"/>
                <w:szCs w:val="20"/>
                <w:color w:val="auto"/>
              </w:rPr>
            </w:pPr>
            <w:r>
              <w:rPr>
                <w:rFonts w:ascii="Arial" w:cs="Arial" w:eastAsia="Arial" w:hAnsi="Arial"/>
                <w:sz w:val="14"/>
                <w:szCs w:val="14"/>
                <w:color w:val="auto"/>
              </w:rPr>
              <w:t>$ 757,083</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color w:val="auto"/>
              </w:rPr>
              <w:t>$482,014</w:t>
            </w:r>
          </w:p>
        </w:tc>
        <w:tc>
          <w:tcPr>
            <w:tcW w:w="1100" w:type="dxa"/>
            <w:vAlign w:val="bottom"/>
            <w:gridSpan w:val="2"/>
          </w:tcPr>
          <w:p>
            <w:pPr>
              <w:jc w:val="right"/>
              <w:ind w:right="232"/>
              <w:spacing w:after="0"/>
              <w:rPr>
                <w:sz w:val="20"/>
                <w:szCs w:val="20"/>
                <w:color w:val="auto"/>
              </w:rPr>
            </w:pPr>
            <w:r>
              <w:rPr>
                <w:rFonts w:ascii="Arial" w:cs="Arial" w:eastAsia="Arial" w:hAnsi="Arial"/>
                <w:sz w:val="14"/>
                <w:szCs w:val="14"/>
                <w:color w:val="auto"/>
              </w:rPr>
              <w:t>$ 41,075</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$2,847,977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Investments in</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900" w:type="dxa"/>
            <w:vAlign w:val="bottom"/>
          </w:tcPr>
          <w:p>
            <w:pPr>
              <w:ind w:left="80"/>
              <w:spacing w:after="0"/>
              <w:rPr>
                <w:sz w:val="20"/>
                <w:szCs w:val="20"/>
                <w:color w:val="auto"/>
              </w:rPr>
            </w:pPr>
            <w:r>
              <w:rPr>
                <w:rFonts w:ascii="Arial" w:cs="Arial" w:eastAsia="Arial" w:hAnsi="Arial"/>
                <w:sz w:val="14"/>
                <w:szCs w:val="14"/>
                <w:color w:val="auto"/>
              </w:rPr>
              <w:t>marketable equity</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80"/>
              <w:spacing w:after="0"/>
              <w:rPr>
                <w:sz w:val="20"/>
                <w:szCs w:val="20"/>
                <w:color w:val="auto"/>
              </w:rPr>
            </w:pPr>
            <w:r>
              <w:rPr>
                <w:rFonts w:ascii="Arial" w:cs="Arial" w:eastAsia="Arial" w:hAnsi="Arial"/>
                <w:sz w:val="14"/>
                <w:szCs w:val="14"/>
                <w:color w:val="auto"/>
              </w:rPr>
              <w:t>securities</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221,137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Investments in</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00" w:type="dxa"/>
            <w:vAlign w:val="bottom"/>
          </w:tcPr>
          <w:p>
            <w:pPr>
              <w:ind w:left="80"/>
              <w:spacing w:after="0"/>
              <w:rPr>
                <w:sz w:val="20"/>
                <w:szCs w:val="20"/>
                <w:color w:val="auto"/>
              </w:rPr>
            </w:pPr>
            <w:r>
              <w:rPr>
                <w:rFonts w:ascii="Arial" w:cs="Arial" w:eastAsia="Arial" w:hAnsi="Arial"/>
                <w:sz w:val="14"/>
                <w:szCs w:val="14"/>
                <w:color w:val="auto"/>
              </w:rPr>
              <w:t>affiliates</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131,629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19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$3,200,743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-2155825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-2155825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Nine Month Period</w:t>
      </w: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auto"/>
              </w:rPr>
              <w:t>2001</w:t>
            </w:r>
          </w:p>
        </w:tc>
        <w:tc>
          <w:tcPr>
            <w:tcW w:w="1380" w:type="dxa"/>
            <w:vAlign w:val="bottom"/>
            <w:gridSpan w:val="4"/>
          </w:tcPr>
          <w:p>
            <w:pPr>
              <w:jc w:val="right"/>
              <w:ind w:right="360"/>
              <w:spacing w:after="0"/>
              <w:rPr>
                <w:sz w:val="20"/>
                <w:szCs w:val="20"/>
                <w:color w:val="auto"/>
              </w:rPr>
            </w:pPr>
            <w:r>
              <w:rPr>
                <w:rFonts w:ascii="Arial" w:cs="Arial" w:eastAsia="Arial" w:hAnsi="Arial"/>
                <w:sz w:val="14"/>
                <w:szCs w:val="14"/>
                <w:color w:val="auto"/>
              </w:rPr>
              <w:t>Newspaper</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Television</w:t>
            </w: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Magazine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80" w:type="dxa"/>
            <w:vAlign w:val="bottom"/>
            <w:gridSpan w:val="3"/>
            <w:vMerge w:val="restart"/>
          </w:tcPr>
          <w:p>
            <w:pPr>
              <w:jc w:val="right"/>
              <w:ind w:right="360"/>
              <w:spacing w:after="0" w:line="149" w:lineRule="exact"/>
              <w:rPr>
                <w:sz w:val="20"/>
                <w:szCs w:val="20"/>
                <w:color w:val="auto"/>
              </w:rPr>
            </w:pPr>
            <w:r>
              <w:rPr>
                <w:rFonts w:ascii="Arial" w:cs="Arial" w:eastAsia="Arial" w:hAnsi="Arial"/>
                <w:sz w:val="14"/>
                <w:szCs w:val="14"/>
                <w:color w:val="auto"/>
                <w:w w:val="92"/>
              </w:rPr>
              <w:t>Publishing</w:t>
            </w:r>
          </w:p>
        </w:tc>
        <w:tc>
          <w:tcPr>
            <w:tcW w:w="9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color w:val="auto"/>
                <w:w w:val="92"/>
              </w:rPr>
              <w:t>Broadcasting</w:t>
            </w:r>
          </w:p>
        </w:tc>
        <w:tc>
          <w:tcPr>
            <w:tcW w:w="9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color w:val="auto"/>
              </w:rPr>
              <w:t>Publishing</w:t>
            </w:r>
          </w:p>
        </w:tc>
        <w:tc>
          <w:tcPr>
            <w:tcW w:w="180" w:type="dxa"/>
            <w:vAlign w:val="bottom"/>
            <w:vMerge w:val="restart"/>
          </w:tcPr>
          <w:p>
            <w:pPr>
              <w:spacing w:after="0" w:line="20" w:lineRule="exact"/>
              <w:rPr>
                <w:sz w:val="1"/>
                <w:szCs w:val="1"/>
                <w:color w:val="auto"/>
              </w:rPr>
            </w:pPr>
          </w:p>
        </w:tc>
        <w:tc>
          <w:tcPr>
            <w:tcW w:w="88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color w:val="auto"/>
                <w:w w:val="91"/>
              </w:rPr>
              <w:t>Television</w:t>
            </w:r>
          </w:p>
        </w:tc>
        <w:tc>
          <w:tcPr>
            <w:tcW w:w="24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color w:val="auto"/>
                <w:w w:val="93"/>
              </w:rPr>
              <w:t>Education</w:t>
            </w:r>
          </w:p>
        </w:tc>
        <w:tc>
          <w:tcPr>
            <w:tcW w:w="50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Office</w:t>
            </w:r>
          </w:p>
        </w:tc>
        <w:tc>
          <w:tcPr>
            <w:tcW w:w="1060" w:type="dxa"/>
            <w:vAlign w:val="bottom"/>
            <w:gridSpan w:val="6"/>
            <w:vMerge w:val="restart"/>
          </w:tcPr>
          <w:p>
            <w:pPr>
              <w:jc w:val="center"/>
              <w:ind w:left="92"/>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line="20" w:lineRule="exact"/>
              <w:rPr>
                <w:sz w:val="1"/>
                <w:szCs w:val="1"/>
                <w:color w:val="auto"/>
              </w:rPr>
            </w:pPr>
          </w:p>
        </w:tc>
      </w:tr>
      <w:tr>
        <w:trPr>
          <w:trHeight w:val="129"/>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Operating revenues</w:t>
            </w:r>
          </w:p>
        </w:tc>
        <w:tc>
          <w:tcPr>
            <w:tcW w:w="400" w:type="dxa"/>
            <w:vAlign w:val="bottom"/>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0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$630,965</w:t>
            </w:r>
          </w:p>
        </w:tc>
        <w:tc>
          <w:tcPr>
            <w:tcW w:w="3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$ 226,046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$227,610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w w:val="93"/>
              </w:rPr>
              <w:t>$ 284,303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93"/>
              </w:rPr>
              <w:t>$ 368,103</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gridSpan w:val="4"/>
          </w:tcPr>
          <w:p>
            <w:pPr>
              <w:jc w:val="right"/>
              <w:spacing w:after="0" w:line="156" w:lineRule="exact"/>
              <w:rPr>
                <w:sz w:val="20"/>
                <w:szCs w:val="20"/>
                <w:color w:val="auto"/>
              </w:rPr>
            </w:pPr>
            <w:r>
              <w:rPr>
                <w:rFonts w:ascii="Arial" w:cs="Arial" w:eastAsia="Arial" w:hAnsi="Arial"/>
                <w:sz w:val="14"/>
                <w:szCs w:val="14"/>
                <w:color w:val="auto"/>
              </w:rPr>
              <w:t>$ 1,787,027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86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$ 60,981</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$ 88,688</w:t>
            </w:r>
          </w:p>
        </w:tc>
        <w:tc>
          <w:tcPr>
            <w:tcW w:w="20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$ 15,450</w:t>
            </w:r>
          </w:p>
        </w:tc>
        <w:tc>
          <w:tcPr>
            <w:tcW w:w="1060" w:type="dxa"/>
            <w:vAlign w:val="bottom"/>
            <w:gridSpan w:val="4"/>
          </w:tcPr>
          <w:p>
            <w:pPr>
              <w:jc w:val="right"/>
              <w:ind w:right="280"/>
              <w:spacing w:after="0"/>
              <w:rPr>
                <w:sz w:val="20"/>
                <w:szCs w:val="20"/>
                <w:color w:val="auto"/>
              </w:rPr>
            </w:pPr>
            <w:r>
              <w:rPr>
                <w:rFonts w:ascii="Arial" w:cs="Arial" w:eastAsia="Arial" w:hAnsi="Arial"/>
                <w:sz w:val="14"/>
                <w:szCs w:val="14"/>
                <w:color w:val="auto"/>
              </w:rPr>
              <w:t>$ 21,118</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 (20,994)</w:t>
            </w:r>
          </w:p>
        </w:tc>
        <w:tc>
          <w:tcPr>
            <w:tcW w:w="1080" w:type="dxa"/>
            <w:vAlign w:val="bottom"/>
            <w:gridSpan w:val="4"/>
          </w:tcPr>
          <w:p>
            <w:pPr>
              <w:jc w:val="right"/>
              <w:ind w:right="180"/>
              <w:spacing w:after="0"/>
              <w:rPr>
                <w:sz w:val="20"/>
                <w:szCs w:val="20"/>
                <w:color w:val="auto"/>
              </w:rPr>
            </w:pPr>
            <w:r>
              <w:rPr>
                <w:rFonts w:ascii="Arial" w:cs="Arial" w:eastAsia="Arial" w:hAnsi="Arial"/>
                <w:sz w:val="14"/>
                <w:szCs w:val="14"/>
                <w:color w:val="auto"/>
              </w:rPr>
              <w:t>$ (18,452)</w:t>
            </w:r>
          </w:p>
        </w:tc>
        <w:tc>
          <w:tcPr>
            <w:tcW w:w="5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146,791</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(24,636)</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(38,129)</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4"/>
              </w:rPr>
              <w:t>272,688</w:t>
            </w:r>
          </w:p>
        </w:tc>
        <w:tc>
          <w:tcPr>
            <w:tcW w:w="0" w:type="dxa"/>
            <w:vAlign w:val="bottom"/>
          </w:tcPr>
          <w:p>
            <w:pPr>
              <w:spacing w:after="0"/>
              <w:rPr>
                <w:sz w:val="1"/>
                <w:szCs w:val="1"/>
                <w:color w:val="auto"/>
              </w:rPr>
            </w:pPr>
          </w:p>
        </w:tc>
      </w:tr>
      <w:tr>
        <w:trPr>
          <w:trHeight w:val="122"/>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taxes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356,714</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9"/>
        </w:trPr>
        <w:tc>
          <w:tcPr>
            <w:tcW w:w="186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$ 28,438</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$ 8,791</w:t>
            </w:r>
          </w:p>
        </w:tc>
        <w:tc>
          <w:tcPr>
            <w:tcW w:w="20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$ 3,597</w:t>
            </w:r>
          </w:p>
        </w:tc>
        <w:tc>
          <w:tcPr>
            <w:tcW w:w="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50,031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$ 14,407</w:t>
            </w:r>
          </w:p>
        </w:tc>
        <w:tc>
          <w:tcPr>
            <w:tcW w:w="280" w:type="dxa"/>
            <w:vAlign w:val="bottom"/>
          </w:tcPr>
          <w:p>
            <w:pPr>
              <w:spacing w:after="0"/>
              <w:rPr>
                <w:sz w:val="24"/>
                <w:szCs w:val="24"/>
                <w:color w:val="auto"/>
              </w:rPr>
            </w:pPr>
          </w:p>
        </w:tc>
        <w:tc>
          <w:tcPr>
            <w:tcW w:w="7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105,264</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1,885</w:t>
            </w:r>
          </w:p>
        </w:tc>
        <w:tc>
          <w:tcPr>
            <w:tcW w:w="780" w:type="dxa"/>
            <w:vAlign w:val="bottom"/>
          </w:tcPr>
          <w:p>
            <w:pPr>
              <w:jc w:val="right"/>
              <w:spacing w:after="0"/>
              <w:rPr>
                <w:sz w:val="20"/>
                <w:szCs w:val="20"/>
                <w:color w:val="auto"/>
              </w:rPr>
            </w:pPr>
            <w:r>
              <w:rPr>
                <w:rFonts w:ascii="Arial" w:cs="Arial" w:eastAsia="Arial" w:hAnsi="Arial"/>
                <w:sz w:val="14"/>
                <w:szCs w:val="14"/>
                <w:color w:val="auto"/>
              </w:rPr>
              <w:t>$ 10,601</w:t>
            </w:r>
          </w:p>
        </w:tc>
        <w:tc>
          <w:tcPr>
            <w:tcW w:w="20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$ 5,002</w:t>
            </w:r>
          </w:p>
        </w:tc>
        <w:tc>
          <w:tcPr>
            <w:tcW w:w="34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28,167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$ 11,530</w:t>
            </w:r>
          </w:p>
        </w:tc>
        <w:tc>
          <w:tcPr>
            <w:tcW w:w="280" w:type="dxa"/>
            <w:vAlign w:val="bottom"/>
          </w:tcPr>
          <w:p>
            <w:pPr>
              <w:spacing w:after="0"/>
              <w:rPr>
                <w:sz w:val="21"/>
                <w:szCs w:val="21"/>
                <w:color w:val="auto"/>
              </w:rPr>
            </w:pPr>
          </w:p>
        </w:tc>
        <w:tc>
          <w:tcPr>
            <w:tcW w:w="7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57,185</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Pension credit (expense)</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21,054</w:t>
            </w:r>
          </w:p>
        </w:tc>
        <w:tc>
          <w:tcPr>
            <w:tcW w:w="780" w:type="dxa"/>
            <w:vAlign w:val="bottom"/>
          </w:tcPr>
          <w:p>
            <w:pPr>
              <w:jc w:val="right"/>
              <w:spacing w:after="0"/>
              <w:rPr>
                <w:sz w:val="20"/>
                <w:szCs w:val="20"/>
                <w:color w:val="auto"/>
              </w:rPr>
            </w:pPr>
            <w:r>
              <w:rPr>
                <w:rFonts w:ascii="Arial" w:cs="Arial" w:eastAsia="Arial" w:hAnsi="Arial"/>
                <w:sz w:val="14"/>
                <w:szCs w:val="14"/>
                <w:color w:val="auto"/>
              </w:rPr>
              <w:t>$ 4,891</w:t>
            </w:r>
          </w:p>
        </w:tc>
        <w:tc>
          <w:tcPr>
            <w:tcW w:w="20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$ 34,078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(458)</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  (512)</w:t>
            </w:r>
          </w:p>
        </w:tc>
        <w:tc>
          <w:tcPr>
            <w:tcW w:w="7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59,053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-661670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-661670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Newspaper</w:t>
            </w:r>
          </w:p>
        </w:tc>
        <w:tc>
          <w:tcPr>
            <w:tcW w:w="3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Television</w:t>
            </w:r>
          </w:p>
        </w:tc>
        <w:tc>
          <w:tcPr>
            <w:tcW w:w="2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Magazine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Cable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w w:val="92"/>
              </w:rPr>
              <w:t>Publishing</w:t>
            </w:r>
          </w:p>
        </w:tc>
        <w:tc>
          <w:tcPr>
            <w:tcW w:w="36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color w:val="auto"/>
                <w:w w:val="92"/>
              </w:rPr>
              <w:t>Broadcasting</w:t>
            </w:r>
          </w:p>
        </w:tc>
        <w:tc>
          <w:tcPr>
            <w:tcW w:w="98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color w:val="auto"/>
              </w:rPr>
              <w:t>Publishing</w:t>
            </w:r>
          </w:p>
        </w:tc>
        <w:tc>
          <w:tcPr>
            <w:tcW w:w="160" w:type="dxa"/>
            <w:vAlign w:val="bottom"/>
            <w:vMerge w:val="restart"/>
          </w:tcPr>
          <w:p>
            <w:pPr>
              <w:spacing w:after="0" w:line="20" w:lineRule="exact"/>
              <w:rPr>
                <w:sz w:val="1"/>
                <w:szCs w:val="1"/>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Television</w:t>
            </w:r>
          </w:p>
        </w:tc>
        <w:tc>
          <w:tcPr>
            <w:tcW w:w="220" w:type="dxa"/>
            <w:vAlign w:val="bottom"/>
            <w:vMerge w:val="restart"/>
          </w:tcPr>
          <w:p>
            <w:pPr>
              <w:spacing w:after="0" w:line="20" w:lineRule="exact"/>
              <w:rPr>
                <w:sz w:val="1"/>
                <w:szCs w:val="1"/>
                <w:color w:val="auto"/>
              </w:rPr>
            </w:pPr>
          </w:p>
        </w:tc>
        <w:tc>
          <w:tcPr>
            <w:tcW w:w="900" w:type="dxa"/>
            <w:vAlign w:val="bottom"/>
            <w:gridSpan w:val="3"/>
            <w:vMerge w:val="restart"/>
          </w:tcPr>
          <w:p>
            <w:pPr>
              <w:jc w:val="right"/>
              <w:ind w:right="300"/>
              <w:spacing w:after="0" w:line="149" w:lineRule="exact"/>
              <w:rPr>
                <w:sz w:val="20"/>
                <w:szCs w:val="20"/>
                <w:color w:val="auto"/>
              </w:rPr>
            </w:pPr>
            <w:r>
              <w:rPr>
                <w:rFonts w:ascii="Arial" w:cs="Arial" w:eastAsia="Arial" w:hAnsi="Arial"/>
                <w:sz w:val="14"/>
                <w:szCs w:val="14"/>
                <w:color w:val="auto"/>
                <w:w w:val="93"/>
              </w:rPr>
              <w:t>Education</w:t>
            </w:r>
          </w:p>
        </w:tc>
        <w:tc>
          <w:tcPr>
            <w:tcW w:w="500" w:type="dxa"/>
            <w:vAlign w:val="bottom"/>
            <w:vMerge w:val="restart"/>
          </w:tcPr>
          <w:p>
            <w:pPr>
              <w:spacing w:after="0" w:line="20" w:lineRule="exact"/>
              <w:rPr>
                <w:sz w:val="1"/>
                <w:szCs w:val="1"/>
                <w:color w:val="auto"/>
              </w:rPr>
            </w:pPr>
          </w:p>
        </w:tc>
        <w:tc>
          <w:tcPr>
            <w:tcW w:w="6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Office</w:t>
            </w:r>
          </w:p>
        </w:tc>
        <w:tc>
          <w:tcPr>
            <w:tcW w:w="1020" w:type="dxa"/>
            <w:vAlign w:val="bottom"/>
            <w:gridSpan w:val="5"/>
            <w:vMerge w:val="restart"/>
          </w:tcPr>
          <w:p>
            <w:pPr>
              <w:jc w:val="right"/>
              <w:ind w:right="4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line="20" w:lineRule="exact"/>
              <w:rPr>
                <w:sz w:val="1"/>
                <w:szCs w:val="1"/>
                <w:color w:val="auto"/>
              </w:rPr>
            </w:pPr>
          </w:p>
        </w:tc>
      </w:tr>
      <w:tr>
        <w:trPr>
          <w:trHeight w:val="129"/>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Operating revenues</w:t>
            </w:r>
          </w:p>
        </w:tc>
        <w:tc>
          <w:tcPr>
            <w:tcW w:w="4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8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$680,448</w:t>
            </w:r>
          </w:p>
        </w:tc>
        <w:tc>
          <w:tcPr>
            <w:tcW w:w="3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$ 257,017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$296,225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w w:val="99"/>
              </w:rPr>
              <w:t>$266,813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w w:val="93"/>
              </w:rPr>
              <w:t>$ 240,261</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top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$ 1,740,764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86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operations</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$108,456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$ 117,050</w:t>
            </w:r>
          </w:p>
        </w:tc>
        <w:tc>
          <w:tcPr>
            <w:tcW w:w="20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$ 28,012</w:t>
            </w:r>
          </w:p>
        </w:tc>
        <w:tc>
          <w:tcPr>
            <w:tcW w:w="1020" w:type="dxa"/>
            <w:vAlign w:val="bottom"/>
            <w:gridSpan w:val="4"/>
          </w:tcPr>
          <w:p>
            <w:pPr>
              <w:jc w:val="right"/>
              <w:ind w:right="260"/>
              <w:spacing w:after="0"/>
              <w:rPr>
                <w:sz w:val="20"/>
                <w:szCs w:val="20"/>
                <w:color w:val="auto"/>
              </w:rPr>
            </w:pPr>
            <w:r>
              <w:rPr>
                <w:rFonts w:ascii="Arial" w:cs="Arial" w:eastAsia="Arial" w:hAnsi="Arial"/>
                <w:sz w:val="14"/>
                <w:szCs w:val="14"/>
                <w:color w:val="auto"/>
              </w:rPr>
              <w:t>$ 46,652</w:t>
            </w:r>
          </w:p>
        </w:tc>
        <w:tc>
          <w:tcPr>
            <w:tcW w:w="1120" w:type="dxa"/>
            <w:vAlign w:val="bottom"/>
            <w:gridSpan w:val="4"/>
          </w:tcPr>
          <w:p>
            <w:pPr>
              <w:jc w:val="right"/>
              <w:ind w:right="260"/>
              <w:spacing w:after="0"/>
              <w:rPr>
                <w:sz w:val="20"/>
                <w:szCs w:val="20"/>
                <w:color w:val="auto"/>
              </w:rPr>
            </w:pPr>
            <w:r>
              <w:rPr>
                <w:rFonts w:ascii="Arial" w:cs="Arial" w:eastAsia="Arial" w:hAnsi="Arial"/>
                <w:sz w:val="14"/>
                <w:szCs w:val="14"/>
                <w:color w:val="auto"/>
              </w:rPr>
              <w:t>$ (32,650)</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$(17,592)</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249,928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Equity in losses of</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affiliates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(29,666)</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(39,031)</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(5,169)</w:t>
            </w:r>
          </w:p>
        </w:tc>
        <w:tc>
          <w:tcPr>
            <w:tcW w:w="0" w:type="dxa"/>
            <w:vAlign w:val="bottom"/>
          </w:tcPr>
          <w:p>
            <w:pPr>
              <w:spacing w:after="0"/>
              <w:rPr>
                <w:sz w:val="1"/>
                <w:szCs w:val="1"/>
                <w:color w:val="auto"/>
              </w:rPr>
            </w:pPr>
          </w:p>
        </w:tc>
      </w:tr>
      <w:tr>
        <w:trPr>
          <w:trHeight w:val="122"/>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Income before</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income taxes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176,062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86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$ 28,739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$ 9,676</w:t>
            </w:r>
          </w:p>
        </w:tc>
        <w:tc>
          <w:tcPr>
            <w:tcW w:w="20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$ 3,847</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35,525</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9,256</w:t>
            </w:r>
          </w:p>
        </w:tc>
        <w:tc>
          <w:tcPr>
            <w:tcW w:w="30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87,043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$ 1,170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$ 10,601</w:t>
            </w:r>
          </w:p>
        </w:tc>
        <w:tc>
          <w:tcPr>
            <w:tcW w:w="20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$ 5,091</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22,204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6,364</w:t>
            </w:r>
          </w:p>
        </w:tc>
        <w:tc>
          <w:tcPr>
            <w:tcW w:w="300" w:type="dxa"/>
            <w:vAlign w:val="bottom"/>
          </w:tcPr>
          <w:p>
            <w:pPr>
              <w:spacing w:after="0"/>
              <w:rPr>
                <w:sz w:val="21"/>
                <w:szCs w:val="21"/>
                <w:color w:val="auto"/>
              </w:rPr>
            </w:pPr>
          </w:p>
        </w:tc>
        <w:tc>
          <w:tcPr>
            <w:tcW w:w="7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45,430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Arial" w:cs="Arial" w:eastAsia="Arial" w:hAnsi="Arial"/>
                <w:sz w:val="14"/>
                <w:szCs w:val="14"/>
                <w:color w:val="auto"/>
              </w:rPr>
              <w:t>Pension credit (expense)</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$ 13,715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$ 4,037</w:t>
            </w:r>
          </w:p>
        </w:tc>
        <w:tc>
          <w:tcPr>
            <w:tcW w:w="20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$ 27,004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(510)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(516)</w:t>
            </w:r>
          </w:p>
        </w:tc>
        <w:tc>
          <w:tcPr>
            <w:tcW w:w="7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-661670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-661670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85"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color w:val="auto"/>
        </w:rPr>
        <w:t>Newspaper publishing includes the publication of newspapers in the Washington, D.C. area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Gazette</w:t>
      </w:r>
      <w:r>
        <w:rPr>
          <w:rFonts w:ascii="Arial" w:cs="Arial" w:eastAsia="Arial" w:hAnsi="Arial"/>
          <w:sz w:val="16"/>
          <w:szCs w:val="16"/>
          <w:color w:val="auto"/>
        </w:rPr>
        <w:t xml:space="preserve"> community newspapers, and effective March 1, 2001 Southern Maryland newspapers) and Everett, Washington (</w:t>
      </w:r>
      <w:r>
        <w:rPr>
          <w:rFonts w:ascii="Arial" w:cs="Arial" w:eastAsia="Arial" w:hAnsi="Arial"/>
          <w:sz w:val="16"/>
          <w:szCs w:val="16"/>
          <w:i w:val="1"/>
          <w:iCs w:val="1"/>
          <w:color w:val="auto"/>
        </w:rPr>
        <w:t>The Everett Herald</w:t>
      </w:r>
      <w:r>
        <w:rPr>
          <w:rFonts w:ascii="Arial" w:cs="Arial" w:eastAsia="Arial" w:hAnsi="Arial"/>
          <w:sz w:val="16"/>
          <w:szCs w:val="16"/>
          <w:color w:val="auto"/>
        </w:rPr>
        <w:t>). This business division</w:t>
      </w:r>
    </w:p>
    <w:p>
      <w:pPr>
        <w:sectPr>
          <w:pgSz w:w="11900" w:h="16838" w:orient="portrait"/>
          <w:cols w:equalWidth="0" w:num="1">
            <w:col w:w="11420"/>
          </w:cols>
          <w:pgMar w:left="240" w:top="140" w:right="239" w:bottom="0" w:gutter="0" w:footer="0" w:header="0"/>
          <w:type w:val="continuous"/>
        </w:sectPr>
      </w:pPr>
    </w:p>
    <w:bookmarkStart w:id="7" w:name="page8"/>
    <w:bookmarkEnd w:id="7"/>
    <w:p>
      <w:pPr>
        <w:ind w:right="1700"/>
        <w:spacing w:after="0" w:line="239" w:lineRule="auto"/>
        <w:rPr>
          <w:sz w:val="20"/>
          <w:szCs w:val="20"/>
          <w:color w:val="auto"/>
        </w:rPr>
      </w:pPr>
      <w:r>
        <w:rPr>
          <w:rFonts w:ascii="Arial" w:cs="Arial" w:eastAsia="Arial" w:hAnsi="Arial"/>
          <w:sz w:val="18"/>
          <w:szCs w:val="18"/>
          <w:color w:val="auto"/>
        </w:rPr>
        <w:t>also includes newsprint warehousing, recycling operations and the company's electronic media publishing business (primarily washingtonpost.com).</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Television broadcasting operations are conducted through six VHF, network-affiliated television stations serving the Detroit, Houston, Miami, San Antonio, Orlando and Jacksonville television markets.</w:t>
      </w:r>
    </w:p>
    <w:p>
      <w:pPr>
        <w:spacing w:after="0" w:line="209"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Cable television operations consist of cable systems offering basic cable and pay television services to approximately 753,000 subscribers in midwestern, western, and southern states.</w:t>
      </w:r>
    </w:p>
    <w:p>
      <w:pPr>
        <w:spacing w:after="0" w:line="20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Educational products and services are provided through the company's wholly-owned subsidiary Kaplan, Inc. Kaplan's five major lines of businesses include Test Preparation and Admissions, providing test preparation services for college and graduate school entrance exams; Quest Education Corporation, a provider of post-secondary education offering Bachelor's degrees, Associate's degrees and diploma programs primarily in the fields of healthcare, business and information technology; Kaplan Professional, providing education and career services to business people and other professionals; SCORE!, offering multi-media learning and private tutoring to children and educational resources to parents; and The Kaplan Colleges, Kaplan's distance learning business, including kaplancollege.com.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5: New Accounting Pronouncements</w:t>
      </w:r>
    </w:p>
    <w:p>
      <w:pPr>
        <w:spacing w:after="0" w:line="212"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July 2001, the Financial Accounting Standards Board issued Statements of Financial Accounting Standards (SFAS) No. 141, "Business Combinations," and No. 142, "Goodwill and Other Intangible Assets." The significant provisions of these statements and implications to the company are as follows:</w:t>
      </w:r>
    </w:p>
    <w:p>
      <w:pPr>
        <w:spacing w:after="0" w:line="208" w:lineRule="exact"/>
        <w:rPr>
          <w:sz w:val="20"/>
          <w:szCs w:val="20"/>
          <w:color w:val="auto"/>
        </w:rPr>
      </w:pPr>
    </w:p>
    <w:p>
      <w:pPr>
        <w:ind w:left="1080" w:right="1380"/>
        <w:spacing w:after="0" w:line="236" w:lineRule="auto"/>
        <w:rPr>
          <w:sz w:val="20"/>
          <w:szCs w:val="20"/>
          <w:color w:val="auto"/>
        </w:rPr>
      </w:pPr>
      <w:r>
        <w:rPr>
          <w:rFonts w:ascii="Arial" w:cs="Arial" w:eastAsia="Arial" w:hAnsi="Arial"/>
          <w:sz w:val="18"/>
          <w:szCs w:val="18"/>
          <w:u w:val="single" w:color="auto"/>
          <w:color w:val="auto"/>
        </w:rPr>
        <w:t>SFAS No. 141</w:t>
      </w:r>
      <w:r>
        <w:rPr>
          <w:rFonts w:ascii="Arial" w:cs="Arial" w:eastAsia="Arial" w:hAnsi="Arial"/>
          <w:sz w:val="18"/>
          <w:szCs w:val="18"/>
          <w:color w:val="auto"/>
        </w:rPr>
        <w:t xml:space="preserve"> - "Business Combinations" supersedes Accounting Principles Board Opinion (APB) No. 16 and provides, among other provisions, that the purchase method of accounting be used for all business combinations initiated after June 30, 2001, and establishes specific criteria for the recognition of intangible assets separately from goodwill. The company adopted SFAS No. 141 effective June 30, 2001 and does not believe application of its requirements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14" w:lineRule="exact"/>
        <w:rPr>
          <w:sz w:val="20"/>
          <w:szCs w:val="20"/>
          <w:color w:val="auto"/>
        </w:rPr>
      </w:pPr>
    </w:p>
    <w:p>
      <w:pPr>
        <w:ind w:left="1080" w:right="1760"/>
        <w:spacing w:after="0" w:line="239" w:lineRule="auto"/>
        <w:rPr>
          <w:sz w:val="20"/>
          <w:szCs w:val="20"/>
          <w:color w:val="auto"/>
        </w:rPr>
      </w:pPr>
      <w:r>
        <w:rPr>
          <w:rFonts w:ascii="Arial" w:cs="Arial" w:eastAsia="Arial" w:hAnsi="Arial"/>
          <w:sz w:val="18"/>
          <w:szCs w:val="18"/>
          <w:color w:val="auto"/>
        </w:rPr>
        <w:t>prospective acquisitions will result in a significant change to how the company has historically accounted for its acquisitions.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SFAS No. 142</w:t>
      </w:r>
      <w:r>
        <w:rPr>
          <w:rFonts w:ascii="Arial" w:cs="Arial" w:eastAsia="Arial" w:hAnsi="Arial"/>
          <w:sz w:val="18"/>
          <w:szCs w:val="18"/>
          <w:color w:val="auto"/>
        </w:rPr>
        <w:t xml:space="preserve"> - "Goodwill and Other Intangible Assets" supersedes APB 17 and provides, among other provisions, that</w:t>
      </w:r>
    </w:p>
    <w:p>
      <w:pPr>
        <w:ind w:left="1080" w:right="1120" w:firstLine="8"/>
        <w:spacing w:after="0" w:line="236" w:lineRule="auto"/>
        <w:tabs>
          <w:tab w:leader="none" w:pos="1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and indefinite lived intangible assets will no longer be amortized, (2) goodwill will be tested for impairment at least annually at the reporting unit level, (3) intangible assets deemed to have an indefinite life will be tested for impairment at least annually, and (4) the amortization period of intangible assets with finite lives will no longer be limited to forty years. The company will adopt SFAS No. 142 effective in fiscal 2002 and presently estimates the application of its requirements will result in the cessation of most of the periodic charges presently being recorded from the amortization of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1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Comparisons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income for the third quarter of 2001 was $1.6 million ($0.14 per share), down from net income of $33.5 million ($3.51 per share) in the third quarter of last year. The company's pre-tax income for the third quarter of 2001 includes write-downs of approximately $26 million to adjust several of the company's investments to their estimated fair values. Excluding these non-operating investment write-downs, net income for the third quarter of 2001 totaled $15.1 million, or $1.56 per share.</w:t>
      </w:r>
    </w:p>
    <w:p>
      <w:pPr>
        <w:spacing w:after="0" w:line="209"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Revenue for the third quarter of 2001 was $595.5 million, down 1 percent from $602.5 million in 2000. Advertising revenue declined 18 percent compared to last year. Circulation and subscriber revenue and education revenue increased 18 percent and 28 percent, respectively.</w:t>
      </w:r>
    </w:p>
    <w:p>
      <w:pPr>
        <w:spacing w:after="0" w:line="163" w:lineRule="exact"/>
        <w:rPr>
          <w:sz w:val="20"/>
          <w:szCs w:val="20"/>
          <w:color w:val="auto"/>
        </w:rPr>
      </w:pPr>
    </w:p>
    <w:p>
      <w:pPr>
        <w:jc w:val="both"/>
        <w:ind w:right="620"/>
        <w:spacing w:after="0" w:line="237" w:lineRule="auto"/>
        <w:rPr>
          <w:sz w:val="20"/>
          <w:szCs w:val="20"/>
          <w:color w:val="auto"/>
        </w:rPr>
      </w:pPr>
      <w:r>
        <w:rPr>
          <w:rFonts w:ascii="Arial" w:cs="Arial" w:eastAsia="Arial" w:hAnsi="Arial"/>
          <w:sz w:val="18"/>
          <w:szCs w:val="18"/>
          <w:color w:val="auto"/>
        </w:rPr>
        <w:t>The decline in advertising revenue is the result of continued softness in the advertising markets of the Company's largest advertising-based businesses. This already-soft advertising environment worsened for several weeks following the events of September 11. Approximately 30 percent of the decline in total advertising revenue is attributable to the decline in classified recruitment advertising at The Washington Post newspaper.</w:t>
      </w:r>
    </w:p>
    <w:p>
      <w:pPr>
        <w:spacing w:after="0" w:line="209"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The 18 percent improvement in circulation and subscriber revenue is mostly attributable to a significant spike in Newsweek's newsstand sales in September on regular and special editions related to the September 11 terrorist attacks. Growth in subscriber revenue at Cable One, due to rate increases established to offset the rising cost of programming, as well as growth in basic subscribers as a result of acquisitions and cable system exchanges completed in the first quarter of 2001 also contributed to the increase.</w:t>
      </w:r>
    </w:p>
    <w:p>
      <w:pPr>
        <w:sectPr>
          <w:pgSz w:w="11900" w:h="16838" w:orient="portrait"/>
          <w:cols w:equalWidth="0" w:num="1">
            <w:col w:w="11420"/>
          </w:cols>
          <w:pgMar w:left="240" w:top="143" w:right="239" w:bottom="12" w:gutter="0" w:footer="0" w:header="0"/>
        </w:sectPr>
      </w:pPr>
    </w:p>
    <w:bookmarkStart w:id="8" w:name="page9"/>
    <w:bookmarkEnd w:id="8"/>
    <w:p>
      <w:pPr>
        <w:spacing w:after="0" w:line="84" w:lineRule="exact"/>
        <w:rPr>
          <w:sz w:val="20"/>
          <w:szCs w:val="20"/>
          <w:color w:val="auto"/>
        </w:rPr>
      </w:pPr>
    </w:p>
    <w:p>
      <w:pPr>
        <w:jc w:val="both"/>
        <w:ind w:right="460"/>
        <w:spacing w:after="0" w:line="299" w:lineRule="auto"/>
        <w:rPr>
          <w:sz w:val="20"/>
          <w:szCs w:val="20"/>
          <w:color w:val="auto"/>
        </w:rPr>
      </w:pPr>
      <w:r>
        <w:rPr>
          <w:rFonts w:ascii="Arial" w:cs="Arial" w:eastAsia="Arial" w:hAnsi="Arial"/>
          <w:sz w:val="16"/>
          <w:szCs w:val="16"/>
          <w:color w:val="auto"/>
        </w:rPr>
        <w:t>Over half of the increase in education revenue is attributable to the acquisition of Quest Educational Corporation (Quest) in August 2000. The remaining improvement in education revenue is due mostly to revenue growth at Kaplan's traditional test preparation and Score!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Costs and expenses for the third quarter of 2001 increased 6 percent to $548.6 million from $517.9 million in 2000. A substantial portion of the increase in costs and expenses is attributable to operating expenses of Quest (acquired in August 2000), with the remaining increase due to higher depreciation and amortization expense and higher stock-based compensation expense accruals at the education division.</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company's expenses for the third quarter were reduced by $19.7 million of pension credits, compared to $15.0 million for the same period of 2000.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the third quarter decreased 44 percent to $47.0 million, from $84.6 million in 2000.</w:t>
      </w:r>
    </w:p>
    <w:p>
      <w:pPr>
        <w:spacing w:after="0" w:line="19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Newspaper Publishing</w:t>
      </w:r>
      <w:r>
        <w:rPr>
          <w:rFonts w:ascii="Arial" w:cs="Arial" w:eastAsia="Arial" w:hAnsi="Arial"/>
          <w:sz w:val="18"/>
          <w:szCs w:val="18"/>
          <w:color w:val="auto"/>
        </w:rPr>
        <w:t>. Newspaper publishing division revenue totaled $199.9 million for the third quarter of 2001, a decrease of 12 percent from</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of $227.6 million in the third quarter of 2000. Division operating income for the third quarter declined 67 percent to $11.6 million, from $35.0 million in the third quarter of 2000. The decrease in operating income is due to a decline in print advertising, offset in part by higher online advertising revenues and cost control initiatives employed throughout the division.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Print advertising revenue at The Washington Post newspaper decreased 20 percent to $132.9 million for the third quarter of 2001, from $165.1 million in 2000. A volume decline of 48 percent in classified recruitment advertising caused a classified recruitment advertising revenue decline of 45 percent, due to the cyclical economic downturn. The economic environment surrounding most of the other advertising categories at the Post (i.e., retail, general, preprints) was also sluggish compared to the prior year. In these categories, rate increases only partially offset volume declines ranging from 7 to 33 percent. The soft advertising climate worsened for several weeks late in the third quarter of 2001 as the company experienced further reductions in advertising revenue and volumes following the events of September 11.</w:t>
      </w:r>
    </w:p>
    <w:p>
      <w:pPr>
        <w:spacing w:after="0" w:line="21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Revenue generated by the company's online publishing activities, primarily washingtonpost.com, totaled $7.7 million for the third quarter of 2001, an increase of 7 percent compared to the third quarter of 2000.</w:t>
      </w:r>
    </w:p>
    <w:p>
      <w:pPr>
        <w:spacing w:after="0" w:line="18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Television Broadcasting</w:t>
      </w:r>
      <w:r>
        <w:rPr>
          <w:rFonts w:ascii="Arial" w:cs="Arial" w:eastAsia="Arial" w:hAnsi="Arial"/>
          <w:sz w:val="18"/>
          <w:szCs w:val="18"/>
          <w:color w:val="auto"/>
        </w:rPr>
        <w:t>. Revenue for the television broadcasting division declined 23 percent in the third quarter of 2001 to $68.2 million,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$88.9 million in 2000. Excluding approximately $16 million in political and Olympics advertising in 2000, the decline in third quarter 2001 revenues was 6 percent, due largely to several days of commercial-free coverage following the events of September 11. A general softness in advertising (particularly national advertising) also adversely impacted comparisons for the third quarter of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the third quarter of 2001 decreased 47 percent to $22.3 million, from $41.9 million in 2000.</w:t>
      </w:r>
    </w:p>
    <w:p>
      <w:pPr>
        <w:spacing w:after="0" w:line="19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Magazine Publishing</w:t>
      </w:r>
      <w:r>
        <w:rPr>
          <w:rFonts w:ascii="Arial" w:cs="Arial" w:eastAsia="Arial" w:hAnsi="Arial"/>
          <w:sz w:val="18"/>
          <w:szCs w:val="18"/>
          <w:color w:val="auto"/>
        </w:rPr>
        <w:t>. Revenues for the magazine publishing division totaled $101.5 million for the third quarter of 2001, a 6 percent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from $95.9 million for the third quarter of 2000. Operating income totaled $9.4 million for the third quarter of 2001, a 106 percent from the same period of the prior year. The increase in operating income is primarily attributable to a significant increase in newsstand circulation revenues on regular and special editions related to the September 11 terrorist attacks, offset by a 21 percent decrease in advertising revenue at Newsweek due to fewer advertising pages at both the domestic and international editions.</w:t>
      </w:r>
    </w:p>
    <w:p>
      <w:pPr>
        <w:spacing w:after="0" w:line="17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Cable Television</w:t>
      </w:r>
      <w:r>
        <w:rPr>
          <w:rFonts w:ascii="Arial" w:cs="Arial" w:eastAsia="Arial" w:hAnsi="Arial"/>
          <w:sz w:val="18"/>
          <w:szCs w:val="18"/>
          <w:color w:val="auto"/>
        </w:rPr>
        <w:t>. At the cable division, third quarter 2001 revenues of $98.7 million were 9 percent higher than 2000; division cash flow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income excluding depreciation and amortization expense) totaled $35.2 million for the third quarter of 2001 compared with $35.3 million for the third quarter of 2000.</w:t>
      </w:r>
    </w:p>
    <w:p>
      <w:pPr>
        <w:spacing w:after="0" w:line="202"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Cable division operating income decreased 50 percent for the third quarter of 2001. The decline in operating income in due mostly to increased depreciation and amortization expense (which increased by $7.8 million over the third quarter of 2000), higher programming expense, and costs associated with the launch of digital cable services.</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increase in depreciation expense is due to capital spending, which is enabling the cable division to offer digital cable services to its subscribers. The cable division began its rollout plan for these services in the third quarter of 2000. At September 30, 2001, the cable division had approximately 172,000 digital cable subscribers, representing a 23 percent penetration of the subscriber base in the markets where digital services are offered. Digital services are currently offered in markets serving 90 percent of the cable division's subscriber base. The rollout plan for the new digital cable services includes an offer for the cable division's customers to obtain these services free for one year. Accordingly, management expects the benefits from these new services to show beginning in 2002 and thereafter.</w:t>
      </w:r>
    </w:p>
    <w:p>
      <w:pPr>
        <w:spacing w:after="0" w:line="21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At September 30, 2001, the cable division had 753,000 basic subscribers, compared to 735,700 at the end of September 2000. The increase in basic subscribers is largely attributable to a net gain in subscribers arising from the cable system exchange and sale transactions completed in the first quarter of 2001.</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Education and Career Services</w:t>
      </w:r>
      <w:r>
        <w:rPr>
          <w:rFonts w:ascii="Arial" w:cs="Arial" w:eastAsia="Arial" w:hAnsi="Arial"/>
          <w:sz w:val="18"/>
          <w:szCs w:val="18"/>
          <w:color w:val="auto"/>
        </w:rPr>
        <w:t>. Excluding Quest Education(acquired in August 2000), education division revenue increased 16 percent to $90.3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third quarter of 2001; the operating loss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12"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improved from $7.7 million to $1.1 million. A summary of operating results for the third quarter of 2001 compared to 2000 is as follows (in thousands):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Third Quarter</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 Better</w:t>
      </w:r>
    </w:p>
    <w:p>
      <w:pPr>
        <w:spacing w:after="0" w:line="36" w:lineRule="exact"/>
        <w:rPr>
          <w:sz w:val="20"/>
          <w:szCs w:val="20"/>
          <w:color w:val="auto"/>
        </w:rPr>
      </w:pPr>
    </w:p>
    <w:p>
      <w:pPr>
        <w:ind w:left="4520"/>
        <w:spacing w:after="0"/>
        <w:tabs>
          <w:tab w:leader="none" w:pos="6120" w:val="left"/>
          <w:tab w:leader="none" w:pos="7380" w:val="left"/>
        </w:tabs>
        <w:rPr>
          <w:sz w:val="20"/>
          <w:szCs w:val="20"/>
          <w:color w:val="auto"/>
        </w:rPr>
      </w:pPr>
      <w:r>
        <w:rPr>
          <w:rFonts w:ascii="Arial" w:cs="Arial" w:eastAsia="Arial" w:hAnsi="Arial"/>
          <w:sz w:val="18"/>
          <w:szCs w:val="18"/>
          <w:u w:val="single" w:color="auto"/>
          <w:color w:val="auto"/>
        </w:rPr>
        <w:t>2001</w:t>
      </w:r>
      <w:r>
        <w:rPr>
          <w:sz w:val="20"/>
          <w:szCs w:val="20"/>
          <w:color w:val="auto"/>
        </w:rPr>
        <w:tab/>
      </w:r>
      <w:r>
        <w:rPr>
          <w:rFonts w:ascii="Arial" w:cs="Arial" w:eastAsia="Arial" w:hAnsi="Arial"/>
          <w:sz w:val="18"/>
          <w:szCs w:val="18"/>
          <w:u w:val="single" w:color="auto"/>
          <w:color w:val="auto"/>
        </w:rPr>
        <w:t>2000</w:t>
      </w:r>
      <w:r>
        <w:rPr>
          <w:sz w:val="20"/>
          <w:szCs w:val="20"/>
          <w:color w:val="auto"/>
        </w:rPr>
        <w:tab/>
      </w:r>
      <w:r>
        <w:rPr>
          <w:rFonts w:ascii="Arial" w:cs="Arial" w:eastAsia="Arial" w:hAnsi="Arial"/>
          <w:sz w:val="16"/>
          <w:szCs w:val="16"/>
          <w:u w:val="single" w:color="auto"/>
          <w:color w:val="auto"/>
        </w:rPr>
        <w:t>(worse)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3340" w:type="dxa"/>
            <w:vAlign w:val="bottom"/>
          </w:tcPr>
          <w:p>
            <w:pPr>
              <w:spacing w:after="0"/>
              <w:rPr>
                <w:sz w:val="20"/>
                <w:szCs w:val="20"/>
                <w:color w:val="auto"/>
              </w:rPr>
            </w:pPr>
            <w:r>
              <w:rPr>
                <w:rFonts w:ascii="Arial" w:cs="Arial" w:eastAsia="Arial" w:hAnsi="Arial"/>
                <w:sz w:val="18"/>
                <w:szCs w:val="18"/>
                <w:color w:val="auto"/>
              </w:rPr>
              <w:t>Test prep and professional training</w:t>
            </w:r>
          </w:p>
        </w:tc>
        <w:tc>
          <w:tcPr>
            <w:tcW w:w="1860" w:type="dxa"/>
            <w:vAlign w:val="bottom"/>
          </w:tcPr>
          <w:p>
            <w:pPr>
              <w:jc w:val="right"/>
              <w:ind w:right="392"/>
              <w:spacing w:after="0"/>
              <w:rPr>
                <w:sz w:val="20"/>
                <w:szCs w:val="20"/>
                <w:color w:val="auto"/>
              </w:rPr>
            </w:pPr>
            <w:r>
              <w:rPr>
                <w:rFonts w:ascii="Arial" w:cs="Arial" w:eastAsia="Arial" w:hAnsi="Arial"/>
                <w:sz w:val="18"/>
                <w:szCs w:val="18"/>
                <w:color w:val="auto"/>
              </w:rPr>
              <w:t>$ 71,489</w:t>
            </w:r>
          </w:p>
        </w:tc>
        <w:tc>
          <w:tcPr>
            <w:tcW w:w="1720" w:type="dxa"/>
            <w:vAlign w:val="bottom"/>
          </w:tcPr>
          <w:p>
            <w:pPr>
              <w:jc w:val="right"/>
              <w:ind w:right="492"/>
              <w:spacing w:after="0"/>
              <w:rPr>
                <w:sz w:val="20"/>
                <w:szCs w:val="20"/>
                <w:color w:val="auto"/>
              </w:rPr>
            </w:pPr>
            <w:r>
              <w:rPr>
                <w:rFonts w:ascii="Arial" w:cs="Arial" w:eastAsia="Arial" w:hAnsi="Arial"/>
                <w:sz w:val="18"/>
                <w:szCs w:val="18"/>
                <w:color w:val="auto"/>
              </w:rPr>
              <w:t>$63,879</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922" w:orient="portrait"/>
          <w:cols w:equalWidth="0" w:num="1">
            <w:col w:w="11420"/>
          </w:cols>
          <w:pgMar w:left="240" w:top="143" w:right="239" w:bottom="0" w:gutter="0" w:footer="0" w:header="0"/>
        </w:sectPr>
      </w:pPr>
    </w:p>
    <w:bookmarkStart w:id="9" w:name="page10"/>
    <w:bookmarkEnd w:id="9"/>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Quest post-secondary education*</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36,894</w:t>
            </w:r>
          </w:p>
        </w:tc>
        <w:tc>
          <w:tcPr>
            <w:tcW w:w="64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21,634</w:t>
            </w: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New business development activities</w:t>
            </w:r>
          </w:p>
        </w:tc>
        <w:tc>
          <w:tcPr>
            <w:tcW w:w="340" w:type="dxa"/>
            <w:vAlign w:val="bottom"/>
          </w:tcPr>
          <w:p>
            <w:pPr>
              <w:spacing w:after="0"/>
              <w:rPr>
                <w:sz w:val="17"/>
                <w:szCs w:val="17"/>
                <w:color w:val="auto"/>
              </w:rPr>
            </w:pPr>
          </w:p>
        </w:tc>
        <w:tc>
          <w:tcPr>
            <w:tcW w:w="6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18,776</w:t>
            </w:r>
          </w:p>
        </w:tc>
        <w:tc>
          <w:tcPr>
            <w:tcW w:w="640" w:type="dxa"/>
            <w:vAlign w:val="bottom"/>
          </w:tcPr>
          <w:p>
            <w:pPr>
              <w:spacing w:after="0"/>
              <w:rPr>
                <w:sz w:val="17"/>
                <w:szCs w:val="17"/>
                <w:color w:val="auto"/>
              </w:rPr>
            </w:pPr>
          </w:p>
        </w:tc>
        <w:tc>
          <w:tcPr>
            <w:tcW w:w="10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13,915</w:t>
            </w:r>
          </w:p>
        </w:tc>
        <w:tc>
          <w:tcPr>
            <w:tcW w:w="46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9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127,159</w:t>
            </w:r>
          </w:p>
        </w:tc>
        <w:tc>
          <w:tcPr>
            <w:tcW w:w="6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$99,428</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3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Test prep and professional training</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64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$ 10,778</w:t>
            </w: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Quest post-secondary education*</w:t>
            </w:r>
          </w:p>
        </w:tc>
        <w:tc>
          <w:tcPr>
            <w:tcW w:w="3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3,669</w:t>
            </w:r>
          </w:p>
        </w:tc>
        <w:tc>
          <w:tcPr>
            <w:tcW w:w="6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New business development activities</w:t>
            </w:r>
          </w:p>
        </w:tc>
        <w:tc>
          <w:tcPr>
            <w:tcW w:w="34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(2,752)</w:t>
            </w:r>
          </w:p>
        </w:tc>
        <w:tc>
          <w:tcPr>
            <w:tcW w:w="1460" w:type="dxa"/>
            <w:vAlign w:val="bottom"/>
            <w:gridSpan w:val="5"/>
          </w:tcPr>
          <w:p>
            <w:pPr>
              <w:jc w:val="right"/>
              <w:ind w:right="440"/>
              <w:spacing w:after="0"/>
              <w:rPr>
                <w:sz w:val="20"/>
                <w:szCs w:val="20"/>
                <w:color w:val="auto"/>
              </w:rPr>
            </w:pPr>
            <w:r>
              <w:rPr>
                <w:rFonts w:ascii="Arial" w:cs="Arial" w:eastAsia="Arial" w:hAnsi="Arial"/>
                <w:sz w:val="18"/>
                <w:szCs w:val="18"/>
                <w:color w:val="auto"/>
              </w:rPr>
              <w:t>(12,826)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40" w:type="dxa"/>
            <w:vAlign w:val="bottom"/>
            <w:gridSpan w:val="2"/>
          </w:tcPr>
          <w:p>
            <w:pPr>
              <w:ind w:left="200"/>
              <w:spacing w:after="0"/>
              <w:rPr>
                <w:sz w:val="20"/>
                <w:szCs w:val="20"/>
                <w:color w:val="auto"/>
              </w:rPr>
            </w:pPr>
            <w:r>
              <w:rPr>
                <w:rFonts w:ascii="Arial" w:cs="Arial" w:eastAsia="Arial" w:hAnsi="Arial"/>
                <w:sz w:val="18"/>
                <w:szCs w:val="18"/>
                <w:color w:val="auto"/>
              </w:rPr>
              <w:t>Kaplan corporate overhead</w:t>
            </w:r>
          </w:p>
        </w:tc>
        <w:tc>
          <w:tcPr>
            <w:tcW w:w="34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(5,897)</w:t>
            </w:r>
          </w:p>
        </w:tc>
        <w:tc>
          <w:tcPr>
            <w:tcW w:w="1460" w:type="dxa"/>
            <w:vAlign w:val="bottom"/>
            <w:gridSpan w:val="5"/>
          </w:tcPr>
          <w:p>
            <w:pPr>
              <w:jc w:val="right"/>
              <w:ind w:right="440"/>
              <w:spacing w:after="0"/>
              <w:rPr>
                <w:sz w:val="20"/>
                <w:szCs w:val="20"/>
                <w:color w:val="auto"/>
              </w:rPr>
            </w:pPr>
            <w:r>
              <w:rPr>
                <w:rFonts w:ascii="Arial" w:cs="Arial" w:eastAsia="Arial" w:hAnsi="Arial"/>
                <w:sz w:val="18"/>
                <w:szCs w:val="18"/>
                <w:color w:val="auto"/>
              </w:rPr>
              <w:t>(2,421)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72"/>
        </w:trPr>
        <w:tc>
          <w:tcPr>
            <w:tcW w:w="3940" w:type="dxa"/>
            <w:vAlign w:val="bottom"/>
            <w:gridSpan w:val="2"/>
          </w:tcPr>
          <w:p>
            <w:pPr>
              <w:ind w:left="200"/>
              <w:spacing w:after="0" w:line="17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4"/>
                <w:szCs w:val="14"/>
                <w:color w:val="auto"/>
              </w:rPr>
            </w:pPr>
          </w:p>
        </w:tc>
        <w:tc>
          <w:tcPr>
            <w:tcW w:w="1280" w:type="dxa"/>
            <w:vAlign w:val="bottom"/>
            <w:gridSpan w:val="3"/>
          </w:tcPr>
          <w:p>
            <w:pPr>
              <w:jc w:val="right"/>
              <w:ind w:right="600"/>
              <w:spacing w:after="0" w:line="172" w:lineRule="exact"/>
              <w:rPr>
                <w:sz w:val="20"/>
                <w:szCs w:val="20"/>
                <w:color w:val="auto"/>
              </w:rPr>
            </w:pPr>
            <w:r>
              <w:rPr>
                <w:rFonts w:ascii="Arial" w:cs="Arial" w:eastAsia="Arial" w:hAnsi="Arial"/>
                <w:sz w:val="18"/>
                <w:szCs w:val="18"/>
                <w:color w:val="auto"/>
              </w:rPr>
              <w:t>(6,783)</w:t>
            </w:r>
          </w:p>
        </w:tc>
        <w:tc>
          <w:tcPr>
            <w:tcW w:w="1460" w:type="dxa"/>
            <w:vAlign w:val="bottom"/>
            <w:gridSpan w:val="5"/>
          </w:tcPr>
          <w:p>
            <w:pPr>
              <w:jc w:val="right"/>
              <w:ind w:right="440"/>
              <w:spacing w:after="0" w:line="172" w:lineRule="exact"/>
              <w:rPr>
                <w:sz w:val="20"/>
                <w:szCs w:val="20"/>
                <w:color w:val="auto"/>
              </w:rPr>
            </w:pPr>
            <w:r>
              <w:rPr>
                <w:rFonts w:ascii="Arial" w:cs="Arial" w:eastAsia="Arial" w:hAnsi="Arial"/>
                <w:sz w:val="18"/>
                <w:szCs w:val="18"/>
                <w:color w:val="auto"/>
              </w:rPr>
              <w:t>(4,415)</w:t>
            </w:r>
          </w:p>
        </w:tc>
        <w:tc>
          <w:tcPr>
            <w:tcW w:w="1020" w:type="dxa"/>
            <w:vAlign w:val="bottom"/>
            <w:gridSpan w:val="4"/>
          </w:tcPr>
          <w:p>
            <w:pPr>
              <w:jc w:val="right"/>
              <w:spacing w:after="0" w:line="17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640" w:type="dxa"/>
            <w:vAlign w:val="bottom"/>
          </w:tcPr>
          <w:p>
            <w:pPr>
              <w:spacing w:after="0"/>
              <w:rPr>
                <w:sz w:val="19"/>
                <w:szCs w:val="19"/>
                <w:color w:val="auto"/>
              </w:rPr>
            </w:pPr>
          </w:p>
        </w:tc>
        <w:tc>
          <w:tcPr>
            <w:tcW w:w="1460" w:type="dxa"/>
            <w:vAlign w:val="bottom"/>
            <w:gridSpan w:val="5"/>
          </w:tcPr>
          <w:p>
            <w:pPr>
              <w:jc w:val="right"/>
              <w:ind w:right="440"/>
              <w:spacing w:after="0"/>
              <w:rPr>
                <w:sz w:val="20"/>
                <w:szCs w:val="20"/>
                <w:color w:val="auto"/>
              </w:rPr>
            </w:pPr>
            <w:r>
              <w:rPr>
                <w:rFonts w:ascii="Arial" w:cs="Arial" w:eastAsia="Arial" w:hAnsi="Arial"/>
                <w:sz w:val="18"/>
                <w:szCs w:val="18"/>
                <w:color w:val="auto"/>
              </w:rPr>
              <w:t>$ (6,668)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-1667510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-1667510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-1667510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-1667510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-1667510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-1667510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*Quest was acquired in August 2000, therefore, 2000 results only include 2 months of activity for the third quarter.</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charges accrued for stock-based incentive compensation and amortization of goodwill and other intangibles.</w:t>
      </w:r>
    </w:p>
    <w:p>
      <w:pPr>
        <w:spacing w:after="0" w:line="20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improvement in test preparation and professional training results for the third quarter is due mostly to higher enrollments, and to a lesser extent higher rates, at Kaplan's traditional test preparation business (particularly the GMAT and the LSAT prep course), and higher revenues and profits from Kaplan's CFA and real estate exam preparation courses.</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New business development activities represent the results of Score! and Kaplan College (various distance learning businesses). The improvement in new development revenue is primarily attributable to Score!, with both increased enrollment from new learning centers opened (operated 147 centers at the end of the third quarter of 2001 versus 115 centers at the end of the same period in the prior year) and rate increases implemented early in 2001.</w:t>
      </w:r>
    </w:p>
    <w:p>
      <w:pPr>
        <w:spacing w:after="0" w:line="209" w:lineRule="exact"/>
        <w:rPr>
          <w:sz w:val="20"/>
          <w:szCs w:val="20"/>
          <w:color w:val="auto"/>
        </w:rPr>
      </w:pPr>
    </w:p>
    <w:p>
      <w:pPr>
        <w:jc w:val="both"/>
        <w:ind w:right="620"/>
        <w:spacing w:after="0" w:line="23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 The increase in this expense category in 2001 is principally due to increased spending for these internal software development initiatives.</w:t>
      </w:r>
    </w:p>
    <w:p>
      <w:pPr>
        <w:spacing w:after="0" w:line="208"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 Kaplan's management and amortization of goodwill and other intangibles. Under the stock-based incentive plan,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16.</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compensation expense varies directly with the estimated fair value of Kaplan's common stock and the number of options outstanding. The increase in other expense for the third quarter of 2001 is mostly attributable to an increase in stock-based incentive compensation, which was primarily due to an increase in Kaplan's estimated value.</w:t>
      </w:r>
    </w:p>
    <w:p>
      <w:pPr>
        <w:spacing w:after="0" w:line="18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Equity in Earnings and Losses of Affiliates</w:t>
      </w:r>
      <w:r>
        <w:rPr>
          <w:rFonts w:ascii="Arial" w:cs="Arial" w:eastAsia="Arial" w:hAnsi="Arial"/>
          <w:sz w:val="16"/>
          <w:szCs w:val="16"/>
          <w:color w:val="auto"/>
        </w:rPr>
        <w:t>. The company's equity in losses of affiliates for the third quarter of 2001 was $5.5 million,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losses of $8.9 million for the third quarter of 2000. The company's affiliate investments consist of a 42 percent interest in BrassRing, Inc., a 50 percent interest in the International Herald Tribune, and a 49 percent interest in Bowater Mersey Paper Company Limited.</w:t>
      </w:r>
    </w:p>
    <w:p>
      <w:pPr>
        <w:spacing w:after="0" w:line="1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BrassRing accounted for approximately $8.1 million of the 2001 third quarter equity losses, compared to $9.8 million in equity losses for the same period of 2000.</w:t>
      </w:r>
    </w:p>
    <w:p>
      <w:pPr>
        <w:spacing w:after="0" w:line="187"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Non-Operating Items</w:t>
      </w:r>
      <w:r>
        <w:rPr>
          <w:rFonts w:ascii="Arial" w:cs="Arial" w:eastAsia="Arial" w:hAnsi="Arial"/>
          <w:sz w:val="18"/>
          <w:szCs w:val="18"/>
          <w:color w:val="auto"/>
        </w:rPr>
        <w:t>. The company recorded other non-operating expense, net, of $25.4 million for the third quarter of 2001, compared to non-operating income, net, of $0.2 million for the third quarter of 2000. The 2001 non-operating expense includes investment write-downs of approximately $26 million to adjust several of the company's investments to their estimated fair values.</w:t>
      </w:r>
    </w:p>
    <w:p>
      <w:pPr>
        <w:spacing w:after="0" w:line="18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$11.6 million for the third quarter of 2001, compared to $14.4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2000. At September 30, 2001, the Company had $971.1 million in borrowings outstanding at an average interest rate of 4.2 percent.</w:t>
      </w:r>
    </w:p>
    <w:p>
      <w:pPr>
        <w:spacing w:after="0" w:line="18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The effective tax rate during the third quarter of 2001 was 64.5 percent, compared to 45.5 percent in 2000. The increase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tax rate is principally due to the decline in pretax income.</w:t>
      </w:r>
    </w:p>
    <w:p>
      <w:pPr>
        <w:spacing w:after="0" w:line="16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 The calculation of diluted earnings per share for the third quarter of 2001 was based on 9,502,000 weighted 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compared to 9,463,000 for the third quarter of 2000. The company made no significant repurchases of its stock during the third quarter of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 Comparisons</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the first nine months of 2001, net income totaled $215.1 million ($22.53 per share), compared with net income of $98.8 million ($10.33 per share) for the same period of 2000. Excluding certain one-time non-operating transactions from the first nine months of 2001, principally net gains from the sale and exchange of certain cable systems and write-downs of investments, net income for the first nine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months totaled $43.9 million, or $4.51 per share. Consistent with the company's results for the third quarter of 2001, the decrease in the company's nine-month earnings is primarily attributable to the decline in advertising revenue, increased depreciation and amortization expense, and higher</w:t>
      </w:r>
    </w:p>
    <w:p>
      <w:pPr>
        <w:sectPr>
          <w:pgSz w:w="11900" w:h="16859" w:orient="portrait"/>
          <w:cols w:equalWidth="0" w:num="1">
            <w:col w:w="11420"/>
          </w:cols>
          <w:pgMar w:left="240" w:top="386" w:right="239" w:bottom="0" w:gutter="0" w:footer="0" w:header="0"/>
        </w:sectPr>
      </w:pPr>
    </w:p>
    <w:bookmarkStart w:id="10" w:name="page11"/>
    <w:bookmarkEnd w:id="10"/>
    <w:p>
      <w:pPr>
        <w:ind w:right="20"/>
        <w:spacing w:after="0" w:line="238" w:lineRule="auto"/>
        <w:rPr>
          <w:sz w:val="20"/>
          <w:szCs w:val="20"/>
          <w:color w:val="auto"/>
        </w:rPr>
      </w:pPr>
      <w:r>
        <w:rPr>
          <w:rFonts w:ascii="Arial" w:cs="Arial" w:eastAsia="Arial" w:hAnsi="Arial"/>
          <w:sz w:val="18"/>
          <w:szCs w:val="18"/>
          <w:color w:val="auto"/>
        </w:rPr>
        <w:t>stock-based compensation expense accruals at the education division. These factors were offset in part by increased operating income contributed from Quest Education, higher profits from Kaplan's test preparation and professional training businesses, reduced operating losses at Kaplan's new business development activities, and an increased pension credit.</w:t>
      </w:r>
    </w:p>
    <w:p>
      <w:pPr>
        <w:spacing w:after="0" w:line="20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Revenue for the first nine months of 2001 was $1,787.0 million, up 3 percent over revenue of $1,740.8 million for the first nine months of 2000. Advertising revenues declined 12 percent from the prior year and circulation and subscriber revenue increased 8 percent. Education revenues increased 53 percent and other operating revenues increased 14 percent, as compared to the first nine months of 2000. The decrease in advertising revenue is mostly attributable to a soft advertising environment at most of the company's advertising-based businesses. The improvement in circulation and subscriber revenues is attributable to an improvement in Cable One subscriber revenues, mainly due to rate increases and subscribers acquired in system exchange transactions completed in the first quarter of 2001 and increased Newsweek newsstand sales from regular and special editions related to the September 11 terrorist attacks. The increase in education revenues aros e from acquisitions (principally Quest, acquired in August 2000), and to a lesser extent, growth in the test preparation and Score! businesses.</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Costs and expenses for the first nine months of 2001 increased 10 percent to $1,640.2 million from $1,490.8 million in 2000. The increase in costs and expenses is the result of higher depreciation and amortization expense, and an increase in stock-based compensation at the education division, offset in part by increased pension credits and cost control initiatives employed throughout the company.</w:t>
      </w:r>
    </w:p>
    <w:p>
      <w:pPr>
        <w:spacing w:after="0" w:line="208"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The company's expenses for the first nine months of 2001 were reduced by $60.3 million of pension credits, compared to $45.0 million during the first nine months of 2000.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declined 41 percent to $146.8 million, from $249.9 million in 2000.</w:t>
      </w:r>
    </w:p>
    <w:p>
      <w:pPr>
        <w:spacing w:after="0" w:line="190" w:lineRule="exact"/>
        <w:rPr>
          <w:sz w:val="20"/>
          <w:szCs w:val="20"/>
          <w:color w:val="auto"/>
        </w:rPr>
      </w:pPr>
    </w:p>
    <w:p>
      <w:pPr>
        <w:jc w:val="both"/>
        <w:ind w:right="160"/>
        <w:spacing w:after="0" w:line="244" w:lineRule="auto"/>
        <w:rPr>
          <w:sz w:val="20"/>
          <w:szCs w:val="20"/>
          <w:color w:val="auto"/>
        </w:rPr>
      </w:pPr>
      <w:r>
        <w:rPr>
          <w:rFonts w:ascii="Arial" w:cs="Arial" w:eastAsia="Arial" w:hAnsi="Arial"/>
          <w:sz w:val="18"/>
          <w:szCs w:val="18"/>
          <w:b w:val="1"/>
          <w:bCs w:val="1"/>
          <w:color w:val="auto"/>
        </w:rPr>
        <w:t>Newspaper Publishing</w:t>
      </w:r>
      <w:r>
        <w:rPr>
          <w:rFonts w:ascii="Arial" w:cs="Arial" w:eastAsia="Arial" w:hAnsi="Arial"/>
          <w:sz w:val="18"/>
          <w:szCs w:val="18"/>
          <w:color w:val="auto"/>
        </w:rPr>
        <w:t>. Newspaper publishing division revenues of $631.0 million in the first nine months of 2001 were down 7 percent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of 2000; division operating income for the first nine months of 2001 totaled $61.0 million, a 44 percent decrease from the prior year. The decrease in operating income for the first nine months is due to a decline in print advertising, offset in part by higher on-line advertising revenues and cost control initiatives employed throughout the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18.</w:t>
      </w:r>
    </w:p>
    <w:p>
      <w:pPr>
        <w:spacing w:after="0" w:line="23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Print advertising revenue at The Washington Post newspaper decreased 13 percent for the first nine months of 2001, with much of this decline due to a 40 percent volume decline in classified recruitment advertising which caused a classified recruitment advertising revenue decline of 36 percent due to the cyclical economic downturn.</w:t>
      </w:r>
    </w:p>
    <w:p>
      <w:pPr>
        <w:spacing w:after="0" w:line="208"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For the first nine months of 2001, Post daily and Sunday circulation both declined 1 percent compared to the same period of the prior year. For the nine months ended September 30, 2001, average daily circulation at the Post totaled 758,000 and average Sunday circulation totaled 1,066,000.</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Compared to the same period in the prior year, online advertising revenues for the first nine months of 2001 increased approximately 19 percent to $23.1 million.</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Television Broadcasting</w:t>
      </w:r>
      <w:r>
        <w:rPr>
          <w:rFonts w:ascii="Arial" w:cs="Arial" w:eastAsia="Arial" w:hAnsi="Arial"/>
          <w:sz w:val="16"/>
          <w:szCs w:val="16"/>
          <w:color w:val="auto"/>
        </w:rPr>
        <w:t>. Revenue for the broadcast division totaled $226.0 million, 12 percent less than revenues for the first nine months of</w:t>
      </w:r>
      <w:r>
        <w:rPr>
          <w:rFonts w:ascii="Arial" w:cs="Arial" w:eastAsia="Arial" w:hAnsi="Arial"/>
          <w:sz w:val="16"/>
          <w:szCs w:val="16"/>
          <w:b w:val="1"/>
          <w:bCs w:val="1"/>
          <w:color w:val="auto"/>
        </w:rPr>
        <w:t xml:space="preserve"> </w:t>
      </w:r>
      <w:r>
        <w:rPr>
          <w:rFonts w:ascii="Arial" w:cs="Arial" w:eastAsia="Arial" w:hAnsi="Arial"/>
          <w:sz w:val="16"/>
          <w:szCs w:val="16"/>
          <w:color w:val="auto"/>
        </w:rPr>
        <w:t>2000; division operating income through the first nine months of 2001 totaled $88.7 million, a decline of 24 percent compared to the same period in 2000. The overall decrease in broadcast division operating results is due to a general softness in advertising, difficult comparisons from 2000 related to significant political and Olympics advertising and several days of commercial-free coverage following the events of September 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Magazine Publishing</w:t>
      </w:r>
      <w:r>
        <w:rPr>
          <w:rFonts w:ascii="Arial" w:cs="Arial" w:eastAsia="Arial" w:hAnsi="Arial"/>
          <w:sz w:val="18"/>
          <w:szCs w:val="18"/>
          <w:color w:val="auto"/>
        </w:rPr>
        <w:t>. Magazine division revenue totaled $277.6 million for the first nine months of 2001, a decrease of 6 percent from 2000.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Magazine division operating income for the first nine months of 2001 totaled $15.5 million, a 45 percent decrease from 2000.</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Softness in domestic and international advertising pages at Newsweek, offset in part by increased newsstand sales, a higher pension credit and reduced operating expenses, accounted for most of the 45 percent decline in the operating results for the first nine months of 2001.</w:t>
      </w:r>
    </w:p>
    <w:p>
      <w:pPr>
        <w:spacing w:after="0" w:line="18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Cable Television</w:t>
      </w:r>
      <w:r>
        <w:rPr>
          <w:rFonts w:ascii="Arial" w:cs="Arial" w:eastAsia="Arial" w:hAnsi="Arial"/>
          <w:sz w:val="18"/>
          <w:szCs w:val="18"/>
          <w:color w:val="auto"/>
        </w:rPr>
        <w:t>. Cable division revenue of $284.3 million increased 7 percent in the first nine months of 2001. Division cash flow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income excluding depreciation and amortization expense) of $99.3 million represents a 5 percent decline from 2000. The decline in cable division cash flow is mostly due to higher programming expense, costs associated with the launch of digital cable services, and comparatively lower cash flow margin subscribers acquired in the cable system exchanges completed in the first quarter of 2001.</w:t>
      </w:r>
    </w:p>
    <w:p>
      <w:pPr>
        <w:spacing w:after="0" w:line="2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Cable division operating income decreased 55 percent for the first nine months of 2001 compared to the same period of 2000. The decrease in operating income is mostly due to higher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19.</w:t>
      </w:r>
    </w:p>
    <w:p>
      <w:pPr>
        <w:spacing w:after="0" w:line="23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amortization expense, which increased by $20.5 million for the first nine months of 2001. Higher programming expense and costs associated with the launch of digital services also contributed to the decline in operating income.</w:t>
      </w:r>
    </w:p>
    <w:p>
      <w:pPr>
        <w:spacing w:after="0" w:line="187" w:lineRule="exact"/>
        <w:rPr>
          <w:sz w:val="20"/>
          <w:szCs w:val="20"/>
          <w:color w:val="auto"/>
        </w:rPr>
      </w:pPr>
    </w:p>
    <w:p>
      <w:pPr>
        <w:jc w:val="both"/>
        <w:ind w:right="300"/>
        <w:spacing w:after="0" w:line="249" w:lineRule="auto"/>
        <w:rPr>
          <w:sz w:val="20"/>
          <w:szCs w:val="20"/>
          <w:color w:val="auto"/>
        </w:rPr>
      </w:pPr>
      <w:r>
        <w:rPr>
          <w:rFonts w:ascii="Arial" w:cs="Arial" w:eastAsia="Arial" w:hAnsi="Arial"/>
          <w:sz w:val="18"/>
          <w:szCs w:val="18"/>
          <w:b w:val="1"/>
          <w:bCs w:val="1"/>
          <w:color w:val="auto"/>
        </w:rPr>
        <w:t>Education and Career Services</w:t>
      </w:r>
      <w:r>
        <w:rPr>
          <w:rFonts w:ascii="Arial" w:cs="Arial" w:eastAsia="Arial" w:hAnsi="Arial"/>
          <w:sz w:val="18"/>
          <w:szCs w:val="18"/>
          <w:color w:val="auto"/>
        </w:rPr>
        <w:t>. Excluding Quest Education (acquired in August 2000), the education division's nine-month revenue for 2001</w:t>
      </w:r>
      <w:r>
        <w:rPr>
          <w:rFonts w:ascii="Arial" w:cs="Arial" w:eastAsia="Arial" w:hAnsi="Arial"/>
          <w:sz w:val="18"/>
          <w:szCs w:val="18"/>
          <w:b w:val="1"/>
          <w:bCs w:val="1"/>
          <w:color w:val="auto"/>
        </w:rPr>
        <w:t xml:space="preserve"> </w:t>
      </w:r>
      <w:r>
        <w:rPr>
          <w:rFonts w:ascii="Arial" w:cs="Arial" w:eastAsia="Arial" w:hAnsi="Arial"/>
          <w:sz w:val="18"/>
          <w:szCs w:val="18"/>
          <w:color w:val="auto"/>
        </w:rPr>
        <w:t>grew 18 percent to $258.9 million and operating losses were reduced from $33.6 million to $26.6 million. A summary of operating results for the first nine months of 2001 compared to 2000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5"/>
          </w:tcPr>
          <w:p>
            <w:pPr>
              <w:jc w:val="right"/>
              <w:ind w:right="360"/>
              <w:spacing w:after="0"/>
              <w:rPr>
                <w:sz w:val="20"/>
                <w:szCs w:val="20"/>
                <w:color w:val="auto"/>
              </w:rPr>
            </w:pPr>
            <w:r>
              <w:rPr>
                <w:rFonts w:ascii="Arial" w:cs="Arial" w:eastAsia="Arial" w:hAnsi="Arial"/>
                <w:sz w:val="18"/>
                <w:szCs w:val="18"/>
                <w:color w:val="auto"/>
              </w:rPr>
              <w:t>YTD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2"/>
        </w:trPr>
        <w:tc>
          <w:tcPr>
            <w:tcW w:w="4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Better</w:t>
            </w:r>
          </w:p>
        </w:tc>
      </w:tr>
      <w:tr>
        <w:trPr>
          <w:trHeight w:val="205"/>
        </w:trPr>
        <w:tc>
          <w:tcPr>
            <w:tcW w:w="4980" w:type="dxa"/>
            <w:vAlign w:val="bottom"/>
          </w:tcPr>
          <w:p>
            <w:pPr>
              <w:spacing w:after="0"/>
              <w:rPr>
                <w:sz w:val="17"/>
                <w:szCs w:val="17"/>
                <w:color w:val="auto"/>
              </w:rPr>
            </w:pPr>
          </w:p>
        </w:tc>
        <w:tc>
          <w:tcPr>
            <w:tcW w:w="9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2001</w:t>
            </w:r>
          </w:p>
        </w:tc>
        <w:tc>
          <w:tcPr>
            <w:tcW w:w="16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2000</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w w:val="99"/>
              </w:rPr>
              <w:t>(worse)</w:t>
            </w:r>
          </w:p>
        </w:tc>
      </w:tr>
      <w:tr>
        <w:trPr>
          <w:trHeight w:val="262"/>
        </w:trPr>
        <w:tc>
          <w:tcPr>
            <w:tcW w:w="4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459"/>
        </w:trPr>
        <w:tc>
          <w:tcPr>
            <w:tcW w:w="4980" w:type="dxa"/>
            <w:vAlign w:val="bottom"/>
          </w:tcPr>
          <w:p>
            <w:pPr>
              <w:ind w:left="240"/>
              <w:spacing w:after="0"/>
              <w:rPr>
                <w:sz w:val="20"/>
                <w:szCs w:val="20"/>
                <w:color w:val="auto"/>
              </w:rPr>
            </w:pPr>
            <w:r>
              <w:rPr>
                <w:rFonts w:ascii="Arial" w:cs="Arial" w:eastAsia="Arial" w:hAnsi="Arial"/>
                <w:sz w:val="18"/>
                <w:szCs w:val="18"/>
                <w:color w:val="auto"/>
              </w:rPr>
              <w:t>Test prep and professional training</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$207,462</w:t>
            </w:r>
          </w:p>
        </w:tc>
        <w:tc>
          <w:tcPr>
            <w:tcW w:w="1620" w:type="dxa"/>
            <w:vAlign w:val="bottom"/>
            <w:gridSpan w:val="6"/>
          </w:tcPr>
          <w:p>
            <w:pPr>
              <w:jc w:val="right"/>
              <w:spacing w:after="0"/>
              <w:rPr>
                <w:sz w:val="20"/>
                <w:szCs w:val="20"/>
                <w:color w:val="auto"/>
              </w:rPr>
            </w:pPr>
            <w:r>
              <w:rPr>
                <w:rFonts w:ascii="Arial" w:cs="Arial" w:eastAsia="Arial" w:hAnsi="Arial"/>
                <w:sz w:val="18"/>
                <w:szCs w:val="18"/>
                <w:color w:val="auto"/>
              </w:rPr>
              <w:t>$181,122</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Quest post-secondary education*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109,197</w:t>
            </w:r>
          </w:p>
        </w:tc>
        <w:tc>
          <w:tcPr>
            <w:tcW w:w="1620" w:type="dxa"/>
            <w:vAlign w:val="bottom"/>
            <w:gridSpan w:val="6"/>
          </w:tcPr>
          <w:p>
            <w:pPr>
              <w:jc w:val="right"/>
              <w:spacing w:after="0"/>
              <w:rPr>
                <w:sz w:val="20"/>
                <w:szCs w:val="20"/>
                <w:color w:val="auto"/>
              </w:rPr>
            </w:pPr>
            <w:r>
              <w:rPr>
                <w:rFonts w:ascii="Arial" w:cs="Arial" w:eastAsia="Arial" w:hAnsi="Arial"/>
                <w:sz w:val="18"/>
                <w:szCs w:val="18"/>
                <w:color w:val="auto"/>
              </w:rPr>
              <w:t>21,634</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r>
      <w:tr>
        <w:trPr>
          <w:trHeight w:val="205"/>
        </w:trPr>
        <w:tc>
          <w:tcPr>
            <w:tcW w:w="4980" w:type="dxa"/>
            <w:vAlign w:val="bottom"/>
          </w:tcPr>
          <w:p>
            <w:pPr>
              <w:ind w:left="260"/>
              <w:spacing w:after="0" w:line="205" w:lineRule="exact"/>
              <w:rPr>
                <w:sz w:val="20"/>
                <w:szCs w:val="20"/>
                <w:color w:val="auto"/>
              </w:rPr>
            </w:pPr>
            <w:r>
              <w:rPr>
                <w:rFonts w:ascii="Arial" w:cs="Arial" w:eastAsia="Arial" w:hAnsi="Arial"/>
                <w:sz w:val="18"/>
                <w:szCs w:val="18"/>
                <w:color w:val="auto"/>
              </w:rPr>
              <w:t>New business development activities</w:t>
            </w:r>
          </w:p>
        </w:tc>
        <w:tc>
          <w:tcPr>
            <w:tcW w:w="440" w:type="dxa"/>
            <w:vAlign w:val="bottom"/>
          </w:tcPr>
          <w:p>
            <w:pPr>
              <w:spacing w:after="0"/>
              <w:rPr>
                <w:sz w:val="17"/>
                <w:szCs w:val="17"/>
                <w:color w:val="auto"/>
              </w:rPr>
            </w:pPr>
          </w:p>
        </w:tc>
        <w:tc>
          <w:tcPr>
            <w:tcW w:w="54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4"/>
              </w:rPr>
              <w:t>51,444</w:t>
            </w:r>
          </w:p>
        </w:tc>
        <w:tc>
          <w:tcPr>
            <w:tcW w:w="16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37,505</w:t>
            </w:r>
          </w:p>
        </w:tc>
        <w:tc>
          <w:tcPr>
            <w:tcW w:w="14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49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$368,103</w:t>
            </w:r>
          </w:p>
        </w:tc>
        <w:tc>
          <w:tcPr>
            <w:tcW w:w="1620" w:type="dxa"/>
            <w:vAlign w:val="bottom"/>
            <w:gridSpan w:val="6"/>
          </w:tcPr>
          <w:p>
            <w:pPr>
              <w:jc w:val="right"/>
              <w:spacing w:after="0"/>
              <w:rPr>
                <w:sz w:val="20"/>
                <w:szCs w:val="20"/>
                <w:color w:val="auto"/>
              </w:rPr>
            </w:pPr>
            <w:r>
              <w:rPr>
                <w:rFonts w:ascii="Arial" w:cs="Arial" w:eastAsia="Arial" w:hAnsi="Arial"/>
                <w:sz w:val="18"/>
                <w:szCs w:val="18"/>
                <w:color w:val="auto"/>
              </w:rPr>
              <w:t>$240,261</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r>
      <w:tr>
        <w:trPr>
          <w:trHeight w:val="120"/>
        </w:trPr>
        <w:tc>
          <w:tcPr>
            <w:tcW w:w="498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8"/>
        </w:trPr>
        <w:tc>
          <w:tcPr>
            <w:tcW w:w="5180" w:type="dxa"/>
            <w:vAlign w:val="bottom"/>
            <w:gridSpan w:val="3"/>
          </w:tcPr>
          <w:p>
            <w:pPr>
              <w:ind w:left="240"/>
              <w:spacing w:after="0"/>
              <w:rPr>
                <w:sz w:val="20"/>
                <w:szCs w:val="20"/>
                <w:color w:val="auto"/>
              </w:rPr>
            </w:pPr>
            <w:r>
              <w:rPr>
                <w:rFonts w:ascii="Arial" w:cs="Arial" w:eastAsia="Arial" w:hAnsi="Arial"/>
                <w:sz w:val="18"/>
                <w:szCs w:val="18"/>
                <w:color w:val="auto"/>
              </w:rPr>
              <w:t>Test prep and professional training</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31,104</w:t>
            </w:r>
          </w:p>
        </w:tc>
        <w:tc>
          <w:tcPr>
            <w:tcW w:w="62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$ 20,191</w:t>
            </w:r>
          </w:p>
        </w:tc>
        <w:tc>
          <w:tcPr>
            <w:tcW w:w="420" w:type="dxa"/>
            <w:vAlign w:val="bottom"/>
          </w:tcPr>
          <w:p>
            <w:pPr>
              <w:spacing w:after="0"/>
              <w:rPr>
                <w:sz w:val="24"/>
                <w:szCs w:val="24"/>
                <w:color w:val="auto"/>
              </w:rPr>
            </w:pPr>
          </w:p>
        </w:tc>
        <w:tc>
          <w:tcPr>
            <w:tcW w:w="960" w:type="dxa"/>
            <w:vAlign w:val="bottom"/>
            <w:gridSpan w:val="2"/>
          </w:tcPr>
          <w:p>
            <w:pPr>
              <w:jc w:val="center"/>
              <w:ind w:left="592"/>
              <w:spacing w:after="0"/>
              <w:rPr>
                <w:sz w:val="20"/>
                <w:szCs w:val="20"/>
                <w:color w:val="auto"/>
              </w:rPr>
            </w:pPr>
            <w:r>
              <w:rPr>
                <w:rFonts w:ascii="Arial" w:cs="Arial" w:eastAsia="Arial" w:hAnsi="Arial"/>
                <w:sz w:val="18"/>
                <w:szCs w:val="18"/>
                <w:color w:val="auto"/>
                <w:w w:val="91"/>
              </w:rPr>
              <w:t>+54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180" w:type="dxa"/>
            <w:vAlign w:val="bottom"/>
            <w:gridSpan w:val="3"/>
          </w:tcPr>
          <w:p>
            <w:pPr>
              <w:ind w:left="260"/>
              <w:spacing w:after="0"/>
              <w:rPr>
                <w:sz w:val="20"/>
                <w:szCs w:val="20"/>
                <w:color w:val="auto"/>
              </w:rPr>
            </w:pPr>
            <w:r>
              <w:rPr>
                <w:rFonts w:ascii="Arial" w:cs="Arial" w:eastAsia="Arial" w:hAnsi="Arial"/>
                <w:sz w:val="18"/>
                <w:szCs w:val="18"/>
                <w:color w:val="auto"/>
              </w:rPr>
              <w:t>Quest post-secondary education*</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11,241</w:t>
            </w:r>
          </w:p>
        </w:tc>
        <w:tc>
          <w:tcPr>
            <w:tcW w:w="6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180" w:type="dxa"/>
            <w:vAlign w:val="bottom"/>
            <w:gridSpan w:val="3"/>
          </w:tcPr>
          <w:p>
            <w:pPr>
              <w:ind w:left="260"/>
              <w:spacing w:after="0"/>
              <w:rPr>
                <w:sz w:val="20"/>
                <w:szCs w:val="20"/>
                <w:color w:val="auto"/>
              </w:rPr>
            </w:pPr>
            <w:r>
              <w:rPr>
                <w:rFonts w:ascii="Arial" w:cs="Arial" w:eastAsia="Arial" w:hAnsi="Arial"/>
                <w:sz w:val="18"/>
                <w:szCs w:val="18"/>
                <w:color w:val="auto"/>
              </w:rPr>
              <w:t>New business development activities</w:t>
            </w:r>
          </w:p>
        </w:tc>
        <w:tc>
          <w:tcPr>
            <w:tcW w:w="1420" w:type="dxa"/>
            <w:vAlign w:val="bottom"/>
            <w:gridSpan w:val="4"/>
          </w:tcPr>
          <w:p>
            <w:pPr>
              <w:jc w:val="right"/>
              <w:ind w:right="580"/>
              <w:spacing w:after="0"/>
              <w:rPr>
                <w:sz w:val="20"/>
                <w:szCs w:val="20"/>
                <w:color w:val="auto"/>
              </w:rPr>
            </w:pPr>
            <w:r>
              <w:rPr>
                <w:rFonts w:ascii="Arial" w:cs="Arial" w:eastAsia="Arial" w:hAnsi="Arial"/>
                <w:sz w:val="18"/>
                <w:szCs w:val="18"/>
                <w:color w:val="auto"/>
              </w:rPr>
              <w:t>(18,202)</w:t>
            </w:r>
          </w:p>
        </w:tc>
        <w:tc>
          <w:tcPr>
            <w:tcW w:w="1420" w:type="dxa"/>
            <w:vAlign w:val="bottom"/>
            <w:gridSpan w:val="4"/>
          </w:tcPr>
          <w:p>
            <w:pPr>
              <w:jc w:val="right"/>
              <w:ind w:right="400"/>
              <w:spacing w:after="0"/>
              <w:rPr>
                <w:sz w:val="20"/>
                <w:szCs w:val="20"/>
                <w:color w:val="auto"/>
              </w:rPr>
            </w:pPr>
            <w:r>
              <w:rPr>
                <w:rFonts w:ascii="Arial" w:cs="Arial" w:eastAsia="Arial" w:hAnsi="Arial"/>
                <w:sz w:val="18"/>
                <w:szCs w:val="18"/>
                <w:color w:val="auto"/>
              </w:rPr>
              <w:t>(37,273)</w:t>
            </w:r>
          </w:p>
        </w:tc>
        <w:tc>
          <w:tcPr>
            <w:tcW w:w="960" w:type="dxa"/>
            <w:vAlign w:val="bottom"/>
            <w:gridSpan w:val="2"/>
          </w:tcPr>
          <w:p>
            <w:pPr>
              <w:jc w:val="center"/>
              <w:ind w:left="592"/>
              <w:spacing w:after="0"/>
              <w:rPr>
                <w:sz w:val="20"/>
                <w:szCs w:val="20"/>
                <w:color w:val="auto"/>
              </w:rPr>
            </w:pPr>
            <w:r>
              <w:rPr>
                <w:rFonts w:ascii="Arial" w:cs="Arial" w:eastAsia="Arial" w:hAnsi="Arial"/>
                <w:sz w:val="18"/>
                <w:szCs w:val="18"/>
                <w:color w:val="auto"/>
                <w:w w:val="91"/>
              </w:rPr>
              <w:t>+51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5180" w:type="dxa"/>
            <w:vAlign w:val="bottom"/>
            <w:gridSpan w:val="3"/>
          </w:tcPr>
          <w:p>
            <w:pPr>
              <w:ind w:left="260"/>
              <w:spacing w:after="0"/>
              <w:rPr>
                <w:sz w:val="20"/>
                <w:szCs w:val="20"/>
                <w:color w:val="auto"/>
              </w:rPr>
            </w:pPr>
            <w:r>
              <w:rPr>
                <w:rFonts w:ascii="Arial" w:cs="Arial" w:eastAsia="Arial" w:hAnsi="Arial"/>
                <w:sz w:val="18"/>
                <w:szCs w:val="18"/>
                <w:color w:val="auto"/>
              </w:rPr>
              <w:t>Kaplan corporate overhead</w:t>
            </w:r>
          </w:p>
        </w:tc>
        <w:tc>
          <w:tcPr>
            <w:tcW w:w="1420" w:type="dxa"/>
            <w:vAlign w:val="bottom"/>
            <w:gridSpan w:val="4"/>
          </w:tcPr>
          <w:p>
            <w:pPr>
              <w:jc w:val="right"/>
              <w:ind w:right="580"/>
              <w:spacing w:after="0"/>
              <w:rPr>
                <w:sz w:val="20"/>
                <w:szCs w:val="20"/>
                <w:color w:val="auto"/>
              </w:rPr>
            </w:pPr>
            <w:r>
              <w:rPr>
                <w:rFonts w:ascii="Arial" w:cs="Arial" w:eastAsia="Arial" w:hAnsi="Arial"/>
                <w:sz w:val="18"/>
                <w:szCs w:val="18"/>
                <w:color w:val="auto"/>
              </w:rPr>
              <w:t>(14,807)</w:t>
            </w:r>
          </w:p>
        </w:tc>
        <w:tc>
          <w:tcPr>
            <w:tcW w:w="1420" w:type="dxa"/>
            <w:vAlign w:val="bottom"/>
            <w:gridSpan w:val="4"/>
          </w:tcPr>
          <w:p>
            <w:pPr>
              <w:jc w:val="right"/>
              <w:ind w:right="400"/>
              <w:spacing w:after="0"/>
              <w:rPr>
                <w:sz w:val="20"/>
                <w:szCs w:val="20"/>
                <w:color w:val="auto"/>
              </w:rPr>
            </w:pPr>
            <w:r>
              <w:rPr>
                <w:rFonts w:ascii="Arial" w:cs="Arial" w:eastAsia="Arial" w:hAnsi="Arial"/>
                <w:sz w:val="18"/>
                <w:szCs w:val="18"/>
                <w:color w:val="auto"/>
              </w:rPr>
              <w:t>(6,920)</w:t>
            </w:r>
          </w:p>
        </w:tc>
        <w:tc>
          <w:tcPr>
            <w:tcW w:w="1020" w:type="dxa"/>
            <w:vAlign w:val="bottom"/>
            <w:gridSpan w:val="4"/>
          </w:tcPr>
          <w:p>
            <w:pPr>
              <w:jc w:val="center"/>
              <w:ind w:left="532"/>
              <w:spacing w:after="0"/>
              <w:rPr>
                <w:sz w:val="20"/>
                <w:szCs w:val="20"/>
                <w:color w:val="auto"/>
              </w:rPr>
            </w:pPr>
            <w:r>
              <w:rPr>
                <w:rFonts w:ascii="Arial" w:cs="Arial" w:eastAsia="Arial" w:hAnsi="Arial"/>
                <w:sz w:val="18"/>
                <w:szCs w:val="18"/>
                <w:color w:val="auto"/>
                <w:w w:val="95"/>
              </w:rPr>
              <w:t>(114)</w:t>
            </w:r>
          </w:p>
        </w:tc>
      </w:tr>
      <w:tr>
        <w:trPr>
          <w:trHeight w:val="172"/>
        </w:trPr>
        <w:tc>
          <w:tcPr>
            <w:tcW w:w="5180" w:type="dxa"/>
            <w:vAlign w:val="bottom"/>
            <w:gridSpan w:val="3"/>
          </w:tcPr>
          <w:p>
            <w:pPr>
              <w:ind w:left="260"/>
              <w:spacing w:after="0" w:line="172" w:lineRule="exact"/>
              <w:rPr>
                <w:sz w:val="20"/>
                <w:szCs w:val="20"/>
                <w:color w:val="auto"/>
              </w:rPr>
            </w:pPr>
            <w:r>
              <w:rPr>
                <w:rFonts w:ascii="Arial" w:cs="Arial" w:eastAsia="Arial" w:hAnsi="Arial"/>
                <w:sz w:val="18"/>
                <w:szCs w:val="18"/>
                <w:color w:val="auto"/>
              </w:rPr>
              <w:t>Other**</w:t>
            </w:r>
          </w:p>
        </w:tc>
        <w:tc>
          <w:tcPr>
            <w:tcW w:w="1420" w:type="dxa"/>
            <w:vAlign w:val="bottom"/>
            <w:gridSpan w:val="4"/>
          </w:tcPr>
          <w:p>
            <w:pPr>
              <w:jc w:val="right"/>
              <w:ind w:right="580"/>
              <w:spacing w:after="0" w:line="172" w:lineRule="exact"/>
              <w:rPr>
                <w:sz w:val="20"/>
                <w:szCs w:val="20"/>
                <w:color w:val="auto"/>
              </w:rPr>
            </w:pPr>
            <w:r>
              <w:rPr>
                <w:rFonts w:ascii="Arial" w:cs="Arial" w:eastAsia="Arial" w:hAnsi="Arial"/>
                <w:sz w:val="18"/>
                <w:szCs w:val="18"/>
                <w:color w:val="auto"/>
              </w:rPr>
              <w:t>(30,330)</w:t>
            </w:r>
          </w:p>
        </w:tc>
        <w:tc>
          <w:tcPr>
            <w:tcW w:w="1420" w:type="dxa"/>
            <w:vAlign w:val="bottom"/>
            <w:gridSpan w:val="4"/>
          </w:tcPr>
          <w:p>
            <w:pPr>
              <w:jc w:val="right"/>
              <w:ind w:right="400"/>
              <w:spacing w:after="0" w:line="172" w:lineRule="exact"/>
              <w:rPr>
                <w:sz w:val="20"/>
                <w:szCs w:val="20"/>
                <w:color w:val="auto"/>
              </w:rPr>
            </w:pPr>
            <w:r>
              <w:rPr>
                <w:rFonts w:ascii="Arial" w:cs="Arial" w:eastAsia="Arial" w:hAnsi="Arial"/>
                <w:sz w:val="18"/>
                <w:szCs w:val="18"/>
                <w:color w:val="auto"/>
              </w:rPr>
              <w:t>(10,864)</w:t>
            </w:r>
          </w:p>
        </w:tc>
        <w:tc>
          <w:tcPr>
            <w:tcW w:w="1020" w:type="dxa"/>
            <w:vAlign w:val="bottom"/>
            <w:gridSpan w:val="4"/>
          </w:tcPr>
          <w:p>
            <w:pPr>
              <w:jc w:val="center"/>
              <w:ind w:left="532"/>
              <w:spacing w:after="0" w:line="172" w:lineRule="exact"/>
              <w:rPr>
                <w:sz w:val="20"/>
                <w:szCs w:val="20"/>
                <w:color w:val="auto"/>
              </w:rPr>
            </w:pPr>
            <w:r>
              <w:rPr>
                <w:rFonts w:ascii="Arial" w:cs="Arial" w:eastAsia="Arial" w:hAnsi="Arial"/>
                <w:sz w:val="18"/>
                <w:szCs w:val="18"/>
                <w:color w:val="auto"/>
                <w:w w:val="95"/>
              </w:rPr>
              <w:t>(179)</w:t>
            </w:r>
          </w:p>
        </w:tc>
      </w:tr>
      <w:tr>
        <w:trPr>
          <w:trHeight w:val="20"/>
        </w:trPr>
        <w:tc>
          <w:tcPr>
            <w:tcW w:w="5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1"/>
        </w:trPr>
        <w:tc>
          <w:tcPr>
            <w:tcW w:w="5180" w:type="dxa"/>
            <w:vAlign w:val="bottom"/>
            <w:gridSpan w:val="3"/>
          </w:tcPr>
          <w:p>
            <w:pPr>
              <w:ind w:left="508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580"/>
              <w:spacing w:after="0"/>
              <w:rPr>
                <w:sz w:val="20"/>
                <w:szCs w:val="20"/>
                <w:color w:val="auto"/>
              </w:rPr>
            </w:pPr>
            <w:r>
              <w:rPr>
                <w:rFonts w:ascii="Arial" w:cs="Arial" w:eastAsia="Arial" w:hAnsi="Arial"/>
                <w:sz w:val="18"/>
                <w:szCs w:val="18"/>
                <w:color w:val="auto"/>
              </w:rPr>
              <w:t>(20,994)</w:t>
            </w:r>
          </w:p>
        </w:tc>
        <w:tc>
          <w:tcPr>
            <w:tcW w:w="1420" w:type="dxa"/>
            <w:vAlign w:val="bottom"/>
            <w:gridSpan w:val="4"/>
          </w:tcPr>
          <w:p>
            <w:pPr>
              <w:jc w:val="right"/>
              <w:ind w:right="400"/>
              <w:spacing w:after="0"/>
              <w:rPr>
                <w:sz w:val="20"/>
                <w:szCs w:val="20"/>
                <w:color w:val="auto"/>
              </w:rPr>
            </w:pPr>
            <w:r>
              <w:rPr>
                <w:rFonts w:ascii="Arial" w:cs="Arial" w:eastAsia="Arial" w:hAnsi="Arial"/>
                <w:sz w:val="18"/>
                <w:szCs w:val="18"/>
                <w:color w:val="auto"/>
              </w:rPr>
              <w:t>$ (32,650)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20"/>
        </w:trPr>
        <w:tc>
          <w:tcPr>
            <w:tcW w:w="19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*Quest was acquired in August 2000, therefore, 2000 results only include 2 months of activity for the year-to-date.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charges accrued for stock-based incentive compensation and amortization of goodwill and other intangibles.</w:t>
      </w:r>
    </w:p>
    <w:p>
      <w:pPr>
        <w:spacing w:after="0" w:line="20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improvement in test preparation and professional training results for the first nine months of 2001 is due mostly to higher enrollments, and to a lesser extent higher rates, at Kaplan's traditional test preparation business (particularly the GMAT and the LSAT prep course), and higher revenues and profits from Kaplan's CFA and real estate exam preparation services.</w:t>
      </w:r>
    </w:p>
    <w:p>
      <w:pPr>
        <w:spacing w:after="0" w:line="20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increase in new business development revenue is due mostly to Score!, with both increased enrollment from new learning centers opened and rate increases implemented in early 2001. The decline in new business development operating losses is due to improved operating performance of Score! and significantly reduced spending for eScore.com.</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Growth in Kaplan's corporate overhead is mostly due to increased expenses associated with the design and development of educational software that, if successfully completed, will benefit all of Kaplan's business units. The increase in other expense is due to higher stock-based compensation accruals, with the increase in such accruals largely due to an increase in Kaplan's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Equity in Losses of Affiliates</w:t>
      </w:r>
      <w:r>
        <w:rPr>
          <w:rFonts w:ascii="Arial" w:cs="Arial" w:eastAsia="Arial" w:hAnsi="Arial"/>
          <w:sz w:val="18"/>
          <w:szCs w:val="18"/>
          <w:color w:val="auto"/>
        </w:rPr>
        <w:t>. For the first nine months of 2001, the company's equity in losses of affiliates totaled $24.6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of $29.7 million for the same period in 2000.</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BrassRing accounted for approximately $30.6 million of the 2001 equity losses, compared to $28.1 million in equity losses for the same period of 2000.</w:t>
      </w:r>
    </w:p>
    <w:p>
      <w:pPr>
        <w:spacing w:after="0" w:line="18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Non-Operating Items</w:t>
      </w:r>
      <w:r>
        <w:rPr>
          <w:rFonts w:ascii="Arial" w:cs="Arial" w:eastAsia="Arial" w:hAnsi="Arial"/>
          <w:sz w:val="18"/>
          <w:szCs w:val="18"/>
          <w:color w:val="auto"/>
        </w:rPr>
        <w:t>. The company recorded other non-operating income, net, of $272.7 million for the first nine months of 2001,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expense, net, of $5.2 million for the same period of 2000. The 2001 non-operating income is comprised mostly of gains arising from the sale and exchange of certain cable systems completed in January and March 2001. Offsetting these gains were losses from the write-down of a non-operating parcel of land and certain investments to their estimated fair value.</w:t>
      </w:r>
    </w:p>
    <w:p>
      <w:pPr>
        <w:spacing w:after="0" w:line="18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Through the first nine months of 2001, the company incurred net interest expense of $38.1 million, compared to $39.0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of 2000.</w:t>
      </w:r>
    </w:p>
    <w:p>
      <w:pPr>
        <w:spacing w:after="0" w:line="16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The effective tax rate during the first nine months of 2001 was 39.7 percent compared to 43.9 percent in 2000. Excluding the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cable gain transactions, the Company's effective tax rate approximated 47.8 percent for the first nine months of 2001, with the increase in the rate due mostly to the decline in pretax income.</w:t>
      </w:r>
    </w:p>
    <w:p>
      <w:pPr>
        <w:spacing w:after="0" w:line="18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 The calculation of diluted earnings per share for the first nine months of 2001 was based on 9,500,000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outstanding, compared to 9,459,000 for the first nine months of 2000. The company made no significant repurchases of its stock during the first nine months of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Capital Resources and Liquidity</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the first nine months of 2001, the company spent approximately $104.4 million on business acquisitions and exchanges,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principally included the purchase of Southern Maryland Newspapers, a division of Chesapeake Publishing Corporation, and amounts paid as part of a cable system exchange with AT&amp;T Broadband. The Company also acquired a provider of CFA exam preparation services and a company which provides pre-certification training for real estate, insurance and securities professionals.</w:t>
      </w:r>
    </w:p>
    <w:p>
      <w:pPr>
        <w:spacing w:after="0" w:line="20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Southern Maryland Newspapers publishes the Maryland Independent in Charles County, Maryland; the Lexington Park Enterprise in St. Mary's County, Maryland; and the Recorder in Calvert County, Maryland.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acquired newspapers have a combined total paid circulation of approximately 50,000.</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12, 2001, the Company completed the sale of a cable system serving about 15,000 subscribers in Greenwood, Indiana for $61.9 million.</w:t>
      </w:r>
    </w:p>
    <w:p>
      <w:pPr>
        <w:spacing w:after="0" w:line="20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For income tax purposes, a substantial component of the cable system sale and exchange transactions qualify as like-kind exchanges and therefore, a large portion of these transactions do not result in a current tax liability.</w:t>
      </w:r>
    </w:p>
    <w:p>
      <w:pPr>
        <w:sectPr>
          <w:pgSz w:w="11900" w:h="16838" w:orient="portrait"/>
          <w:cols w:equalWidth="0" w:num="1">
            <w:col w:w="11420"/>
          </w:cols>
          <w:pgMar w:left="240" w:top="594" w:right="239" w:bottom="25" w:gutter="0" w:footer="0" w:header="0"/>
        </w:sectPr>
      </w:pPr>
    </w:p>
    <w:bookmarkStart w:id="12" w:name="page13"/>
    <w:bookmarkEnd w:id="12"/>
    <w:p>
      <w:pPr>
        <w:ind w:right="60"/>
        <w:spacing w:after="0" w:line="242" w:lineRule="auto"/>
        <w:rPr>
          <w:sz w:val="20"/>
          <w:szCs w:val="20"/>
          <w:color w:val="auto"/>
        </w:rPr>
      </w:pPr>
      <w:r>
        <w:rPr>
          <w:rFonts w:ascii="Arial" w:cs="Arial" w:eastAsia="Arial" w:hAnsi="Arial"/>
          <w:sz w:val="18"/>
          <w:szCs w:val="18"/>
          <w:b w:val="1"/>
          <w:bCs w:val="1"/>
          <w:color w:val="auto"/>
        </w:rPr>
        <w:t>Capital Expenditures</w:t>
      </w:r>
      <w:r>
        <w:rPr>
          <w:rFonts w:ascii="Arial" w:cs="Arial" w:eastAsia="Arial" w:hAnsi="Arial"/>
          <w:sz w:val="18"/>
          <w:szCs w:val="18"/>
          <w:color w:val="auto"/>
        </w:rPr>
        <w:t>. During the first nine months of 2001, the company's capital expenditures totaled approximately $167.5 million,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which related to plant upgrades at the company's cable subsidiary. The company anticipates it will spend approximately $233 million throughout 2001 for property and equipment. Approximately two-thirds of this spending is earmarked for the cable division in connection with the rollout of new digital and cable modem services. If the rate of customer acceptance for these new services is slower than anticipated, then the Company will consider slowing its capital expenditures in this area to a level consistent with demand.</w:t>
      </w:r>
    </w:p>
    <w:p>
      <w:pPr>
        <w:spacing w:after="0" w:line="185"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color w:val="auto"/>
        </w:rPr>
        <w:t>Liquidity</w:t>
      </w:r>
      <w:r>
        <w:rPr>
          <w:rFonts w:ascii="Arial" w:cs="Arial" w:eastAsia="Arial" w:hAnsi="Arial"/>
          <w:sz w:val="18"/>
          <w:szCs w:val="18"/>
          <w:color w:val="auto"/>
        </w:rPr>
        <w:t>. Throughout the first nine months of 2001 the Company's borrowings, net of repayments, increased by $47.8 million, with the net</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primarily due to amounts spent for acquisitions and capital improvements.</w:t>
      </w:r>
    </w:p>
    <w:p>
      <w:pPr>
        <w:spacing w:after="0" w:line="18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At September 30, 2001, the Company had $971.1 million in total debt outstanding, which was comprised of $573.0 million of commercial paper borrowings and $398.1 million of 5.5 percent unsecured notes due February 15, 2009. The Company has classified $523.0 million of its commercial paper borrowings as long-term debt in it Condensed Consolidated Balance Sheets as the Company has the ability and intent to finance such borrowings on a long-term basis.</w:t>
      </w:r>
    </w:p>
    <w:p>
      <w:pPr>
        <w:spacing w:after="0" w:line="2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During the first nine months of 2001, the company had average borrowings outstanding of approximately $973.4 million at an average annual interest rate of 5.1 percent.</w:t>
      </w:r>
    </w:p>
    <w:p>
      <w:pPr>
        <w:spacing w:after="0" w:line="20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public statements made by the company and its representatives which are not statements of historical fact, including certain statements in this quarterly report, are "forward-looking statements" within the meaning of the Private Securities Litigation Reform Act of 1995. Forward-looking statements are subject to certain risks and uncertainties that could cause actual results and achievements to differ materially from those expressed in the forward-looking statements. These risks and uncertainties include: changes in prevailing economic conditions, particularly in the specific geographic and other markets served by the company; actions of competitors; changes in customer preferences; changes in communications and broadcast technologies; and the effects of changing cost or availability of raw materials, including changes in the cost or availability of newsprint and magazine body paper. They also include other risks detailed from time to time in the company's publicly-filed documents, including the company's Annual Report on Form 10-K for the period ended December 31,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 and Reports on Form 8-K</w:t>
      </w:r>
      <w:r>
        <w:rPr>
          <w:rFonts w:ascii="Arial" w:cs="Arial" w:eastAsia="Arial" w:hAnsi="Arial"/>
          <w:sz w:val="18"/>
          <w:szCs w:val="18"/>
          <w:b w:val="1"/>
          <w:bCs w:val="1"/>
          <w:color w:val="auto"/>
        </w:rPr>
        <w:t>.</w:t>
      </w:r>
    </w:p>
    <w:p>
      <w:pPr>
        <w:spacing w:after="0" w:line="23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exhibits to this report:</w:t>
      </w:r>
    </w:p>
    <w:p>
      <w:pPr>
        <w:ind w:left="260"/>
        <w:spacing w:after="0" w:line="223" w:lineRule="auto"/>
        <w:tabs>
          <w:tab w:leader="none" w:pos="1320" w:val="left"/>
        </w:tabs>
        <w:rPr>
          <w:sz w:val="20"/>
          <w:szCs w:val="20"/>
          <w:color w:val="auto"/>
        </w:rPr>
      </w:pPr>
      <w:r>
        <w:rPr>
          <w:rFonts w:ascii="Arial" w:cs="Arial" w:eastAsia="Arial" w:hAnsi="Arial"/>
          <w:sz w:val="27"/>
          <w:szCs w:val="27"/>
          <w:b w:val="1"/>
          <w:bCs w:val="1"/>
          <w:color w:val="auto"/>
          <w:vertAlign w:val="superscript"/>
        </w:rPr>
        <w:t>Exhibit</w:t>
      </w:r>
      <w:r>
        <w:rPr>
          <w:sz w:val="20"/>
          <w:szCs w:val="20"/>
          <w:color w:val="auto"/>
        </w:rPr>
        <w:tab/>
      </w:r>
      <w:r>
        <w:rPr>
          <w:rFonts w:ascii="Arial" w:cs="Arial" w:eastAsia="Arial" w:hAnsi="Arial"/>
          <w:sz w:val="14"/>
          <w:szCs w:val="14"/>
          <w:b w:val="1"/>
          <w:bCs w:val="1"/>
          <w:color w:val="auto"/>
        </w:rPr>
        <w:t>Description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35" w:lineRule="exact"/>
        <w:rPr>
          <w:sz w:val="20"/>
          <w:szCs w:val="20"/>
          <w:color w:val="auto"/>
        </w:rPr>
      </w:pPr>
    </w:p>
    <w:p>
      <w:pPr>
        <w:ind w:left="1340" w:right="2420" w:hanging="797"/>
        <w:spacing w:after="0" w:line="237" w:lineRule="auto"/>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236" w:lineRule="exact"/>
        <w:rPr>
          <w:sz w:val="20"/>
          <w:szCs w:val="20"/>
          <w:color w:val="auto"/>
        </w:rPr>
      </w:pPr>
    </w:p>
    <w:p>
      <w:pPr>
        <w:ind w:left="1340" w:right="2620" w:hanging="797"/>
        <w:spacing w:after="0" w:line="238" w:lineRule="auto"/>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the Company as amended through September 9, 1993 (incorporated by reference to Exhibit 3 to the Company’s Quarterly Report on Form 10-Q for the quarter ended October 3, 1993).</w:t>
      </w:r>
    </w:p>
    <w:p>
      <w:pPr>
        <w:spacing w:after="0" w:line="235" w:lineRule="exact"/>
        <w:rPr>
          <w:sz w:val="20"/>
          <w:szCs w:val="20"/>
          <w:color w:val="auto"/>
        </w:rPr>
      </w:pPr>
    </w:p>
    <w:p>
      <w:pPr>
        <w:ind w:left="1340" w:right="2520" w:hanging="797"/>
        <w:spacing w:after="0" w:line="281" w:lineRule="auto"/>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205" w:lineRule="exact"/>
        <w:rPr>
          <w:sz w:val="20"/>
          <w:szCs w:val="20"/>
          <w:color w:val="auto"/>
        </w:rPr>
      </w:pPr>
    </w:p>
    <w:p>
      <w:pPr>
        <w:ind w:left="1340" w:right="2480" w:hanging="797"/>
        <w:spacing w:after="0" w:line="237" w:lineRule="auto"/>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236" w:lineRule="exact"/>
        <w:rPr>
          <w:sz w:val="20"/>
          <w:szCs w:val="20"/>
          <w:color w:val="auto"/>
        </w:rPr>
      </w:pPr>
    </w:p>
    <w:p>
      <w:pPr>
        <w:ind w:left="1340" w:right="2520" w:hanging="797"/>
        <w:spacing w:after="0" w:line="238" w:lineRule="auto"/>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235" w:lineRule="exact"/>
        <w:rPr>
          <w:sz w:val="20"/>
          <w:szCs w:val="20"/>
          <w:color w:val="auto"/>
        </w:rPr>
      </w:pPr>
    </w:p>
    <w:p>
      <w:pPr>
        <w:ind w:left="1340" w:right="2540" w:hanging="797"/>
        <w:spacing w:after="0" w:line="238" w:lineRule="auto"/>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364-Day Credit Agreement dated as of September 20, 2000, among the company, Citibank, N.A., SunTrust Bank and The Chase Manhattan Bank (incorporated by reference to Exhibit 4.4 to the Company's Quarterly Report on Form 10-Q for the quarter ended October 1, 2000).</w:t>
      </w:r>
    </w:p>
    <w:p>
      <w:pPr>
        <w:spacing w:after="0" w:line="235" w:lineRule="exact"/>
        <w:rPr>
          <w:sz w:val="20"/>
          <w:szCs w:val="20"/>
          <w:color w:val="auto"/>
        </w:rPr>
      </w:pPr>
    </w:p>
    <w:p>
      <w:pPr>
        <w:ind w:left="1340" w:right="3000" w:hanging="797"/>
        <w:spacing w:after="0" w:line="238" w:lineRule="auto"/>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Amendment dated as of September 19, 2001, to the 364-Day Credit Agreement dated as of September 20, 2000, among the Company, Citibank, N.A., SunTrust Bank and The Chase Manhattan Bank.</w:t>
      </w:r>
    </w:p>
    <w:p>
      <w:pPr>
        <w:spacing w:after="0" w:line="235" w:lineRule="exact"/>
        <w:rPr>
          <w:sz w:val="20"/>
          <w:szCs w:val="20"/>
          <w:color w:val="auto"/>
        </w:rPr>
      </w:pPr>
    </w:p>
    <w:p>
      <w:pPr>
        <w:ind w:left="1340" w:right="2600" w:hanging="894"/>
        <w:spacing w:after="0" w:line="238" w:lineRule="auto"/>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Washington Post Company Stock Option Plan as amended and restated effective March 12, 1998 (corrected copy) (incorporated by reference to Exhibit 10.1 to the Company's Quarterly Report on Form 10-Q for the quarter ended April 1, 2001).</w:t>
      </w:r>
    </w:p>
    <w:p>
      <w:pPr>
        <w:sectPr>
          <w:pgSz w:w="11900" w:h="16838" w:orient="portrait"/>
          <w:cols w:equalWidth="0" w:num="1">
            <w:col w:w="11420"/>
          </w:cols>
          <w:pgMar w:left="240" w:top="121" w:right="239" w:bottom="0" w:gutter="0" w:footer="0" w:header="0"/>
        </w:sectPr>
      </w:pPr>
    </w:p>
    <w:bookmarkStart w:id="13" w:name="page14"/>
    <w:bookmarkEnd w:id="13"/>
    <w:p>
      <w:pPr>
        <w:ind w:left="1340" w:hanging="757"/>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of Earnings per Share of Common Stock.</w:t>
      </w:r>
    </w:p>
    <w:p>
      <w:pPr>
        <w:spacing w:after="0" w:line="279" w:lineRule="exact"/>
        <w:rPr>
          <w:rFonts w:ascii="Arial" w:cs="Arial" w:eastAsia="Arial" w:hAnsi="Arial"/>
          <w:sz w:val="18"/>
          <w:szCs w:val="18"/>
          <w:color w:val="auto"/>
        </w:rPr>
      </w:pPr>
    </w:p>
    <w:p>
      <w:pPr>
        <w:ind w:left="1700" w:hanging="368"/>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 reports on Form 8-K were filed during the period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SIGNATURES</w:t>
      </w:r>
    </w:p>
    <w:p>
      <w:pPr>
        <w:spacing w:after="0" w:line="45" w:lineRule="exact"/>
        <w:rPr>
          <w:sz w:val="20"/>
          <w:szCs w:val="20"/>
          <w:color w:val="auto"/>
        </w:rPr>
      </w:pPr>
    </w:p>
    <w:p>
      <w:pPr>
        <w:ind w:right="1800"/>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THE WASHINGTON POST COMPANY</w:t>
      </w:r>
    </w:p>
    <w:p>
      <w:pPr>
        <w:ind w:left="6120"/>
        <w:spacing w:after="0"/>
        <w:rPr>
          <w:sz w:val="20"/>
          <w:szCs w:val="20"/>
          <w:color w:val="auto"/>
        </w:rPr>
      </w:pPr>
      <w:r>
        <w:rPr>
          <w:rFonts w:ascii="Arial" w:cs="Arial" w:eastAsia="Arial" w:hAnsi="Arial"/>
          <w:sz w:val="14"/>
          <w:szCs w:val="14"/>
          <w:color w:val="auto"/>
        </w:rPr>
        <w:t>(Registrant)</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2001</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80645</wp:posOffset>
            </wp:positionV>
            <wp:extent cx="57543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Donald E. Graham, Chairman &amp; Chief Executive Officer</w:t>
      </w:r>
    </w:p>
    <w:p>
      <w:pPr>
        <w:ind w:left="564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9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9, 2001</w:t>
      </w:r>
      <w:r>
        <w:rPr>
          <w:sz w:val="20"/>
          <w:szCs w:val="20"/>
          <w:color w:val="auto"/>
        </w:rPr>
        <w:tab/>
      </w:r>
      <w:r>
        <w:rPr>
          <w:rFonts w:ascii="Arial" w:cs="Arial" w:eastAsia="Arial" w:hAnsi="Arial"/>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80645</wp:posOffset>
            </wp:positionV>
            <wp:extent cx="57543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7"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John B. Morse, Jr., Vice President-Finance</w:t>
      </w:r>
    </w:p>
    <w:p>
      <w:pPr>
        <w:ind w:left="566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420"/>
          </w:cols>
          <w:pgMar w:left="240" w:top="14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3"/>
        </w:trPr>
        <w:tc>
          <w:tcPr>
            <w:tcW w:w="3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rPr>
              <w:t>Exhibit 11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8000" w:type="dxa"/>
            <w:vAlign w:val="bottom"/>
            <w:gridSpan w:val="19"/>
          </w:tcPr>
          <w:p>
            <w:pPr>
              <w:ind w:left="2160"/>
              <w:spacing w:after="0"/>
              <w:rPr>
                <w:sz w:val="20"/>
                <w:szCs w:val="20"/>
                <w:color w:val="auto"/>
              </w:rPr>
            </w:pPr>
            <w:r>
              <w:rPr>
                <w:rFonts w:ascii="Arial" w:cs="Arial" w:eastAsia="Arial" w:hAnsi="Arial"/>
                <w:sz w:val="18"/>
                <w:szCs w:val="18"/>
                <w:b w:val="1"/>
                <w:bCs w:val="1"/>
                <w:color w:val="auto"/>
              </w:rPr>
              <w:t>CALCULATION OF EARNINGS PER SHARE OF 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gridSpan w:val="8"/>
          </w:tcPr>
          <w:p>
            <w:pPr>
              <w:spacing w:after="0"/>
              <w:rPr>
                <w:sz w:val="20"/>
                <w:szCs w:val="20"/>
                <w:color w:val="auto"/>
              </w:rPr>
            </w:pPr>
            <w:r>
              <w:rPr>
                <w:rFonts w:ascii="Arial" w:cs="Arial" w:eastAsia="Arial" w:hAnsi="Arial"/>
                <w:sz w:val="18"/>
                <w:szCs w:val="18"/>
                <w:color w:val="auto"/>
                <w:w w:val="96"/>
              </w:rPr>
              <w:t>Thirteen Weeks Ended</w:t>
            </w:r>
          </w:p>
        </w:tc>
        <w:tc>
          <w:tcPr>
            <w:tcW w:w="1160" w:type="dxa"/>
            <w:vAlign w:val="bottom"/>
            <w:gridSpan w:val="6"/>
          </w:tcPr>
          <w:p>
            <w:pPr>
              <w:spacing w:after="0"/>
              <w:rPr>
                <w:sz w:val="24"/>
                <w:szCs w:val="24"/>
                <w:color w:val="auto"/>
              </w:rPr>
            </w:pPr>
          </w:p>
        </w:tc>
        <w:tc>
          <w:tcPr>
            <w:tcW w:w="2480" w:type="dxa"/>
            <w:vAlign w:val="bottom"/>
            <w:gridSpan w:val="11"/>
          </w:tcPr>
          <w:p>
            <w:pPr>
              <w:jc w:val="right"/>
              <w:ind w:right="520"/>
              <w:spacing w:after="0"/>
              <w:rPr>
                <w:sz w:val="20"/>
                <w:szCs w:val="20"/>
                <w:color w:val="auto"/>
              </w:rPr>
            </w:pPr>
            <w:r>
              <w:rPr>
                <w:rFonts w:ascii="Arial" w:cs="Arial" w:eastAsia="Arial" w:hAnsi="Arial"/>
                <w:sz w:val="18"/>
                <w:szCs w:val="18"/>
                <w:color w:val="auto"/>
                <w:w w:val="95"/>
              </w:rPr>
              <w:t>Thirty-nine Weeks Ended</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40" w:type="dxa"/>
            <w:vAlign w:val="bottom"/>
          </w:tcPr>
          <w:p>
            <w:pPr>
              <w:spacing w:after="0"/>
              <w:rPr>
                <w:sz w:val="19"/>
                <w:szCs w:val="19"/>
                <w:color w:val="auto"/>
              </w:rPr>
            </w:pPr>
          </w:p>
        </w:tc>
        <w:tc>
          <w:tcPr>
            <w:tcW w:w="2300" w:type="dxa"/>
            <w:vAlign w:val="bottom"/>
            <w:gridSpan w:val="8"/>
          </w:tcPr>
          <w:p>
            <w:pPr>
              <w:jc w:val="right"/>
              <w:ind w:right="280"/>
              <w:spacing w:after="0"/>
              <w:rPr>
                <w:sz w:val="20"/>
                <w:szCs w:val="20"/>
                <w:color w:val="auto"/>
              </w:rPr>
            </w:pPr>
            <w:r>
              <w:rPr>
                <w:rFonts w:ascii="Arial" w:cs="Arial" w:eastAsia="Arial" w:hAnsi="Arial"/>
                <w:sz w:val="18"/>
                <w:szCs w:val="18"/>
                <w:color w:val="auto"/>
              </w:rPr>
              <w:t>September 30,</w:t>
            </w:r>
          </w:p>
        </w:tc>
        <w:tc>
          <w:tcPr>
            <w:tcW w:w="1620" w:type="dxa"/>
            <w:vAlign w:val="bottom"/>
            <w:gridSpan w:val="7"/>
          </w:tcPr>
          <w:p>
            <w:pPr>
              <w:jc w:val="right"/>
              <w:ind w:right="520"/>
              <w:spacing w:after="0"/>
              <w:rPr>
                <w:sz w:val="20"/>
                <w:szCs w:val="20"/>
                <w:color w:val="auto"/>
              </w:rPr>
            </w:pPr>
            <w:r>
              <w:rPr>
                <w:rFonts w:ascii="Arial" w:cs="Arial" w:eastAsia="Arial" w:hAnsi="Arial"/>
                <w:sz w:val="18"/>
                <w:szCs w:val="18"/>
                <w:color w:val="auto"/>
              </w:rPr>
              <w:t>October 1,</w:t>
            </w:r>
          </w:p>
        </w:tc>
        <w:tc>
          <w:tcPr>
            <w:tcW w:w="1420" w:type="dxa"/>
            <w:vAlign w:val="bottom"/>
            <w:gridSpan w:val="7"/>
          </w:tcPr>
          <w:p>
            <w:pPr>
              <w:jc w:val="center"/>
              <w:ind w:right="200"/>
              <w:spacing w:after="0"/>
              <w:rPr>
                <w:sz w:val="20"/>
                <w:szCs w:val="20"/>
                <w:color w:val="auto"/>
              </w:rPr>
            </w:pPr>
            <w:r>
              <w:rPr>
                <w:rFonts w:ascii="Arial" w:cs="Arial" w:eastAsia="Arial" w:hAnsi="Arial"/>
                <w:sz w:val="18"/>
                <w:szCs w:val="18"/>
                <w:color w:val="auto"/>
                <w:w w:val="96"/>
              </w:rPr>
              <w:t>September 30,</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October 1,</w:t>
            </w: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Arial" w:cs="Arial" w:eastAsia="Arial" w:hAnsi="Arial"/>
                <w:sz w:val="18"/>
                <w:szCs w:val="18"/>
                <w:color w:val="auto"/>
              </w:rPr>
              <w:t>Class A and Class B</w:t>
            </w:r>
          </w:p>
        </w:tc>
        <w:tc>
          <w:tcPr>
            <w:tcW w:w="2020" w:type="dxa"/>
            <w:vAlign w:val="bottom"/>
            <w:gridSpan w:val="7"/>
          </w:tcPr>
          <w:p>
            <w:pPr>
              <w:jc w:val="right"/>
              <w:spacing w:after="0" w:line="172" w:lineRule="exact"/>
              <w:rPr>
                <w:sz w:val="20"/>
                <w:szCs w:val="20"/>
                <w:color w:val="auto"/>
              </w:rPr>
            </w:pPr>
            <w:r>
              <w:rPr>
                <w:rFonts w:ascii="Arial" w:cs="Arial" w:eastAsia="Arial" w:hAnsi="Arial"/>
                <w:sz w:val="18"/>
                <w:szCs w:val="18"/>
                <w:color w:val="auto"/>
              </w:rPr>
              <w:t>2001</w:t>
            </w:r>
          </w:p>
        </w:tc>
        <w:tc>
          <w:tcPr>
            <w:tcW w:w="280" w:type="dxa"/>
            <w:vAlign w:val="bottom"/>
          </w:tcPr>
          <w:p>
            <w:pPr>
              <w:spacing w:after="0"/>
              <w:rPr>
                <w:sz w:val="14"/>
                <w:szCs w:val="14"/>
                <w:color w:val="auto"/>
              </w:rPr>
            </w:pPr>
          </w:p>
        </w:tc>
        <w:tc>
          <w:tcPr>
            <w:tcW w:w="1620" w:type="dxa"/>
            <w:vAlign w:val="bottom"/>
            <w:gridSpan w:val="7"/>
          </w:tcPr>
          <w:p>
            <w:pPr>
              <w:jc w:val="right"/>
              <w:ind w:right="520"/>
              <w:spacing w:after="0" w:line="172" w:lineRule="exact"/>
              <w:rPr>
                <w:sz w:val="20"/>
                <w:szCs w:val="20"/>
                <w:color w:val="auto"/>
              </w:rPr>
            </w:pPr>
            <w:r>
              <w:rPr>
                <w:rFonts w:ascii="Arial" w:cs="Arial" w:eastAsia="Arial" w:hAnsi="Arial"/>
                <w:sz w:val="18"/>
                <w:szCs w:val="18"/>
                <w:color w:val="auto"/>
              </w:rPr>
              <w:t>2000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4"/>
          </w:tcPr>
          <w:p>
            <w:pPr>
              <w:jc w:val="right"/>
              <w:ind w:right="240"/>
              <w:spacing w:after="0" w:line="172" w:lineRule="exact"/>
              <w:rPr>
                <w:sz w:val="20"/>
                <w:szCs w:val="20"/>
                <w:color w:val="auto"/>
              </w:rPr>
            </w:pPr>
            <w:r>
              <w:rPr>
                <w:rFonts w:ascii="Arial" w:cs="Arial" w:eastAsia="Arial" w:hAnsi="Arial"/>
                <w:sz w:val="18"/>
                <w:szCs w:val="18"/>
                <w:color w:val="auto"/>
              </w:rPr>
              <w:t>2001</w:t>
            </w:r>
          </w:p>
        </w:tc>
        <w:tc>
          <w:tcPr>
            <w:tcW w:w="1060" w:type="dxa"/>
            <w:vAlign w:val="bottom"/>
            <w:gridSpan w:val="4"/>
          </w:tcPr>
          <w:p>
            <w:pPr>
              <w:jc w:val="right"/>
              <w:spacing w:after="0" w:line="17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1"/>
        </w:trPr>
        <w:tc>
          <w:tcPr>
            <w:tcW w:w="33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at beginning of</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period</w:t>
            </w:r>
          </w:p>
        </w:tc>
        <w:tc>
          <w:tcPr>
            <w:tcW w:w="2020" w:type="dxa"/>
            <w:vAlign w:val="bottom"/>
            <w:gridSpan w:val="7"/>
          </w:tcPr>
          <w:p>
            <w:pPr>
              <w:jc w:val="right"/>
              <w:spacing w:after="0"/>
              <w:rPr>
                <w:sz w:val="20"/>
                <w:szCs w:val="20"/>
                <w:color w:val="auto"/>
              </w:rPr>
            </w:pPr>
            <w:r>
              <w:rPr>
                <w:rFonts w:ascii="Arial" w:cs="Arial" w:eastAsia="Arial" w:hAnsi="Arial"/>
                <w:sz w:val="18"/>
                <w:szCs w:val="18"/>
                <w:color w:val="auto"/>
              </w:rPr>
              <w:t>9,487</w:t>
            </w:r>
          </w:p>
        </w:tc>
        <w:tc>
          <w:tcPr>
            <w:tcW w:w="2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9,446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9,460</w:t>
            </w:r>
          </w:p>
        </w:tc>
        <w:tc>
          <w:tcPr>
            <w:tcW w:w="2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Issuance of shares of</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Class B common stock</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(weighted), net of</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forfeiture of re-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stricted stock awards</w:t>
            </w:r>
          </w:p>
        </w:tc>
        <w:tc>
          <w:tcPr>
            <w:tcW w:w="2300" w:type="dxa"/>
            <w:vAlign w:val="bottom"/>
            <w:gridSpan w:val="8"/>
          </w:tcPr>
          <w:p>
            <w:pPr>
              <w:jc w:val="right"/>
              <w:ind w:right="280"/>
              <w:spacing w:after="0" w:line="177" w:lineRule="exact"/>
              <w:rPr>
                <w:sz w:val="20"/>
                <w:szCs w:val="20"/>
                <w:color w:val="auto"/>
              </w:rPr>
            </w:pPr>
            <w:r>
              <w:rPr>
                <w:rFonts w:ascii="Arial" w:cs="Arial" w:eastAsia="Arial" w:hAnsi="Arial"/>
                <w:sz w:val="18"/>
                <w:szCs w:val="18"/>
                <w:color w:val="auto"/>
              </w:rPr>
              <w:t>2</w:t>
            </w:r>
          </w:p>
        </w:tc>
        <w:tc>
          <w:tcPr>
            <w:tcW w:w="1620" w:type="dxa"/>
            <w:vAlign w:val="bottom"/>
            <w:gridSpan w:val="7"/>
          </w:tcPr>
          <w:p>
            <w:pPr>
              <w:jc w:val="right"/>
              <w:ind w:right="520"/>
              <w:spacing w:after="0" w:line="177"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tcPr>
          <w:p>
            <w:pPr>
              <w:jc w:val="right"/>
              <w:ind w:right="240"/>
              <w:spacing w:after="0" w:line="177" w:lineRule="exact"/>
              <w:rPr>
                <w:sz w:val="20"/>
                <w:szCs w:val="20"/>
                <w:color w:val="auto"/>
              </w:rPr>
            </w:pPr>
            <w:r>
              <w:rPr>
                <w:rFonts w:ascii="Arial" w:cs="Arial" w:eastAsia="Arial" w:hAnsi="Arial"/>
                <w:sz w:val="18"/>
                <w:szCs w:val="18"/>
                <w:color w:val="auto"/>
              </w:rPr>
              <w:t>24</w:t>
            </w: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Shares used in the computation</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of basic earnings per share</w:t>
            </w:r>
          </w:p>
        </w:tc>
        <w:tc>
          <w:tcPr>
            <w:tcW w:w="2020" w:type="dxa"/>
            <w:vAlign w:val="bottom"/>
            <w:gridSpan w:val="7"/>
          </w:tcPr>
          <w:p>
            <w:pPr>
              <w:jc w:val="right"/>
              <w:spacing w:after="0"/>
              <w:rPr>
                <w:sz w:val="20"/>
                <w:szCs w:val="20"/>
                <w:color w:val="auto"/>
              </w:rPr>
            </w:pPr>
            <w:r>
              <w:rPr>
                <w:rFonts w:ascii="Arial" w:cs="Arial" w:eastAsia="Arial" w:hAnsi="Arial"/>
                <w:sz w:val="18"/>
                <w:szCs w:val="18"/>
                <w:color w:val="auto"/>
              </w:rPr>
              <w:t>9,489</w:t>
            </w:r>
          </w:p>
        </w:tc>
        <w:tc>
          <w:tcPr>
            <w:tcW w:w="2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9,448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9,484</w:t>
            </w:r>
          </w:p>
        </w:tc>
        <w:tc>
          <w:tcPr>
            <w:tcW w:w="2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Adjustment to reflect</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dilution from common stock</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equivalents</w:t>
            </w:r>
          </w:p>
        </w:tc>
        <w:tc>
          <w:tcPr>
            <w:tcW w:w="2300" w:type="dxa"/>
            <w:vAlign w:val="bottom"/>
            <w:gridSpan w:val="8"/>
          </w:tcPr>
          <w:p>
            <w:pPr>
              <w:jc w:val="right"/>
              <w:ind w:right="280"/>
              <w:spacing w:after="0" w:line="177" w:lineRule="exact"/>
              <w:rPr>
                <w:sz w:val="20"/>
                <w:szCs w:val="20"/>
                <w:color w:val="auto"/>
              </w:rPr>
            </w:pPr>
            <w:r>
              <w:rPr>
                <w:rFonts w:ascii="Arial" w:cs="Arial" w:eastAsia="Arial" w:hAnsi="Arial"/>
                <w:sz w:val="18"/>
                <w:szCs w:val="18"/>
                <w:color w:val="auto"/>
              </w:rPr>
              <w:t>13</w:t>
            </w:r>
          </w:p>
        </w:tc>
        <w:tc>
          <w:tcPr>
            <w:tcW w:w="1620" w:type="dxa"/>
            <w:vAlign w:val="bottom"/>
            <w:gridSpan w:val="7"/>
          </w:tcPr>
          <w:p>
            <w:pPr>
              <w:jc w:val="right"/>
              <w:ind w:right="520"/>
              <w:spacing w:after="0" w:line="177" w:lineRule="exact"/>
              <w:rPr>
                <w:sz w:val="20"/>
                <w:szCs w:val="20"/>
                <w:color w:val="auto"/>
              </w:rPr>
            </w:pPr>
            <w:r>
              <w:rPr>
                <w:rFonts w:ascii="Arial" w:cs="Arial" w:eastAsia="Arial" w:hAnsi="Arial"/>
                <w:sz w:val="18"/>
                <w:szCs w:val="18"/>
                <w:color w:val="auto"/>
              </w:rPr>
              <w:t>15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4"/>
          </w:tcPr>
          <w:p>
            <w:pPr>
              <w:jc w:val="right"/>
              <w:ind w:right="240"/>
              <w:spacing w:after="0" w:line="177" w:lineRule="exact"/>
              <w:rPr>
                <w:sz w:val="20"/>
                <w:szCs w:val="20"/>
                <w:color w:val="auto"/>
              </w:rPr>
            </w:pPr>
            <w:r>
              <w:rPr>
                <w:rFonts w:ascii="Arial" w:cs="Arial" w:eastAsia="Arial" w:hAnsi="Arial"/>
                <w:sz w:val="18"/>
                <w:szCs w:val="18"/>
                <w:color w:val="auto"/>
              </w:rPr>
              <w:t>16</w:t>
            </w: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Shares used in the computation</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Of diluted earnings per share</w:t>
            </w:r>
          </w:p>
        </w:tc>
        <w:tc>
          <w:tcPr>
            <w:tcW w:w="2020" w:type="dxa"/>
            <w:vAlign w:val="bottom"/>
            <w:gridSpan w:val="7"/>
          </w:tcPr>
          <w:p>
            <w:pPr>
              <w:jc w:val="right"/>
              <w:spacing w:after="0" w:line="177" w:lineRule="exact"/>
              <w:rPr>
                <w:sz w:val="20"/>
                <w:szCs w:val="20"/>
                <w:color w:val="auto"/>
              </w:rPr>
            </w:pPr>
            <w:r>
              <w:rPr>
                <w:rFonts w:ascii="Arial" w:cs="Arial" w:eastAsia="Arial" w:hAnsi="Arial"/>
                <w:sz w:val="18"/>
                <w:szCs w:val="18"/>
                <w:color w:val="auto"/>
              </w:rPr>
              <w:t>9,502</w:t>
            </w:r>
          </w:p>
        </w:tc>
        <w:tc>
          <w:tcPr>
            <w:tcW w:w="280" w:type="dxa"/>
            <w:vAlign w:val="bottom"/>
          </w:tcPr>
          <w:p>
            <w:pPr>
              <w:spacing w:after="0"/>
              <w:rPr>
                <w:sz w:val="15"/>
                <w:szCs w:val="15"/>
                <w:color w:val="auto"/>
              </w:rPr>
            </w:pPr>
          </w:p>
        </w:tc>
        <w:tc>
          <w:tcPr>
            <w:tcW w:w="1100" w:type="dxa"/>
            <w:vAlign w:val="bottom"/>
            <w:gridSpan w:val="6"/>
          </w:tcPr>
          <w:p>
            <w:pPr>
              <w:jc w:val="right"/>
              <w:spacing w:after="0" w:line="177" w:lineRule="exact"/>
              <w:rPr>
                <w:sz w:val="20"/>
                <w:szCs w:val="20"/>
                <w:color w:val="auto"/>
              </w:rPr>
            </w:pPr>
            <w:r>
              <w:rPr>
                <w:rFonts w:ascii="Arial" w:cs="Arial" w:eastAsia="Arial" w:hAnsi="Arial"/>
                <w:sz w:val="18"/>
                <w:szCs w:val="18"/>
                <w:color w:val="auto"/>
              </w:rPr>
              <w:t>9,463</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3"/>
          </w:tcPr>
          <w:p>
            <w:pPr>
              <w:jc w:val="right"/>
              <w:spacing w:after="0" w:line="177" w:lineRule="exact"/>
              <w:rPr>
                <w:sz w:val="20"/>
                <w:szCs w:val="20"/>
                <w:color w:val="auto"/>
              </w:rPr>
            </w:pPr>
            <w:r>
              <w:rPr>
                <w:rFonts w:ascii="Arial" w:cs="Arial" w:eastAsia="Arial" w:hAnsi="Arial"/>
                <w:sz w:val="18"/>
                <w:szCs w:val="18"/>
                <w:color w:val="auto"/>
                <w:w w:val="93"/>
              </w:rPr>
              <w:t>9,500</w:t>
            </w:r>
          </w:p>
        </w:tc>
        <w:tc>
          <w:tcPr>
            <w:tcW w:w="240" w:type="dxa"/>
            <w:vAlign w:val="bottom"/>
          </w:tcPr>
          <w:p>
            <w:pPr>
              <w:spacing w:after="0"/>
              <w:rPr>
                <w:sz w:val="15"/>
                <w:szCs w:val="15"/>
                <w:color w:val="auto"/>
              </w:rPr>
            </w:pP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Net income available for</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common shares</w:t>
            </w:r>
          </w:p>
        </w:tc>
        <w:tc>
          <w:tcPr>
            <w:tcW w:w="2020" w:type="dxa"/>
            <w:vAlign w:val="bottom"/>
            <w:gridSpan w:val="7"/>
          </w:tcPr>
          <w:p>
            <w:pPr>
              <w:jc w:val="right"/>
              <w:spacing w:after="0" w:line="177"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5"/>
                <w:szCs w:val="15"/>
                <w:color w:val="auto"/>
              </w:rPr>
            </w:pPr>
          </w:p>
        </w:tc>
        <w:tc>
          <w:tcPr>
            <w:tcW w:w="1620" w:type="dxa"/>
            <w:vAlign w:val="bottom"/>
            <w:gridSpan w:val="7"/>
          </w:tcPr>
          <w:p>
            <w:pPr>
              <w:jc w:val="right"/>
              <w:ind w:right="520"/>
              <w:spacing w:after="0" w:line="177" w:lineRule="exact"/>
              <w:rPr>
                <w:sz w:val="20"/>
                <w:szCs w:val="20"/>
                <w:color w:val="auto"/>
              </w:rPr>
            </w:pPr>
            <w:r>
              <w:rPr>
                <w:rFonts w:ascii="Arial" w:cs="Arial" w:eastAsia="Arial" w:hAnsi="Arial"/>
                <w:sz w:val="18"/>
                <w:szCs w:val="18"/>
                <w:color w:val="auto"/>
              </w:rPr>
              <w:t>$33,253</w:t>
            </w:r>
          </w:p>
        </w:tc>
        <w:tc>
          <w:tcPr>
            <w:tcW w:w="1180" w:type="dxa"/>
            <w:vAlign w:val="bottom"/>
            <w:gridSpan w:val="6"/>
          </w:tcPr>
          <w:p>
            <w:pPr>
              <w:jc w:val="right"/>
              <w:spacing w:after="0" w:line="177"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214,062</w:t>
            </w:r>
          </w:p>
        </w:tc>
        <w:tc>
          <w:tcPr>
            <w:tcW w:w="240" w:type="dxa"/>
            <w:vAlign w:val="bottom"/>
          </w:tcPr>
          <w:p>
            <w:pPr>
              <w:spacing w:after="0"/>
              <w:rPr>
                <w:sz w:val="15"/>
                <w:szCs w:val="15"/>
                <w:color w:val="auto"/>
              </w:rPr>
            </w:pP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$97,736</w:t>
            </w:r>
          </w:p>
        </w:tc>
        <w:tc>
          <w:tcPr>
            <w:tcW w:w="0" w:type="dxa"/>
            <w:vAlign w:val="bottom"/>
          </w:tcPr>
          <w:p>
            <w:pPr>
              <w:spacing w:after="0"/>
              <w:rPr>
                <w:sz w:val="1"/>
                <w:szCs w:val="1"/>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Basic earnings per common</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share</w:t>
            </w:r>
          </w:p>
        </w:tc>
        <w:tc>
          <w:tcPr>
            <w:tcW w:w="2020" w:type="dxa"/>
            <w:vAlign w:val="bottom"/>
            <w:gridSpan w:val="7"/>
          </w:tcPr>
          <w:p>
            <w:pPr>
              <w:jc w:val="right"/>
              <w:spacing w:after="0" w:line="177" w:lineRule="exact"/>
              <w:rPr>
                <w:sz w:val="20"/>
                <w:szCs w:val="20"/>
                <w:color w:val="auto"/>
              </w:rPr>
            </w:pPr>
            <w:r>
              <w:rPr>
                <w:rFonts w:ascii="Arial" w:cs="Arial" w:eastAsia="Arial" w:hAnsi="Arial"/>
                <w:sz w:val="18"/>
                <w:szCs w:val="18"/>
                <w:color w:val="auto"/>
              </w:rPr>
              <w:t>$ .14</w:t>
            </w:r>
          </w:p>
        </w:tc>
        <w:tc>
          <w:tcPr>
            <w:tcW w:w="280" w:type="dxa"/>
            <w:vAlign w:val="bottom"/>
          </w:tcPr>
          <w:p>
            <w:pPr>
              <w:spacing w:after="0"/>
              <w:rPr>
                <w:sz w:val="15"/>
                <w:szCs w:val="15"/>
                <w:color w:val="auto"/>
              </w:rPr>
            </w:pPr>
          </w:p>
        </w:tc>
        <w:tc>
          <w:tcPr>
            <w:tcW w:w="1100" w:type="dxa"/>
            <w:vAlign w:val="bottom"/>
            <w:gridSpan w:val="6"/>
          </w:tcPr>
          <w:p>
            <w:pPr>
              <w:jc w:val="right"/>
              <w:spacing w:after="0" w:line="177" w:lineRule="exact"/>
              <w:rPr>
                <w:sz w:val="20"/>
                <w:szCs w:val="20"/>
                <w:color w:val="auto"/>
              </w:rPr>
            </w:pPr>
            <w:r>
              <w:rPr>
                <w:rFonts w:ascii="Arial" w:cs="Arial" w:eastAsia="Arial" w:hAnsi="Arial"/>
                <w:sz w:val="18"/>
                <w:szCs w:val="18"/>
                <w:color w:val="auto"/>
              </w:rPr>
              <w:t>$ 3.52</w:t>
            </w:r>
          </w:p>
        </w:tc>
        <w:tc>
          <w:tcPr>
            <w:tcW w:w="520" w:type="dxa"/>
            <w:vAlign w:val="bottom"/>
          </w:tcPr>
          <w:p>
            <w:pPr>
              <w:spacing w:after="0"/>
              <w:rPr>
                <w:sz w:val="15"/>
                <w:szCs w:val="15"/>
                <w:color w:val="auto"/>
              </w:rPr>
            </w:pPr>
          </w:p>
        </w:tc>
        <w:tc>
          <w:tcPr>
            <w:tcW w:w="740" w:type="dxa"/>
            <w:vAlign w:val="bottom"/>
            <w:gridSpan w:val="3"/>
          </w:tcPr>
          <w:p>
            <w:pPr>
              <w:jc w:val="center"/>
              <w:ind w:left="372"/>
              <w:spacing w:after="0" w:line="177" w:lineRule="exact"/>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line="177" w:lineRule="exact"/>
              <w:rPr>
                <w:sz w:val="20"/>
                <w:szCs w:val="20"/>
                <w:color w:val="auto"/>
              </w:rPr>
            </w:pPr>
            <w:r>
              <w:rPr>
                <w:rFonts w:ascii="Arial" w:cs="Arial" w:eastAsia="Arial" w:hAnsi="Arial"/>
                <w:sz w:val="18"/>
                <w:szCs w:val="18"/>
                <w:color w:val="auto"/>
                <w:w w:val="93"/>
              </w:rPr>
              <w:t>22.57</w:t>
            </w:r>
          </w:p>
        </w:tc>
        <w:tc>
          <w:tcPr>
            <w:tcW w:w="240" w:type="dxa"/>
            <w:vAlign w:val="bottom"/>
          </w:tcPr>
          <w:p>
            <w:pPr>
              <w:spacing w:after="0"/>
              <w:rPr>
                <w:sz w:val="15"/>
                <w:szCs w:val="15"/>
                <w:color w:val="auto"/>
              </w:rPr>
            </w:pP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$ 10.35</w:t>
            </w:r>
          </w:p>
        </w:tc>
        <w:tc>
          <w:tcPr>
            <w:tcW w:w="0" w:type="dxa"/>
            <w:vAlign w:val="bottom"/>
          </w:tcPr>
          <w:p>
            <w:pPr>
              <w:spacing w:after="0"/>
              <w:rPr>
                <w:sz w:val="1"/>
                <w:szCs w:val="1"/>
                <w:color w:val="auto"/>
              </w:rPr>
            </w:pPr>
          </w:p>
        </w:tc>
      </w:tr>
      <w:tr>
        <w:trPr>
          <w:trHeight w:val="437"/>
        </w:trPr>
        <w:tc>
          <w:tcPr>
            <w:tcW w:w="3340" w:type="dxa"/>
            <w:vAlign w:val="bottom"/>
          </w:tcPr>
          <w:p>
            <w:pPr>
              <w:spacing w:after="0"/>
              <w:rPr>
                <w:sz w:val="20"/>
                <w:szCs w:val="20"/>
                <w:color w:val="auto"/>
              </w:rPr>
            </w:pPr>
            <w:r>
              <w:rPr>
                <w:rFonts w:ascii="Arial" w:cs="Arial" w:eastAsia="Arial" w:hAnsi="Arial"/>
                <w:sz w:val="18"/>
                <w:szCs w:val="18"/>
                <w:color w:val="auto"/>
              </w:rPr>
              <w:t>Diluted earnings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Arial" w:cs="Arial" w:eastAsia="Arial" w:hAnsi="Arial"/>
                <w:sz w:val="18"/>
                <w:szCs w:val="18"/>
                <w:color w:val="auto"/>
              </w:rPr>
              <w:t>per common share</w:t>
            </w:r>
          </w:p>
        </w:tc>
        <w:tc>
          <w:tcPr>
            <w:tcW w:w="2020" w:type="dxa"/>
            <w:vAlign w:val="bottom"/>
            <w:gridSpan w:val="7"/>
          </w:tcPr>
          <w:p>
            <w:pPr>
              <w:jc w:val="right"/>
              <w:spacing w:after="0" w:line="177" w:lineRule="exact"/>
              <w:rPr>
                <w:sz w:val="20"/>
                <w:szCs w:val="20"/>
                <w:color w:val="auto"/>
              </w:rPr>
            </w:pPr>
            <w:r>
              <w:rPr>
                <w:rFonts w:ascii="Arial" w:cs="Arial" w:eastAsia="Arial" w:hAnsi="Arial"/>
                <w:sz w:val="18"/>
                <w:szCs w:val="18"/>
                <w:color w:val="auto"/>
              </w:rPr>
              <w:t>$ .14</w:t>
            </w:r>
          </w:p>
        </w:tc>
        <w:tc>
          <w:tcPr>
            <w:tcW w:w="280" w:type="dxa"/>
            <w:vAlign w:val="bottom"/>
          </w:tcPr>
          <w:p>
            <w:pPr>
              <w:spacing w:after="0"/>
              <w:rPr>
                <w:sz w:val="15"/>
                <w:szCs w:val="15"/>
                <w:color w:val="auto"/>
              </w:rPr>
            </w:pPr>
          </w:p>
        </w:tc>
        <w:tc>
          <w:tcPr>
            <w:tcW w:w="1100" w:type="dxa"/>
            <w:vAlign w:val="bottom"/>
            <w:gridSpan w:val="6"/>
          </w:tcPr>
          <w:p>
            <w:pPr>
              <w:jc w:val="right"/>
              <w:spacing w:after="0" w:line="177" w:lineRule="exact"/>
              <w:rPr>
                <w:sz w:val="20"/>
                <w:szCs w:val="20"/>
                <w:color w:val="auto"/>
              </w:rPr>
            </w:pPr>
            <w:r>
              <w:rPr>
                <w:rFonts w:ascii="Arial" w:cs="Arial" w:eastAsia="Arial" w:hAnsi="Arial"/>
                <w:sz w:val="18"/>
                <w:szCs w:val="18"/>
                <w:color w:val="auto"/>
              </w:rPr>
              <w:t>$ 3.51</w:t>
            </w:r>
          </w:p>
        </w:tc>
        <w:tc>
          <w:tcPr>
            <w:tcW w:w="520" w:type="dxa"/>
            <w:vAlign w:val="bottom"/>
          </w:tcPr>
          <w:p>
            <w:pPr>
              <w:spacing w:after="0"/>
              <w:rPr>
                <w:sz w:val="15"/>
                <w:szCs w:val="15"/>
                <w:color w:val="auto"/>
              </w:rPr>
            </w:pPr>
          </w:p>
        </w:tc>
        <w:tc>
          <w:tcPr>
            <w:tcW w:w="740" w:type="dxa"/>
            <w:vAlign w:val="bottom"/>
            <w:gridSpan w:val="3"/>
          </w:tcPr>
          <w:p>
            <w:pPr>
              <w:jc w:val="center"/>
              <w:ind w:left="372"/>
              <w:spacing w:after="0" w:line="177" w:lineRule="exact"/>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line="177" w:lineRule="exact"/>
              <w:rPr>
                <w:sz w:val="20"/>
                <w:szCs w:val="20"/>
                <w:color w:val="auto"/>
              </w:rPr>
            </w:pPr>
            <w:r>
              <w:rPr>
                <w:rFonts w:ascii="Arial" w:cs="Arial" w:eastAsia="Arial" w:hAnsi="Arial"/>
                <w:sz w:val="18"/>
                <w:szCs w:val="18"/>
                <w:color w:val="auto"/>
                <w:w w:val="93"/>
              </w:rPr>
              <w:t>22.53</w:t>
            </w:r>
          </w:p>
        </w:tc>
        <w:tc>
          <w:tcPr>
            <w:tcW w:w="240" w:type="dxa"/>
            <w:vAlign w:val="bottom"/>
          </w:tcPr>
          <w:p>
            <w:pPr>
              <w:spacing w:after="0"/>
              <w:rPr>
                <w:sz w:val="15"/>
                <w:szCs w:val="15"/>
                <w:color w:val="auto"/>
              </w:rPr>
            </w:pPr>
          </w:p>
        </w:tc>
        <w:tc>
          <w:tcPr>
            <w:tcW w:w="1060" w:type="dxa"/>
            <w:vAlign w:val="bottom"/>
            <w:gridSpan w:val="4"/>
          </w:tcPr>
          <w:p>
            <w:pPr>
              <w:jc w:val="right"/>
              <w:spacing w:after="0" w:line="177" w:lineRule="exact"/>
              <w:rPr>
                <w:sz w:val="20"/>
                <w:szCs w:val="20"/>
                <w:color w:val="auto"/>
              </w:rPr>
            </w:pPr>
            <w:r>
              <w:rPr>
                <w:rFonts w:ascii="Arial" w:cs="Arial" w:eastAsia="Arial" w:hAnsi="Arial"/>
                <w:sz w:val="18"/>
                <w:szCs w:val="18"/>
                <w:color w:val="auto"/>
              </w:rPr>
              <w:t>$ 10.33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40"/>
          </w:cols>
          <w:pgMar w:left="1080" w:top="121" w:right="1079" w:bottom="1440" w:gutter="0" w:footer="0" w:header="0"/>
        </w:sectPr>
      </w:pPr>
    </w:p>
    <w:bookmarkStart w:id="15" w:name="page16"/>
    <w:bookmarkEnd w:id="15"/>
    <w:p>
      <w:pPr>
        <w:ind w:left="9520"/>
        <w:spacing w:after="0"/>
        <w:rPr>
          <w:sz w:val="20"/>
          <w:szCs w:val="20"/>
          <w:color w:val="auto"/>
        </w:rPr>
      </w:pPr>
      <w:r>
        <w:rPr>
          <w:rFonts w:ascii="Arial" w:cs="Arial" w:eastAsia="Arial" w:hAnsi="Arial"/>
          <w:sz w:val="22"/>
          <w:szCs w:val="22"/>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September 19, 2001</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Washington Post Company,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banks, financial institutions and other institutional</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lenders (the "</w:t>
      </w:r>
      <w:r>
        <w:rPr>
          <w:rFonts w:ascii="Arial" w:cs="Arial" w:eastAsia="Arial" w:hAnsi="Arial"/>
          <w:sz w:val="21"/>
          <w:szCs w:val="21"/>
          <w:u w:val="single" w:color="auto"/>
          <w:color w:val="auto"/>
        </w:rPr>
        <w:t>Initial Lenders</w:t>
      </w:r>
      <w:r>
        <w:rPr>
          <w:rFonts w:ascii="Arial" w:cs="Arial" w:eastAsia="Arial" w:hAnsi="Arial"/>
          <w:sz w:val="21"/>
          <w:szCs w:val="21"/>
          <w:color w:val="auto"/>
        </w:rPr>
        <w:t>") listed on the signature pages hereof, Citibank, N.A. ("</w:t>
      </w:r>
      <w:r>
        <w:rPr>
          <w:rFonts w:ascii="Arial" w:cs="Arial" w:eastAsia="Arial" w:hAnsi="Arial"/>
          <w:sz w:val="21"/>
          <w:szCs w:val="21"/>
          <w:u w:val="single" w:color="auto"/>
          <w:color w:val="auto"/>
        </w:rPr>
        <w:t>Citibank</w:t>
      </w:r>
      <w:r>
        <w:rPr>
          <w:rFonts w:ascii="Arial" w:cs="Arial" w:eastAsia="Arial" w:hAnsi="Arial"/>
          <w:sz w:val="21"/>
          <w:szCs w:val="21"/>
          <w:color w:val="auto"/>
        </w:rPr>
        <w:t>"), as administrative agent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for the Lenders (as hereinafter defined), SunTrust Bank ("</w:t>
      </w:r>
      <w:r>
        <w:rPr>
          <w:rFonts w:ascii="Arial" w:cs="Arial" w:eastAsia="Arial" w:hAnsi="Arial"/>
          <w:sz w:val="19"/>
          <w:szCs w:val="19"/>
          <w:u w:val="single" w:color="auto"/>
          <w:color w:val="auto"/>
        </w:rPr>
        <w:t>SunTrust</w:t>
      </w:r>
      <w:r>
        <w:rPr>
          <w:rFonts w:ascii="Arial" w:cs="Arial" w:eastAsia="Arial" w:hAnsi="Arial"/>
          <w:sz w:val="19"/>
          <w:szCs w:val="19"/>
          <w:color w:val="auto"/>
        </w:rPr>
        <w:t>"), as syndication agent, and The Chase Manhattan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Bank ("</w:t>
      </w:r>
      <w:r>
        <w:rPr>
          <w:rFonts w:ascii="Arial" w:cs="Arial" w:eastAsia="Arial" w:hAnsi="Arial"/>
          <w:sz w:val="22"/>
          <w:szCs w:val="22"/>
          <w:u w:val="single" w:color="auto"/>
          <w:color w:val="auto"/>
        </w:rPr>
        <w:t>Chase</w:t>
      </w:r>
      <w:r>
        <w:rPr>
          <w:rFonts w:ascii="Arial" w:cs="Arial" w:eastAsia="Arial" w:hAnsi="Arial"/>
          <w:sz w:val="22"/>
          <w:szCs w:val="22"/>
          <w:color w:val="auto"/>
        </w:rPr>
        <w:t>"), as documentation agent, agree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STATEMENTS</w:t>
      </w:r>
    </w:p>
    <w:p>
      <w:pPr>
        <w:spacing w:after="0" w:line="212" w:lineRule="exact"/>
        <w:rPr>
          <w:sz w:val="20"/>
          <w:szCs w:val="20"/>
          <w:color w:val="auto"/>
        </w:rPr>
      </w:pPr>
    </w:p>
    <w:p>
      <w:pPr>
        <w:ind w:right="180" w:firstLine="8"/>
        <w:spacing w:after="0" w:line="238"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is party to a 364-Day Credit Agreement dated as of September 20, 2000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with the banks, financial institutions and other institutional lenders party thereto and Citibank, as administrative agent for the Lenders and such other lenders. Capitalized terms not otherwise defined in this Amendment and Restatement shall have the same meanings as specified in the Existing Credit Agreement.</w:t>
      </w:r>
    </w:p>
    <w:p>
      <w:pPr>
        <w:spacing w:after="0" w:line="185" w:lineRule="exact"/>
        <w:rPr>
          <w:rFonts w:ascii="Arial" w:cs="Arial" w:eastAsia="Arial" w:hAnsi="Arial"/>
          <w:sz w:val="22"/>
          <w:szCs w:val="22"/>
          <w:color w:val="auto"/>
        </w:rPr>
      </w:pPr>
    </w:p>
    <w:p>
      <w:pPr>
        <w:ind w:right="260" w:firstLine="8"/>
        <w:spacing w:after="0"/>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parties to this Amendment and Restatement desire to amend the Existing Credit Agreement as set forth herein and to restate the Existing Credit Agreement in its entirety to read as set forth in the Existing Credit Agreement with the following amendments.</w:t>
      </w:r>
    </w:p>
    <w:p>
      <w:pPr>
        <w:spacing w:after="0" w:line="186" w:lineRule="exact"/>
        <w:rPr>
          <w:rFonts w:ascii="Arial" w:cs="Arial" w:eastAsia="Arial" w:hAnsi="Arial"/>
          <w:sz w:val="22"/>
          <w:szCs w:val="22"/>
          <w:color w:val="auto"/>
        </w:rPr>
      </w:pPr>
    </w:p>
    <w:p>
      <w:pPr>
        <w:jc w:val="both"/>
        <w:ind w:right="60" w:firstLine="8"/>
        <w:spacing w:after="0" w:line="287" w:lineRule="auto"/>
        <w:tabs>
          <w:tab w:leader="none" w:pos="684"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Borrower has requested that the Lenders agree to extend credit to it from time to time in an aggregate principal amount of up to $250,000,000 for general corporate purposes of the Borrower and its Subsidiaries not otherwise prohibited under the terms of this Amendment and Restatement. The Lenders have indicated their willingness to agree to extend credit to the Borrower from time to time in such amount on the terms and conditions of this Amendment and Restatement.</w:t>
      </w:r>
    </w:p>
    <w:p>
      <w:pPr>
        <w:spacing w:after="0" w:line="14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 to the Existing Credit Agreement</w:t>
      </w:r>
      <w:r>
        <w:rPr>
          <w:rFonts w:ascii="Arial" w:cs="Arial" w:eastAsia="Arial" w:hAnsi="Arial"/>
          <w:sz w:val="22"/>
          <w:szCs w:val="22"/>
          <w:color w:val="auto"/>
        </w:rPr>
        <w:t>. The Existing Credit Agreement is, effective as of the date of this Amendment and Restatement and subject to the satisfaction of the conditions precedent set forth in Section 2, incorporated in and made a part of this Amendment and Restatement and amended as follows:</w:t>
      </w:r>
    </w:p>
    <w:p>
      <w:pPr>
        <w:spacing w:after="0" w:line="186" w:lineRule="exact"/>
        <w:rPr>
          <w:sz w:val="20"/>
          <w:szCs w:val="20"/>
          <w:color w:val="auto"/>
        </w:rPr>
      </w:pPr>
    </w:p>
    <w:p>
      <w:pPr>
        <w:ind w:right="900" w:firstLine="8"/>
        <w:spacing w:after="0" w:line="328" w:lineRule="auto"/>
        <w:tabs>
          <w:tab w:leader="none" w:pos="348" w:val="left"/>
        </w:tabs>
        <w:numPr>
          <w:ilvl w:val="0"/>
          <w:numId w:val="4"/>
        </w:numPr>
        <w:rPr>
          <w:rFonts w:ascii="Arial" w:cs="Arial" w:eastAsia="Arial" w:hAnsi="Arial"/>
          <w:sz w:val="19"/>
          <w:szCs w:val="19"/>
          <w:color w:val="auto"/>
        </w:rPr>
      </w:pPr>
      <w:r>
        <w:rPr>
          <w:rFonts w:ascii="Arial" w:cs="Arial" w:eastAsia="Arial" w:hAnsi="Arial"/>
          <w:sz w:val="19"/>
          <w:szCs w:val="19"/>
          <w:color w:val="auto"/>
        </w:rPr>
        <w:t>Section 1.01 is, amended by deleting the definitions of "Applicable Margin", "Applicable Percentage", "Lenders" and "Termination Date" set forth therein and replacing them, respectively, with the following new definitions thereof:</w:t>
      </w:r>
    </w:p>
    <w:p>
      <w:pPr>
        <w:spacing w:after="0" w:line="105"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as of any date, a percentage per annum determined by reference to the Performance Level in effect on such date as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60" w:type="dxa"/>
            <w:vAlign w:val="bottom"/>
            <w:tcBorders>
              <w:right w:val="single" w:sz="8" w:color="333333"/>
            </w:tcBorders>
          </w:tcPr>
          <w:p>
            <w:pPr>
              <w:spacing w:after="0"/>
              <w:rPr>
                <w:sz w:val="21"/>
                <w:szCs w:val="21"/>
                <w:color w:val="auto"/>
              </w:rPr>
            </w:pPr>
          </w:p>
        </w:tc>
        <w:tc>
          <w:tcPr>
            <w:tcW w:w="1960" w:type="dxa"/>
            <w:vAlign w:val="bottom"/>
            <w:tcBorders>
              <w:top w:val="single" w:sz="8" w:color="333333"/>
              <w:right w:val="single" w:sz="8" w:color="333333"/>
            </w:tcBorders>
          </w:tcPr>
          <w:p>
            <w:pPr>
              <w:spacing w:after="0"/>
              <w:rPr>
                <w:sz w:val="21"/>
                <w:szCs w:val="21"/>
                <w:color w:val="auto"/>
              </w:rPr>
            </w:pPr>
          </w:p>
        </w:tc>
        <w:tc>
          <w:tcPr>
            <w:tcW w:w="2140" w:type="dxa"/>
            <w:vAlign w:val="bottom"/>
            <w:tcBorders>
              <w:top w:val="single" w:sz="8" w:color="333333"/>
              <w:right w:val="single" w:sz="8" w:color="333333"/>
            </w:tcBorders>
          </w:tcPr>
          <w:p>
            <w:pPr>
              <w:jc w:val="center"/>
              <w:spacing w:after="0" w:line="251" w:lineRule="exact"/>
              <w:rPr>
                <w:sz w:val="20"/>
                <w:szCs w:val="20"/>
                <w:color w:val="auto"/>
              </w:rPr>
            </w:pPr>
            <w:r>
              <w:rPr>
                <w:rFonts w:ascii="Arial" w:cs="Arial" w:eastAsia="Arial" w:hAnsi="Arial"/>
                <w:sz w:val="22"/>
                <w:szCs w:val="22"/>
                <w:color w:val="auto"/>
                <w:w w:val="93"/>
              </w:rPr>
              <w:t>Applicable Margin for</w:t>
            </w:r>
          </w:p>
        </w:tc>
        <w:tc>
          <w:tcPr>
            <w:tcW w:w="2460" w:type="dxa"/>
            <w:vAlign w:val="bottom"/>
            <w:tcBorders>
              <w:top w:val="single" w:sz="8" w:color="333333"/>
              <w:right w:val="single" w:sz="8" w:color="333333"/>
            </w:tcBorders>
          </w:tcPr>
          <w:p>
            <w:pPr>
              <w:jc w:val="center"/>
              <w:spacing w:after="0" w:line="251" w:lineRule="exact"/>
              <w:rPr>
                <w:sz w:val="20"/>
                <w:szCs w:val="20"/>
                <w:color w:val="auto"/>
              </w:rPr>
            </w:pPr>
            <w:r>
              <w:rPr>
                <w:rFonts w:ascii="Arial" w:cs="Arial" w:eastAsia="Arial" w:hAnsi="Arial"/>
                <w:sz w:val="22"/>
                <w:szCs w:val="22"/>
                <w:color w:val="auto"/>
                <w:w w:val="93"/>
              </w:rPr>
              <w:t>Applicable Margin for</w:t>
            </w:r>
          </w:p>
        </w:tc>
        <w:tc>
          <w:tcPr>
            <w:tcW w:w="2400" w:type="dxa"/>
            <w:vAlign w:val="bottom"/>
          </w:tcPr>
          <w:p>
            <w:pPr>
              <w:spacing w:after="0"/>
              <w:rPr>
                <w:sz w:val="21"/>
                <w:szCs w:val="21"/>
                <w:color w:val="auto"/>
              </w:rPr>
            </w:pPr>
          </w:p>
        </w:tc>
      </w:tr>
      <w:tr>
        <w:trPr>
          <w:trHeight w:val="275"/>
        </w:trPr>
        <w:tc>
          <w:tcPr>
            <w:tcW w:w="2460" w:type="dxa"/>
            <w:vAlign w:val="bottom"/>
            <w:tcBorders>
              <w:right w:val="single" w:sz="8" w:color="333333"/>
            </w:tcBorders>
          </w:tcPr>
          <w:p>
            <w:pPr>
              <w:spacing w:after="0"/>
              <w:rPr>
                <w:sz w:val="23"/>
                <w:szCs w:val="23"/>
                <w:color w:val="auto"/>
              </w:rPr>
            </w:pPr>
          </w:p>
        </w:tc>
        <w:tc>
          <w:tcPr>
            <w:tcW w:w="196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22"/>
                <w:szCs w:val="22"/>
                <w:color w:val="auto"/>
                <w:w w:val="88"/>
              </w:rPr>
              <w:t>Performance Level</w:t>
            </w:r>
          </w:p>
        </w:tc>
        <w:tc>
          <w:tcPr>
            <w:tcW w:w="214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22"/>
                <w:szCs w:val="22"/>
                <w:color w:val="auto"/>
                <w:w w:val="86"/>
              </w:rPr>
              <w:t>Base Rate Advances</w:t>
            </w:r>
          </w:p>
        </w:tc>
        <w:tc>
          <w:tcPr>
            <w:tcW w:w="246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22"/>
                <w:szCs w:val="22"/>
                <w:color w:val="auto"/>
                <w:w w:val="89"/>
              </w:rPr>
              <w:t>Eurodollar Rate Advances</w:t>
            </w:r>
          </w:p>
        </w:tc>
        <w:tc>
          <w:tcPr>
            <w:tcW w:w="2400" w:type="dxa"/>
            <w:vAlign w:val="bottom"/>
          </w:tcPr>
          <w:p>
            <w:pPr>
              <w:spacing w:after="0"/>
              <w:rPr>
                <w:sz w:val="23"/>
                <w:szCs w:val="23"/>
                <w:color w:val="auto"/>
              </w:rPr>
            </w:pPr>
          </w:p>
        </w:tc>
      </w:tr>
      <w:tr>
        <w:trPr>
          <w:trHeight w:val="250"/>
        </w:trPr>
        <w:tc>
          <w:tcPr>
            <w:tcW w:w="2460" w:type="dxa"/>
            <w:vAlign w:val="bottom"/>
            <w:tcBorders>
              <w:right w:val="single" w:sz="8" w:color="333333"/>
            </w:tcBorders>
          </w:tcPr>
          <w:p>
            <w:pPr>
              <w:spacing w:after="0"/>
              <w:rPr>
                <w:sz w:val="21"/>
                <w:szCs w:val="21"/>
                <w:color w:val="auto"/>
              </w:rPr>
            </w:pPr>
          </w:p>
        </w:tc>
        <w:tc>
          <w:tcPr>
            <w:tcW w:w="19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rPr>
              <w:t>I</w:t>
            </w:r>
          </w:p>
        </w:tc>
        <w:tc>
          <w:tcPr>
            <w:tcW w:w="214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94"/>
              </w:rPr>
              <w:t>0%</w:t>
            </w:r>
          </w:p>
        </w:tc>
        <w:tc>
          <w:tcPr>
            <w:tcW w:w="24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0.12%</w:t>
            </w:r>
          </w:p>
        </w:tc>
        <w:tc>
          <w:tcPr>
            <w:tcW w:w="2400" w:type="dxa"/>
            <w:vAlign w:val="bottom"/>
          </w:tcPr>
          <w:p>
            <w:pPr>
              <w:spacing w:after="0"/>
              <w:rPr>
                <w:sz w:val="21"/>
                <w:szCs w:val="21"/>
                <w:color w:val="auto"/>
              </w:rPr>
            </w:pPr>
          </w:p>
        </w:tc>
      </w:tr>
      <w:tr>
        <w:trPr>
          <w:trHeight w:val="250"/>
        </w:trPr>
        <w:tc>
          <w:tcPr>
            <w:tcW w:w="2460" w:type="dxa"/>
            <w:vAlign w:val="bottom"/>
            <w:tcBorders>
              <w:right w:val="single" w:sz="8" w:color="333333"/>
            </w:tcBorders>
          </w:tcPr>
          <w:p>
            <w:pPr>
              <w:spacing w:after="0"/>
              <w:rPr>
                <w:sz w:val="21"/>
                <w:szCs w:val="21"/>
                <w:color w:val="auto"/>
              </w:rPr>
            </w:pPr>
          </w:p>
        </w:tc>
        <w:tc>
          <w:tcPr>
            <w:tcW w:w="19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rPr>
              <w:t>II</w:t>
            </w:r>
          </w:p>
        </w:tc>
        <w:tc>
          <w:tcPr>
            <w:tcW w:w="214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94"/>
              </w:rPr>
              <w:t>0%</w:t>
            </w:r>
          </w:p>
        </w:tc>
        <w:tc>
          <w:tcPr>
            <w:tcW w:w="24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0.15%</w:t>
            </w:r>
          </w:p>
        </w:tc>
        <w:tc>
          <w:tcPr>
            <w:tcW w:w="2400" w:type="dxa"/>
            <w:vAlign w:val="bottom"/>
          </w:tcPr>
          <w:p>
            <w:pPr>
              <w:spacing w:after="0"/>
              <w:rPr>
                <w:sz w:val="21"/>
                <w:szCs w:val="21"/>
                <w:color w:val="auto"/>
              </w:rPr>
            </w:pPr>
          </w:p>
        </w:tc>
      </w:tr>
      <w:tr>
        <w:trPr>
          <w:trHeight w:val="250"/>
        </w:trPr>
        <w:tc>
          <w:tcPr>
            <w:tcW w:w="2460" w:type="dxa"/>
            <w:vAlign w:val="bottom"/>
            <w:tcBorders>
              <w:right w:val="single" w:sz="8" w:color="333333"/>
            </w:tcBorders>
          </w:tcPr>
          <w:p>
            <w:pPr>
              <w:spacing w:after="0"/>
              <w:rPr>
                <w:sz w:val="21"/>
                <w:szCs w:val="21"/>
                <w:color w:val="auto"/>
              </w:rPr>
            </w:pPr>
          </w:p>
        </w:tc>
        <w:tc>
          <w:tcPr>
            <w:tcW w:w="19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rPr>
              <w:t>III</w:t>
            </w:r>
          </w:p>
        </w:tc>
        <w:tc>
          <w:tcPr>
            <w:tcW w:w="214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94"/>
              </w:rPr>
              <w:t>0%</w:t>
            </w:r>
          </w:p>
        </w:tc>
        <w:tc>
          <w:tcPr>
            <w:tcW w:w="246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0.22%</w:t>
            </w:r>
          </w:p>
        </w:tc>
        <w:tc>
          <w:tcPr>
            <w:tcW w:w="2400" w:type="dxa"/>
            <w:vAlign w:val="bottom"/>
          </w:tcPr>
          <w:p>
            <w:pPr>
              <w:spacing w:after="0"/>
              <w:rPr>
                <w:sz w:val="21"/>
                <w:szCs w:val="21"/>
                <w:color w:val="auto"/>
              </w:rPr>
            </w:pPr>
          </w:p>
        </w:tc>
      </w:tr>
      <w:tr>
        <w:trPr>
          <w:trHeight w:val="250"/>
        </w:trPr>
        <w:tc>
          <w:tcPr>
            <w:tcW w:w="2460" w:type="dxa"/>
            <w:vAlign w:val="bottom"/>
            <w:tcBorders>
              <w:right w:val="single" w:sz="8" w:color="333333"/>
            </w:tcBorders>
          </w:tcPr>
          <w:p>
            <w:pPr>
              <w:spacing w:after="0"/>
              <w:rPr>
                <w:sz w:val="21"/>
                <w:szCs w:val="21"/>
                <w:color w:val="auto"/>
              </w:rPr>
            </w:pPr>
          </w:p>
        </w:tc>
        <w:tc>
          <w:tcPr>
            <w:tcW w:w="1960" w:type="dxa"/>
            <w:vAlign w:val="bottom"/>
            <w:tcBorders>
              <w:bottom w:val="single" w:sz="8" w:color="333333"/>
              <w:right w:val="single" w:sz="8" w:color="333333"/>
            </w:tcBorders>
          </w:tcPr>
          <w:p>
            <w:pPr>
              <w:spacing w:after="0"/>
              <w:rPr>
                <w:sz w:val="21"/>
                <w:szCs w:val="21"/>
                <w:color w:val="auto"/>
              </w:rPr>
            </w:pPr>
          </w:p>
        </w:tc>
        <w:tc>
          <w:tcPr>
            <w:tcW w:w="2140" w:type="dxa"/>
            <w:vAlign w:val="bottom"/>
            <w:tcBorders>
              <w:bottom w:val="single" w:sz="8" w:color="333333"/>
              <w:right w:val="single" w:sz="8" w:color="333333"/>
            </w:tcBorders>
          </w:tcPr>
          <w:p>
            <w:pPr>
              <w:spacing w:after="0"/>
              <w:rPr>
                <w:sz w:val="21"/>
                <w:szCs w:val="21"/>
                <w:color w:val="auto"/>
              </w:rPr>
            </w:pPr>
          </w:p>
        </w:tc>
        <w:tc>
          <w:tcPr>
            <w:tcW w:w="2460" w:type="dxa"/>
            <w:vAlign w:val="bottom"/>
            <w:tcBorders>
              <w:bottom w:val="single" w:sz="8" w:color="333333"/>
              <w:right w:val="single" w:sz="8" w:color="333333"/>
            </w:tcBorders>
          </w:tcPr>
          <w:p>
            <w:pPr>
              <w:spacing w:after="0"/>
              <w:rPr>
                <w:sz w:val="21"/>
                <w:szCs w:val="21"/>
                <w:color w:val="auto"/>
              </w:rPr>
            </w:pPr>
          </w:p>
        </w:tc>
        <w:tc>
          <w:tcPr>
            <w:tcW w:w="2400" w:type="dxa"/>
            <w:vAlign w:val="bottom"/>
          </w:tcPr>
          <w:p>
            <w:pPr>
              <w:spacing w:after="0"/>
              <w:rPr>
                <w:sz w:val="21"/>
                <w:szCs w:val="21"/>
                <w:color w:val="auto"/>
              </w:rPr>
            </w:pPr>
          </w:p>
        </w:tc>
      </w:tr>
      <w:tr>
        <w:trPr>
          <w:trHeight w:val="358"/>
        </w:trPr>
        <w:tc>
          <w:tcPr>
            <w:tcW w:w="24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358"/>
        </w:trPr>
        <w:tc>
          <w:tcPr>
            <w:tcW w:w="2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jc w:val="right"/>
              <w:ind w:right="692"/>
              <w:spacing w:after="0"/>
              <w:rPr>
                <w:sz w:val="20"/>
                <w:szCs w:val="20"/>
                <w:color w:val="auto"/>
              </w:rPr>
            </w:pPr>
            <w:r>
              <w:rPr>
                <w:rFonts w:ascii="Arial" w:cs="Arial" w:eastAsia="Arial" w:hAnsi="Arial"/>
                <w:sz w:val="22"/>
                <w:szCs w:val="22"/>
                <w:color w:val="auto"/>
              </w:rPr>
              <w:t>2</w:t>
            </w: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-241300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as of any date, a percentage per annum determined by reference to the Performance Level in effect on such date as set forth below:</w:t>
      </w:r>
    </w:p>
    <w:p>
      <w:pPr>
        <w:spacing w:after="0" w:line="200" w:lineRule="exact"/>
        <w:rPr>
          <w:sz w:val="20"/>
          <w:szCs w:val="20"/>
          <w:color w:val="auto"/>
        </w:rPr>
      </w:pPr>
    </w:p>
    <w:p>
      <w:pPr>
        <w:spacing w:after="0" w:line="214" w:lineRule="exact"/>
        <w:rPr>
          <w:sz w:val="20"/>
          <w:szCs w:val="20"/>
          <w:color w:val="auto"/>
        </w:rPr>
      </w:pPr>
    </w:p>
    <w:tbl>
      <w:tblPr>
        <w:tblLayout w:type="fixed"/>
        <w:tblInd w:w="3410" w:type="dxa"/>
        <w:tblCellMar>
          <w:top w:w="0" w:type="dxa"/>
          <w:left w:w="0" w:type="dxa"/>
          <w:bottom w:w="0" w:type="dxa"/>
          <w:right w:w="0" w:type="dxa"/>
        </w:tblCellMar>
      </w:tblPr>
      <w:tr>
        <w:trPr>
          <w:trHeight w:val="284"/>
        </w:trPr>
        <w:tc>
          <w:tcPr>
            <w:tcW w:w="2340" w:type="dxa"/>
            <w:vAlign w:val="bottom"/>
            <w:tcBorders>
              <w:top w:val="single" w:sz="8" w:color="333333"/>
              <w:left w:val="single" w:sz="8" w:color="333333"/>
              <w:bottom w:val="single" w:sz="8" w:color="333333"/>
              <w:right w:val="single" w:sz="8" w:color="333333"/>
            </w:tcBorders>
          </w:tcPr>
          <w:p>
            <w:pPr>
              <w:jc w:val="center"/>
              <w:spacing w:after="0"/>
              <w:rPr>
                <w:sz w:val="20"/>
                <w:szCs w:val="20"/>
                <w:color w:val="auto"/>
              </w:rPr>
            </w:pPr>
            <w:r>
              <w:rPr>
                <w:rFonts w:ascii="Arial" w:cs="Arial" w:eastAsia="Arial" w:hAnsi="Arial"/>
                <w:sz w:val="22"/>
                <w:szCs w:val="22"/>
                <w:color w:val="auto"/>
                <w:w w:val="89"/>
              </w:rPr>
              <w:t>Performance Level</w:t>
            </w:r>
          </w:p>
        </w:tc>
        <w:tc>
          <w:tcPr>
            <w:tcW w:w="2300" w:type="dxa"/>
            <w:vAlign w:val="bottom"/>
            <w:tcBorders>
              <w:top w:val="single" w:sz="8" w:color="333333"/>
              <w:bottom w:val="single" w:sz="8" w:color="333333"/>
              <w:right w:val="single" w:sz="8" w:color="333333"/>
            </w:tcBorders>
          </w:tcPr>
          <w:p>
            <w:pPr>
              <w:jc w:val="center"/>
              <w:spacing w:after="0"/>
              <w:rPr>
                <w:sz w:val="20"/>
                <w:szCs w:val="20"/>
                <w:color w:val="auto"/>
              </w:rPr>
            </w:pPr>
            <w:r>
              <w:rPr>
                <w:rFonts w:ascii="Arial" w:cs="Arial" w:eastAsia="Arial" w:hAnsi="Arial"/>
                <w:sz w:val="22"/>
                <w:szCs w:val="22"/>
                <w:color w:val="auto"/>
                <w:w w:val="89"/>
              </w:rPr>
              <w:t>Applicable Percentage</w:t>
            </w:r>
          </w:p>
        </w:tc>
      </w:tr>
      <w:tr>
        <w:trPr>
          <w:trHeight w:val="250"/>
        </w:trPr>
        <w:tc>
          <w:tcPr>
            <w:tcW w:w="2340" w:type="dxa"/>
            <w:vAlign w:val="bottom"/>
            <w:tcBorders>
              <w:left w:val="single" w:sz="8" w:color="333333"/>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97"/>
              </w:rPr>
              <w:t>I</w:t>
            </w:r>
          </w:p>
        </w:tc>
        <w:tc>
          <w:tcPr>
            <w:tcW w:w="230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0.03%</w:t>
            </w:r>
          </w:p>
        </w:tc>
      </w:tr>
      <w:tr>
        <w:trPr>
          <w:trHeight w:val="250"/>
        </w:trPr>
        <w:tc>
          <w:tcPr>
            <w:tcW w:w="2340" w:type="dxa"/>
            <w:vAlign w:val="bottom"/>
            <w:tcBorders>
              <w:left w:val="single" w:sz="8" w:color="333333"/>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rPr>
              <w:t>II</w:t>
            </w:r>
          </w:p>
        </w:tc>
        <w:tc>
          <w:tcPr>
            <w:tcW w:w="230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0.05%</w:t>
            </w:r>
          </w:p>
        </w:tc>
      </w:tr>
      <w:tr>
        <w:trPr>
          <w:trHeight w:val="250"/>
        </w:trPr>
        <w:tc>
          <w:tcPr>
            <w:tcW w:w="2340" w:type="dxa"/>
            <w:vAlign w:val="bottom"/>
            <w:tcBorders>
              <w:left w:val="single" w:sz="8" w:color="333333"/>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rPr>
              <w:t>III</w:t>
            </w:r>
          </w:p>
        </w:tc>
        <w:tc>
          <w:tcPr>
            <w:tcW w:w="2300" w:type="dxa"/>
            <w:vAlign w:val="bottom"/>
            <w:tcBorders>
              <w:bottom w:val="single" w:sz="8" w:color="333333"/>
              <w:right w:val="single" w:sz="8" w:color="333333"/>
            </w:tcBorders>
          </w:tcPr>
          <w:p>
            <w:pPr>
              <w:jc w:val="center"/>
              <w:spacing w:after="0" w:line="237" w:lineRule="exact"/>
              <w:rPr>
                <w:sz w:val="20"/>
                <w:szCs w:val="20"/>
                <w:color w:val="auto"/>
              </w:rPr>
            </w:pPr>
            <w:r>
              <w:rPr>
                <w:rFonts w:ascii="Arial" w:cs="Arial" w:eastAsia="Arial" w:hAnsi="Arial"/>
                <w:sz w:val="22"/>
                <w:szCs w:val="22"/>
                <w:color w:val="auto"/>
                <w:w w:val="89"/>
              </w:rPr>
              <w:t>0.06%</w:t>
            </w:r>
          </w:p>
        </w:tc>
      </w:tr>
      <w:tr>
        <w:trPr>
          <w:trHeight w:val="250"/>
        </w:trPr>
        <w:tc>
          <w:tcPr>
            <w:tcW w:w="2340" w:type="dxa"/>
            <w:vAlign w:val="bottom"/>
            <w:tcBorders>
              <w:left w:val="single" w:sz="8" w:color="333333"/>
              <w:bottom w:val="single" w:sz="8" w:color="333333"/>
              <w:right w:val="single" w:sz="8" w:color="333333"/>
            </w:tcBorders>
          </w:tcPr>
          <w:p>
            <w:pPr>
              <w:spacing w:after="0"/>
              <w:rPr>
                <w:sz w:val="21"/>
                <w:szCs w:val="21"/>
                <w:color w:val="auto"/>
              </w:rPr>
            </w:pPr>
          </w:p>
        </w:tc>
        <w:tc>
          <w:tcPr>
            <w:tcW w:w="2300" w:type="dxa"/>
            <w:vAlign w:val="bottom"/>
            <w:tcBorders>
              <w:bottom w:val="single" w:sz="8" w:color="333333"/>
              <w:right w:val="single" w:sz="8" w:color="333333"/>
            </w:tcBorders>
          </w:tcPr>
          <w:p>
            <w:pPr>
              <w:spacing w:after="0"/>
              <w:rPr>
                <w:sz w:val="21"/>
                <w:szCs w:val="21"/>
                <w:color w:val="auto"/>
              </w:rPr>
            </w:pPr>
          </w:p>
        </w:tc>
      </w:tr>
    </w:tbl>
    <w:p>
      <w:pPr>
        <w:spacing w:after="0" w:line="191"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each Initial Lender and each other Person that shall become a party hereto pursuant to Sections 8.07(a), (b) and (c).</w:t>
      </w:r>
    </w:p>
    <w:p>
      <w:pPr>
        <w:spacing w:after="0" w:line="173" w:lineRule="exact"/>
        <w:rPr>
          <w:sz w:val="20"/>
          <w:szCs w:val="20"/>
          <w:color w:val="auto"/>
        </w:rPr>
      </w:pPr>
    </w:p>
    <w:p>
      <w:pPr>
        <w:ind w:right="220"/>
        <w:spacing w:after="0" w:line="25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means the earlier of (a) September 18, 2002, subject to the extension thereof pursuant to Section 2.17 and (b) the date of termination in whole of the Commitments pursuant to Section 2.05 or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Termination Date of any Lender that is a Non</w:t>
      </w:r>
      <w:r>
        <w:rPr>
          <w:rFonts w:ascii="MS PGothic" w:cs="MS PGothic" w:eastAsia="MS PGothic" w:hAnsi="MS PGothic"/>
          <w:sz w:val="19"/>
          <w:szCs w:val="19"/>
          <w:color w:val="auto"/>
        </w:rPr>
        <w:t>‑</w:t>
      </w:r>
      <w:r>
        <w:rPr>
          <w:rFonts w:ascii="Arial" w:cs="Arial" w:eastAsia="Arial" w:hAnsi="Arial"/>
          <w:sz w:val="19"/>
          <w:szCs w:val="19"/>
          <w:color w:val="auto"/>
        </w:rPr>
        <w:t>Consenting Lender to any requested extension pursuant to Section 2.17 shall be the Termination Date in effect immediately prior to the applicable Extension Date for all purposes of this Agreement.</w:t>
      </w:r>
    </w:p>
    <w:p>
      <w:pPr>
        <w:sectPr>
          <w:pgSz w:w="11900" w:h="16838" w:orient="portrait"/>
          <w:cols w:equalWidth="0" w:num="1">
            <w:col w:w="11420"/>
          </w:cols>
          <w:pgMar w:left="240" w:top="118" w:right="239" w:bottom="0" w:gutter="0" w:footer="0" w:header="0"/>
        </w:sectPr>
      </w:pPr>
    </w:p>
    <w:bookmarkStart w:id="16" w:name="page17"/>
    <w:bookmarkEnd w:id="16"/>
    <w:p>
      <w:pPr>
        <w:ind w:right="160" w:firstLine="8"/>
        <w:spacing w:after="0" w:line="251" w:lineRule="auto"/>
        <w:tabs>
          <w:tab w:leader="none" w:pos="68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definition of "Commitment" in Section 1.01 is amended by replacing the words "the signature pages hereof" with the words "Schedule I hereto".</w:t>
      </w:r>
    </w:p>
    <w:p>
      <w:pPr>
        <w:spacing w:after="0" w:line="173" w:lineRule="exact"/>
        <w:rPr>
          <w:rFonts w:ascii="Arial" w:cs="Arial" w:eastAsia="Arial" w:hAnsi="Arial"/>
          <w:sz w:val="22"/>
          <w:szCs w:val="22"/>
          <w:color w:val="auto"/>
        </w:rPr>
      </w:pPr>
    </w:p>
    <w:p>
      <w:pPr>
        <w:ind w:right="420" w:firstLine="8"/>
        <w:spacing w:after="0" w:line="238" w:lineRule="auto"/>
        <w:tabs>
          <w:tab w:leader="none" w:pos="672"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Section 4.01(e) is amended (i) by deleting the date "January 2, 2000" in each place where it appears and substituting therefor the date "December 31, 2000", (ii) by deleting the date "April 2, 2000" in each place where it appears and substituting therefor the date "July 1, 2001" and (iii) by deleting the phrase "three months" in each place where it appears and substituting therefor the phrase "six months".</w:t>
      </w:r>
    </w:p>
    <w:p>
      <w:pPr>
        <w:spacing w:after="0" w:line="185" w:lineRule="exact"/>
        <w:rPr>
          <w:rFonts w:ascii="Arial" w:cs="Arial" w:eastAsia="Arial" w:hAnsi="Arial"/>
          <w:sz w:val="22"/>
          <w:szCs w:val="22"/>
          <w:color w:val="auto"/>
        </w:rPr>
      </w:pPr>
    </w:p>
    <w:p>
      <w:pPr>
        <w:ind w:left="700" w:hanging="692"/>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Schedule I is deleted in its entirety and replaced with Schedule I to this Amendment and Restatement.</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Conditions of Effectiveness of this Amendment and Restatement</w:t>
      </w:r>
      <w:r>
        <w:rPr>
          <w:rFonts w:ascii="Arial" w:cs="Arial" w:eastAsia="Arial" w:hAnsi="Arial"/>
          <w:sz w:val="22"/>
          <w:szCs w:val="22"/>
          <w:color w:val="auto"/>
        </w:rPr>
        <w:t>. This Amendment and Restatement shall become effective as of the date first above written (the "</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when and only if:</w:t>
      </w:r>
    </w:p>
    <w:p>
      <w:pPr>
        <w:spacing w:after="0" w:line="173" w:lineRule="exact"/>
        <w:rPr>
          <w:sz w:val="20"/>
          <w:szCs w:val="20"/>
          <w:color w:val="auto"/>
        </w:rPr>
      </w:pPr>
    </w:p>
    <w:p>
      <w:pPr>
        <w:ind w:right="240" w:firstLine="8"/>
        <w:spacing w:after="0"/>
        <w:tabs>
          <w:tab w:leader="none" w:pos="67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Agent shall have received counterparts of this Amendment and Restatement executed by the Borrower and all of the Initial Lenders or, as to any of the Initial Lenders, advice satisfactory to the Agent that such Initial Lender has executed this Amendment and Restatement.</w:t>
      </w:r>
    </w:p>
    <w:p>
      <w:pPr>
        <w:spacing w:after="0" w:line="186" w:lineRule="exact"/>
        <w:rPr>
          <w:rFonts w:ascii="Arial" w:cs="Arial" w:eastAsia="Arial" w:hAnsi="Arial"/>
          <w:sz w:val="22"/>
          <w:szCs w:val="22"/>
          <w:color w:val="auto"/>
        </w:rPr>
      </w:pPr>
    </w:p>
    <w:p>
      <w:pPr>
        <w:jc w:val="both"/>
        <w:ind w:firstLine="8"/>
        <w:spacing w:after="0" w:line="328" w:lineRule="auto"/>
        <w:tabs>
          <w:tab w:leader="none" w:pos="684" w:val="left"/>
        </w:tabs>
        <w:numPr>
          <w:ilvl w:val="0"/>
          <w:numId w:val="6"/>
        </w:numPr>
        <w:rPr>
          <w:rFonts w:ascii="Arial" w:cs="Arial" w:eastAsia="Arial" w:hAnsi="Arial"/>
          <w:sz w:val="19"/>
          <w:szCs w:val="19"/>
          <w:color w:val="auto"/>
        </w:rPr>
      </w:pPr>
      <w:r>
        <w:rPr>
          <w:rFonts w:ascii="Arial" w:cs="Arial" w:eastAsia="Arial" w:hAnsi="Arial"/>
          <w:sz w:val="19"/>
          <w:szCs w:val="19"/>
          <w:color w:val="auto"/>
        </w:rPr>
        <w:t>On the Restatement Effective Date, the following statements shall be true and the Agent shall have received for the account of each Lender a certificate signed by a duly authorized officer of the Borrower, dated the Restatement Effective Date, stating that:</w:t>
      </w:r>
    </w:p>
    <w:p>
      <w:pPr>
        <w:spacing w:after="0" w:line="105" w:lineRule="exact"/>
        <w:rPr>
          <w:sz w:val="20"/>
          <w:szCs w:val="20"/>
          <w:color w:val="auto"/>
        </w:rPr>
      </w:pPr>
    </w:p>
    <w:p>
      <w:pPr>
        <w:ind w:left="1080" w:right="1060" w:firstLine="8"/>
        <w:spacing w:after="0" w:line="274" w:lineRule="auto"/>
        <w:tabs>
          <w:tab w:leader="none" w:pos="1770" w:val="left"/>
        </w:tabs>
        <w:numPr>
          <w:ilvl w:val="1"/>
          <w:numId w:val="7"/>
        </w:numPr>
        <w:rPr>
          <w:rFonts w:ascii="Arial" w:cs="Arial" w:eastAsia="Arial" w:hAnsi="Arial"/>
          <w:sz w:val="21"/>
          <w:szCs w:val="21"/>
          <w:color w:val="auto"/>
        </w:rPr>
      </w:pPr>
      <w:r>
        <w:rPr>
          <w:rFonts w:ascii="Arial" w:cs="Arial" w:eastAsia="Arial" w:hAnsi="Arial"/>
          <w:sz w:val="21"/>
          <w:szCs w:val="21"/>
          <w:color w:val="auto"/>
        </w:rPr>
        <w:t>The representations and warranties contained in Section 4.01 of the Existing Credit Agreement are correct in all material respects on and as of the Restatement Effective Date, and</w:t>
      </w:r>
    </w:p>
    <w:p>
      <w:pPr>
        <w:spacing w:after="0" w:line="150" w:lineRule="exact"/>
        <w:rPr>
          <w:rFonts w:ascii="Arial" w:cs="Arial" w:eastAsia="Arial" w:hAnsi="Arial"/>
          <w:sz w:val="21"/>
          <w:szCs w:val="21"/>
          <w:color w:val="auto"/>
        </w:rPr>
      </w:pPr>
    </w:p>
    <w:p>
      <w:pPr>
        <w:ind w:left="1780" w:hanging="692"/>
        <w:spacing w:after="0"/>
        <w:tabs>
          <w:tab w:leader="none" w:pos="1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No event has occurred and is continuing that constitutes a Default.</w:t>
      </w:r>
    </w:p>
    <w:p>
      <w:pPr>
        <w:spacing w:after="0" w:line="206" w:lineRule="exact"/>
        <w:rPr>
          <w:rFonts w:ascii="Arial" w:cs="Arial" w:eastAsia="Arial" w:hAnsi="Arial"/>
          <w:sz w:val="22"/>
          <w:szCs w:val="22"/>
          <w:color w:val="auto"/>
        </w:rPr>
      </w:pPr>
    </w:p>
    <w:p>
      <w:pPr>
        <w:ind w:right="40" w:firstLine="8"/>
        <w:spacing w:after="0" w:line="251" w:lineRule="auto"/>
        <w:tabs>
          <w:tab w:leader="none" w:pos="67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Agent shall have received on or before the Restatement Effective Date the following, each dated such day, in form and substance satisfactory to the Agent and in sufficient copies for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49" w:lineRule="exact"/>
        <w:rPr>
          <w:sz w:val="20"/>
          <w:szCs w:val="20"/>
          <w:color w:val="auto"/>
        </w:rPr>
      </w:pPr>
    </w:p>
    <w:p>
      <w:pPr>
        <w:jc w:val="both"/>
        <w:ind w:left="1080" w:right="1580" w:firstLine="8"/>
        <w:spacing w:after="0" w:line="297" w:lineRule="auto"/>
        <w:tabs>
          <w:tab w:leader="none" w:pos="1770" w:val="left"/>
        </w:tabs>
        <w:numPr>
          <w:ilvl w:val="0"/>
          <w:numId w:val="9"/>
        </w:numPr>
        <w:rPr>
          <w:rFonts w:ascii="Arial" w:cs="Arial" w:eastAsia="Arial" w:hAnsi="Arial"/>
          <w:sz w:val="19"/>
          <w:szCs w:val="19"/>
          <w:color w:val="auto"/>
        </w:rPr>
      </w:pPr>
      <w:r>
        <w:rPr>
          <w:rFonts w:ascii="Arial" w:cs="Arial" w:eastAsia="Arial" w:hAnsi="Arial"/>
          <w:sz w:val="19"/>
          <w:szCs w:val="19"/>
          <w:color w:val="auto"/>
        </w:rPr>
        <w:t>Certified copies of the resolutions of the Board of Directors of the Borrower authorizing this Amendment and Restatement, and of all documents evidencing other necessary corporate action and governmental approvals, if any, with respect to this Amendment and Restatement.</w:t>
      </w:r>
    </w:p>
    <w:p>
      <w:pPr>
        <w:spacing w:after="0" w:line="134" w:lineRule="exact"/>
        <w:rPr>
          <w:rFonts w:ascii="Arial" w:cs="Arial" w:eastAsia="Arial" w:hAnsi="Arial"/>
          <w:sz w:val="19"/>
          <w:szCs w:val="19"/>
          <w:color w:val="auto"/>
        </w:rPr>
      </w:pPr>
    </w:p>
    <w:p>
      <w:pPr>
        <w:ind w:left="1080" w:right="1040" w:firstLine="8"/>
        <w:spacing w:after="0"/>
        <w:tabs>
          <w:tab w:leader="none" w:pos="1776"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certificate of the Secretary or an Assistant Secretary of the Borrower certifying the names and true signatures of the officers of the Borrower authorized to sign this Amendment and Restatement and the other documents to be delivered hereunder.</w:t>
      </w:r>
    </w:p>
    <w:p>
      <w:pPr>
        <w:spacing w:after="0" w:line="186" w:lineRule="exact"/>
        <w:rPr>
          <w:rFonts w:ascii="Arial" w:cs="Arial" w:eastAsia="Arial" w:hAnsi="Arial"/>
          <w:sz w:val="22"/>
          <w:szCs w:val="22"/>
          <w:color w:val="auto"/>
        </w:rPr>
      </w:pPr>
    </w:p>
    <w:p>
      <w:pPr>
        <w:ind w:left="1080" w:right="1100" w:firstLine="8"/>
        <w:spacing w:after="0" w:line="252" w:lineRule="auto"/>
        <w:tabs>
          <w:tab w:leader="none" w:pos="1782" w:val="left"/>
        </w:tabs>
        <w:numPr>
          <w:ilvl w:val="0"/>
          <w:numId w:val="9"/>
        </w:numPr>
        <w:rPr>
          <w:rFonts w:ascii="Arial" w:cs="Arial" w:eastAsia="Arial" w:hAnsi="Arial"/>
          <w:sz w:val="21"/>
          <w:szCs w:val="21"/>
          <w:color w:val="auto"/>
        </w:rPr>
      </w:pPr>
      <w:r>
        <w:rPr>
          <w:rFonts w:ascii="Arial" w:cs="Arial" w:eastAsia="Arial" w:hAnsi="Arial"/>
          <w:sz w:val="21"/>
          <w:szCs w:val="21"/>
          <w:color w:val="auto"/>
        </w:rPr>
        <w:t>A favorable opinion of Diana M. Daniels, general counsel for the Borrower, substantially in the form of Exhibit E to the Existing Credit Agreement but with such modifications as are required to address the Existing Credit Agreement, as amended by this Amendment and Restatement, in form and substance reasonably satisfactory to the Initial Lenders.</w:t>
      </w:r>
    </w:p>
    <w:p>
      <w:pPr>
        <w:spacing w:after="0" w:line="174" w:lineRule="exact"/>
        <w:rPr>
          <w:rFonts w:ascii="Arial" w:cs="Arial" w:eastAsia="Arial" w:hAnsi="Arial"/>
          <w:sz w:val="21"/>
          <w:szCs w:val="21"/>
          <w:color w:val="auto"/>
        </w:rPr>
      </w:pPr>
    </w:p>
    <w:p>
      <w:pPr>
        <w:ind w:left="1080" w:right="1740" w:firstLine="8"/>
        <w:spacing w:after="0" w:line="251" w:lineRule="auto"/>
        <w:tabs>
          <w:tab w:leader="none" w:pos="177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favorable opinion of Shearman &amp; Sterling, counsel for the Agent, in form and substance satisfactory to the Agent.</w:t>
      </w:r>
    </w:p>
    <w:p>
      <w:pPr>
        <w:spacing w:after="0" w:line="173"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Reference to and Effect on the Existing Credit Agreement and the Notes</w:t>
      </w:r>
      <w:r>
        <w:rPr>
          <w:rFonts w:ascii="Arial" w:cs="Arial" w:eastAsia="Arial" w:hAnsi="Arial"/>
          <w:sz w:val="21"/>
          <w:szCs w:val="21"/>
          <w:color w:val="auto"/>
        </w:rPr>
        <w:t>. (a) On and after the effectiveness of this Amendment and Restatement, each reference in the Existing Credit Agreement to "this Agreement", "hereunder", "hereof" or words of like import referring to the Existing Credit Agreement, and each reference in the Notes to "the Credit Agreement", "thereunder", "thereof" or words of like import referring to the Existing Credit Agreement, shall mean and be a reference to the Existing Credit Agreement, as amended by this Amendment and Restatement.</w:t>
      </w:r>
    </w:p>
    <w:p>
      <w:pPr>
        <w:spacing w:after="0" w:line="179" w:lineRule="exact"/>
        <w:rPr>
          <w:sz w:val="20"/>
          <w:szCs w:val="20"/>
          <w:color w:val="auto"/>
        </w:rPr>
      </w:pPr>
    </w:p>
    <w:p>
      <w:pPr>
        <w:ind w:right="80" w:firstLine="8"/>
        <w:spacing w:after="0" w:line="274" w:lineRule="auto"/>
        <w:tabs>
          <w:tab w:leader="none" w:pos="684"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Existing Credit Agreement and the Notes, as specifically amended by this Amendment and Restatement, are and shall continue to be in full force and effect and are hereby in all respects ratified and confirmed.</w:t>
      </w:r>
    </w:p>
    <w:p>
      <w:pPr>
        <w:spacing w:after="0" w:line="150" w:lineRule="exact"/>
        <w:rPr>
          <w:rFonts w:ascii="Arial" w:cs="Arial" w:eastAsia="Arial" w:hAnsi="Arial"/>
          <w:sz w:val="21"/>
          <w:szCs w:val="21"/>
          <w:color w:val="auto"/>
        </w:rPr>
      </w:pPr>
    </w:p>
    <w:p>
      <w:pPr>
        <w:ind w:right="120" w:firstLine="8"/>
        <w:spacing w:after="0" w:line="258" w:lineRule="auto"/>
        <w:tabs>
          <w:tab w:leader="none" w:pos="672" w:val="left"/>
        </w:tabs>
        <w:numPr>
          <w:ilvl w:val="0"/>
          <w:numId w:val="10"/>
        </w:numPr>
        <w:rPr>
          <w:rFonts w:ascii="Arial" w:cs="Arial" w:eastAsia="Arial" w:hAnsi="Arial"/>
          <w:sz w:val="21"/>
          <w:szCs w:val="21"/>
          <w:color w:val="auto"/>
        </w:rPr>
      </w:pPr>
      <w:r>
        <w:rPr>
          <w:rFonts w:ascii="Arial" w:cs="Arial" w:eastAsia="Arial" w:hAnsi="Arial"/>
          <w:sz w:val="21"/>
          <w:szCs w:val="21"/>
          <w:color w:val="auto"/>
        </w:rPr>
        <w:t>Without limiting any of the other provisions of the Existing Credit Agreement, as amended by this Amendment and Restatement, any references in the Existing Credit Agreement to the phrases "on the date hereof", "on the date of this Agreement" or words of similar import shall mean and be a reference to the date of this Amendment and Restatement.</w:t>
      </w:r>
    </w:p>
    <w:p>
      <w:pPr>
        <w:spacing w:after="0" w:line="167"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agrees to pay on demand all reasonable out-of-pocket costs and expenses of the Administrative Agent in connection with the preparation, execution, delivery and administration, modification and amendment of this Amendment and Restatement, the Notes and the other documents to be delivered hereunder (including, without limitation, the reasonable and documented fees and expenses of counsel for the Administrative Agent with respect hereto and thereto) in accordance with the terms of Section 8.04 of the Existing Credit Agreement.</w:t>
      </w:r>
    </w:p>
    <w:p>
      <w:pPr>
        <w:spacing w:after="0" w:line="148"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Amendment and Restatement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w:t>
      </w:r>
    </w:p>
    <w:p>
      <w:pPr>
        <w:sectPr>
          <w:pgSz w:w="11900" w:h="16838" w:orient="portrait"/>
          <w:cols w:equalWidth="0" w:num="1">
            <w:col w:w="11360"/>
          </w:cols>
          <w:pgMar w:left="240" w:top="118" w:right="299" w:bottom="0" w:gutter="0" w:footer="0" w:header="0"/>
        </w:sectPr>
      </w:pPr>
    </w:p>
    <w:bookmarkStart w:id="17" w:name="page18"/>
    <w:bookmarkEnd w:id="17"/>
    <w:p>
      <w:pPr>
        <w:spacing w:after="0" w:line="5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Amendment and Restatement by telecopier shall be effective as delivery of a manually executed counterpart of this Amendment and Restatement.</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Restatement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and Restatement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ind w:left="5420"/>
        <w:spacing w:after="0"/>
        <w:rPr>
          <w:sz w:val="20"/>
          <w:szCs w:val="20"/>
          <w:color w:val="auto"/>
        </w:rPr>
      </w:pPr>
      <w:r>
        <w:rPr>
          <w:rFonts w:ascii="Arial" w:cs="Arial" w:eastAsia="Arial" w:hAnsi="Arial"/>
          <w:sz w:val="22"/>
          <w:szCs w:val="22"/>
          <w:b w:val="1"/>
          <w:bCs w:val="1"/>
          <w:u w:val="single" w:color="auto"/>
          <w:color w:val="auto"/>
        </w:rPr>
        <w:t>THE BORROWER</w:t>
      </w:r>
    </w:p>
    <w:p>
      <w:pPr>
        <w:spacing w:after="0" w:line="23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THE WASHINGTON POST COMPANY</w:t>
      </w:r>
    </w:p>
    <w:p>
      <w:pPr>
        <w:spacing w:after="0" w:line="177" w:lineRule="exact"/>
        <w:rPr>
          <w:sz w:val="20"/>
          <w:szCs w:val="20"/>
          <w:color w:val="auto"/>
        </w:rPr>
      </w:pPr>
    </w:p>
    <w:tbl>
      <w:tblPr>
        <w:tblLayout w:type="fixed"/>
        <w:tblInd w:w="54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2680" w:type="dxa"/>
            <w:vAlign w:val="bottom"/>
            <w:gridSpan w:val="2"/>
          </w:tcPr>
          <w:p>
            <w:pPr>
              <w:ind w:left="120"/>
              <w:spacing w:after="0"/>
              <w:rPr>
                <w:sz w:val="20"/>
                <w:szCs w:val="20"/>
                <w:color w:val="auto"/>
              </w:rPr>
            </w:pPr>
            <w:r>
              <w:rPr>
                <w:rFonts w:ascii="Arial" w:cs="Arial" w:eastAsia="Arial" w:hAnsi="Arial"/>
                <w:sz w:val="22"/>
                <w:szCs w:val="22"/>
                <w:color w:val="auto"/>
              </w:rPr>
              <w:t>/s/ John Morse</w:t>
            </w: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120" w:type="dxa"/>
            <w:vAlign w:val="bottom"/>
          </w:tcPr>
          <w:p>
            <w:pPr>
              <w:spacing w:after="0"/>
              <w:rPr>
                <w:sz w:val="23"/>
                <w:szCs w:val="23"/>
                <w:color w:val="auto"/>
              </w:rPr>
            </w:pPr>
          </w:p>
        </w:tc>
        <w:tc>
          <w:tcPr>
            <w:tcW w:w="25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27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as Agent</w:t>
      </w:r>
    </w:p>
    <w:p>
      <w:pPr>
        <w:spacing w:after="0" w:line="159" w:lineRule="exact"/>
        <w:rPr>
          <w:sz w:val="20"/>
          <w:szCs w:val="20"/>
          <w:color w:val="auto"/>
        </w:rPr>
      </w:pPr>
    </w:p>
    <w:tbl>
      <w:tblPr>
        <w:tblLayout w:type="fixed"/>
        <w:tblInd w:w="54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gridSpan w:val="2"/>
          </w:tcPr>
          <w:p>
            <w:pPr>
              <w:jc w:val="center"/>
              <w:ind w:right="1012"/>
              <w:spacing w:after="0"/>
              <w:rPr>
                <w:sz w:val="20"/>
                <w:szCs w:val="20"/>
                <w:color w:val="auto"/>
              </w:rPr>
            </w:pPr>
            <w:r>
              <w:rPr>
                <w:rFonts w:ascii="Arial" w:cs="Arial" w:eastAsia="Arial" w:hAnsi="Arial"/>
                <w:sz w:val="22"/>
                <w:szCs w:val="22"/>
                <w:color w:val="auto"/>
                <w:w w:val="90"/>
              </w:rPr>
              <w:t>/s/ Carolyn Kee</w:t>
            </w: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120" w:type="dxa"/>
            <w:vAlign w:val="bottom"/>
          </w:tcPr>
          <w:p>
            <w:pPr>
              <w:spacing w:after="0"/>
              <w:rPr>
                <w:sz w:val="23"/>
                <w:szCs w:val="23"/>
                <w:color w:val="auto"/>
              </w:rPr>
            </w:pPr>
          </w:p>
        </w:tc>
        <w:tc>
          <w:tcPr>
            <w:tcW w:w="2600" w:type="dxa"/>
            <w:vAlign w:val="bottom"/>
            <w:tcBorders>
              <w:top w:val="single" w:sz="8" w:color="auto"/>
            </w:tcBorders>
          </w:tcPr>
          <w:p>
            <w:pPr>
              <w:jc w:val="center"/>
              <w:ind w:right="1152"/>
              <w:spacing w:after="0"/>
              <w:rPr>
                <w:sz w:val="20"/>
                <w:szCs w:val="20"/>
                <w:color w:val="auto"/>
              </w:rPr>
            </w:pPr>
            <w:r>
              <w:rPr>
                <w:rFonts w:ascii="Arial" w:cs="Arial" w:eastAsia="Arial" w:hAnsi="Arial"/>
                <w:sz w:val="22"/>
                <w:szCs w:val="22"/>
                <w:color w:val="auto"/>
                <w:w w:val="88"/>
              </w:rPr>
              <w:t>Vice President</w:t>
            </w:r>
          </w:p>
        </w:tc>
      </w:tr>
    </w:tbl>
    <w:p>
      <w:pPr>
        <w:spacing w:after="0" w:line="293" w:lineRule="exact"/>
        <w:rPr>
          <w:sz w:val="20"/>
          <w:szCs w:val="20"/>
          <w:color w:val="auto"/>
        </w:rPr>
      </w:pPr>
    </w:p>
    <w:p>
      <w:pPr>
        <w:ind w:left="5420"/>
        <w:spacing w:after="0"/>
        <w:rPr>
          <w:sz w:val="20"/>
          <w:szCs w:val="20"/>
          <w:color w:val="auto"/>
        </w:rPr>
      </w:pPr>
      <w:r>
        <w:rPr>
          <w:rFonts w:ascii="Arial" w:cs="Arial" w:eastAsia="Arial" w:hAnsi="Arial"/>
          <w:sz w:val="22"/>
          <w:szCs w:val="22"/>
          <w:u w:val="single" w:color="auto"/>
          <w:color w:val="auto"/>
        </w:rPr>
        <w:t>Initial Lenders</w:t>
      </w:r>
    </w:p>
    <w:p>
      <w:pPr>
        <w:spacing w:after="0" w:line="200" w:lineRule="exact"/>
        <w:rPr>
          <w:sz w:val="20"/>
          <w:szCs w:val="20"/>
          <w:color w:val="auto"/>
        </w:rPr>
      </w:pPr>
    </w:p>
    <w:p>
      <w:pPr>
        <w:spacing w:after="0" w:line="249" w:lineRule="exact"/>
        <w:rPr>
          <w:sz w:val="20"/>
          <w:szCs w:val="20"/>
          <w:color w:val="auto"/>
        </w:rPr>
      </w:pPr>
    </w:p>
    <w:p>
      <w:pPr>
        <w:ind w:left="5420"/>
        <w:spacing w:after="0"/>
        <w:rPr>
          <w:sz w:val="20"/>
          <w:szCs w:val="20"/>
          <w:color w:val="auto"/>
        </w:rPr>
      </w:pPr>
      <w:r>
        <w:rPr>
          <w:rFonts w:ascii="Arial" w:cs="Arial" w:eastAsia="Arial" w:hAnsi="Arial"/>
          <w:sz w:val="22"/>
          <w:szCs w:val="22"/>
          <w:u w:val="single" w:color="auto"/>
          <w:color w:val="auto"/>
        </w:rPr>
        <w:t>Agent</w:t>
      </w:r>
    </w:p>
    <w:p>
      <w:pPr>
        <w:spacing w:after="0" w:line="23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20" w:lineRule="exact"/>
        <w:rPr>
          <w:sz w:val="20"/>
          <w:szCs w:val="20"/>
          <w:color w:val="auto"/>
        </w:rPr>
      </w:pPr>
    </w:p>
    <w:tbl>
      <w:tblPr>
        <w:tblLayout w:type="fixed"/>
        <w:tblInd w:w="54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2720" w:type="dxa"/>
            <w:vAlign w:val="bottom"/>
            <w:gridSpan w:val="2"/>
          </w:tcPr>
          <w:p>
            <w:pPr>
              <w:jc w:val="center"/>
              <w:ind w:right="1012"/>
              <w:spacing w:after="0"/>
              <w:rPr>
                <w:sz w:val="20"/>
                <w:szCs w:val="20"/>
                <w:color w:val="auto"/>
              </w:rPr>
            </w:pPr>
            <w:r>
              <w:rPr>
                <w:rFonts w:ascii="Arial" w:cs="Arial" w:eastAsia="Arial" w:hAnsi="Arial"/>
                <w:sz w:val="22"/>
                <w:szCs w:val="22"/>
                <w:color w:val="auto"/>
                <w:w w:val="90"/>
              </w:rPr>
              <w:t>/s/ Carolyn Kee</w:t>
            </w: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120" w:type="dxa"/>
            <w:vAlign w:val="bottom"/>
          </w:tcPr>
          <w:p>
            <w:pPr>
              <w:spacing w:after="0"/>
              <w:rPr>
                <w:sz w:val="23"/>
                <w:szCs w:val="23"/>
                <w:color w:val="auto"/>
              </w:rPr>
            </w:pPr>
          </w:p>
        </w:tc>
        <w:tc>
          <w:tcPr>
            <w:tcW w:w="2600" w:type="dxa"/>
            <w:vAlign w:val="bottom"/>
            <w:tcBorders>
              <w:top w:val="single" w:sz="8" w:color="auto"/>
            </w:tcBorders>
          </w:tcPr>
          <w:p>
            <w:pPr>
              <w:jc w:val="center"/>
              <w:ind w:right="1152"/>
              <w:spacing w:after="0"/>
              <w:rPr>
                <w:sz w:val="20"/>
                <w:szCs w:val="20"/>
                <w:color w:val="auto"/>
              </w:rPr>
            </w:pPr>
            <w:r>
              <w:rPr>
                <w:rFonts w:ascii="Arial" w:cs="Arial" w:eastAsia="Arial" w:hAnsi="Arial"/>
                <w:sz w:val="22"/>
                <w:szCs w:val="22"/>
                <w:color w:val="auto"/>
                <w:w w:val="88"/>
              </w:rPr>
              <w:t>Vice President</w:t>
            </w:r>
          </w:p>
        </w:tc>
      </w:tr>
    </w:tbl>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22"/>
          <w:szCs w:val="22"/>
          <w:u w:val="single" w:color="auto"/>
          <w:color w:val="auto"/>
        </w:rPr>
        <w:t>Syndication Agent</w:t>
      </w:r>
    </w:p>
    <w:p>
      <w:pPr>
        <w:spacing w:after="0" w:line="23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SUNTRUST BANK</w:t>
      </w:r>
    </w:p>
    <w:p>
      <w:pPr>
        <w:spacing w:after="0" w:line="200" w:lineRule="exact"/>
        <w:rPr>
          <w:sz w:val="20"/>
          <w:szCs w:val="20"/>
          <w:color w:val="auto"/>
        </w:rPr>
      </w:pPr>
    </w:p>
    <w:p>
      <w:pPr>
        <w:spacing w:after="0" w:line="220" w:lineRule="exact"/>
        <w:rPr>
          <w:sz w:val="20"/>
          <w:szCs w:val="20"/>
          <w:color w:val="auto"/>
        </w:rPr>
      </w:pPr>
    </w:p>
    <w:tbl>
      <w:tblPr>
        <w:tblLayout w:type="fixed"/>
        <w:tblInd w:w="54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2680" w:type="dxa"/>
            <w:vAlign w:val="bottom"/>
            <w:gridSpan w:val="2"/>
          </w:tcPr>
          <w:p>
            <w:pPr>
              <w:ind w:left="120"/>
              <w:spacing w:after="0"/>
              <w:rPr>
                <w:sz w:val="20"/>
                <w:szCs w:val="20"/>
                <w:color w:val="auto"/>
              </w:rPr>
            </w:pPr>
            <w:r>
              <w:rPr>
                <w:rFonts w:ascii="Arial" w:cs="Arial" w:eastAsia="Arial" w:hAnsi="Arial"/>
                <w:sz w:val="22"/>
                <w:szCs w:val="22"/>
                <w:color w:val="auto"/>
              </w:rPr>
              <w:t>/s/ Nancy R. Petrash</w:t>
            </w: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120" w:type="dxa"/>
            <w:vAlign w:val="bottom"/>
          </w:tcPr>
          <w:p>
            <w:pPr>
              <w:spacing w:after="0"/>
              <w:rPr>
                <w:sz w:val="23"/>
                <w:szCs w:val="23"/>
                <w:color w:val="auto"/>
              </w:rPr>
            </w:pPr>
          </w:p>
        </w:tc>
        <w:tc>
          <w:tcPr>
            <w:tcW w:w="25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Director</w:t>
            </w:r>
          </w:p>
        </w:tc>
      </w:tr>
    </w:tbl>
    <w:p>
      <w:pPr>
        <w:spacing w:after="0" w:line="212" w:lineRule="exact"/>
        <w:rPr>
          <w:sz w:val="20"/>
          <w:szCs w:val="20"/>
          <w:color w:val="auto"/>
        </w:rPr>
      </w:pPr>
    </w:p>
    <w:p>
      <w:pPr>
        <w:ind w:left="5420"/>
        <w:spacing w:after="0"/>
        <w:rPr>
          <w:sz w:val="20"/>
          <w:szCs w:val="20"/>
          <w:color w:val="auto"/>
        </w:rPr>
      </w:pPr>
      <w:r>
        <w:rPr>
          <w:rFonts w:ascii="Arial" w:cs="Arial" w:eastAsia="Arial" w:hAnsi="Arial"/>
          <w:sz w:val="22"/>
          <w:szCs w:val="22"/>
          <w:u w:val="single" w:color="auto"/>
          <w:color w:val="auto"/>
        </w:rPr>
        <w:t>Documentation Agent</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THE CHASE MANHATTAN BANK</w:t>
      </w:r>
    </w:p>
    <w:p>
      <w:pPr>
        <w:spacing w:after="0" w:line="200" w:lineRule="exact"/>
        <w:rPr>
          <w:sz w:val="20"/>
          <w:szCs w:val="20"/>
          <w:color w:val="auto"/>
        </w:rPr>
      </w:pPr>
    </w:p>
    <w:p>
      <w:pPr>
        <w:spacing w:after="0" w:line="220" w:lineRule="exact"/>
        <w:rPr>
          <w:sz w:val="20"/>
          <w:szCs w:val="20"/>
          <w:color w:val="auto"/>
        </w:rPr>
      </w:pPr>
    </w:p>
    <w:tbl>
      <w:tblPr>
        <w:tblLayout w:type="fixed"/>
        <w:tblInd w:w="54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2740" w:type="dxa"/>
            <w:vAlign w:val="bottom"/>
            <w:gridSpan w:val="2"/>
          </w:tcPr>
          <w:p>
            <w:pPr>
              <w:ind w:left="120"/>
              <w:spacing w:after="0"/>
              <w:rPr>
                <w:sz w:val="20"/>
                <w:szCs w:val="20"/>
                <w:color w:val="auto"/>
              </w:rPr>
            </w:pPr>
            <w:r>
              <w:rPr>
                <w:rFonts w:ascii="Arial" w:cs="Arial" w:eastAsia="Arial" w:hAnsi="Arial"/>
                <w:sz w:val="22"/>
                <w:szCs w:val="22"/>
                <w:color w:val="auto"/>
              </w:rPr>
              <w:t>/s/ Charles Swarns, Jr.</w:t>
            </w: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120" w:type="dxa"/>
            <w:vAlign w:val="bottom"/>
          </w:tcPr>
          <w:p>
            <w:pPr>
              <w:spacing w:after="0"/>
              <w:rPr>
                <w:sz w:val="23"/>
                <w:szCs w:val="23"/>
                <w:color w:val="auto"/>
              </w:rPr>
            </w:pPr>
          </w:p>
        </w:tc>
        <w:tc>
          <w:tcPr>
            <w:tcW w:w="262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728980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 TO THE AMENDMENT AND RESTATEMENT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COMMITMENTS AND APPLICABLE LENDING OFFICES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gridSpan w:val="2"/>
          </w:tcPr>
          <w:p>
            <w:pPr>
              <w:spacing w:after="0"/>
              <w:rPr>
                <w:sz w:val="20"/>
                <w:szCs w:val="20"/>
                <w:color w:val="auto"/>
              </w:rPr>
            </w:pPr>
            <w:r>
              <w:rPr>
                <w:rFonts w:ascii="Arial" w:cs="Arial" w:eastAsia="Arial" w:hAnsi="Arial"/>
                <w:sz w:val="22"/>
                <w:szCs w:val="22"/>
                <w:b w:val="1"/>
                <w:bCs w:val="1"/>
                <w:color w:val="auto"/>
              </w:rPr>
              <w:t>Name of Lender</w:t>
            </w:r>
          </w:p>
        </w:tc>
        <w:tc>
          <w:tcPr>
            <w:tcW w:w="1220" w:type="dxa"/>
            <w:vAlign w:val="bottom"/>
          </w:tcPr>
          <w:p>
            <w:pPr>
              <w:spacing w:after="0"/>
              <w:rPr>
                <w:sz w:val="20"/>
                <w:szCs w:val="20"/>
                <w:color w:val="auto"/>
              </w:rPr>
            </w:pPr>
            <w:r>
              <w:rPr>
                <w:rFonts w:ascii="Arial" w:cs="Arial" w:eastAsia="Arial" w:hAnsi="Arial"/>
                <w:sz w:val="22"/>
                <w:szCs w:val="22"/>
                <w:b w:val="1"/>
                <w:bCs w:val="1"/>
                <w:color w:val="auto"/>
                <w:w w:val="89"/>
              </w:rPr>
              <w:t>Commitment</w:t>
            </w:r>
          </w:p>
        </w:tc>
        <w:tc>
          <w:tcPr>
            <w:tcW w:w="3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Arial" w:cs="Arial" w:eastAsia="Arial" w:hAnsi="Arial"/>
                <w:sz w:val="22"/>
                <w:szCs w:val="22"/>
                <w:b w:val="1"/>
                <w:bCs w:val="1"/>
                <w:color w:val="auto"/>
                <w:w w:val="97"/>
              </w:rPr>
              <w:t>Domestic Lending Office</w:t>
            </w:r>
          </w:p>
        </w:tc>
        <w:tc>
          <w:tcPr>
            <w:tcW w:w="2680" w:type="dxa"/>
            <w:vAlign w:val="bottom"/>
            <w:gridSpan w:val="2"/>
          </w:tcPr>
          <w:p>
            <w:pPr>
              <w:ind w:left="220"/>
              <w:spacing w:after="0"/>
              <w:rPr>
                <w:sz w:val="20"/>
                <w:szCs w:val="20"/>
                <w:color w:val="auto"/>
              </w:rPr>
            </w:pPr>
            <w:r>
              <w:rPr>
                <w:rFonts w:ascii="Arial" w:cs="Arial" w:eastAsia="Arial" w:hAnsi="Arial"/>
                <w:sz w:val="22"/>
                <w:szCs w:val="22"/>
                <w:b w:val="1"/>
                <w:bCs w:val="1"/>
                <w:color w:val="auto"/>
                <w:w w:val="90"/>
              </w:rPr>
              <w:t>Eurodollar Lending Office</w:t>
            </w:r>
          </w:p>
        </w:tc>
      </w:tr>
      <w:tr>
        <w:trPr>
          <w:trHeight w:val="20"/>
        </w:trPr>
        <w:tc>
          <w:tcPr>
            <w:tcW w:w="15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492"/>
        </w:trPr>
        <w:tc>
          <w:tcPr>
            <w:tcW w:w="2540" w:type="dxa"/>
            <w:vAlign w:val="bottom"/>
            <w:gridSpan w:val="2"/>
          </w:tcPr>
          <w:p>
            <w:pPr>
              <w:spacing w:after="0"/>
              <w:rPr>
                <w:sz w:val="20"/>
                <w:szCs w:val="20"/>
                <w:color w:val="auto"/>
              </w:rPr>
            </w:pPr>
            <w:r>
              <w:rPr>
                <w:rFonts w:ascii="Arial" w:cs="Arial" w:eastAsia="Arial" w:hAnsi="Arial"/>
                <w:sz w:val="22"/>
                <w:szCs w:val="22"/>
                <w:color w:val="auto"/>
                <w:w w:val="91"/>
              </w:rPr>
              <w:t>The Chase Manhattan Bank</w:t>
            </w:r>
          </w:p>
        </w:tc>
        <w:tc>
          <w:tcPr>
            <w:tcW w:w="1220" w:type="dxa"/>
            <w:vAlign w:val="bottom"/>
          </w:tcPr>
          <w:p>
            <w:pPr>
              <w:spacing w:after="0"/>
              <w:rPr>
                <w:sz w:val="20"/>
                <w:szCs w:val="20"/>
                <w:color w:val="auto"/>
              </w:rPr>
            </w:pPr>
            <w:r>
              <w:rPr>
                <w:rFonts w:ascii="Arial" w:cs="Arial" w:eastAsia="Arial" w:hAnsi="Arial"/>
                <w:sz w:val="22"/>
                <w:szCs w:val="22"/>
                <w:color w:val="auto"/>
                <w:w w:val="98"/>
              </w:rPr>
              <w:t>$75,000,000</w:t>
            </w:r>
          </w:p>
        </w:tc>
        <w:tc>
          <w:tcPr>
            <w:tcW w:w="3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22"/>
                <w:szCs w:val="22"/>
                <w:color w:val="auto"/>
              </w:rPr>
              <w:t>4 Metrotech Center</w:t>
            </w:r>
          </w:p>
        </w:tc>
        <w:tc>
          <w:tcPr>
            <w:tcW w:w="2680" w:type="dxa"/>
            <w:vAlign w:val="bottom"/>
            <w:gridSpan w:val="2"/>
          </w:tcPr>
          <w:p>
            <w:pPr>
              <w:ind w:left="220"/>
              <w:spacing w:after="0"/>
              <w:rPr>
                <w:sz w:val="20"/>
                <w:szCs w:val="20"/>
                <w:color w:val="auto"/>
              </w:rPr>
            </w:pPr>
            <w:r>
              <w:rPr>
                <w:rFonts w:ascii="Arial" w:cs="Arial" w:eastAsia="Arial" w:hAnsi="Arial"/>
                <w:sz w:val="22"/>
                <w:szCs w:val="22"/>
                <w:color w:val="auto"/>
              </w:rPr>
              <w:t>4 Metrotech Center</w:t>
            </w:r>
          </w:p>
        </w:tc>
      </w:tr>
      <w:tr>
        <w:trPr>
          <w:trHeight w:val="290"/>
        </w:trPr>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2"/>
          </w:tcPr>
          <w:p>
            <w:pPr>
              <w:spacing w:after="0" w:line="290" w:lineRule="exact"/>
              <w:rPr>
                <w:sz w:val="20"/>
                <w:szCs w:val="20"/>
                <w:color w:val="auto"/>
              </w:rPr>
            </w:pPr>
            <w:r>
              <w:rPr>
                <w:rFonts w:ascii="Arial" w:cs="Arial" w:eastAsia="Arial" w:hAnsi="Arial"/>
                <w:sz w:val="20"/>
                <w:szCs w:val="20"/>
                <w:color w:val="auto"/>
              </w:rPr>
              <w:t>22</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Floor</w:t>
            </w:r>
          </w:p>
        </w:tc>
        <w:tc>
          <w:tcPr>
            <w:tcW w:w="2680" w:type="dxa"/>
            <w:vAlign w:val="bottom"/>
            <w:gridSpan w:val="2"/>
          </w:tcPr>
          <w:p>
            <w:pPr>
              <w:ind w:left="220"/>
              <w:spacing w:after="0" w:line="290" w:lineRule="exact"/>
              <w:rPr>
                <w:sz w:val="20"/>
                <w:szCs w:val="20"/>
                <w:color w:val="auto"/>
              </w:rPr>
            </w:pPr>
            <w:r>
              <w:rPr>
                <w:rFonts w:ascii="Arial" w:cs="Arial" w:eastAsia="Arial" w:hAnsi="Arial"/>
                <w:sz w:val="20"/>
                <w:szCs w:val="20"/>
                <w:color w:val="auto"/>
              </w:rPr>
              <w:t>22</w:t>
            </w:r>
            <w:r>
              <w:rPr>
                <w:rFonts w:ascii="Arial" w:cs="Arial" w:eastAsia="Arial" w:hAnsi="Arial"/>
                <w:sz w:val="33"/>
                <w:szCs w:val="33"/>
                <w:color w:val="auto"/>
                <w:vertAlign w:val="superscript"/>
              </w:rPr>
              <w:t>nd</w:t>
            </w:r>
            <w:r>
              <w:rPr>
                <w:rFonts w:ascii="Arial" w:cs="Arial" w:eastAsia="Arial" w:hAnsi="Arial"/>
                <w:sz w:val="20"/>
                <w:szCs w:val="20"/>
                <w:color w:val="auto"/>
              </w:rPr>
              <w:t xml:space="preserve"> Floor</w:t>
            </w:r>
          </w:p>
        </w:tc>
      </w:tr>
      <w:tr>
        <w:trPr>
          <w:trHeight w:val="275"/>
        </w:trPr>
        <w:tc>
          <w:tcPr>
            <w:tcW w:w="1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40" w:type="dxa"/>
            <w:vAlign w:val="bottom"/>
            <w:gridSpan w:val="2"/>
          </w:tcPr>
          <w:p>
            <w:pPr>
              <w:spacing w:after="0"/>
              <w:rPr>
                <w:sz w:val="20"/>
                <w:szCs w:val="20"/>
                <w:color w:val="auto"/>
              </w:rPr>
            </w:pPr>
            <w:r>
              <w:rPr>
                <w:rFonts w:ascii="Arial" w:cs="Arial" w:eastAsia="Arial" w:hAnsi="Arial"/>
                <w:sz w:val="22"/>
                <w:szCs w:val="22"/>
                <w:color w:val="auto"/>
              </w:rPr>
              <w:t>Brooklyn, NY 11245</w:t>
            </w:r>
          </w:p>
        </w:tc>
        <w:tc>
          <w:tcPr>
            <w:tcW w:w="2680" w:type="dxa"/>
            <w:vAlign w:val="bottom"/>
            <w:gridSpan w:val="2"/>
          </w:tcPr>
          <w:p>
            <w:pPr>
              <w:ind w:left="220"/>
              <w:spacing w:after="0"/>
              <w:rPr>
                <w:sz w:val="20"/>
                <w:szCs w:val="20"/>
                <w:color w:val="auto"/>
              </w:rPr>
            </w:pPr>
            <w:r>
              <w:rPr>
                <w:rFonts w:ascii="Arial" w:cs="Arial" w:eastAsia="Arial" w:hAnsi="Arial"/>
                <w:sz w:val="22"/>
                <w:szCs w:val="22"/>
                <w:color w:val="auto"/>
              </w:rPr>
              <w:t>Brooklyn, NY 11245</w:t>
            </w:r>
          </w:p>
        </w:tc>
      </w:tr>
    </w:tbl>
    <w:p>
      <w:pPr>
        <w:sectPr>
          <w:pgSz w:w="11900" w:h="16894" w:orient="portrait"/>
          <w:cols w:equalWidth="0" w:num="1">
            <w:col w:w="11420"/>
          </w:cols>
          <w:pgMar w:left="240" w:top="118" w:right="239" w:bottom="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20" w:type="dxa"/>
            <w:vAlign w:val="bottom"/>
          </w:tcPr>
          <w:p>
            <w:pPr>
              <w:spacing w:after="0"/>
              <w:rPr>
                <w:sz w:val="20"/>
                <w:szCs w:val="20"/>
                <w:color w:val="auto"/>
              </w:rPr>
            </w:pPr>
            <w:r>
              <w:rPr>
                <w:rFonts w:ascii="Arial" w:cs="Arial" w:eastAsia="Arial" w:hAnsi="Arial"/>
                <w:sz w:val="22"/>
                <w:szCs w:val="22"/>
                <w:color w:val="auto"/>
              </w:rPr>
              <w:t>Citibank, N.A</w:t>
            </w:r>
          </w:p>
        </w:tc>
        <w:tc>
          <w:tcPr>
            <w:tcW w:w="1800" w:type="dxa"/>
            <w:vAlign w:val="bottom"/>
          </w:tcPr>
          <w:p>
            <w:pPr>
              <w:ind w:left="620"/>
              <w:spacing w:after="0"/>
              <w:rPr>
                <w:sz w:val="20"/>
                <w:szCs w:val="20"/>
                <w:color w:val="auto"/>
              </w:rPr>
            </w:pPr>
            <w:r>
              <w:rPr>
                <w:rFonts w:ascii="Arial" w:cs="Arial" w:eastAsia="Arial" w:hAnsi="Arial"/>
                <w:sz w:val="22"/>
                <w:szCs w:val="22"/>
                <w:color w:val="auto"/>
                <w:w w:val="86"/>
              </w:rPr>
              <w:t>$100,000,000</w:t>
            </w:r>
          </w:p>
        </w:tc>
      </w:tr>
      <w:tr>
        <w:trPr>
          <w:trHeight w:val="608"/>
        </w:trPr>
        <w:tc>
          <w:tcPr>
            <w:tcW w:w="1920" w:type="dxa"/>
            <w:vAlign w:val="bottom"/>
          </w:tcPr>
          <w:p>
            <w:pPr>
              <w:spacing w:after="0"/>
              <w:rPr>
                <w:sz w:val="20"/>
                <w:szCs w:val="20"/>
                <w:color w:val="auto"/>
              </w:rPr>
            </w:pPr>
            <w:r>
              <w:rPr>
                <w:rFonts w:ascii="Arial" w:cs="Arial" w:eastAsia="Arial" w:hAnsi="Arial"/>
                <w:sz w:val="22"/>
                <w:szCs w:val="22"/>
                <w:color w:val="auto"/>
              </w:rPr>
              <w:t>SunTrust Bank</w:t>
            </w:r>
          </w:p>
        </w:tc>
        <w:tc>
          <w:tcPr>
            <w:tcW w:w="1800" w:type="dxa"/>
            <w:vAlign w:val="bottom"/>
          </w:tcPr>
          <w:p>
            <w:pPr>
              <w:ind w:left="620"/>
              <w:spacing w:after="0"/>
              <w:rPr>
                <w:sz w:val="20"/>
                <w:szCs w:val="20"/>
                <w:color w:val="auto"/>
              </w:rPr>
            </w:pPr>
            <w:r>
              <w:rPr>
                <w:rFonts w:ascii="Arial" w:cs="Arial" w:eastAsia="Arial" w:hAnsi="Arial"/>
                <w:sz w:val="22"/>
                <w:szCs w:val="22"/>
                <w:color w:val="auto"/>
                <w:w w:val="94"/>
              </w:rPr>
              <w:t>$75,000,000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TOTAL OF COMMITMENTS</w:t>
      </w:r>
      <w:r>
        <w:rPr>
          <w:sz w:val="20"/>
          <w:szCs w:val="20"/>
          <w:color w:val="auto"/>
        </w:rPr>
        <w:tab/>
      </w:r>
      <w:r>
        <w:rPr>
          <w:rFonts w:ascii="Arial" w:cs="Arial" w:eastAsia="Arial" w:hAnsi="Arial"/>
          <w:sz w:val="19"/>
          <w:szCs w:val="19"/>
          <w:b w:val="1"/>
          <w:bCs w:val="1"/>
          <w:color w:val="auto"/>
        </w:rPr>
        <w:t>$250,000,000</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22"/>
          <w:szCs w:val="22"/>
          <w:color w:val="auto"/>
        </w:rPr>
        <w:t>Attn: Charles Swarns</w:t>
      </w:r>
      <w:r>
        <w:rPr>
          <w:sz w:val="20"/>
          <w:szCs w:val="20"/>
          <w:color w:val="auto"/>
        </w:rPr>
        <w:tab/>
      </w:r>
      <w:r>
        <w:rPr>
          <w:rFonts w:ascii="Arial" w:cs="Arial" w:eastAsia="Arial" w:hAnsi="Arial"/>
          <w:sz w:val="19"/>
          <w:szCs w:val="19"/>
          <w:color w:val="auto"/>
        </w:rPr>
        <w:t>Attn: Charles Swarns</w:t>
      </w:r>
    </w:p>
    <w:p>
      <w:pPr>
        <w:spacing w:after="0"/>
        <w:tabs>
          <w:tab w:leader="none" w:pos="2740" w:val="left"/>
        </w:tabs>
        <w:rPr>
          <w:sz w:val="20"/>
          <w:szCs w:val="20"/>
          <w:color w:val="auto"/>
        </w:rPr>
      </w:pPr>
      <w:r>
        <w:rPr>
          <w:rFonts w:ascii="Arial" w:cs="Arial" w:eastAsia="Arial" w:hAnsi="Arial"/>
          <w:sz w:val="22"/>
          <w:szCs w:val="22"/>
          <w:color w:val="auto"/>
        </w:rPr>
        <w:t>T: 718 242-3792</w:t>
      </w:r>
      <w:r>
        <w:rPr>
          <w:sz w:val="20"/>
          <w:szCs w:val="20"/>
          <w:color w:val="auto"/>
        </w:rPr>
        <w:tab/>
      </w:r>
      <w:r>
        <w:rPr>
          <w:rFonts w:ascii="Arial" w:cs="Arial" w:eastAsia="Arial" w:hAnsi="Arial"/>
          <w:sz w:val="19"/>
          <w:szCs w:val="19"/>
          <w:color w:val="auto"/>
        </w:rPr>
        <w:t>T: 718 242-3792</w:t>
      </w:r>
    </w:p>
    <w:p>
      <w:pPr>
        <w:spacing w:after="0" w:line="1"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F: 718 242-3846</w:t>
      </w:r>
      <w:r>
        <w:rPr>
          <w:sz w:val="20"/>
          <w:szCs w:val="20"/>
          <w:color w:val="auto"/>
        </w:rPr>
        <w:tab/>
      </w:r>
      <w:r>
        <w:rPr>
          <w:rFonts w:ascii="Arial" w:cs="Arial" w:eastAsia="Arial" w:hAnsi="Arial"/>
          <w:sz w:val="19"/>
          <w:szCs w:val="19"/>
          <w:color w:val="auto"/>
        </w:rPr>
        <w:t>F: 718 242-3846</w:t>
      </w:r>
    </w:p>
    <w:p>
      <w:pPr>
        <w:spacing w:after="0" w:line="215"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Two Penns Way</w:t>
      </w:r>
      <w:r>
        <w:rPr>
          <w:sz w:val="20"/>
          <w:szCs w:val="20"/>
          <w:color w:val="auto"/>
        </w:rPr>
        <w:tab/>
      </w:r>
      <w:r>
        <w:rPr>
          <w:rFonts w:ascii="Arial" w:cs="Arial" w:eastAsia="Arial" w:hAnsi="Arial"/>
          <w:sz w:val="19"/>
          <w:szCs w:val="19"/>
          <w:color w:val="auto"/>
        </w:rPr>
        <w:t>Two Penns Way</w:t>
      </w:r>
    </w:p>
    <w:p>
      <w:pPr>
        <w:spacing w:after="0" w:line="8"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New Castle, DE 19720</w:t>
      </w:r>
      <w:r>
        <w:rPr>
          <w:sz w:val="20"/>
          <w:szCs w:val="20"/>
          <w:color w:val="auto"/>
        </w:rPr>
        <w:tab/>
      </w:r>
      <w:r>
        <w:rPr>
          <w:rFonts w:ascii="Arial" w:cs="Arial" w:eastAsia="Arial" w:hAnsi="Arial"/>
          <w:sz w:val="19"/>
          <w:szCs w:val="19"/>
          <w:color w:val="auto"/>
        </w:rPr>
        <w:t>New Castle, DE 19720</w:t>
      </w:r>
    </w:p>
    <w:p>
      <w:pPr>
        <w:spacing w:after="0" w:line="215"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1445 New York Avenue, NW</w:t>
      </w:r>
      <w:r>
        <w:rPr>
          <w:sz w:val="20"/>
          <w:szCs w:val="20"/>
          <w:color w:val="auto"/>
        </w:rPr>
        <w:tab/>
      </w:r>
      <w:r>
        <w:rPr>
          <w:rFonts w:ascii="Arial" w:cs="Arial" w:eastAsia="Arial" w:hAnsi="Arial"/>
          <w:sz w:val="19"/>
          <w:szCs w:val="19"/>
          <w:color w:val="auto"/>
        </w:rPr>
        <w:t>1445 New York Avenue, NW</w:t>
      </w:r>
    </w:p>
    <w:p>
      <w:pPr>
        <w:spacing w:after="0"/>
        <w:tabs>
          <w:tab w:leader="none" w:pos="2740" w:val="left"/>
        </w:tabs>
        <w:rPr>
          <w:sz w:val="20"/>
          <w:szCs w:val="20"/>
          <w:color w:val="auto"/>
        </w:rPr>
      </w:pPr>
      <w:r>
        <w:rPr>
          <w:rFonts w:ascii="Arial" w:cs="Arial" w:eastAsia="Arial" w:hAnsi="Arial"/>
          <w:sz w:val="22"/>
          <w:szCs w:val="22"/>
          <w:color w:val="auto"/>
        </w:rPr>
        <w:t>Washington, DC 20005</w:t>
      </w:r>
      <w:r>
        <w:rPr>
          <w:sz w:val="20"/>
          <w:szCs w:val="20"/>
          <w:color w:val="auto"/>
        </w:rPr>
        <w:tab/>
      </w:r>
      <w:r>
        <w:rPr>
          <w:rFonts w:ascii="Arial" w:cs="Arial" w:eastAsia="Arial" w:hAnsi="Arial"/>
          <w:sz w:val="19"/>
          <w:szCs w:val="19"/>
          <w:color w:val="auto"/>
        </w:rPr>
        <w:t>Washington, DC 20005</w:t>
      </w:r>
    </w:p>
    <w:p>
      <w:pPr>
        <w:spacing w:after="0"/>
        <w:tabs>
          <w:tab w:leader="none" w:pos="2740" w:val="left"/>
        </w:tabs>
        <w:rPr>
          <w:sz w:val="20"/>
          <w:szCs w:val="20"/>
          <w:color w:val="auto"/>
        </w:rPr>
      </w:pPr>
      <w:r>
        <w:rPr>
          <w:rFonts w:ascii="Arial" w:cs="Arial" w:eastAsia="Arial" w:hAnsi="Arial"/>
          <w:sz w:val="22"/>
          <w:szCs w:val="22"/>
          <w:color w:val="auto"/>
        </w:rPr>
        <w:t>Attn: Nancy Petrash</w:t>
      </w:r>
      <w:r>
        <w:rPr>
          <w:sz w:val="20"/>
          <w:szCs w:val="20"/>
          <w:color w:val="auto"/>
        </w:rPr>
        <w:tab/>
      </w:r>
      <w:r>
        <w:rPr>
          <w:rFonts w:ascii="Arial" w:cs="Arial" w:eastAsia="Arial" w:hAnsi="Arial"/>
          <w:sz w:val="19"/>
          <w:szCs w:val="19"/>
          <w:color w:val="auto"/>
        </w:rPr>
        <w:t>Attn: Nancy Petrash</w:t>
      </w:r>
    </w:p>
    <w:p>
      <w:pPr>
        <w:spacing w:after="0"/>
        <w:tabs>
          <w:tab w:leader="none" w:pos="2740" w:val="left"/>
        </w:tabs>
        <w:rPr>
          <w:sz w:val="20"/>
          <w:szCs w:val="20"/>
          <w:color w:val="auto"/>
        </w:rPr>
      </w:pPr>
      <w:r>
        <w:rPr>
          <w:rFonts w:ascii="Arial" w:cs="Arial" w:eastAsia="Arial" w:hAnsi="Arial"/>
          <w:sz w:val="22"/>
          <w:szCs w:val="22"/>
          <w:color w:val="auto"/>
        </w:rPr>
        <w:t>T: 202 879-6432</w:t>
      </w:r>
      <w:r>
        <w:rPr>
          <w:sz w:val="20"/>
          <w:szCs w:val="20"/>
          <w:color w:val="auto"/>
        </w:rPr>
        <w:tab/>
      </w:r>
      <w:r>
        <w:rPr>
          <w:rFonts w:ascii="Arial" w:cs="Arial" w:eastAsia="Arial" w:hAnsi="Arial"/>
          <w:sz w:val="19"/>
          <w:szCs w:val="19"/>
          <w:color w:val="auto"/>
        </w:rPr>
        <w:t>T: 202 879-6432</w:t>
      </w:r>
    </w:p>
    <w:p>
      <w:pPr>
        <w:spacing w:after="0" w:line="1"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F: 202 879-6137</w:t>
      </w:r>
      <w:r>
        <w:rPr>
          <w:sz w:val="20"/>
          <w:szCs w:val="20"/>
          <w:color w:val="auto"/>
        </w:rPr>
        <w:tab/>
      </w:r>
      <w:r>
        <w:rPr>
          <w:rFonts w:ascii="Arial" w:cs="Arial" w:eastAsia="Arial" w:hAnsi="Arial"/>
          <w:sz w:val="19"/>
          <w:szCs w:val="19"/>
          <w:color w:val="auto"/>
        </w:rPr>
        <w:t>F: 202 879-6137</w:t>
      </w:r>
    </w:p>
    <w:sectPr>
      <w:pgSz w:w="11900" w:h="16838" w:orient="portrait"/>
      <w:cols w:equalWidth="0" w:num="2">
        <w:col w:w="3720" w:space="380"/>
        <w:col w:w="61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1"/>
    </w:lvl>
    <w:lvl w:ilvl="1">
      <w:lvlJc w:val="left"/>
      <w:lvlText w:val="(%2)"/>
      <w:numFmt w:val="lowerLetter"/>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lvl w:ilvl="1">
      <w:lvlJc w:val="left"/>
      <w:lvlText w:val="(%2)"/>
      <w:numFmt w:val="lowerRoman"/>
      <w:start w:val="1"/>
    </w:lvl>
  </w:abstractNum>
  <w:abstractNum w:abstractNumId="7">
    <w:nsid w:val="5BD062C2"/>
    <w:multiLevelType w:val="hybridMultilevel"/>
    <w:lvl w:ilvl="0">
      <w:lvlJc w:val="left"/>
      <w:lvlText w:val="(%1)"/>
      <w:numFmt w:val="lowerLetter"/>
      <w:start w:val="3"/>
    </w:lvl>
    <w:lvl w:ilvl="1">
      <w:lvlJc w:val="left"/>
      <w:lvlText w:val="%2"/>
      <w:numFmt w:val="lowerRoman"/>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2019-12-13T08:06:26Z</dcterms:created>
  <dcterms:modified xsi:type="dcterms:W3CDTF">2019-12-13T08:06:26Z</dcterms:modified>
</cp:coreProperties>
</file>