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2" w:lineRule="exact"/>
        <w:rPr>
          <w:sz w:val="24"/>
          <w:szCs w:val="24"/>
          <w:color w:val="auto"/>
        </w:rPr>
      </w:pPr>
    </w:p>
    <w:p>
      <w:pPr>
        <w:jc w:val="center"/>
        <w:ind w:right="-599"/>
        <w:spacing w:after="0"/>
        <w:rPr>
          <w:sz w:val="20"/>
          <w:szCs w:val="20"/>
          <w:color w:val="auto"/>
        </w:rPr>
      </w:pPr>
      <w:r>
        <w:rPr>
          <w:rFonts w:ascii="Arial" w:cs="Arial" w:eastAsia="Arial" w:hAnsi="Arial"/>
          <w:sz w:val="22"/>
          <w:szCs w:val="22"/>
          <w:color w:val="auto"/>
        </w:rPr>
        <w:t>SECURITIES AND EXCHANGE COMMISSION</w:t>
      </w:r>
    </w:p>
    <w:p>
      <w:pPr>
        <w:spacing w:after="0" w:line="1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212090</wp:posOffset>
            </wp:positionV>
            <wp:extent cx="11106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99"/>
        <w:spacing w:after="0"/>
        <w:rPr>
          <w:sz w:val="20"/>
          <w:szCs w:val="20"/>
          <w:color w:val="auto"/>
        </w:rPr>
      </w:pPr>
      <w:r>
        <w:rPr>
          <w:rFonts w:ascii="Arial" w:cs="Arial" w:eastAsia="Arial" w:hAnsi="Arial"/>
          <w:sz w:val="32"/>
          <w:szCs w:val="32"/>
          <w:color w:val="auto"/>
        </w:rPr>
        <w:t>SCHEDULE 13D</w:t>
      </w:r>
    </w:p>
    <w:p>
      <w:pPr>
        <w:spacing w:after="0" w:line="45"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Under the Securities Exchange Act of 1934</w:t>
      </w:r>
    </w:p>
    <w:p>
      <w:pPr>
        <w:spacing w:after="0" w:line="8"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209550</wp:posOffset>
            </wp:positionV>
            <wp:extent cx="11106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679"/>
        <w:spacing w:after="0"/>
        <w:rPr>
          <w:sz w:val="20"/>
          <w:szCs w:val="20"/>
          <w:color w:val="auto"/>
        </w:rPr>
      </w:pPr>
      <w:r>
        <w:rPr>
          <w:rFonts w:ascii="Arial" w:cs="Arial" w:eastAsia="Arial" w:hAnsi="Arial"/>
          <w:sz w:val="40"/>
          <w:szCs w:val="40"/>
          <w:color w:val="auto"/>
        </w:rPr>
        <w:t>Corinthian Colleges, Inc.</w:t>
      </w:r>
    </w:p>
    <w:p>
      <w:pPr>
        <w:spacing w:after="0" w:line="3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208280</wp:posOffset>
            </wp:positionV>
            <wp:extent cx="111061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209550</wp:posOffset>
            </wp:positionV>
            <wp:extent cx="11106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218868107</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72390</wp:posOffset>
            </wp:positionV>
            <wp:extent cx="111061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Graham Holdings Company</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(202) 334-6000</w:t>
      </w:r>
    </w:p>
    <w:p>
      <w:pPr>
        <w:spacing w:after="0" w:line="211"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209550</wp:posOffset>
            </wp:positionV>
            <wp:extent cx="111061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March 11, 2014</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741045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321" w:right="8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218868107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Borders>
              <w:top w:val="single" w:sz="8" w:color="auto"/>
            </w:tcBorders>
          </w:tcPr>
          <w:p>
            <w:pPr>
              <w:spacing w:after="0"/>
              <w:rPr>
                <w:sz w:val="18"/>
                <w:szCs w:val="18"/>
                <w:color w:val="auto"/>
              </w:rPr>
            </w:pPr>
          </w:p>
        </w:tc>
        <w:tc>
          <w:tcPr>
            <w:tcW w:w="520" w:type="dxa"/>
            <w:vAlign w:val="bottom"/>
            <w:tcBorders>
              <w:top w:val="single" w:sz="8" w:color="auto"/>
              <w:right w:val="single" w:sz="8" w:color="auto"/>
            </w:tcBorders>
          </w:tcPr>
          <w:p>
            <w:pPr>
              <w:spacing w:after="0"/>
              <w:rPr>
                <w:sz w:val="18"/>
                <w:szCs w:val="18"/>
                <w:color w:val="auto"/>
              </w:rPr>
            </w:pPr>
          </w:p>
        </w:tc>
        <w:tc>
          <w:tcPr>
            <w:tcW w:w="1024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6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1</w:t>
            </w:r>
          </w:p>
        </w:tc>
        <w:tc>
          <w:tcPr>
            <w:tcW w:w="520" w:type="dxa"/>
            <w:vAlign w:val="bottom"/>
            <w:tcBorders>
              <w:right w:val="single" w:sz="8" w:color="auto"/>
            </w:tcBorders>
          </w:tcPr>
          <w:p>
            <w:pPr>
              <w:spacing w:after="0"/>
              <w:rPr>
                <w:sz w:val="20"/>
                <w:szCs w:val="20"/>
                <w:color w:val="auto"/>
              </w:rPr>
            </w:pPr>
          </w:p>
        </w:tc>
        <w:tc>
          <w:tcPr>
            <w:tcW w:w="1024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Graham Holdings Company</w:t>
            </w:r>
          </w:p>
        </w:tc>
        <w:tc>
          <w:tcPr>
            <w:tcW w:w="0" w:type="dxa"/>
            <w:vAlign w:val="bottom"/>
          </w:tcPr>
          <w:p>
            <w:pPr>
              <w:spacing w:after="0"/>
              <w:rPr>
                <w:sz w:val="1"/>
                <w:szCs w:val="1"/>
                <w:color w:val="auto"/>
              </w:rPr>
            </w:pPr>
          </w:p>
        </w:tc>
      </w:tr>
      <w:tr>
        <w:trPr>
          <w:trHeight w:val="299"/>
        </w:trPr>
        <w:tc>
          <w:tcPr>
            <w:tcW w:w="680" w:type="dxa"/>
            <w:vAlign w:val="bottom"/>
            <w:vMerge w:val="continue"/>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0240" w:type="dxa"/>
            <w:vAlign w:val="bottom"/>
            <w:tcBorders>
              <w:right w:val="single" w:sz="8" w:color="auto"/>
            </w:tcBorders>
            <w:gridSpan w:val="3"/>
            <w:vMerge w:val="restart"/>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2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I.R.S. I.D. #53-0182885</w:t>
            </w:r>
          </w:p>
        </w:tc>
        <w:tc>
          <w:tcPr>
            <w:tcW w:w="0" w:type="dxa"/>
            <w:vAlign w:val="bottom"/>
          </w:tcPr>
          <w:p>
            <w:pPr>
              <w:spacing w:after="0"/>
              <w:rPr>
                <w:sz w:val="1"/>
                <w:szCs w:val="1"/>
                <w:color w:val="auto"/>
              </w:rPr>
            </w:pPr>
          </w:p>
        </w:tc>
      </w:tr>
      <w:tr>
        <w:trPr>
          <w:trHeight w:val="230"/>
        </w:trPr>
        <w:tc>
          <w:tcPr>
            <w:tcW w:w="6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2</w:t>
            </w:r>
          </w:p>
        </w:tc>
        <w:tc>
          <w:tcPr>
            <w:tcW w:w="520" w:type="dxa"/>
            <w:vAlign w:val="bottom"/>
            <w:tcBorders>
              <w:right w:val="single" w:sz="8" w:color="auto"/>
            </w:tcBorders>
          </w:tcPr>
          <w:p>
            <w:pPr>
              <w:spacing w:after="0"/>
              <w:rPr>
                <w:sz w:val="20"/>
                <w:szCs w:val="20"/>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1"/>
        </w:trPr>
        <w:tc>
          <w:tcPr>
            <w:tcW w:w="680" w:type="dxa"/>
            <w:vAlign w:val="bottom"/>
            <w:vMerge w:val="continue"/>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14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8460" w:type="dxa"/>
            <w:vAlign w:val="bottom"/>
            <w:vMerge w:val="restart"/>
          </w:tcPr>
          <w:p>
            <w:pPr>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34"/>
        </w:trPr>
        <w:tc>
          <w:tcPr>
            <w:tcW w:w="6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8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3</w:t>
            </w:r>
          </w:p>
        </w:tc>
        <w:tc>
          <w:tcPr>
            <w:tcW w:w="520" w:type="dxa"/>
            <w:vAlign w:val="bottom"/>
            <w:tcBorders>
              <w:top w:val="single" w:sz="8" w:color="auto"/>
              <w:right w:val="single" w:sz="8" w:color="auto"/>
            </w:tcBorders>
          </w:tcPr>
          <w:p>
            <w:pPr>
              <w:spacing w:after="0"/>
              <w:rPr>
                <w:sz w:val="19"/>
                <w:szCs w:val="19"/>
                <w:color w:val="auto"/>
              </w:rPr>
            </w:pPr>
          </w:p>
        </w:tc>
        <w:tc>
          <w:tcPr>
            <w:tcW w:w="17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SEC USE ONLY</w:t>
            </w:r>
          </w:p>
        </w:tc>
        <w:tc>
          <w:tcPr>
            <w:tcW w:w="8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80" w:type="dxa"/>
            <w:vAlign w:val="bottom"/>
            <w:vMerge w:val="continue"/>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tcBorders>
            <w:gridSpan w:val="2"/>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4</w:t>
            </w:r>
          </w:p>
        </w:tc>
        <w:tc>
          <w:tcPr>
            <w:tcW w:w="520" w:type="dxa"/>
            <w:vAlign w:val="bottom"/>
            <w:tcBorders>
              <w:right w:val="single" w:sz="8" w:color="auto"/>
            </w:tcBorders>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w w:val="91"/>
              </w:rPr>
              <w:t>SOURCE OF FUNDS</w:t>
            </w:r>
          </w:p>
        </w:tc>
        <w:tc>
          <w:tcPr>
            <w:tcW w:w="8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80" w:type="dxa"/>
            <w:vAlign w:val="bottom"/>
            <w:vMerge w:val="continue"/>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WC</w:t>
            </w:r>
          </w:p>
        </w:tc>
        <w:tc>
          <w:tcPr>
            <w:tcW w:w="6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520" w:type="dxa"/>
            <w:vAlign w:val="bottom"/>
            <w:tcBorders>
              <w:right w:val="single" w:sz="8" w:color="auto"/>
            </w:tcBorders>
          </w:tcPr>
          <w:p>
            <w:pPr>
              <w:spacing w:after="0"/>
              <w:rPr>
                <w:sz w:val="19"/>
                <w:szCs w:val="19"/>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4"/>
        </w:trPr>
        <w:tc>
          <w:tcPr>
            <w:tcW w:w="680" w:type="dxa"/>
            <w:vAlign w:val="bottom"/>
            <w:vMerge w:val="continue"/>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14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520" w:type="dxa"/>
            <w:vAlign w:val="bottom"/>
            <w:tcBorders>
              <w:right w:val="single" w:sz="8" w:color="auto"/>
            </w:tcBorders>
          </w:tcPr>
          <w:p>
            <w:pPr>
              <w:spacing w:after="0"/>
              <w:rPr>
                <w:sz w:val="19"/>
                <w:szCs w:val="19"/>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4"/>
        </w:trPr>
        <w:tc>
          <w:tcPr>
            <w:tcW w:w="680" w:type="dxa"/>
            <w:vAlign w:val="bottom"/>
            <w:vMerge w:val="continue"/>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Delaware</w:t>
            </w:r>
          </w:p>
        </w:tc>
        <w:tc>
          <w:tcPr>
            <w:tcW w:w="6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vMerge w:val="restart"/>
          </w:tcPr>
          <w:p>
            <w:pPr>
              <w:jc w:val="right"/>
              <w:ind w:right="138"/>
              <w:spacing w:after="0"/>
              <w:rPr>
                <w:sz w:val="20"/>
                <w:szCs w:val="20"/>
                <w:color w:val="auto"/>
              </w:rPr>
            </w:pPr>
            <w:r>
              <w:rPr>
                <w:rFonts w:ascii="Arial" w:cs="Arial" w:eastAsia="Arial" w:hAnsi="Arial"/>
                <w:sz w:val="32"/>
                <w:szCs w:val="32"/>
                <w:b w:val="1"/>
                <w:bCs w:val="1"/>
                <w:color w:val="auto"/>
              </w:rPr>
              <w:t>7</w:t>
            </w:r>
          </w:p>
        </w:tc>
        <w:tc>
          <w:tcPr>
            <w:tcW w:w="84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23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40" w:type="dxa"/>
            <w:vAlign w:val="bottom"/>
            <w:vMerge w:val="continue"/>
          </w:tcPr>
          <w:p>
            <w:pPr>
              <w:spacing w:after="0"/>
              <w:rPr>
                <w:sz w:val="24"/>
                <w:szCs w:val="24"/>
                <w:color w:val="auto"/>
              </w:rPr>
            </w:pPr>
          </w:p>
        </w:tc>
        <w:tc>
          <w:tcPr>
            <w:tcW w:w="8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4,624,166</w:t>
            </w:r>
          </w:p>
        </w:tc>
        <w:tc>
          <w:tcPr>
            <w:tcW w:w="0" w:type="dxa"/>
            <w:vAlign w:val="bottom"/>
          </w:tcPr>
          <w:p>
            <w:pPr>
              <w:spacing w:after="0"/>
              <w:rPr>
                <w:sz w:val="1"/>
                <w:szCs w:val="1"/>
                <w:color w:val="auto"/>
              </w:rPr>
            </w:pPr>
          </w:p>
        </w:tc>
      </w:tr>
      <w:tr>
        <w:trPr>
          <w:trHeight w:val="134"/>
        </w:trPr>
        <w:tc>
          <w:tcPr>
            <w:tcW w:w="2340" w:type="dxa"/>
            <w:vAlign w:val="bottom"/>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1660" w:type="dxa"/>
            <w:vAlign w:val="bottom"/>
            <w:gridSpan w:val="2"/>
          </w:tcPr>
          <w:p>
            <w:pPr>
              <w:jc w:val="center"/>
              <w:ind w:right="570"/>
              <w:spacing w:after="0" w:line="195" w:lineRule="exact"/>
              <w:rPr>
                <w:sz w:val="20"/>
                <w:szCs w:val="20"/>
                <w:color w:val="auto"/>
              </w:rPr>
            </w:pPr>
            <w:r>
              <w:rPr>
                <w:rFonts w:ascii="Arial" w:cs="Arial" w:eastAsia="Arial" w:hAnsi="Arial"/>
                <w:sz w:val="18"/>
                <w:szCs w:val="18"/>
                <w:color w:val="auto"/>
                <w:w w:val="91"/>
              </w:rPr>
              <w:t>SHARES</w:t>
            </w:r>
          </w:p>
        </w:tc>
        <w:tc>
          <w:tcPr>
            <w:tcW w:w="640" w:type="dxa"/>
            <w:vAlign w:val="bottom"/>
            <w:vMerge w:val="restart"/>
          </w:tcPr>
          <w:p>
            <w:pPr>
              <w:jc w:val="right"/>
              <w:ind w:right="138"/>
              <w:spacing w:after="0"/>
              <w:rPr>
                <w:sz w:val="20"/>
                <w:szCs w:val="20"/>
                <w:color w:val="auto"/>
              </w:rPr>
            </w:pPr>
            <w:r>
              <w:rPr>
                <w:rFonts w:ascii="Arial" w:cs="Arial" w:eastAsia="Arial" w:hAnsi="Arial"/>
                <w:sz w:val="32"/>
                <w:szCs w:val="32"/>
                <w:b w:val="1"/>
                <w:bCs w:val="1"/>
                <w:color w:val="auto"/>
              </w:rPr>
              <w:t>8</w:t>
            </w:r>
          </w:p>
        </w:tc>
        <w:tc>
          <w:tcPr>
            <w:tcW w:w="846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7"/>
        </w:trPr>
        <w:tc>
          <w:tcPr>
            <w:tcW w:w="2340" w:type="dxa"/>
            <w:vAlign w:val="bottom"/>
            <w:gridSpan w:val="3"/>
          </w:tcPr>
          <w:p>
            <w:pPr>
              <w:jc w:val="center"/>
              <w:spacing w:after="0"/>
              <w:rPr>
                <w:sz w:val="20"/>
                <w:szCs w:val="20"/>
                <w:color w:val="auto"/>
              </w:rPr>
            </w:pPr>
            <w:r>
              <w:rPr>
                <w:rFonts w:ascii="Arial" w:cs="Arial" w:eastAsia="Arial" w:hAnsi="Arial"/>
                <w:sz w:val="18"/>
                <w:szCs w:val="18"/>
                <w:color w:val="auto"/>
              </w:rPr>
              <w:t>BENEFICIALLY</w:t>
            </w:r>
          </w:p>
        </w:tc>
        <w:tc>
          <w:tcPr>
            <w:tcW w:w="640" w:type="dxa"/>
            <w:vAlign w:val="bottom"/>
            <w:vMerge w:val="continue"/>
          </w:tcPr>
          <w:p>
            <w:pPr>
              <w:spacing w:after="0"/>
              <w:rPr>
                <w:sz w:val="18"/>
                <w:szCs w:val="18"/>
                <w:color w:val="auto"/>
              </w:rPr>
            </w:pPr>
          </w:p>
        </w:tc>
        <w:tc>
          <w:tcPr>
            <w:tcW w:w="8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660" w:type="dxa"/>
            <w:vAlign w:val="bottom"/>
            <w:gridSpan w:val="2"/>
          </w:tcPr>
          <w:p>
            <w:pPr>
              <w:jc w:val="center"/>
              <w:ind w:right="570"/>
              <w:spacing w:after="0"/>
              <w:rPr>
                <w:sz w:val="20"/>
                <w:szCs w:val="20"/>
                <w:color w:val="auto"/>
              </w:rPr>
            </w:pPr>
            <w:r>
              <w:rPr>
                <w:rFonts w:ascii="Arial" w:cs="Arial" w:eastAsia="Arial" w:hAnsi="Arial"/>
                <w:sz w:val="18"/>
                <w:szCs w:val="18"/>
                <w:color w:val="auto"/>
                <w:w w:val="97"/>
              </w:rPr>
              <w:t>OWNED BY</w:t>
            </w:r>
          </w:p>
        </w:tc>
        <w:tc>
          <w:tcPr>
            <w:tcW w:w="64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1660" w:type="dxa"/>
            <w:vAlign w:val="bottom"/>
            <w:gridSpan w:val="2"/>
          </w:tcPr>
          <w:p>
            <w:pPr>
              <w:jc w:val="center"/>
              <w:ind w:right="570"/>
              <w:spacing w:after="0" w:line="182" w:lineRule="exact"/>
              <w:rPr>
                <w:sz w:val="20"/>
                <w:szCs w:val="20"/>
                <w:color w:val="auto"/>
              </w:rPr>
            </w:pPr>
            <w:r>
              <w:rPr>
                <w:rFonts w:ascii="Arial" w:cs="Arial" w:eastAsia="Arial" w:hAnsi="Arial"/>
                <w:sz w:val="18"/>
                <w:szCs w:val="18"/>
                <w:color w:val="auto"/>
                <w:w w:val="95"/>
              </w:rPr>
              <w:t>EACH</w:t>
            </w:r>
          </w:p>
        </w:tc>
        <w:tc>
          <w:tcPr>
            <w:tcW w:w="64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32"/>
                <w:szCs w:val="32"/>
                <w:b w:val="1"/>
                <w:bCs w:val="1"/>
                <w:color w:val="auto"/>
              </w:rPr>
              <w:t>9</w:t>
            </w:r>
          </w:p>
        </w:tc>
        <w:tc>
          <w:tcPr>
            <w:tcW w:w="84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660" w:type="dxa"/>
            <w:vAlign w:val="bottom"/>
            <w:gridSpan w:val="2"/>
          </w:tcPr>
          <w:p>
            <w:pPr>
              <w:jc w:val="center"/>
              <w:ind w:right="570"/>
              <w:spacing w:after="0"/>
              <w:rPr>
                <w:sz w:val="20"/>
                <w:szCs w:val="20"/>
                <w:color w:val="auto"/>
              </w:rPr>
            </w:pPr>
            <w:r>
              <w:rPr>
                <w:rFonts w:ascii="Arial" w:cs="Arial" w:eastAsia="Arial" w:hAnsi="Arial"/>
                <w:sz w:val="18"/>
                <w:szCs w:val="18"/>
                <w:color w:val="auto"/>
                <w:w w:val="93"/>
              </w:rPr>
              <w:t>REPORTING</w:t>
            </w:r>
          </w:p>
        </w:tc>
        <w:tc>
          <w:tcPr>
            <w:tcW w:w="640" w:type="dxa"/>
            <w:vAlign w:val="bottom"/>
            <w:vMerge w:val="continue"/>
          </w:tcPr>
          <w:p>
            <w:pPr>
              <w:spacing w:after="0"/>
              <w:rPr>
                <w:sz w:val="20"/>
                <w:szCs w:val="20"/>
                <w:color w:val="auto"/>
              </w:rPr>
            </w:pPr>
          </w:p>
        </w:tc>
        <w:tc>
          <w:tcPr>
            <w:tcW w:w="8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4,624,166</w:t>
            </w: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1660" w:type="dxa"/>
            <w:vAlign w:val="bottom"/>
            <w:gridSpan w:val="2"/>
          </w:tcPr>
          <w:p>
            <w:pPr>
              <w:jc w:val="center"/>
              <w:ind w:right="570"/>
              <w:spacing w:after="0" w:line="201" w:lineRule="exact"/>
              <w:rPr>
                <w:sz w:val="20"/>
                <w:szCs w:val="20"/>
                <w:color w:val="auto"/>
              </w:rPr>
            </w:pPr>
            <w:r>
              <w:rPr>
                <w:rFonts w:ascii="Arial" w:cs="Arial" w:eastAsia="Arial" w:hAnsi="Arial"/>
                <w:sz w:val="18"/>
                <w:szCs w:val="18"/>
                <w:color w:val="auto"/>
                <w:w w:val="89"/>
              </w:rPr>
              <w:t>PERSON</w:t>
            </w:r>
          </w:p>
        </w:tc>
        <w:tc>
          <w:tcPr>
            <w:tcW w:w="640" w:type="dxa"/>
            <w:vAlign w:val="bottom"/>
          </w:tcPr>
          <w:p>
            <w:pPr>
              <w:spacing w:after="0"/>
              <w:rPr>
                <w:sz w:val="17"/>
                <w:szCs w:val="17"/>
                <w:color w:val="auto"/>
              </w:rPr>
            </w:pPr>
          </w:p>
        </w:tc>
        <w:tc>
          <w:tcPr>
            <w:tcW w:w="8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80" w:type="dxa"/>
            <w:vAlign w:val="bottom"/>
          </w:tcPr>
          <w:p>
            <w:pPr>
              <w:spacing w:after="0"/>
              <w:rPr>
                <w:sz w:val="2"/>
                <w:szCs w:val="2"/>
                <w:color w:val="auto"/>
              </w:rPr>
            </w:pPr>
          </w:p>
        </w:tc>
        <w:tc>
          <w:tcPr>
            <w:tcW w:w="1660" w:type="dxa"/>
            <w:vAlign w:val="bottom"/>
            <w:gridSpan w:val="2"/>
            <w:vMerge w:val="restart"/>
          </w:tcPr>
          <w:p>
            <w:pPr>
              <w:jc w:val="center"/>
              <w:ind w:right="570"/>
              <w:spacing w:after="0"/>
              <w:rPr>
                <w:sz w:val="20"/>
                <w:szCs w:val="20"/>
                <w:color w:val="auto"/>
              </w:rPr>
            </w:pPr>
            <w:r>
              <w:rPr>
                <w:rFonts w:ascii="Arial" w:cs="Arial" w:eastAsia="Arial" w:hAnsi="Arial"/>
                <w:sz w:val="18"/>
                <w:szCs w:val="18"/>
                <w:color w:val="auto"/>
              </w:rPr>
              <w:t>WITH</w:t>
            </w:r>
          </w:p>
        </w:tc>
        <w:tc>
          <w:tcPr>
            <w:tcW w:w="640" w:type="dxa"/>
            <w:vAlign w:val="bottom"/>
            <w:tcBorders>
              <w:bottom w:val="single" w:sz="8" w:color="auto"/>
            </w:tcBorders>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9100" w:type="dxa"/>
            <w:vAlign w:val="bottom"/>
            <w:gridSpan w:val="2"/>
            <w:vMerge w:val="restart"/>
          </w:tcPr>
          <w:p>
            <w:pPr>
              <w:ind w:left="120"/>
              <w:spacing w:after="0" w:line="428" w:lineRule="exact"/>
              <w:rPr>
                <w:sz w:val="20"/>
                <w:szCs w:val="20"/>
                <w:color w:val="auto"/>
              </w:rPr>
            </w:pPr>
            <w:r>
              <w:rPr>
                <w:rFonts w:ascii="Arial" w:cs="Arial" w:eastAsia="Arial" w:hAnsi="Arial"/>
                <w:sz w:val="49"/>
                <w:szCs w:val="49"/>
                <w:b w:val="1"/>
                <w:bCs w:val="1"/>
                <w:color w:val="auto"/>
                <w:vertAlign w:val="subscript"/>
              </w:rPr>
              <w:t>10</w:t>
            </w:r>
            <w:r>
              <w:rPr>
                <w:rFonts w:ascii="Arial" w:cs="Arial" w:eastAsia="Arial" w:hAnsi="Arial"/>
                <w:sz w:val="16"/>
                <w:szCs w:val="16"/>
                <w:color w:val="auto"/>
              </w:rPr>
              <w:t xml:space="preserve">  SHARED DISPOSITIVE POWER</w:t>
            </w: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-4331335</wp:posOffset>
            </wp:positionV>
            <wp:extent cx="7246620" cy="6157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15759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322" w:lineRule="exact"/>
        <w:rPr>
          <w:sz w:val="20"/>
          <w:szCs w:val="20"/>
          <w:color w:val="auto"/>
        </w:rPr>
      </w:pPr>
    </w:p>
    <w:p>
      <w:pPr>
        <w:ind w:left="420"/>
        <w:spacing w:after="0"/>
        <w:rPr>
          <w:sz w:val="20"/>
          <w:szCs w:val="20"/>
          <w:color w:val="auto"/>
        </w:rPr>
      </w:pPr>
      <w:r>
        <w:rPr>
          <w:rFonts w:ascii="Arial" w:cs="Arial" w:eastAsia="Arial" w:hAnsi="Arial"/>
          <w:sz w:val="28"/>
          <w:szCs w:val="28"/>
          <w:b w:val="1"/>
          <w:bCs w:val="1"/>
          <w:color w:val="auto"/>
        </w:rPr>
        <w:t>11</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8"/>
          <w:szCs w:val="18"/>
          <w:b w:val="1"/>
          <w:bCs w:val="1"/>
          <w:color w:val="auto"/>
        </w:rPr>
        <w:t>None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4,624,166</w:t>
      </w:r>
    </w:p>
    <w:p>
      <w:pPr>
        <w:spacing w:after="0" w:line="27" w:lineRule="exact"/>
        <w:rPr>
          <w:sz w:val="20"/>
          <w:szCs w:val="20"/>
          <w:color w:val="auto"/>
        </w:rPr>
      </w:pPr>
    </w:p>
    <w:p>
      <w:pPr>
        <w:sectPr>
          <w:pgSz w:w="11900" w:h="16838" w:orient="portrait"/>
          <w:cols w:equalWidth="0" w:num="2">
            <w:col w:w="740" w:space="580"/>
            <w:col w:w="10100"/>
          </w:cols>
          <w:pgMar w:left="240" w:top="760" w:right="239" w:bottom="1440" w:gutter="0" w:footer="0" w:header="0"/>
          <w:type w:val="continuous"/>
        </w:sectPr>
      </w:pPr>
    </w:p>
    <w:p>
      <w:pPr>
        <w:spacing w:after="0" w:line="108" w:lineRule="exact"/>
        <w:rPr>
          <w:sz w:val="20"/>
          <w:szCs w:val="20"/>
          <w:color w:val="auto"/>
        </w:rPr>
      </w:pPr>
    </w:p>
    <w:p>
      <w:pPr>
        <w:ind w:left="420"/>
        <w:spacing w:after="0"/>
        <w:rPr>
          <w:sz w:val="20"/>
          <w:szCs w:val="20"/>
          <w:color w:val="auto"/>
        </w:rPr>
      </w:pPr>
      <w:r>
        <w:rPr>
          <w:rFonts w:ascii="Arial" w:cs="Arial" w:eastAsia="Arial" w:hAnsi="Arial"/>
          <w:sz w:val="28"/>
          <w:szCs w:val="28"/>
          <w:b w:val="1"/>
          <w:bCs w:val="1"/>
          <w:color w:val="auto"/>
        </w:rPr>
        <w:t>12</w:t>
      </w:r>
    </w:p>
    <w:p>
      <w:pPr>
        <w:spacing w:after="0" w:line="340" w:lineRule="exact"/>
        <w:rPr>
          <w:sz w:val="20"/>
          <w:szCs w:val="20"/>
          <w:color w:val="auto"/>
        </w:rPr>
      </w:pPr>
    </w:p>
    <w:p>
      <w:pPr>
        <w:ind w:left="420"/>
        <w:spacing w:after="0"/>
        <w:rPr>
          <w:sz w:val="20"/>
          <w:szCs w:val="20"/>
          <w:color w:val="auto"/>
        </w:rPr>
      </w:pPr>
      <w:r>
        <w:rPr>
          <w:rFonts w:ascii="Arial" w:cs="Arial" w:eastAsia="Arial" w:hAnsi="Arial"/>
          <w:sz w:val="28"/>
          <w:szCs w:val="28"/>
          <w:b w:val="1"/>
          <w:bCs w:val="1"/>
          <w:color w:val="auto"/>
        </w:rPr>
        <w:t>13</w:t>
      </w:r>
    </w:p>
    <w:p>
      <w:pPr>
        <w:spacing w:after="0" w:line="340" w:lineRule="exact"/>
        <w:rPr>
          <w:sz w:val="20"/>
          <w:szCs w:val="20"/>
          <w:color w:val="auto"/>
        </w:rPr>
      </w:pPr>
    </w:p>
    <w:p>
      <w:pPr>
        <w:ind w:left="42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w:t>
      </w:r>
    </w:p>
    <w:p>
      <w:pPr>
        <w:spacing w:after="0" w:line="20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740" w:space="580"/>
            <w:col w:w="10100"/>
          </w:cols>
          <w:pgMar w:left="240" w:top="760" w:right="239" w:bottom="1440" w:gutter="0" w:footer="0" w:header="0"/>
          <w:type w:val="continuous"/>
        </w:sectPr>
      </w:pPr>
    </w:p>
    <w:bookmarkStart w:id="2" w:name="page3"/>
    <w:bookmarkEnd w:id="2"/>
    <w:p>
      <w:pPr>
        <w:ind w:firstLine="648"/>
        <w:spacing w:after="0" w:line="279" w:lineRule="auto"/>
        <w:rPr>
          <w:sz w:val="20"/>
          <w:szCs w:val="20"/>
          <w:color w:val="auto"/>
        </w:rPr>
      </w:pPr>
      <w:r>
        <w:rPr>
          <w:rFonts w:ascii="Arial" w:cs="Arial" w:eastAsia="Arial" w:hAnsi="Arial"/>
          <w:sz w:val="17"/>
          <w:szCs w:val="17"/>
          <w:color w:val="auto"/>
        </w:rPr>
        <w:t>This Amendment No. 2 amends and supplements the Schedule 13D filed with the Securities and Exchange Commission on February 15, 2008 (the “</w:t>
      </w:r>
      <w:r>
        <w:rPr>
          <w:rFonts w:ascii="Arial" w:cs="Arial" w:eastAsia="Arial" w:hAnsi="Arial"/>
          <w:sz w:val="17"/>
          <w:szCs w:val="17"/>
          <w:u w:val="single" w:color="auto"/>
          <w:color w:val="auto"/>
        </w:rPr>
        <w:t>Original Statement</w:t>
      </w:r>
      <w:r>
        <w:rPr>
          <w:rFonts w:ascii="Arial" w:cs="Arial" w:eastAsia="Arial" w:hAnsi="Arial"/>
          <w:sz w:val="17"/>
          <w:szCs w:val="17"/>
          <w:color w:val="auto"/>
        </w:rPr>
        <w:t>”), as amended on April 30, 2013 (“</w:t>
      </w:r>
      <w:r>
        <w:rPr>
          <w:rFonts w:ascii="Arial" w:cs="Arial" w:eastAsia="Arial" w:hAnsi="Arial"/>
          <w:sz w:val="17"/>
          <w:szCs w:val="17"/>
          <w:u w:val="single" w:color="auto"/>
          <w:color w:val="auto"/>
        </w:rPr>
        <w:t>Amendment No. 1</w:t>
      </w:r>
      <w:r>
        <w:rPr>
          <w:rFonts w:ascii="Arial" w:cs="Arial" w:eastAsia="Arial" w:hAnsi="Arial"/>
          <w:sz w:val="17"/>
          <w:szCs w:val="17"/>
          <w:color w:val="auto"/>
        </w:rPr>
        <w:t>”), relating to the common stock, par value $0.0001 per share, of Corinthian Colleges, Inc., a Delaware corporation. The Original Statement, as amended by Amendment No. 1, is hereinafter referred to as the “</w:t>
      </w:r>
      <w:r>
        <w:rPr>
          <w:rFonts w:ascii="Arial" w:cs="Arial" w:eastAsia="Arial" w:hAnsi="Arial"/>
          <w:sz w:val="17"/>
          <w:szCs w:val="17"/>
          <w:u w:val="single" w:color="auto"/>
          <w:color w:val="auto"/>
        </w:rPr>
        <w:t>Schedule 13D</w:t>
      </w:r>
      <w:r>
        <w:rPr>
          <w:rFonts w:ascii="Arial" w:cs="Arial" w:eastAsia="Arial" w:hAnsi="Arial"/>
          <w:sz w:val="17"/>
          <w:szCs w:val="17"/>
          <w:color w:val="auto"/>
        </w:rPr>
        <w:t>”. All capitalized terms not otherwise defined herein shall have the meanings ascribed to them in the Schedule 13D.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Identity and Background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Item 2 of the Schedule 13D is not amended, except in respect of: (i) Schedule A, which is amended and restated as attached hereto, and (ii) paragraph (a), which is amended and restated as follows:</w:t>
      </w:r>
    </w:p>
    <w:p>
      <w:pPr>
        <w:spacing w:after="0" w:line="224" w:lineRule="exact"/>
        <w:rPr>
          <w:sz w:val="20"/>
          <w:szCs w:val="20"/>
          <w:color w:val="auto"/>
        </w:rPr>
      </w:pPr>
    </w:p>
    <w:p>
      <w:pPr>
        <w:ind w:right="2460" w:firstLine="8"/>
        <w:spacing w:after="0" w:line="501" w:lineRule="auto"/>
        <w:tabs>
          <w:tab w:leader="none" w:pos="24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name of the person filing this statement is Graham Holdings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Item 5. </w:t>
      </w:r>
      <w:r>
        <w:rPr>
          <w:rFonts w:ascii="Arial" w:cs="Arial" w:eastAsia="Arial" w:hAnsi="Arial"/>
          <w:sz w:val="18"/>
          <w:szCs w:val="18"/>
          <w:u w:val="single" w:color="auto"/>
          <w:color w:val="auto"/>
        </w:rPr>
        <w:t>Interest in Securities of the Issuer</w:t>
      </w:r>
    </w:p>
    <w:p>
      <w:pPr>
        <w:ind w:left="660"/>
        <w:spacing w:after="0"/>
        <w:rPr>
          <w:rFonts w:ascii="Arial" w:cs="Arial" w:eastAsia="Arial" w:hAnsi="Arial"/>
          <w:sz w:val="18"/>
          <w:szCs w:val="18"/>
          <w:color w:val="auto"/>
        </w:rPr>
      </w:pPr>
      <w:r>
        <w:rPr>
          <w:rFonts w:ascii="Arial" w:cs="Arial" w:eastAsia="Arial" w:hAnsi="Arial"/>
          <w:sz w:val="18"/>
          <w:szCs w:val="18"/>
          <w:color w:val="auto"/>
        </w:rPr>
        <w:t>Paragraphs (a)-(e) of Item 5 of the Schedule 13D are hereby amended and restated as follows: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(a)-(b) As of the date hereof, the Company owns 4,624,166 shares of Issuer Common Stock. The 4,624,166 shares of Issuer Common Stock constitute 5.3% of the issued and outstanding shares of Issuer Common Stock, based upon disclosure in the Issuer’s most recent Form 10-Q that there were 87,237,498 shares of Issuer Common Stock issued and outstanding as of February 1, 2014. The Company has the sole power to vote and dispose of the 4,624,166 shares of Issuer Common Stock.</w:t>
      </w:r>
    </w:p>
    <w:p>
      <w:pPr>
        <w:spacing w:after="0" w:line="187" w:lineRule="exact"/>
        <w:rPr>
          <w:sz w:val="20"/>
          <w:szCs w:val="20"/>
          <w:color w:val="auto"/>
        </w:rPr>
      </w:pPr>
    </w:p>
    <w:p>
      <w:pPr>
        <w:ind w:right="400" w:firstLine="656"/>
        <w:spacing w:after="0" w:line="308" w:lineRule="auto"/>
        <w:tabs>
          <w:tab w:leader="none" w:pos="893" w:val="left"/>
        </w:tabs>
        <w:numPr>
          <w:ilvl w:val="0"/>
          <w:numId w:val="2"/>
        </w:numPr>
        <w:rPr>
          <w:rFonts w:ascii="Arial" w:cs="Arial" w:eastAsia="Arial" w:hAnsi="Arial"/>
          <w:sz w:val="17"/>
          <w:szCs w:val="17"/>
          <w:color w:val="auto"/>
        </w:rPr>
      </w:pPr>
      <w:r>
        <w:rPr>
          <w:rFonts w:ascii="Arial" w:cs="Arial" w:eastAsia="Arial" w:hAnsi="Arial"/>
          <w:sz w:val="17"/>
          <w:szCs w:val="17"/>
          <w:color w:val="auto"/>
        </w:rPr>
        <w:t>Schedule B attached hereto lists all transactions in the Issuer Common Stock during the past 60 days by the Company. To the Company’s knowledge, no person named in Schedule A has effected any transaction in the Issuer Common Stock during the past 60 days.</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60" w:right="439" w:bottom="1440" w:gutter="0" w:footer="0" w:header="0"/>
        </w:sectPr>
      </w:pPr>
    </w:p>
    <w:bookmarkStart w:id="3" w:name="page4"/>
    <w:bookmarkEnd w:id="3"/>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Veronica Dillon, Esq.</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81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list of the directors and executive officers of Graham Holdings Company, setting forth the present principal occupation or employment and the name and principal business of any corporation or other organization in which such employment is conducted for each such person. Unless otherwise indicated, all directors and officers listed below are citizens of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of Graham Holdings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40" w:type="dxa"/>
            <w:vAlign w:val="bottom"/>
          </w:tcPr>
          <w:p>
            <w:pPr>
              <w:spacing w:after="0"/>
              <w:rPr>
                <w:sz w:val="17"/>
                <w:szCs w:val="17"/>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b w:val="1"/>
                <w:bCs w:val="1"/>
                <w:color w:val="auto"/>
              </w:rPr>
              <w:t>Position</w:t>
            </w: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Present Principal Occupation</w:t>
            </w:r>
          </w:p>
        </w:tc>
        <w:tc>
          <w:tcPr>
            <w:tcW w:w="4120" w:type="dxa"/>
            <w:vAlign w:val="bottom"/>
            <w:gridSpan w:val="3"/>
          </w:tcPr>
          <w:p>
            <w:pPr>
              <w:ind w:left="80"/>
              <w:spacing w:after="0"/>
              <w:rPr>
                <w:sz w:val="20"/>
                <w:szCs w:val="20"/>
                <w:color w:val="auto"/>
              </w:rPr>
            </w:pPr>
            <w:r>
              <w:rPr>
                <w:rFonts w:ascii="Arial" w:cs="Arial" w:eastAsia="Arial" w:hAnsi="Arial"/>
                <w:sz w:val="18"/>
                <w:szCs w:val="18"/>
                <w:b w:val="1"/>
                <w:bCs w:val="1"/>
                <w:color w:val="auto"/>
              </w:rPr>
              <w:t>Business Address</w:t>
            </w: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38"/>
        </w:trPr>
        <w:tc>
          <w:tcPr>
            <w:tcW w:w="210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Chairman, Board of</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Chairman, Board of Directors;</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Graham Holdings Company</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Directors;</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1150 15th Street, N.W.</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Chairman, Executive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Graham Holdings Company</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Washington, D.C. 20071</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Finance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Lee C. Bollinger</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Director; Member,</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w w:val="97"/>
              </w:rPr>
              <w:t>President, Columbia University</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Columbia University in the City of New York</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Compensation Committee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2960 Broadway</w:t>
            </w: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New York, NY 10027</w:t>
            </w: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Christopher C. Davis</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Chairman, Davis Selected</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Davis Selected Advisors, Inc.</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Audit Committee;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Advisers, Inc., an investment</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620 Fifth Avenue</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Chairman, Finance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counseling firm</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3rd Floor</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New York, NY 10017</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Executive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w w:val="92"/>
              </w:rPr>
              <w:t>Chairman and Senior Executive,</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IAC/InterActiveCorp</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Compensation</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IAC/ InterActiveCorp;</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555 West 18th Street</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w w:val="92"/>
              </w:rPr>
              <w:t>Chairman and Senior Executive,</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New York, NY 10011</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Executive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Expedia, Inc.</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Finance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Thomas S. Gayner</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w w:val="95"/>
              </w:rPr>
              <w:t>President and Chief Investment</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Markel Corporation</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Chairman, Audit</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Officer, Markel Corporation</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4521 Highwoods Parkway</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Glenn Allen, VA 23060</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Finance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David Goldberg</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SurveyMonkey</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Finance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SurveyMonkey</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285 Hamilton Avenue</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Suite 500</w:t>
            </w: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Palo Alto, CA 94301</w:t>
            </w: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Anne M. Mulcahy</w:t>
            </w: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w w:val="98"/>
              </w:rPr>
              <w:t>Retired Chairman of the Board</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Graham Holdings Company</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Chairman, Compensation</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1150 15th Street, N.W.</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Xerox Corporation</w:t>
            </w:r>
          </w:p>
        </w:tc>
        <w:tc>
          <w:tcPr>
            <w:tcW w:w="4120" w:type="dxa"/>
            <w:vAlign w:val="bottom"/>
            <w:gridSpan w:val="3"/>
          </w:tcPr>
          <w:p>
            <w:pPr>
              <w:ind w:left="80"/>
              <w:spacing w:after="0"/>
              <w:rPr>
                <w:sz w:val="20"/>
                <w:szCs w:val="20"/>
                <w:color w:val="auto"/>
              </w:rPr>
            </w:pPr>
            <w:r>
              <w:rPr>
                <w:rFonts w:ascii="Arial" w:cs="Arial" w:eastAsia="Arial" w:hAnsi="Arial"/>
                <w:sz w:val="18"/>
                <w:szCs w:val="18"/>
                <w:color w:val="auto"/>
              </w:rPr>
              <w:t>Washington, D.C. 20071</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Member, Executive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60" w:type="dxa"/>
            <w:vAlign w:val="bottom"/>
            <w:gridSpan w:val="3"/>
          </w:tcPr>
          <w:p>
            <w:pPr>
              <w:ind w:left="5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1010"/>
        </w:trPr>
        <w:tc>
          <w:tcPr>
            <w:tcW w:w="4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740" w:type="dxa"/>
            <w:vAlign w:val="bottom"/>
          </w:tcPr>
          <w:p>
            <w:pPr>
              <w:spacing w:after="0"/>
              <w:rPr>
                <w:sz w:val="17"/>
                <w:szCs w:val="17"/>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b w:val="1"/>
                <w:bCs w:val="1"/>
                <w:color w:val="auto"/>
              </w:rPr>
              <w:t>Position</w:t>
            </w:r>
          </w:p>
        </w:tc>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Present Principal Occupation</w:t>
            </w:r>
          </w:p>
        </w:tc>
        <w:tc>
          <w:tcPr>
            <w:tcW w:w="4140" w:type="dxa"/>
            <w:vAlign w:val="bottom"/>
            <w:gridSpan w:val="3"/>
          </w:tcPr>
          <w:p>
            <w:pPr>
              <w:ind w:left="100"/>
              <w:spacing w:after="0"/>
              <w:rPr>
                <w:sz w:val="20"/>
                <w:szCs w:val="20"/>
                <w:color w:val="auto"/>
              </w:rPr>
            </w:pPr>
            <w:r>
              <w:rPr>
                <w:rFonts w:ascii="Arial" w:cs="Arial" w:eastAsia="Arial" w:hAnsi="Arial"/>
                <w:sz w:val="18"/>
                <w:szCs w:val="18"/>
                <w:b w:val="1"/>
                <w:bCs w:val="1"/>
                <w:color w:val="auto"/>
              </w:rPr>
              <w:t>Business Address</w:t>
            </w: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Attorney, Member of Munger,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Munger, Tolles &amp; Olson LLP</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Member, Executive</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w w:val="98"/>
              </w:rPr>
              <w:t>Tolles &amp; Olson LLP, a law firm</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355 South Grand Avenue</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35th Floor</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Los Angeles, CA 90071</w:t>
            </w: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Larry D. Thompson</w:t>
            </w: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PepsiCo, Inc.</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Member, Compensation</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Government Affairs, General</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700 Anderson Hill Road</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Committee</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Counsel and Corporate</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Purchase, New York 10577</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Secretary, PepsiCo, Inc.</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G. Richard Wagoner, Jr.</w:t>
            </w: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w w:val="97"/>
              </w:rPr>
              <w:t>Retired Chairman of the Board</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Graham Holdings Company</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Member, Audit Committee</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1150 15th Street, N.W.</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General Motors Corporation</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Washington, D.C. 20071</w:t>
            </w: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The Washington Post</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Member, Finance</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Washington Post Media;</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1150 15th Street, N.W.</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60" w:type="dxa"/>
            <w:vAlign w:val="bottom"/>
            <w:gridSpan w:val="3"/>
          </w:tcPr>
          <w:p>
            <w:pPr>
              <w:ind w:left="460"/>
              <w:spacing w:after="0"/>
              <w:rPr>
                <w:sz w:val="20"/>
                <w:szCs w:val="20"/>
                <w:color w:val="auto"/>
              </w:rPr>
            </w:pPr>
            <w:r>
              <w:rPr>
                <w:rFonts w:ascii="Arial" w:cs="Arial" w:eastAsia="Arial" w:hAnsi="Arial"/>
                <w:sz w:val="18"/>
                <w:szCs w:val="18"/>
                <w:color w:val="auto"/>
              </w:rPr>
              <w:t>Committee</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w w:val="92"/>
              </w:rPr>
              <w:t>Publisher, The Washington Post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Washington, D.C. 20071</w:t>
            </w:r>
          </w:p>
        </w:tc>
      </w:tr>
      <w:tr>
        <w:trPr>
          <w:trHeight w:val="1388"/>
        </w:trPr>
        <w:tc>
          <w:tcPr>
            <w:tcW w:w="4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 of Graham Holdings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260" w:type="dxa"/>
            <w:vAlign w:val="bottom"/>
          </w:tcPr>
          <w:p>
            <w:pPr>
              <w:spacing w:after="0"/>
              <w:rPr>
                <w:sz w:val="17"/>
                <w:szCs w:val="17"/>
                <w:color w:val="auto"/>
              </w:rPr>
            </w:pPr>
          </w:p>
        </w:tc>
        <w:tc>
          <w:tcPr>
            <w:tcW w:w="9700" w:type="dxa"/>
            <w:vAlign w:val="bottom"/>
            <w:gridSpan w:val="3"/>
          </w:tcPr>
          <w:p>
            <w:pPr>
              <w:ind w:left="32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438"/>
        </w:trPr>
        <w:tc>
          <w:tcPr>
            <w:tcW w:w="172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Chairman of the Board of Directors and Chief</w:t>
            </w: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Executive Officer</w:t>
            </w: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Wallace R. Cooney</w:t>
            </w: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Vice President-Finance and Chief Accounting</w:t>
            </w: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Officer</w:t>
            </w: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Veronica Dillon</w:t>
            </w: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Senior Vice President, General Counsel and</w:t>
            </w: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Secretary</w:t>
            </w: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Hal S. Jones</w:t>
            </w: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Senior Vice President-Finance and Chief Financial</w:t>
            </w: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Officer</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Senior Vice President-Human Resources</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Gerald M. Rosberg</w:t>
            </w: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Senior Vice President-Planning and Development</w:t>
            </w:r>
          </w:p>
        </w:tc>
      </w:tr>
      <w:tr>
        <w:trPr>
          <w:trHeight w:val="2252"/>
        </w:trPr>
        <w:tc>
          <w:tcPr>
            <w:tcW w:w="4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ind w:left="10320"/>
        <w:spacing w:after="0"/>
        <w:rPr>
          <w:sz w:val="20"/>
          <w:szCs w:val="20"/>
          <w:color w:val="auto"/>
        </w:rPr>
      </w:pPr>
      <w:r>
        <w:rPr>
          <w:rFonts w:ascii="Arial" w:cs="Arial" w:eastAsia="Arial" w:hAnsi="Arial"/>
          <w:sz w:val="17"/>
          <w:szCs w:val="17"/>
          <w:color w:val="auto"/>
        </w:rPr>
        <w:t>SCHEDULE B</w:t>
      </w:r>
    </w:p>
    <w:p>
      <w:pPr>
        <w:spacing w:after="0" w:line="200" w:lineRule="exact"/>
        <w:rPr>
          <w:sz w:val="20"/>
          <w:szCs w:val="20"/>
          <w:color w:val="auto"/>
        </w:rPr>
      </w:pPr>
    </w:p>
    <w:p>
      <w:pPr>
        <w:spacing w:after="0" w:line="3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sets forth information regarding all transactions by the Company with respect to Issuer Common Stock during the past 60 days. All such transactions were effected in the open market.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40" w:type="dxa"/>
            <w:vAlign w:val="bottom"/>
            <w:tcBorders>
              <w:top w:val="single" w:sz="8" w:color="auto"/>
              <w:left w:val="single" w:sz="8" w:color="auto"/>
              <w:right w:val="single" w:sz="8" w:color="auto"/>
            </w:tcBorders>
            <w:gridSpan w:val="3"/>
          </w:tcPr>
          <w:p>
            <w:pPr>
              <w:ind w:left="600"/>
              <w:spacing w:after="0" w:line="189" w:lineRule="exact"/>
              <w:rPr>
                <w:sz w:val="20"/>
                <w:szCs w:val="20"/>
                <w:color w:val="auto"/>
              </w:rPr>
            </w:pPr>
            <w:r>
              <w:rPr>
                <w:rFonts w:ascii="Arial" w:cs="Arial" w:eastAsia="Arial" w:hAnsi="Arial"/>
                <w:sz w:val="18"/>
                <w:szCs w:val="18"/>
                <w:b w:val="1"/>
                <w:bCs w:val="1"/>
                <w:color w:val="auto"/>
              </w:rPr>
              <w:t>Date Sold</w:t>
            </w:r>
          </w:p>
        </w:tc>
        <w:tc>
          <w:tcPr>
            <w:tcW w:w="62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No. of Shares Sold</w:t>
            </w:r>
          </w:p>
        </w:tc>
        <w:tc>
          <w:tcPr>
            <w:tcW w:w="780" w:type="dxa"/>
            <w:vAlign w:val="bottom"/>
            <w:tcBorders>
              <w:top w:val="single" w:sz="8" w:color="auto"/>
            </w:tcBorders>
          </w:tcPr>
          <w:p>
            <w:pPr>
              <w:spacing w:after="0"/>
              <w:rPr>
                <w:sz w:val="16"/>
                <w:szCs w:val="16"/>
                <w:color w:val="auto"/>
              </w:rPr>
            </w:pPr>
          </w:p>
        </w:tc>
        <w:tc>
          <w:tcPr>
            <w:tcW w:w="3080" w:type="dxa"/>
            <w:vAlign w:val="bottom"/>
            <w:tcBorders>
              <w:top w:val="single" w:sz="8" w:color="auto"/>
              <w:right w:val="single" w:sz="8" w:color="auto"/>
            </w:tcBorders>
            <w:gridSpan w:val="2"/>
          </w:tcPr>
          <w:p>
            <w:pPr>
              <w:jc w:val="center"/>
              <w:ind w:right="820"/>
              <w:spacing w:after="0" w:line="189" w:lineRule="exact"/>
              <w:rPr>
                <w:sz w:val="20"/>
                <w:szCs w:val="20"/>
                <w:color w:val="auto"/>
              </w:rPr>
            </w:pPr>
            <w:r>
              <w:rPr>
                <w:rFonts w:ascii="Arial" w:cs="Arial" w:eastAsia="Arial" w:hAnsi="Arial"/>
                <w:sz w:val="18"/>
                <w:szCs w:val="18"/>
                <w:b w:val="1"/>
                <w:bCs w:val="1"/>
                <w:color w:val="auto"/>
                <w:w w:val="89"/>
              </w:rPr>
              <w:t xml:space="preserve">Average Sale Price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/Share)*</w:t>
            </w:r>
          </w:p>
        </w:tc>
        <w:tc>
          <w:tcPr>
            <w:tcW w:w="29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9"/>
              </w:rPr>
              <w:t>Transaction Type</w:t>
            </w: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24"/>
        </w:trPr>
        <w:tc>
          <w:tcPr>
            <w:tcW w:w="1340" w:type="dxa"/>
            <w:vAlign w:val="bottom"/>
            <w:tcBorders>
              <w:left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91"/>
              </w:rPr>
              <w:t>3/5/2014</w:t>
            </w:r>
          </w:p>
        </w:tc>
        <w:tc>
          <w:tcPr>
            <w:tcW w:w="600" w:type="dxa"/>
            <w:vAlign w:val="bottom"/>
            <w:tcBorders>
              <w:right w:val="single" w:sz="8" w:color="auto"/>
            </w:tcBorders>
          </w:tcPr>
          <w:p>
            <w:pPr>
              <w:spacing w:after="0"/>
              <w:rPr>
                <w:sz w:val="19"/>
                <w:szCs w:val="19"/>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color w:val="auto"/>
              </w:rPr>
              <w:t>318,218</w:t>
            </w:r>
          </w:p>
        </w:tc>
        <w:tc>
          <w:tcPr>
            <w:tcW w:w="640" w:type="dxa"/>
            <w:vAlign w:val="bottom"/>
            <w:tcBorders>
              <w:right w:val="single" w:sz="8" w:color="auto"/>
            </w:tcBorders>
          </w:tcPr>
          <w:p>
            <w:pPr>
              <w:spacing w:after="0"/>
              <w:rPr>
                <w:sz w:val="19"/>
                <w:szCs w:val="19"/>
                <w:color w:val="auto"/>
              </w:rPr>
            </w:pPr>
          </w:p>
        </w:tc>
        <w:tc>
          <w:tcPr>
            <w:tcW w:w="304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$1.5538</w:t>
            </w:r>
          </w:p>
        </w:tc>
        <w:tc>
          <w:tcPr>
            <w:tcW w:w="82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3"/>
              </w:rPr>
              <w:t>Disposition</w:t>
            </w:r>
          </w:p>
        </w:tc>
      </w:tr>
      <w:tr>
        <w:trPr>
          <w:trHeight w:val="202"/>
        </w:trPr>
        <w:tc>
          <w:tcPr>
            <w:tcW w:w="6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r>
      <w:tr>
        <w:trPr>
          <w:trHeight w:val="224"/>
        </w:trPr>
        <w:tc>
          <w:tcPr>
            <w:tcW w:w="1340" w:type="dxa"/>
            <w:vAlign w:val="bottom"/>
            <w:tcBorders>
              <w:left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91"/>
              </w:rPr>
              <w:t>3/6/2014</w:t>
            </w:r>
          </w:p>
        </w:tc>
        <w:tc>
          <w:tcPr>
            <w:tcW w:w="600" w:type="dxa"/>
            <w:vAlign w:val="bottom"/>
            <w:tcBorders>
              <w:right w:val="single" w:sz="8" w:color="auto"/>
            </w:tcBorders>
          </w:tcPr>
          <w:p>
            <w:pPr>
              <w:spacing w:after="0"/>
              <w:rPr>
                <w:sz w:val="19"/>
                <w:szCs w:val="19"/>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color w:val="auto"/>
              </w:rPr>
              <w:t>285,936</w:t>
            </w:r>
          </w:p>
        </w:tc>
        <w:tc>
          <w:tcPr>
            <w:tcW w:w="640" w:type="dxa"/>
            <w:vAlign w:val="bottom"/>
            <w:tcBorders>
              <w:right w:val="single" w:sz="8" w:color="auto"/>
            </w:tcBorders>
          </w:tcPr>
          <w:p>
            <w:pPr>
              <w:spacing w:after="0"/>
              <w:rPr>
                <w:sz w:val="19"/>
                <w:szCs w:val="19"/>
                <w:color w:val="auto"/>
              </w:rPr>
            </w:pPr>
          </w:p>
        </w:tc>
        <w:tc>
          <w:tcPr>
            <w:tcW w:w="304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$1.5500</w:t>
            </w:r>
          </w:p>
        </w:tc>
        <w:tc>
          <w:tcPr>
            <w:tcW w:w="82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3"/>
              </w:rPr>
              <w:t>Disposition</w:t>
            </w:r>
          </w:p>
        </w:tc>
      </w:tr>
      <w:tr>
        <w:trPr>
          <w:trHeight w:val="202"/>
        </w:trPr>
        <w:tc>
          <w:tcPr>
            <w:tcW w:w="6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r>
      <w:tr>
        <w:trPr>
          <w:trHeight w:val="224"/>
        </w:trPr>
        <w:tc>
          <w:tcPr>
            <w:tcW w:w="1340" w:type="dxa"/>
            <w:vAlign w:val="bottom"/>
            <w:tcBorders>
              <w:left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91"/>
              </w:rPr>
              <w:t>3/7/2014</w:t>
            </w:r>
          </w:p>
        </w:tc>
        <w:tc>
          <w:tcPr>
            <w:tcW w:w="600" w:type="dxa"/>
            <w:vAlign w:val="bottom"/>
            <w:tcBorders>
              <w:right w:val="single" w:sz="8" w:color="auto"/>
            </w:tcBorders>
          </w:tcPr>
          <w:p>
            <w:pPr>
              <w:spacing w:after="0"/>
              <w:rPr>
                <w:sz w:val="19"/>
                <w:szCs w:val="19"/>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color w:val="auto"/>
              </w:rPr>
              <w:t>111,146</w:t>
            </w:r>
          </w:p>
        </w:tc>
        <w:tc>
          <w:tcPr>
            <w:tcW w:w="640" w:type="dxa"/>
            <w:vAlign w:val="bottom"/>
            <w:tcBorders>
              <w:right w:val="single" w:sz="8" w:color="auto"/>
            </w:tcBorders>
          </w:tcPr>
          <w:p>
            <w:pPr>
              <w:spacing w:after="0"/>
              <w:rPr>
                <w:sz w:val="19"/>
                <w:szCs w:val="19"/>
                <w:color w:val="auto"/>
              </w:rPr>
            </w:pPr>
          </w:p>
        </w:tc>
        <w:tc>
          <w:tcPr>
            <w:tcW w:w="304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$1.5501</w:t>
            </w:r>
          </w:p>
        </w:tc>
        <w:tc>
          <w:tcPr>
            <w:tcW w:w="82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3"/>
              </w:rPr>
              <w:t>Disposition</w:t>
            </w:r>
          </w:p>
        </w:tc>
      </w:tr>
      <w:tr>
        <w:trPr>
          <w:trHeight w:val="202"/>
        </w:trPr>
        <w:tc>
          <w:tcPr>
            <w:tcW w:w="6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r>
      <w:tr>
        <w:trPr>
          <w:trHeight w:val="224"/>
        </w:trPr>
        <w:tc>
          <w:tcPr>
            <w:tcW w:w="1340" w:type="dxa"/>
            <w:vAlign w:val="bottom"/>
            <w:tcBorders>
              <w:left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2"/>
              </w:rPr>
              <w:t>3/10/2014</w:t>
            </w:r>
          </w:p>
        </w:tc>
        <w:tc>
          <w:tcPr>
            <w:tcW w:w="600" w:type="dxa"/>
            <w:vAlign w:val="bottom"/>
            <w:tcBorders>
              <w:right w:val="single" w:sz="8" w:color="auto"/>
            </w:tcBorders>
          </w:tcPr>
          <w:p>
            <w:pPr>
              <w:spacing w:after="0"/>
              <w:rPr>
                <w:sz w:val="19"/>
                <w:szCs w:val="19"/>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color w:val="auto"/>
              </w:rPr>
              <w:t>274,774</w:t>
            </w:r>
          </w:p>
        </w:tc>
        <w:tc>
          <w:tcPr>
            <w:tcW w:w="640" w:type="dxa"/>
            <w:vAlign w:val="bottom"/>
            <w:tcBorders>
              <w:right w:val="single" w:sz="8" w:color="auto"/>
            </w:tcBorders>
          </w:tcPr>
          <w:p>
            <w:pPr>
              <w:spacing w:after="0"/>
              <w:rPr>
                <w:sz w:val="19"/>
                <w:szCs w:val="19"/>
                <w:color w:val="auto"/>
              </w:rPr>
            </w:pPr>
          </w:p>
        </w:tc>
        <w:tc>
          <w:tcPr>
            <w:tcW w:w="304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$1.5500</w:t>
            </w:r>
          </w:p>
        </w:tc>
        <w:tc>
          <w:tcPr>
            <w:tcW w:w="82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3"/>
              </w:rPr>
              <w:t>Disposition</w:t>
            </w:r>
          </w:p>
        </w:tc>
      </w:tr>
      <w:tr>
        <w:trPr>
          <w:trHeight w:val="202"/>
        </w:trPr>
        <w:tc>
          <w:tcPr>
            <w:tcW w:w="6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r>
      <w:tr>
        <w:trPr>
          <w:trHeight w:val="224"/>
        </w:trPr>
        <w:tc>
          <w:tcPr>
            <w:tcW w:w="1340" w:type="dxa"/>
            <w:vAlign w:val="bottom"/>
            <w:tcBorders>
              <w:left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89"/>
              </w:rPr>
              <w:t>3/11/2014</w:t>
            </w:r>
          </w:p>
        </w:tc>
        <w:tc>
          <w:tcPr>
            <w:tcW w:w="600" w:type="dxa"/>
            <w:vAlign w:val="bottom"/>
            <w:tcBorders>
              <w:right w:val="single" w:sz="8" w:color="auto"/>
            </w:tcBorders>
          </w:tcPr>
          <w:p>
            <w:pPr>
              <w:spacing w:after="0"/>
              <w:rPr>
                <w:sz w:val="19"/>
                <w:szCs w:val="19"/>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color w:val="auto"/>
              </w:rPr>
              <w:t>91,724</w:t>
            </w:r>
          </w:p>
        </w:tc>
        <w:tc>
          <w:tcPr>
            <w:tcW w:w="640" w:type="dxa"/>
            <w:vAlign w:val="bottom"/>
            <w:tcBorders>
              <w:right w:val="single" w:sz="8" w:color="auto"/>
            </w:tcBorders>
          </w:tcPr>
          <w:p>
            <w:pPr>
              <w:spacing w:after="0"/>
              <w:rPr>
                <w:sz w:val="19"/>
                <w:szCs w:val="19"/>
                <w:color w:val="auto"/>
              </w:rPr>
            </w:pPr>
          </w:p>
        </w:tc>
        <w:tc>
          <w:tcPr>
            <w:tcW w:w="304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$1.5600</w:t>
            </w:r>
          </w:p>
        </w:tc>
        <w:tc>
          <w:tcPr>
            <w:tcW w:w="82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3"/>
              </w:rPr>
              <w:t>Disposition</w:t>
            </w:r>
          </w:p>
        </w:tc>
      </w:tr>
      <w:tr>
        <w:trPr>
          <w:trHeight w:val="202"/>
        </w:trPr>
        <w:tc>
          <w:tcPr>
            <w:tcW w:w="6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*Average sale price excludes commissions.</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2019-12-16T15:50:51Z</dcterms:created>
  <dcterms:modified xsi:type="dcterms:W3CDTF">2019-12-16T15:50:51Z</dcterms:modified>
</cp:coreProperties>
</file>