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64" w:before="0" w:after="18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64" w:before="0" w:after="18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80" w:after="283"/>
        <w:jc w:val="center"/>
        <w:rPr>
          <w:rFonts w:ascii="Arial;sans-serif" w:hAnsi="Arial;sans-serif"/>
          <w:b/>
          <w:color w:val="000000"/>
          <w:sz w:val="36"/>
        </w:rPr>
      </w:pPr>
      <w:r>
        <w:rPr>
          <w:rFonts w:ascii="Arial;sans-serif" w:hAnsi="Arial;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64" w:before="100" w:after="24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64" w:before="180" w:after="240"/>
        <w:jc w:val="center"/>
        <w:rPr/>
      </w:pPr>
      <w:r>
        <w:rPr>
          <w:rFonts w:ascii="Arial;sans-serif" w:hAnsi="Arial;sans-serif"/>
          <w:b/>
          <w:color w:val="000000"/>
          <w:sz w:val="24"/>
        </w:rPr>
        <w:t>Date of Report (Date of earliest event reported)</w:t>
      </w:r>
      <w:r>
        <w:rPr>
          <w:color w:val="000000"/>
        </w:rPr>
        <w:t xml:space="preserve"> </w:t>
      </w:r>
      <w:r>
        <w:rPr>
          <w:rFonts w:ascii="Arial;sans-serif" w:hAnsi="Arial;sans-serif"/>
          <w:b/>
          <w:color w:val="000000"/>
          <w:sz w:val="24"/>
          <w:u w:val="single"/>
        </w:rPr>
        <w:t xml:space="preserve">July 30, 2026 </w:t>
      </w:r>
    </w:p>
    <w:p>
      <w:pPr>
        <w:pStyle w:val="TextBody"/>
        <w:bidi w:val="0"/>
        <w:spacing w:lineRule="auto" w:line="264" w:before="100" w:after="180"/>
        <w:jc w:val="center"/>
        <w:rPr>
          <w:rFonts w:ascii="Arial;sans-serif" w:hAnsi="Arial;sans-serif"/>
          <w:b/>
          <w:color w:val="000000"/>
          <w:sz w:val="48"/>
        </w:rPr>
      </w:pPr>
      <w:r>
        <w:rPr>
          <w:rFonts w:ascii="Arial;sans-serif" w:hAnsi="Arial;sans-serif"/>
          <w:b/>
          <w:color w:val="000000"/>
          <w:sz w:val="48"/>
        </w:rPr>
        <w:t>GRAHAM HOLDINGS COMPANY</w:t>
      </w:r>
    </w:p>
    <w:p>
      <w:pPr>
        <w:pStyle w:val="TextBody"/>
        <w:bidi w:val="0"/>
        <w:spacing w:lineRule="auto" w:line="264" w:before="0" w:after="240"/>
        <w:jc w:val="center"/>
        <w:rPr/>
      </w:pPr>
      <w:r>
        <w:rPr>
          <w:rFonts w:ascii="Arial;sans-serif" w:hAnsi="Arial;sans-serif"/>
          <w:b/>
          <w:color w:val="000000"/>
          <w:sz w:val="20"/>
        </w:rPr>
        <w:t>(Exact name of registrant as specified in its charter)</w:t>
      </w:r>
      <w:r>
        <w:rPr>
          <w:color w:val="000000"/>
        </w:rPr>
        <w:t> </w:t>
      </w:r>
    </w:p>
    <w:tbl>
      <w:tblPr>
        <w:tblW w:w="6938" w:type="dxa"/>
        <w:jc w:val="center"/>
        <w:tblInd w:w="0" w:type="dxa"/>
        <w:tblLayout w:type="fixed"/>
        <w:tblCellMar>
          <w:top w:w="28" w:type="dxa"/>
          <w:left w:w="28" w:type="dxa"/>
          <w:bottom w:w="28" w:type="dxa"/>
          <w:right w:w="28" w:type="dxa"/>
        </w:tblCellMar>
      </w:tblPr>
      <w:tblGrid>
        <w:gridCol w:w="315"/>
        <w:gridCol w:w="277"/>
        <w:gridCol w:w="277"/>
        <w:gridCol w:w="277"/>
        <w:gridCol w:w="277"/>
        <w:gridCol w:w="277"/>
        <w:gridCol w:w="277"/>
        <w:gridCol w:w="277"/>
        <w:gridCol w:w="277"/>
        <w:gridCol w:w="277"/>
        <w:gridCol w:w="277"/>
        <w:gridCol w:w="277"/>
        <w:gridCol w:w="277"/>
        <w:gridCol w:w="277"/>
        <w:gridCol w:w="277"/>
        <w:gridCol w:w="389"/>
        <w:gridCol w:w="389"/>
        <w:gridCol w:w="393"/>
        <w:gridCol w:w="460"/>
        <w:gridCol w:w="460"/>
        <w:gridCol w:w="6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Delaware</w:t>
            </w:r>
          </w:p>
        </w:tc>
        <w:tc>
          <w:tcPr>
            <w:tcW w:w="117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001-06714</w:t>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53-0182885</w:t>
            </w:r>
          </w:p>
        </w:tc>
      </w:tr>
      <w:tr>
        <w:trPr/>
        <w:tc>
          <w:tcPr>
            <w:tcW w:w="419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incorporation)</w:t>
            </w:r>
          </w:p>
        </w:tc>
        <w:tc>
          <w:tcPr>
            <w:tcW w:w="117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File Number)</w:t>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Identification No.)</w:t>
            </w:r>
          </w:p>
        </w:tc>
      </w:tr>
      <w:tr>
        <w:trPr/>
        <w:tc>
          <w:tcPr>
            <w:tcW w:w="86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1812 North Moore Street, Arlington, Virginia</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22209</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64" w:before="80" w:after="180"/>
        <w:jc w:val="center"/>
        <w:rPr>
          <w:rFonts w:ascii="Arial;sans-serif" w:hAnsi="Arial;sans-serif"/>
          <w:b/>
          <w:color w:val="000000"/>
          <w:sz w:val="20"/>
        </w:rPr>
      </w:pPr>
      <w:r>
        <w:rPr>
          <w:rFonts w:ascii="Arial;sans-serif" w:hAnsi="Arial;sans-serif"/>
          <w:b/>
          <w:color w:val="000000"/>
          <w:sz w:val="20"/>
        </w:rPr>
        <w:t xml:space="preserve">(703) 345-6300 </w:t>
      </w:r>
    </w:p>
    <w:p>
      <w:pPr>
        <w:pStyle w:val="TextBody"/>
        <w:bidi w:val="0"/>
        <w:spacing w:lineRule="auto" w:line="264" w:before="0" w:after="180"/>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389" w:type="dxa"/>
        <w:jc w:val="left"/>
        <w:tblInd w:w="0" w:type="dxa"/>
        <w:tblLayout w:type="fixed"/>
        <w:tblCellMar>
          <w:top w:w="28" w:type="dxa"/>
          <w:left w:w="28" w:type="dxa"/>
          <w:bottom w:w="28" w:type="dxa"/>
          <w:right w:w="28" w:type="dxa"/>
        </w:tblCellMar>
      </w:tblPr>
      <w:tblGrid>
        <w:gridCol w:w="1532"/>
        <w:gridCol w:w="1346"/>
        <w:gridCol w:w="1352"/>
        <w:gridCol w:w="454"/>
        <w:gridCol w:w="454"/>
        <w:gridCol w:w="456"/>
        <w:gridCol w:w="1108"/>
        <w:gridCol w:w="1108"/>
        <w:gridCol w:w="1579"/>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Trading symbol</w:t>
            </w:r>
          </w:p>
        </w:tc>
        <w:tc>
          <w:tcPr>
            <w:tcW w:w="379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Class B Common Stock, par value $1.00 per share</w:t>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GHC</w:t>
            </w:r>
          </w:p>
        </w:tc>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64" w:before="8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(§240.12b-2 of this chapter).</w:t>
      </w:r>
    </w:p>
    <w:tbl>
      <w:tblPr>
        <w:tblW w:w="2682" w:type="dxa"/>
        <w:jc w:val="left"/>
        <w:tblInd w:w="0" w:type="dxa"/>
        <w:tblLayout w:type="fixed"/>
        <w:tblCellMar>
          <w:top w:w="28" w:type="dxa"/>
          <w:left w:w="28" w:type="dxa"/>
          <w:bottom w:w="28" w:type="dxa"/>
          <w:right w:w="28" w:type="dxa"/>
        </w:tblCellMar>
      </w:tblPr>
      <w:tblGrid>
        <w:gridCol w:w="837"/>
        <w:gridCol w:w="734"/>
        <w:gridCol w:w="73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bl>
    <w:p>
      <w:pPr>
        <w:pStyle w:val="TextBody"/>
        <w:bidi w:val="0"/>
        <w:spacing w:lineRule="auto" w:line="264" w:before="80" w:after="18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64" w:before="180" w:after="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On July 30, 2026, Graham Holdings Company issued a press release announcing the Company’s earnings for the second quarter ended June 30, 2026.  A copy of this press release is furnished with this report as an exhibit to this Form 8-K.</w:t>
      </w:r>
    </w:p>
    <w:p>
      <w:pPr>
        <w:pStyle w:val="TextBody"/>
        <w:bidi w:val="0"/>
        <w:spacing w:lineRule="auto" w:line="264" w:before="0" w:after="18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Exhibit 99.1 Graham Holdings Company Earnings Release Dated July 30, 2026.</w:t>
      </w:r>
    </w:p>
    <w:p>
      <w:pPr>
        <w:pStyle w:val="TextBody"/>
        <w:bidi w:val="0"/>
        <w:spacing w:before="0" w:after="0"/>
        <w:ind w:left="0" w:right="0" w:firstLine="4905"/>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29920"/>
                <wp:effectExtent l="0" t="0" r="0" b="0"/>
                <wp:wrapNone/>
                <wp:docPr id="2" name="Frame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Index</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1440"/>
        <w:jc w:val="left"/>
        <w:rPr/>
      </w:pPr>
      <w:r>
        <w:rPr>
          <w:rFonts w:ascii="Arial;sans-serif" w:hAnsi="Arial;sans-serif"/>
          <w:b w:val="false"/>
          <w:color w:val="000000"/>
          <w:sz w:val="20"/>
        </w:rPr>
        <w:t>Exhibit 99.1    </w:t>
      </w:r>
      <w:hyperlink w:anchor="a2026q28-kexhibit991.htm">
        <w:r>
          <w:rPr>
            <w:rStyle w:val="InternetLink"/>
            <w:rFonts w:ascii="Arial;sans-serif" w:hAnsi="Arial;sans-serif"/>
            <w:b w:val="false"/>
            <w:color w:val="0000FF"/>
            <w:sz w:val="20"/>
            <w:u w:val="single"/>
          </w:rPr>
          <w:t>Graham Holdings Company Earnings Release dated July 30, 2026.</w:t>
        </w:r>
      </w:hyperlink>
    </w:p>
    <w:p>
      <w:pPr>
        <w:pStyle w:val="TextBody"/>
        <w:bidi w:val="0"/>
        <w:spacing w:before="0" w:after="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Exhibit 104    Cover Page Interactive Data File, formatted in Inline XBRL and included as Exhibit 101.</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9920"/>
                <wp:effectExtent l="0" t="0" r="0" b="0"/>
                <wp:wrapNone/>
                <wp:docPr id="3" name="Frame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4675" w:type="dxa"/>
        <w:jc w:val="left"/>
        <w:tblInd w:w="0" w:type="dxa"/>
        <w:tblLayout w:type="fixed"/>
        <w:tblCellMar>
          <w:top w:w="28" w:type="dxa"/>
          <w:left w:w="28" w:type="dxa"/>
          <w:bottom w:w="28" w:type="dxa"/>
          <w:right w:w="28" w:type="dxa"/>
        </w:tblCellMar>
      </w:tblPr>
      <w:tblGrid>
        <w:gridCol w:w="656"/>
        <w:gridCol w:w="576"/>
        <w:gridCol w:w="582"/>
        <w:gridCol w:w="109"/>
        <w:gridCol w:w="109"/>
        <w:gridCol w:w="109"/>
        <w:gridCol w:w="740"/>
        <w:gridCol w:w="740"/>
        <w:gridCol w:w="105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(Registrant)</w:t>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Date: July 30, 2026</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/s/ Wallace R. Cooney</w:t>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Wallace R. Cooney,</w:t>
            </w:r>
          </w:p>
          <w:p>
            <w:pPr>
              <w:pStyle w:val="TableContents"/>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9920"/>
                <wp:effectExtent l="0" t="0" r="0" b="0"/>
                <wp:wrapNone/>
                <wp:docPr id="4" name="Frame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64" w:before="0" w:after="200"/>
        <w:jc w:val="right"/>
        <w:rPr>
          <w:rFonts w:ascii="Arial;sans-serif" w:hAnsi="Arial;sans-serif"/>
          <w:b/>
          <w:color w:val="000000"/>
          <w:sz w:val="20"/>
        </w:rPr>
      </w:pPr>
      <w:r>
        <w:rPr>
          <w:rFonts w:ascii="Arial;sans-serif" w:hAnsi="Arial;sans-serif"/>
          <w:b/>
          <w:color w:val="000000"/>
          <w:sz w:val="20"/>
        </w:rPr>
        <w:t>Exhibit 99.1</w:t>
      </w:r>
    </w:p>
    <w:tbl>
      <w:tblPr>
        <w:tblW w:w="5573" w:type="dxa"/>
        <w:jc w:val="left"/>
        <w:tblInd w:w="0" w:type="dxa"/>
        <w:tblLayout w:type="fixed"/>
        <w:tblCellMar>
          <w:top w:w="28" w:type="dxa"/>
          <w:left w:w="28" w:type="dxa"/>
          <w:bottom w:w="28" w:type="dxa"/>
          <w:right w:w="28" w:type="dxa"/>
        </w:tblCellMar>
      </w:tblPr>
      <w:tblGrid>
        <w:gridCol w:w="331"/>
        <w:gridCol w:w="291"/>
        <w:gridCol w:w="293"/>
        <w:gridCol w:w="109"/>
        <w:gridCol w:w="109"/>
        <w:gridCol w:w="109"/>
        <w:gridCol w:w="589"/>
        <w:gridCol w:w="589"/>
        <w:gridCol w:w="591"/>
        <w:gridCol w:w="109"/>
        <w:gridCol w:w="109"/>
        <w:gridCol w:w="109"/>
        <w:gridCol w:w="654"/>
        <w:gridCol w:w="654"/>
        <w:gridCol w:w="927"/>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Contact: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Wallace R. Cooney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For Immediate Release </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(703) 345-6470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July 30, 2026</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GRAHAM HOLDINGS COMPANY REPORTS</w:t>
            </w:r>
          </w:p>
        </w:tc>
      </w:tr>
      <w:tr>
        <w:trPr/>
        <w:tc>
          <w:tcPr>
            <w:tcW w:w="5573"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SECOND QUARTER EARNINGS</w:t>
            </w:r>
          </w:p>
        </w:tc>
      </w:tr>
    </w:tbl>
    <w:p>
      <w:pPr>
        <w:pStyle w:val="TextBody"/>
        <w:bidi w:val="0"/>
        <w:spacing w:lineRule="auto" w:line="264" w:before="0" w:after="160"/>
        <w:jc w:val="left"/>
        <w:rPr>
          <w:rFonts w:ascii="Arial;sans-serif" w:hAnsi="Arial;sans-serif"/>
          <w:b w:val="false"/>
          <w:color w:val="000000"/>
          <w:sz w:val="20"/>
        </w:rPr>
      </w:pPr>
      <w:r>
        <w:rPr>
          <w:rFonts w:ascii="Arial;sans-serif" w:hAnsi="Arial;sans-serif"/>
          <w:b w:val="false"/>
          <w:color w:val="000000"/>
          <w:sz w:val="20"/>
        </w:rPr>
        <w:t>ARLINGTON, VA - Graham Holdings Company (NYSE: GHC) today reported its financial results for the second quarter of 2026. The Company also filed its Form 10-Q today for the quarter ended June 30, 2026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Division Operating Results</w:t>
      </w:r>
    </w:p>
    <w:p>
      <w:pPr>
        <w:pStyle w:val="TextBody"/>
        <w:bidi w:val="0"/>
        <w:spacing w:lineRule="auto" w:line="264" w:before="0" w:after="180"/>
        <w:jc w:val="left"/>
        <w:rPr/>
      </w:pPr>
      <w:r>
        <w:rPr>
          <w:rFonts w:ascii="Arial;sans-serif" w:hAnsi="Arial;sans-serif"/>
          <w:b w:val="false"/>
          <w:color w:val="000000"/>
          <w:sz w:val="20"/>
        </w:rPr>
        <w:t xml:space="preserve">Revenue for the second quarter of 2026 was </w:t>
      </w:r>
      <w:r>
        <w:rPr>
          <w:rFonts w:ascii="Arial;sans-serif" w:hAnsi="Arial;sans-serif"/>
          <w:b w:val="false"/>
          <w:color w:val="000000"/>
          <w:sz w:val="20"/>
          <w:shd w:fill="FFFFFF" w:val="clear"/>
        </w:rPr>
        <w:t>$1,302.5 million</w:t>
      </w:r>
      <w:r>
        <w:rPr>
          <w:rFonts w:ascii="Arial;sans-serif" w:hAnsi="Arial;sans-serif"/>
          <w:b w:val="false"/>
          <w:color w:val="000000"/>
          <w:sz w:val="20"/>
        </w:rPr>
        <w:t xml:space="preserve">, up </w:t>
      </w:r>
      <w:r>
        <w:rPr>
          <w:rFonts w:ascii="Arial;sans-serif" w:hAnsi="Arial;sans-serif"/>
          <w:b w:val="false"/>
          <w:color w:val="000000"/>
          <w:sz w:val="20"/>
          <w:shd w:fill="FFFFFF" w:val="clear"/>
        </w:rPr>
        <w:t>7%</w:t>
      </w:r>
      <w:r>
        <w:rPr>
          <w:color w:val="000000"/>
        </w:rPr>
        <w:t xml:space="preserve"> </w:t>
      </w:r>
      <w:r>
        <w:rPr>
          <w:rFonts w:ascii="Arial;sans-serif" w:hAnsi="Arial;sans-serif"/>
          <w:b w:val="false"/>
          <w:color w:val="000000"/>
          <w:sz w:val="20"/>
        </w:rPr>
        <w:t xml:space="preserve">from $1,215.8 million in the second quarter of 2025. Revenues increased at television broadcasting, healthcare, manufacturing, automotive and other businesses, partially offset by a decline at education. </w:t>
      </w:r>
      <w:r>
        <w:rPr>
          <w:rFonts w:ascii="Arial;sans-serif" w:hAnsi="Arial;sans-serif"/>
          <w:b w:val="false"/>
          <w:color w:val="000000"/>
          <w:sz w:val="20"/>
          <w:shd w:fill="FFFFFF" w:val="clear"/>
        </w:rPr>
        <w:t>T</w:t>
      </w:r>
      <w:r>
        <w:rPr>
          <w:rFonts w:ascii="Arial;sans-serif" w:hAnsi="Arial;sans-serif"/>
          <w:b w:val="false"/>
          <w:color w:val="000000"/>
          <w:sz w:val="20"/>
        </w:rPr>
        <w:t xml:space="preserve">he Company reported operating income of </w:t>
      </w:r>
      <w:r>
        <w:rPr>
          <w:rFonts w:ascii="Arial;sans-serif" w:hAnsi="Arial;sans-serif"/>
          <w:b w:val="false"/>
          <w:color w:val="000000"/>
          <w:sz w:val="20"/>
          <w:shd w:fill="FFFFFF" w:val="clear"/>
        </w:rPr>
        <w:t>$83.6 million</w:t>
      </w:r>
      <w:r>
        <w:rPr>
          <w:color w:val="000000"/>
        </w:rPr>
        <w:t xml:space="preserve"> </w:t>
      </w:r>
      <w:r>
        <w:rPr>
          <w:rFonts w:ascii="Arial;sans-serif" w:hAnsi="Arial;sans-serif"/>
          <w:b w:val="false"/>
          <w:color w:val="000000"/>
          <w:sz w:val="20"/>
        </w:rPr>
        <w:t>for the second quarter of 2026, compared to $72.8 million for the second quarter of 2025. T</w:t>
      </w:r>
      <w:r>
        <w:rPr>
          <w:rFonts w:ascii="Arial;sans-serif" w:hAnsi="Arial;sans-serif"/>
          <w:b w:val="false"/>
          <w:color w:val="000000"/>
          <w:sz w:val="20"/>
          <w:shd w:fill="FFFFFF" w:val="clear"/>
        </w:rPr>
        <w:t xml:space="preserve">he increase in operating results is due to </w:t>
      </w:r>
      <w:r>
        <w:rPr>
          <w:rFonts w:ascii="Arial;sans-serif" w:hAnsi="Arial;sans-serif"/>
          <w:b w:val="false"/>
          <w:color w:val="000000"/>
          <w:sz w:val="20"/>
        </w:rPr>
        <w:t>improved results at education, television broadcasting and other businesses, partially offset by declines at healthcare, manufacturing and automotive. The Company reported adjusted operating cash flow (non-GAAP) of $119.8 million for the second quarter of 2026, compared to $111.3 million for the second quarter of 2025. Adjusted operating cash flow increased at education, television broadcasting, manufacturing and other businesses, partially offset by declines at healthcare and automotive. Capital expenditures totaled $19.8 million for each of the second quarters of 2026 and 2025.</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Revenue for the first six months of 2026 was $2,538.5 million, up 7% from $2,381.7 million in the first six months of 2025. Revenues increased at television broadcasting, healthcare, manufacturing, automotive and other businesses, partially offset by a slight decline at education. The Company reported operating income of $141.5 million for the first six months of 2026, compared to $120.2 million for the first six months of 2025. The increase in operating results is due to improved results at television broadcasting, manufacturing and other businesses, partially offset by declines at education, healthcare and automotive. The Company reported adjusted operating cash flow (non-GAAP) of $232.7 million for the first six months of 2026, compared to $199.4 million for the first six months of 2025. Adjusted operating cash flow increased at education, television broadcasting, manufacturing and other businesses, partially offset by declines at healthcare and automotive. Capital expenditures totaled $40.6 million and $33.9 million for the first six months of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180"/>
        <w:jc w:val="left"/>
        <w:rPr>
          <w:rFonts w:ascii="Arial;sans-serif" w:hAnsi="Arial;sans-serif"/>
          <w:b/>
          <w:color w:val="000000"/>
          <w:sz w:val="20"/>
          <w:u w:val="single"/>
        </w:rPr>
      </w:pPr>
      <w:r>
        <w:rPr>
          <w:rFonts w:ascii="Arial;sans-serif" w:hAnsi="Arial;sans-serif"/>
          <w:b/>
          <w:color w:val="000000"/>
          <w:sz w:val="20"/>
          <w:u w:val="single"/>
        </w:rPr>
        <w:t>Acquisitions and Dispositions of Businesses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the first quarter of 2026, the Company entered into an agreement to sell the Kaplan Languages Group (KLG) included in Kaplan International and recorded a $19.0 million pre-tax impairment charge. The transaction closed on May 1, 2026; the Company recorded a $5.2 million loss on the sale of the business in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Pension Plan</w:t>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In June 2026, the Company purchased an irrevocable group annuity contract from an insurance company for $113.9 million to settle $124.3 million of the outstanding defined benefit pension obligation related to certain retirees and beneficiaries. The purchase of the group annuity contract was funded from the assets of the Company’s pension plan. As a result of this transaction, the Company was relieved of all responsibility for these pension obligations and the insurance company is now required to pay and administer the retirement benefits owed to approximately 1,080 retirees and beneficiaries, with no change to the amount, timing or form of monthly retirement benefit payments. As a result, the Company recorded a pre-tax noncash settlement gain of $137.0 million in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180"/>
        <w:jc w:val="left"/>
        <w:rPr>
          <w:rFonts w:ascii="Arial;sans-serif" w:hAnsi="Arial;sans-serif"/>
          <w:b/>
          <w:color w:val="000000"/>
          <w:sz w:val="20"/>
          <w:u w:val="single"/>
        </w:rPr>
      </w:pPr>
      <w:r>
        <w:rPr>
          <w:rFonts w:ascii="Arial;sans-serif" w:hAnsi="Arial;sans-serif"/>
          <w:b/>
          <w:color w:val="000000"/>
          <w:sz w:val="20"/>
          <w:u w:val="single"/>
        </w:rPr>
        <w:t>Income Taxes</w:t>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The Company recognized a U.S. income tax benefit of $69.6 million during the six months ended June 30, 2026, in connection with the restructuring and sale of the KLG business.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As a result of this significant U.S. income tax benefit, the Company accrued a non-U.S. global minimum corporate top-up income tax expense of $19.2 million in the second quarter of 2026. This accrual relates to non-U.S. jurisdictions that have not yet enacted legislation adopting recent guidance from the Organization for Economic Co-operation and Development (OECD), which would exempt U.S. parent multinational groups from Pillar Two top-up tax on their U.S. source income. The enactment of legislation in the U.K. and other jurisdictions would have a favorable impact on the Company’s income tax provision and could result in a complete reversal of the $19.2 million accrued amount without payment.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21005"/>
                <wp:effectExtent l="0" t="0" r="0" b="0"/>
                <wp:wrapNone/>
                <wp:docPr id="5" name="Frame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r>
                              <w:br w:type="page"/>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Debt, Cash and Marketable Equity Securities</w:t>
      </w:r>
    </w:p>
    <w:p>
      <w:pPr>
        <w:pStyle w:val="TextBody"/>
        <w:bidi w:val="0"/>
        <w:spacing w:lineRule="auto" w:line="264" w:before="180" w:after="180"/>
        <w:jc w:val="left"/>
        <w:rPr/>
      </w:pPr>
      <w:r>
        <w:rPr>
          <w:rFonts w:ascii="Arial;sans-serif" w:hAnsi="Arial;sans-serif"/>
          <w:b w:val="false"/>
          <w:color w:val="000000"/>
          <w:sz w:val="20"/>
        </w:rPr>
        <w:t xml:space="preserve">At June 30, 2026, the Company had </w:t>
      </w:r>
      <w:r>
        <w:rPr>
          <w:rFonts w:ascii="Arial;sans-serif" w:hAnsi="Arial;sans-serif"/>
          <w:b w:val="false"/>
          <w:color w:val="000000"/>
          <w:sz w:val="20"/>
          <w:shd w:fill="FFFFFF" w:val="clear"/>
        </w:rPr>
        <w:t>$900.4 million</w:t>
      </w:r>
      <w:r>
        <w:rPr>
          <w:color w:val="000000"/>
        </w:rPr>
        <w:t xml:space="preserve"> </w:t>
      </w:r>
      <w:r>
        <w:rPr>
          <w:rFonts w:ascii="Arial;sans-serif" w:hAnsi="Arial;sans-serif"/>
          <w:b w:val="false"/>
          <w:color w:val="000000"/>
          <w:sz w:val="20"/>
        </w:rPr>
        <w:t xml:space="preserve">in borrowings outstanding at an average interest rate of </w:t>
      </w:r>
      <w:r>
        <w:rPr>
          <w:rFonts w:ascii="Arial;sans-serif" w:hAnsi="Arial;sans-serif"/>
          <w:b w:val="false"/>
          <w:color w:val="000000"/>
          <w:sz w:val="20"/>
          <w:shd w:fill="FFFFFF" w:val="clear"/>
        </w:rPr>
        <w:t>5.7%</w:t>
      </w:r>
      <w:r>
        <w:rPr>
          <w:rFonts w:ascii="Arial;sans-serif" w:hAnsi="Arial;sans-serif"/>
          <w:b w:val="false"/>
          <w:color w:val="000000"/>
          <w:sz w:val="20"/>
        </w:rPr>
        <w:t xml:space="preserve">, including $231.2 million outstanding on its $400 million revolving credit facility. Cash, marketable equity securities and other investments totaled </w:t>
      </w:r>
      <w:r>
        <w:rPr>
          <w:rFonts w:ascii="Arial;sans-serif" w:hAnsi="Arial;sans-serif"/>
          <w:b w:val="false"/>
          <w:color w:val="000000"/>
          <w:sz w:val="20"/>
          <w:shd w:fill="FFFFFF" w:val="clear"/>
        </w:rPr>
        <w:t>$1,297.4 million</w:t>
      </w:r>
      <w:r>
        <w:rPr>
          <w:color w:val="000000"/>
        </w:rPr>
        <w:t xml:space="preserve"> </w:t>
      </w:r>
      <w:r>
        <w:rPr>
          <w:rFonts w:ascii="Arial;sans-serif" w:hAnsi="Arial;sans-serif"/>
          <w:b w:val="false"/>
          <w:color w:val="000000"/>
          <w:sz w:val="20"/>
        </w:rPr>
        <w:t>at June 30, 2026.</w:t>
      </w:r>
    </w:p>
    <w:p>
      <w:pPr>
        <w:pStyle w:val="TextBody"/>
        <w:bidi w:val="0"/>
        <w:spacing w:lineRule="auto" w:line="264" w:before="0" w:after="180"/>
        <w:jc w:val="left"/>
        <w:rPr/>
      </w:pPr>
      <w:r>
        <w:rPr>
          <w:rFonts w:ascii="Arial;sans-serif" w:hAnsi="Arial;sans-serif"/>
          <w:b w:val="false"/>
          <w:color w:val="000000"/>
          <w:sz w:val="20"/>
        </w:rPr>
        <w:t xml:space="preserve">Overall, the Company recognized </w:t>
      </w:r>
      <w:r>
        <w:rPr>
          <w:rFonts w:ascii="Arial;sans-serif" w:hAnsi="Arial;sans-serif"/>
          <w:b w:val="false"/>
          <w:color w:val="000000"/>
          <w:sz w:val="20"/>
          <w:shd w:fill="FFFFFF" w:val="clear"/>
        </w:rPr>
        <w:t>$101.9 million and $33.0 million</w:t>
      </w:r>
      <w:r>
        <w:rPr>
          <w:color w:val="000000"/>
        </w:rPr>
        <w:t xml:space="preserve"> </w:t>
      </w:r>
      <w:r>
        <w:rPr>
          <w:rFonts w:ascii="Arial;sans-serif" w:hAnsi="Arial;sans-serif"/>
          <w:b w:val="false"/>
          <w:color w:val="000000"/>
          <w:sz w:val="20"/>
        </w:rPr>
        <w:t xml:space="preserve">in net gains </w:t>
      </w:r>
      <w:r>
        <w:rPr>
          <w:rFonts w:ascii="Arial;sans-serif" w:hAnsi="Arial;sans-serif"/>
          <w:b w:val="false"/>
          <w:color w:val="000000"/>
          <w:sz w:val="20"/>
          <w:shd w:fill="FFFFFF" w:val="clear"/>
        </w:rPr>
        <w:t>on</w:t>
      </w:r>
      <w:r>
        <w:rPr>
          <w:color w:val="000000"/>
        </w:rPr>
        <w:t xml:space="preserve"> </w:t>
      </w:r>
      <w:r>
        <w:rPr>
          <w:rFonts w:ascii="Arial;sans-serif" w:hAnsi="Arial;sans-serif"/>
          <w:b w:val="false"/>
          <w:color w:val="000000"/>
          <w:sz w:val="20"/>
        </w:rPr>
        <w:t>marketable equity securities in the second quarter and first six</w:t>
      </w:r>
      <w:r>
        <w:rPr>
          <w:color w:val="000000"/>
          <w:shd w:fill="FFFFFF" w:val="clear"/>
        </w:rPr>
        <w:t xml:space="preserve"> </w:t>
      </w:r>
      <w:r>
        <w:rPr>
          <w:rFonts w:ascii="Arial;sans-serif" w:hAnsi="Arial;sans-serif"/>
          <w:b w:val="false"/>
          <w:color w:val="000000"/>
          <w:sz w:val="20"/>
          <w:shd w:fill="FFFFFF" w:val="clear"/>
        </w:rPr>
        <w:t xml:space="preserve">months of </w:t>
      </w:r>
      <w:r>
        <w:rPr>
          <w:rFonts w:ascii="Arial;sans-serif" w:hAnsi="Arial;sans-serif"/>
          <w:b w:val="false"/>
          <w:color w:val="000000"/>
          <w:sz w:val="20"/>
        </w:rPr>
        <w:t xml:space="preserve">2026, compared to </w:t>
      </w:r>
      <w:r>
        <w:rPr>
          <w:rFonts w:ascii="Arial;sans-serif" w:hAnsi="Arial;sans-serif"/>
          <w:b w:val="false"/>
          <w:color w:val="000000"/>
          <w:sz w:val="20"/>
          <w:shd w:fill="FFFFFF" w:val="clear"/>
        </w:rPr>
        <w:t>$11.5 million in net losses and $32.3 million</w:t>
      </w:r>
      <w:r>
        <w:rPr>
          <w:color w:val="000000"/>
        </w:rPr>
        <w:t xml:space="preserve"> </w:t>
      </w:r>
      <w:r>
        <w:rPr>
          <w:rFonts w:ascii="Arial;sans-serif" w:hAnsi="Arial;sans-serif"/>
          <w:b w:val="false"/>
          <w:color w:val="000000"/>
          <w:sz w:val="20"/>
        </w:rPr>
        <w:t>in net gains on marketable equity securities in the second quarter and first six months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Common Stock Repurchases</w:t>
      </w:r>
    </w:p>
    <w:p>
      <w:pPr>
        <w:pStyle w:val="TextBody"/>
        <w:bidi w:val="0"/>
        <w:spacing w:lineRule="auto" w:line="264" w:before="180" w:after="180"/>
        <w:jc w:val="left"/>
        <w:rPr/>
      </w:pPr>
      <w:r>
        <w:rPr>
          <w:rFonts w:ascii="Arial;sans-serif" w:hAnsi="Arial;sans-serif"/>
          <w:b w:val="false"/>
          <w:color w:val="000000"/>
          <w:sz w:val="20"/>
        </w:rPr>
        <w:t xml:space="preserve">During the first six months of 2026, the Company purchased a total of </w:t>
      </w:r>
      <w:r>
        <w:rPr>
          <w:rFonts w:ascii="Arial;sans-serif" w:hAnsi="Arial;sans-serif"/>
          <w:b w:val="false"/>
          <w:color w:val="000000"/>
          <w:sz w:val="20"/>
          <w:shd w:fill="FFFFFF" w:val="clear"/>
        </w:rPr>
        <w:t>110,471</w:t>
      </w:r>
      <w:r>
        <w:rPr>
          <w:color w:val="000000"/>
        </w:rPr>
        <w:t xml:space="preserve"> </w:t>
      </w:r>
      <w:r>
        <w:rPr>
          <w:rFonts w:ascii="Arial;sans-serif" w:hAnsi="Arial;sans-serif"/>
          <w:b w:val="false"/>
          <w:color w:val="000000"/>
          <w:sz w:val="20"/>
        </w:rPr>
        <w:t xml:space="preserve">shares of its Class B common stock at a cost of $122.0 million. </w:t>
      </w:r>
      <w:r>
        <w:rPr>
          <w:rFonts w:ascii="Arial;sans-serif" w:hAnsi="Arial;sans-serif"/>
          <w:b w:val="false"/>
          <w:color w:val="000000"/>
          <w:sz w:val="20"/>
          <w:shd w:fill="FFFFFF" w:val="clear"/>
        </w:rPr>
        <w:t>At June 30, 2026, there were 4,251,268 sh</w:t>
      </w:r>
      <w:r>
        <w:rPr>
          <w:rFonts w:ascii="Arial;sans-serif" w:hAnsi="Arial;sans-serif"/>
          <w:b w:val="false"/>
          <w:color w:val="000000"/>
          <w:sz w:val="20"/>
        </w:rPr>
        <w:t xml:space="preserve">ares outstanding. On September 12, 2024, the Board of Directors authorized the Company to acquire up to 500,000 shares of its Class B common stock; the Company has remaining authorization for </w:t>
      </w:r>
      <w:r>
        <w:rPr>
          <w:rFonts w:ascii="Arial;sans-serif" w:hAnsi="Arial;sans-serif"/>
          <w:b w:val="false"/>
          <w:color w:val="000000"/>
          <w:sz w:val="20"/>
          <w:shd w:fill="FFFFFF" w:val="clear"/>
        </w:rPr>
        <w:t>352,011</w:t>
      </w:r>
      <w:r>
        <w:rPr>
          <w:color w:val="000000"/>
        </w:rPr>
        <w:t xml:space="preserve"> </w:t>
      </w:r>
      <w:r>
        <w:rPr>
          <w:rFonts w:ascii="Arial;sans-serif" w:hAnsi="Arial;sans-serif"/>
          <w:b w:val="false"/>
          <w:color w:val="000000"/>
          <w:sz w:val="20"/>
        </w:rPr>
        <w:t>shares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Overall Company Results</w:t>
      </w:r>
    </w:p>
    <w:p>
      <w:pPr>
        <w:pStyle w:val="TextBody"/>
        <w:bidi w:val="0"/>
        <w:spacing w:lineRule="auto" w:line="264" w:before="0" w:after="180"/>
        <w:jc w:val="left"/>
        <w:rPr/>
      </w:pPr>
      <w:r>
        <w:rPr>
          <w:rFonts w:ascii="Arial;sans-serif" w:hAnsi="Arial;sans-serif"/>
          <w:b w:val="false"/>
          <w:color w:val="000000"/>
          <w:sz w:val="20"/>
        </w:rPr>
        <w:t>The Company reported</w:t>
      </w:r>
      <w:r>
        <w:rPr>
          <w:color w:val="000000"/>
          <w:shd w:fill="FFFFFF" w:val="clear"/>
        </w:rPr>
        <w:t xml:space="preserve"> </w:t>
      </w:r>
      <w:r>
        <w:rPr>
          <w:rFonts w:ascii="Arial;sans-serif" w:hAnsi="Arial;sans-serif"/>
          <w:b w:val="false"/>
          <w:color w:val="000000"/>
          <w:sz w:val="20"/>
          <w:shd w:fill="FFFFFF" w:val="clear"/>
        </w:rPr>
        <w:t xml:space="preserve">net </w:t>
      </w:r>
      <w:r>
        <w:rPr>
          <w:rFonts w:ascii="Arial;sans-serif" w:hAnsi="Arial;sans-serif"/>
          <w:b w:val="false"/>
          <w:color w:val="000000"/>
          <w:sz w:val="20"/>
        </w:rPr>
        <w:t xml:space="preserve">income attributable to common shares of </w:t>
      </w:r>
      <w:r>
        <w:rPr>
          <w:rFonts w:ascii="Arial;sans-serif" w:hAnsi="Arial;sans-serif"/>
          <w:b w:val="false"/>
          <w:color w:val="000000"/>
          <w:sz w:val="20"/>
          <w:shd w:fill="FFFFFF" w:val="clear"/>
        </w:rPr>
        <w:t>$281.1 million</w:t>
      </w:r>
      <w:r>
        <w:rPr>
          <w:color w:val="000000"/>
        </w:rPr>
        <w:t xml:space="preserve"> </w:t>
      </w:r>
      <w:r>
        <w:rPr>
          <w:rFonts w:ascii="Arial;sans-serif" w:hAnsi="Arial;sans-serif"/>
          <w:b w:val="false"/>
          <w:color w:val="000000"/>
          <w:sz w:val="20"/>
        </w:rPr>
        <w:t>(</w:t>
      </w:r>
      <w:r>
        <w:rPr>
          <w:rFonts w:ascii="Arial;sans-serif" w:hAnsi="Arial;sans-serif"/>
          <w:b w:val="false"/>
          <w:color w:val="000000"/>
          <w:sz w:val="20"/>
          <w:shd w:fill="FFFFFF" w:val="clear"/>
        </w:rPr>
        <w:t>$64.86</w:t>
      </w:r>
      <w:r>
        <w:rPr>
          <w:color w:val="000000"/>
        </w:rPr>
        <w:t xml:space="preserve"> </w:t>
      </w:r>
      <w:r>
        <w:rPr>
          <w:rFonts w:ascii="Arial;sans-serif" w:hAnsi="Arial;sans-serif"/>
          <w:b w:val="false"/>
          <w:color w:val="000000"/>
          <w:sz w:val="20"/>
        </w:rPr>
        <w:t>per share) for the second quarter of 2026, compared to $36.7 million ($8.35 per share) for the second quarter of 2025. For the first six months of 2026, the Company reported net income attributable to common shares of $310.2 million ($71.04 per share), compared to $60.6 million ($13.81</w:t>
      </w:r>
      <w:r>
        <w:rPr>
          <w:color w:val="000000"/>
          <w:shd w:fill="FFFFFF" w:val="clear"/>
        </w:rPr>
        <w:t xml:space="preserve"> </w:t>
      </w:r>
      <w:r>
        <w:rPr>
          <w:rFonts w:ascii="Arial;sans-serif" w:hAnsi="Arial;sans-serif"/>
          <w:b w:val="false"/>
          <w:color w:val="000000"/>
          <w:sz w:val="20"/>
          <w:shd w:fill="FFFFFF" w:val="clear"/>
        </w:rPr>
        <w:t xml:space="preserve">per share) for the first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of </w:t>
      </w:r>
      <w:r>
        <w:rPr>
          <w:rFonts w:ascii="Arial;sans-serif" w:hAnsi="Arial;sans-serif"/>
          <w:b w:val="false"/>
          <w:color w:val="000000"/>
          <w:sz w:val="20"/>
        </w:rPr>
        <w:t>2025.</w:t>
      </w:r>
    </w:p>
    <w:p>
      <w:pPr>
        <w:pStyle w:val="TextBody"/>
        <w:bidi w:val="0"/>
        <w:spacing w:lineRule="auto" w:line="264" w:before="0" w:after="180"/>
        <w:jc w:val="left"/>
        <w:rPr/>
      </w:pPr>
      <w:r>
        <w:rPr>
          <w:rFonts w:ascii="Arial;sans-serif" w:hAnsi="Arial;sans-serif"/>
          <w:b w:val="false"/>
          <w:color w:val="000000"/>
          <w:sz w:val="20"/>
        </w:rPr>
        <w:t>The results for the second quarter and first six months of 2026 and 2025 were affected by a number of items as described in the</w:t>
      </w:r>
      <w:r>
        <w:rPr>
          <w:color w:val="000000"/>
          <w:shd w:fill="FFFFFF" w:val="clear"/>
        </w:rPr>
        <w:t xml:space="preserve"> </w:t>
      </w:r>
      <w:r>
        <w:rPr>
          <w:rFonts w:ascii="Arial;sans-serif" w:hAnsi="Arial;sans-serif"/>
          <w:b w:val="false"/>
          <w:color w:val="000000"/>
          <w:sz w:val="20"/>
          <w:shd w:fill="FFFFFF" w:val="clear"/>
        </w:rPr>
        <w:t>Non-GAAP Financial Information schedule attached to this release</w:t>
      </w:r>
      <w:r>
        <w:rPr>
          <w:rFonts w:ascii="Arial;sans-serif" w:hAnsi="Arial;sans-serif"/>
          <w:b w:val="false"/>
          <w:color w:val="000000"/>
          <w:sz w:val="20"/>
        </w:rPr>
        <w:t>. Excluding these items, net</w:t>
      </w:r>
      <w:r>
        <w:rPr>
          <w:color w:val="000000"/>
          <w:shd w:fill="FFFFFF" w:val="clear"/>
        </w:rPr>
        <w:t xml:space="preserve"> </w:t>
      </w:r>
      <w:r>
        <w:rPr>
          <w:rFonts w:ascii="Arial;sans-serif" w:hAnsi="Arial;sans-serif"/>
          <w:b w:val="false"/>
          <w:color w:val="000000"/>
          <w:sz w:val="20"/>
          <w:shd w:fill="FFFFFF" w:val="clear"/>
        </w:rPr>
        <w:t>income</w:t>
      </w:r>
      <w:r>
        <w:rPr>
          <w:color w:val="000000"/>
        </w:rPr>
        <w:t xml:space="preserve"> </w:t>
      </w:r>
      <w:r>
        <w:rPr>
          <w:rFonts w:ascii="Arial;sans-serif" w:hAnsi="Arial;sans-serif"/>
          <w:b w:val="false"/>
          <w:color w:val="000000"/>
          <w:sz w:val="20"/>
        </w:rPr>
        <w:t xml:space="preserve">attributable to common shares was </w:t>
      </w:r>
      <w:r>
        <w:rPr>
          <w:rFonts w:ascii="Arial;sans-serif" w:hAnsi="Arial;sans-serif"/>
          <w:b w:val="false"/>
          <w:color w:val="000000"/>
          <w:sz w:val="20"/>
          <w:shd w:fill="FFFFFF" w:val="clear"/>
        </w:rPr>
        <w:t>$84.2 million</w:t>
      </w:r>
      <w:r>
        <w:rPr>
          <w:color w:val="000000"/>
        </w:rPr>
        <w:t xml:space="preserve"> </w:t>
      </w:r>
      <w:r>
        <w:rPr>
          <w:rFonts w:ascii="Arial;sans-serif" w:hAnsi="Arial;sans-serif"/>
          <w:b w:val="false"/>
          <w:color w:val="000000"/>
          <w:sz w:val="20"/>
        </w:rPr>
        <w:t>(</w:t>
      </w:r>
      <w:r>
        <w:rPr>
          <w:rFonts w:ascii="Arial;sans-serif" w:hAnsi="Arial;sans-serif"/>
          <w:b w:val="false"/>
          <w:color w:val="000000"/>
          <w:sz w:val="20"/>
          <w:shd w:fill="FFFFFF" w:val="clear"/>
        </w:rPr>
        <w:t>$19.46</w:t>
      </w:r>
      <w:r>
        <w:rPr>
          <w:color w:val="000000"/>
        </w:rPr>
        <w:t xml:space="preserve"> </w:t>
      </w:r>
      <w:r>
        <w:rPr>
          <w:rFonts w:ascii="Arial;sans-serif" w:hAnsi="Arial;sans-serif"/>
          <w:b w:val="false"/>
          <w:color w:val="000000"/>
          <w:sz w:val="20"/>
        </w:rPr>
        <w:t>per share) for the second quarter of 2026, compared to $63.1 million ($14.33 per share) for the second quarter of 2025. Excluding these items, net income attributable to common shares was $158.1 million ($36.19 per share) for the first six months of 2026, compared to $114.1 million ($25.98 per share) for the first six months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lineRule="auto" w:line="264"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All public statements made by the Company and its representatives that are not statements of historical fact, including certain statements in this press release, in the Company’s Annual Report on Form 10-K and in the Company’s 2025 Annual Report to Stockholders, are “forward-looking statements” within the meaning of the Private Securities Litigation Reform Act of 1995. Forward-looking statements are based on expectations, forecasts, and assumptions by the Company’s management and involve a number of risks, uncertainties, and other factors that could cause actual results to differ from those stated, including, without limitation, comments about expectations related to acquisitions or dispositions or related business activities, the Company’s business strategies and objectives, the prospects for growth in the Company’s various business operations, the Company’s future financial performance, and the risks and uncertainties described in Item 1A of the Company’s Annual Report on Form 10-K.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21005"/>
                <wp:effectExtent l="0" t="0" r="0" b="0"/>
                <wp:wrapNone/>
                <wp:docPr id="6" name="Frame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r>
                              <w:br w:type="page"/>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05"/>
        <w:gridCol w:w="1837"/>
        <w:gridCol w:w="1850"/>
        <w:gridCol w:w="257"/>
        <w:gridCol w:w="1210"/>
        <w:gridCol w:w="132"/>
        <w:gridCol w:w="132"/>
        <w:gridCol w:w="132"/>
        <w:gridCol w:w="132"/>
        <w:gridCol w:w="257"/>
        <w:gridCol w:w="1192"/>
        <w:gridCol w:w="132"/>
        <w:gridCol w:w="216"/>
        <w:gridCol w:w="216"/>
        <w:gridCol w:w="305"/>
      </w:tblGrid>
      <w:tr>
        <w:trPr/>
        <w:tc>
          <w:tcPr>
            <w:tcW w:w="2205"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10205"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u w:val="single"/>
              </w:rPr>
            </w:pPr>
            <w:r>
              <w:rPr>
                <w:rFonts w:ascii="Arial;sans-serif" w:hAnsi="Arial;sans-serif"/>
                <w:b w:val="false"/>
                <w:color w:val="000000"/>
                <w:sz w:val="20"/>
                <w:u w:val="single"/>
              </w:rPr>
              <w:t>CONSOLIDATED STATEMENTS OF OPERATIONS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5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73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1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3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5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121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1,302,506</w:t>
            </w:r>
            <w:r>
              <w:rPr>
                <w:color w:val="000000"/>
              </w:rPr>
              <w:t>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1,215,772 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1,194,613</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1,116,128 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Depreciation of property, plant and equipment</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18,281</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19,652 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5,978</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7,241 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Operating</w:t>
            </w:r>
            <w:r>
              <w:rPr>
                <w:color w:val="000000"/>
                <w:shd w:fill="FFFFFF" w:val="clear"/>
              </w:rPr>
              <w:t xml:space="preserve"> </w:t>
            </w:r>
            <w:r>
              <w:rPr>
                <w:rFonts w:ascii="Arial;sans-serif" w:hAnsi="Arial;sans-serif"/>
                <w:b/>
                <w:color w:val="000000"/>
                <w:sz w:val="18"/>
                <w:shd w:fill="FFFFFF" w:val="clear"/>
              </w:rPr>
              <w:t>income</w:t>
            </w:r>
          </w:p>
        </w:tc>
        <w:tc>
          <w:tcPr>
            <w:tcW w:w="14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83,634</w:t>
            </w:r>
            <w:r>
              <w:rPr>
                <w:color w:val="000000"/>
              </w:rPr>
              <w:t>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72,751 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Equity in (losses) earnings of affiliates, net</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(19,863)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3,114 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1,881</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2,261 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(17,173)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(18,106)</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Non-operating pension and postretirement benefit income, net</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169,649</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28,602 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Gain (loss) on marketable equity securities, net</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101,879</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(11,543)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(2,531)</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(16,456)</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shd w:fill="FFFFFF" w:val="clear"/>
              </w:rPr>
              <w:t>Income befor</w:t>
            </w:r>
            <w:r>
              <w:rPr>
                <w:rFonts w:ascii="Arial;sans-serif" w:hAnsi="Arial;sans-serif"/>
                <w:b/>
                <w:color w:val="000000"/>
                <w:sz w:val="18"/>
              </w:rPr>
              <w:t>e income taxes</w:t>
            </w:r>
          </w:p>
        </w:tc>
        <w:tc>
          <w:tcPr>
            <w:tcW w:w="14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317,476</w:t>
            </w:r>
            <w:r>
              <w:rPr>
                <w:color w:val="000000"/>
              </w:rPr>
              <w:t>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60,623 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shd w:fill="FFFFFF" w:val="clear"/>
              </w:rPr>
              <w:t xml:space="preserve">Provision for </w:t>
            </w:r>
            <w:r>
              <w:rPr>
                <w:rFonts w:ascii="Arial;sans-serif" w:hAnsi="Arial;sans-serif"/>
                <w:b/>
                <w:color w:val="000000"/>
                <w:sz w:val="18"/>
              </w:rPr>
              <w:t>income taxes</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35,100</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20,200 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Ne</w:t>
            </w:r>
            <w:r>
              <w:rPr>
                <w:rFonts w:ascii="Arial;sans-serif" w:hAnsi="Arial;sans-serif"/>
                <w:b/>
                <w:color w:val="000000"/>
                <w:sz w:val="18"/>
                <w:shd w:fill="FFFFFF" w:val="clear"/>
              </w:rPr>
              <w:t>t income</w:t>
            </w:r>
          </w:p>
        </w:tc>
        <w:tc>
          <w:tcPr>
            <w:tcW w:w="14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282,376</w:t>
            </w:r>
            <w:r>
              <w:rPr>
                <w:color w:val="000000"/>
              </w:rPr>
              <w:t>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40,423 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 xml:space="preserve">Net </w:t>
            </w:r>
            <w:r>
              <w:rPr>
                <w:rFonts w:ascii="Arial;sans-serif" w:hAnsi="Arial;sans-serif"/>
                <w:b/>
                <w:color w:val="000000"/>
                <w:sz w:val="18"/>
                <w:shd w:fill="FFFFFF" w:val="clear"/>
              </w:rPr>
              <w:t>income att</w:t>
            </w:r>
            <w:r>
              <w:rPr>
                <w:rFonts w:ascii="Arial;sans-serif" w:hAnsi="Arial;sans-serif"/>
                <w:b/>
                <w:color w:val="000000"/>
                <w:sz w:val="18"/>
              </w:rPr>
              <w:t>ributable to noncontrolling interests</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(1,273)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(3,674)</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0"/>
              <w:ind w:left="0" w:right="0" w:hanging="360"/>
              <w:jc w:val="left"/>
              <w:rPr/>
            </w:pPr>
            <w:r>
              <w:rPr>
                <w:rFonts w:ascii="Arial;sans-serif" w:hAnsi="Arial;sans-serif"/>
                <w:b/>
                <w:color w:val="000000"/>
                <w:sz w:val="18"/>
              </w:rPr>
              <w:t>Ne</w:t>
            </w:r>
            <w:r>
              <w:rPr>
                <w:rFonts w:ascii="Arial;sans-serif" w:hAnsi="Arial;sans-serif"/>
                <w:b/>
                <w:color w:val="000000"/>
                <w:sz w:val="18"/>
                <w:shd w:fill="FFFFFF" w:val="clear"/>
              </w:rPr>
              <w:t>t Income Att</w:t>
            </w:r>
            <w:r>
              <w:rPr>
                <w:rFonts w:ascii="Arial;sans-serif" w:hAnsi="Arial;sans-serif"/>
                <w:b/>
                <w:color w:val="000000"/>
                <w:sz w:val="18"/>
              </w:rPr>
              <w:t>ributable to Graham Holdings Company Common Stockholders</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121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281,103</w:t>
            </w:r>
            <w:r>
              <w:rPr>
                <w:color w:val="000000"/>
              </w:rPr>
              <w:t>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36,749 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0"/>
              <w:ind w:left="0" w:right="0" w:hanging="360"/>
              <w:jc w:val="left"/>
              <w:rPr>
                <w:rFonts w:ascii="Arial;sans-serif" w:hAnsi="Arial;sans-serif"/>
                <w:b/>
                <w:color w:val="000000"/>
                <w:sz w:val="18"/>
              </w:rPr>
            </w:pPr>
            <w:r>
              <w:rPr>
                <w:rFonts w:ascii="Arial;sans-serif" w:hAnsi="Arial;sans-serif"/>
                <w:b/>
                <w:color w:val="000000"/>
                <w:sz w:val="18"/>
              </w:rPr>
              <w:t>Per Share Information Attributable to Graham Holdings Company Common Stockholders</w:t>
            </w:r>
          </w:p>
        </w:tc>
        <w:tc>
          <w:tcPr>
            <w:tcW w:w="15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Basic net income per common share</w:t>
            </w:r>
          </w:p>
        </w:tc>
        <w:tc>
          <w:tcPr>
            <w:tcW w:w="257"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1210"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65.53</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Basic average number of common shares outstanding</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4,265</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4,333 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Diluted net income per common share</w:t>
            </w:r>
          </w:p>
        </w:tc>
        <w:tc>
          <w:tcPr>
            <w:tcW w:w="257"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1210"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64.86</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Diluted average number of common shares outstanding</w:t>
            </w:r>
          </w:p>
        </w:tc>
        <w:tc>
          <w:tcPr>
            <w:tcW w:w="146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4,309</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4,373 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21005"/>
                <wp:effectExtent l="0" t="0" r="0" b="0"/>
                <wp:wrapNone/>
                <wp:docPr id="7" name="Frame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r>
                              <w:br w:type="page"/>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29"/>
        <w:gridCol w:w="1757"/>
        <w:gridCol w:w="1769"/>
        <w:gridCol w:w="274"/>
        <w:gridCol w:w="1290"/>
        <w:gridCol w:w="141"/>
        <w:gridCol w:w="141"/>
        <w:gridCol w:w="141"/>
        <w:gridCol w:w="141"/>
        <w:gridCol w:w="274"/>
        <w:gridCol w:w="1270"/>
        <w:gridCol w:w="141"/>
        <w:gridCol w:w="215"/>
        <w:gridCol w:w="215"/>
        <w:gridCol w:w="307"/>
      </w:tblGrid>
      <w:tr>
        <w:trPr/>
        <w:tc>
          <w:tcPr>
            <w:tcW w:w="212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9468" w:type="dxa"/>
            <w:gridSpan w:val="12"/>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8" w:type="dxa"/>
            <w:gridSpan w:val="12"/>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u w:val="single"/>
              </w:rPr>
            </w:pPr>
            <w:r>
              <w:rPr>
                <w:rFonts w:ascii="Arial;sans-serif" w:hAnsi="Arial;sans-serif"/>
                <w:b w:val="false"/>
                <w:color w:val="000000"/>
                <w:sz w:val="20"/>
                <w:u w:val="single"/>
              </w:rPr>
              <w:t>CONSOLIDATED STATEMENTS OF OPERATIONS</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8" w:type="dxa"/>
            <w:gridSpan w:val="12"/>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73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1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3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5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129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2,538,498</w:t>
            </w:r>
            <w:r>
              <w:rPr>
                <w:color w:val="000000"/>
              </w:rPr>
              <w:t>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2,381,687 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2,329,294</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2,206,192 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Depreciation of property, plant and equipment</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36,675</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40,206 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12,033</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15,065 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Impairment of goodwill and asset group held for sale</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19,029</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income</w:t>
            </w:r>
          </w:p>
        </w:tc>
        <w:tc>
          <w:tcPr>
            <w:tcW w:w="15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141,467</w:t>
            </w:r>
            <w:r>
              <w:rPr>
                <w:color w:val="000000"/>
              </w:rPr>
              <w:t>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120,224 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Equi</w:t>
            </w:r>
            <w:r>
              <w:rPr>
                <w:rFonts w:ascii="Arial;sans-serif" w:hAnsi="Arial;sans-serif"/>
                <w:b w:val="false"/>
                <w:color w:val="000000"/>
                <w:sz w:val="18"/>
                <w:shd w:fill="FFFFFF" w:val="clear"/>
              </w:rPr>
              <w:t>ty in earnings (losses) of</w:t>
            </w:r>
            <w:r>
              <w:rPr>
                <w:color w:val="000000"/>
              </w:rPr>
              <w:t xml:space="preserve"> </w:t>
            </w:r>
            <w:r>
              <w:rPr>
                <w:rFonts w:ascii="Arial;sans-serif" w:hAnsi="Arial;sans-serif"/>
                <w:b w:val="false"/>
                <w:color w:val="000000"/>
                <w:sz w:val="18"/>
              </w:rPr>
              <w:t>affiliates, net</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14,987</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(5,314)</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4,356</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4,761 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(33,402)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(100,383)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Non-operating pension and postretirement benefit income, net</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200,722</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63,219 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Gain on marketable equity securities, net</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32,956</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32,258 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(2,959)</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(20,521)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15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358,127</w:t>
            </w:r>
            <w:r>
              <w:rPr>
                <w:color w:val="000000"/>
              </w:rPr>
              <w:t>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94,244 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Provision for income taxes</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45,000</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28,100 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income</w:t>
            </w:r>
          </w:p>
        </w:tc>
        <w:tc>
          <w:tcPr>
            <w:tcW w:w="15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313,127</w:t>
            </w:r>
            <w:r>
              <w:rPr>
                <w:color w:val="000000"/>
              </w:rPr>
              <w:t>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66,144 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N</w:t>
            </w:r>
            <w:r>
              <w:rPr>
                <w:rFonts w:ascii="Arial;sans-serif" w:hAnsi="Arial;sans-serif"/>
                <w:b/>
                <w:color w:val="000000"/>
                <w:sz w:val="18"/>
                <w:shd w:fill="FFFFFF" w:val="clear"/>
              </w:rPr>
              <w:t>et income attri</w:t>
            </w:r>
            <w:r>
              <w:rPr>
                <w:rFonts w:ascii="Arial;sans-serif" w:hAnsi="Arial;sans-serif"/>
                <w:b/>
                <w:color w:val="000000"/>
                <w:sz w:val="18"/>
              </w:rPr>
              <w:t>butable to noncontrolling interests</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(2,918)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(5,501)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0"/>
              <w:ind w:left="0" w:right="0" w:hanging="360"/>
              <w:jc w:val="left"/>
              <w:rPr>
                <w:rFonts w:ascii="Arial;sans-serif" w:hAnsi="Arial;sans-serif"/>
                <w:b/>
                <w:color w:val="000000"/>
                <w:sz w:val="18"/>
              </w:rPr>
            </w:pPr>
            <w:r>
              <w:rPr>
                <w:rFonts w:ascii="Arial;sans-serif" w:hAnsi="Arial;sans-serif"/>
                <w:b/>
                <w:color w:val="000000"/>
                <w:sz w:val="18"/>
              </w:rPr>
              <w:t>Net Income Attributable to Graham Holdings Company Common Stockholders</w:t>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129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310,209</w:t>
            </w:r>
            <w:r>
              <w:rPr>
                <w:color w:val="000000"/>
              </w:rPr>
              <w:t>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60,643 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0"/>
              <w:ind w:left="0" w:right="0" w:hanging="360"/>
              <w:jc w:val="left"/>
              <w:rPr>
                <w:rFonts w:ascii="Arial;sans-serif" w:hAnsi="Arial;sans-serif"/>
                <w:b/>
                <w:color w:val="000000"/>
                <w:sz w:val="18"/>
              </w:rPr>
            </w:pPr>
            <w:r>
              <w:rPr>
                <w:rFonts w:ascii="Arial;sans-serif" w:hAnsi="Arial;sans-serif"/>
                <w:b/>
                <w:color w:val="000000"/>
                <w:sz w:val="18"/>
              </w:rPr>
              <w:t>Per Share Information Attributable to Graham Holdings Company Common Stockholders</w:t>
            </w:r>
          </w:p>
        </w:tc>
        <w:tc>
          <w:tcPr>
            <w:tcW w:w="17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Basic net income per common share</w:t>
            </w:r>
          </w:p>
        </w:tc>
        <w:tc>
          <w:tcPr>
            <w:tcW w:w="274"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1290"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71.76</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0"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13.93 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Basic average number of common shares outstanding</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4,298</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4,327 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Diluted net income per common share</w:t>
            </w:r>
          </w:p>
        </w:tc>
        <w:tc>
          <w:tcPr>
            <w:tcW w:w="274"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1290"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71.04</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0"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13.81 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Diluted average number of common shares outstanding</w:t>
            </w:r>
          </w:p>
        </w:tc>
        <w:tc>
          <w:tcPr>
            <w:tcW w:w="15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4,342</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4,366 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21005"/>
                <wp:effectExtent l="0" t="0" r="0" b="0"/>
                <wp:wrapNone/>
                <wp:docPr id="8" name="Frame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r>
                              <w:br w:type="page"/>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50"/>
        <w:gridCol w:w="479"/>
        <w:gridCol w:w="394"/>
        <w:gridCol w:w="111"/>
        <w:gridCol w:w="111"/>
        <w:gridCol w:w="111"/>
        <w:gridCol w:w="211"/>
        <w:gridCol w:w="991"/>
        <w:gridCol w:w="109"/>
        <w:gridCol w:w="109"/>
        <w:gridCol w:w="109"/>
        <w:gridCol w:w="109"/>
        <w:gridCol w:w="211"/>
        <w:gridCol w:w="976"/>
        <w:gridCol w:w="109"/>
        <w:gridCol w:w="109"/>
        <w:gridCol w:w="109"/>
        <w:gridCol w:w="109"/>
        <w:gridCol w:w="225"/>
        <w:gridCol w:w="225"/>
        <w:gridCol w:w="226"/>
        <w:gridCol w:w="109"/>
        <w:gridCol w:w="109"/>
        <w:gridCol w:w="109"/>
        <w:gridCol w:w="211"/>
        <w:gridCol w:w="991"/>
        <w:gridCol w:w="109"/>
        <w:gridCol w:w="109"/>
        <w:gridCol w:w="109"/>
        <w:gridCol w:w="109"/>
        <w:gridCol w:w="211"/>
        <w:gridCol w:w="976"/>
        <w:gridCol w:w="109"/>
        <w:gridCol w:w="109"/>
        <w:gridCol w:w="109"/>
        <w:gridCol w:w="109"/>
        <w:gridCol w:w="211"/>
        <w:gridCol w:w="211"/>
        <w:gridCol w:w="302"/>
      </w:tblGrid>
      <w:tr>
        <w:trPr/>
        <w:tc>
          <w:tcPr>
            <w:tcW w:w="75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10205" w:type="dxa"/>
            <w:gridSpan w:val="3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u w:val="single"/>
              </w:rPr>
            </w:pPr>
            <w:r>
              <w:rPr>
                <w:rFonts w:ascii="Arial;sans-serif" w:hAnsi="Arial;sans-serif"/>
                <w:b w:val="false"/>
                <w:color w:val="000000"/>
                <w:sz w:val="20"/>
                <w:u w:val="single"/>
              </w:rPr>
              <w:t>BUSINESS DIVISION INFORMATION</w:t>
            </w:r>
          </w:p>
        </w:tc>
      </w:tr>
      <w:tr>
        <w:trPr/>
        <w:tc>
          <w:tcPr>
            <w:tcW w:w="10205" w:type="dxa"/>
            <w:gridSpan w:val="3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195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Revenues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417,808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436,813 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858,287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861,544 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109,630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105,984 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221,183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209,538 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247,651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202,219 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456,991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375,960 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133,280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96,218 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258,314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194,223 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301,352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285,572 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568,976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566,563 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92,839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88,970 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174,766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173,867 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(777)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(1,414)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1,302,506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1,215,772 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2,538,498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2,381,687 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Expenses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367,532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390,628 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775,629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775,326 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79,147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78,044 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156,757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157,200 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223,041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177,122 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414,955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332,546 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126,179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88,652 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243,213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181,177 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293,287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276,279 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555,603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550,778 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110,026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116,265 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216,090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232,400 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20,437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36,198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33,285 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(777)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(1,414)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1,218,872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1,143,021 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2,397,031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2,261,463 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Income (Loss)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50,276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46,185 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82,658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30,483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64,426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24,610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42,036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7,101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15,101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8,065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13,373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(17,187)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(27,295)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(41,324)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(58,533)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(19,714)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(34,803)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(32,044)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83,634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72,751 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141,467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120,224 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02"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Amortization of Intangible Assets and Impairment of Goodwill and Asset Group Held for Sale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19,586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2,720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3,743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7,486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5,978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7,241 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31,062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15,065 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5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Income (Loss) before Amortization of Intangible Assets and Impairment of Goodwill and Asset Group Held for Sale</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50,519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102,244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90,036 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31,843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29,300 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67,146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55,058 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24,700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42,222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10,844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22,587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8,070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13,383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(16,650)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(25,666)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(40,250)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(55,113)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(19,714)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(34,803)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(32,044)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89,612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79,992 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172,529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135,289 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21005"/>
                <wp:effectExtent l="0" t="0" r="0" b="0"/>
                <wp:wrapNone/>
                <wp:docPr id="9" name="Frame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r>
                              <w:br w:type="page"/>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81"/>
        <w:gridCol w:w="627"/>
        <w:gridCol w:w="632"/>
        <w:gridCol w:w="137"/>
        <w:gridCol w:w="137"/>
        <w:gridCol w:w="137"/>
        <w:gridCol w:w="211"/>
        <w:gridCol w:w="841"/>
        <w:gridCol w:w="109"/>
        <w:gridCol w:w="109"/>
        <w:gridCol w:w="109"/>
        <w:gridCol w:w="109"/>
        <w:gridCol w:w="211"/>
        <w:gridCol w:w="826"/>
        <w:gridCol w:w="109"/>
        <w:gridCol w:w="109"/>
        <w:gridCol w:w="109"/>
        <w:gridCol w:w="109"/>
        <w:gridCol w:w="225"/>
        <w:gridCol w:w="225"/>
        <w:gridCol w:w="226"/>
        <w:gridCol w:w="109"/>
        <w:gridCol w:w="109"/>
        <w:gridCol w:w="109"/>
        <w:gridCol w:w="211"/>
        <w:gridCol w:w="841"/>
        <w:gridCol w:w="109"/>
        <w:gridCol w:w="109"/>
        <w:gridCol w:w="109"/>
        <w:gridCol w:w="109"/>
        <w:gridCol w:w="211"/>
        <w:gridCol w:w="826"/>
        <w:gridCol w:w="109"/>
        <w:gridCol w:w="109"/>
        <w:gridCol w:w="109"/>
        <w:gridCol w:w="109"/>
        <w:gridCol w:w="213"/>
        <w:gridCol w:w="213"/>
        <w:gridCol w:w="303"/>
      </w:tblGrid>
      <w:tr>
        <w:trPr/>
        <w:tc>
          <w:tcPr>
            <w:tcW w:w="88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255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Depreciation</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5,659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11,713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4,681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3,827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3,782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3,223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18,281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19,652 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36,675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40,206 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Pension Expense</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4,672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9,111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3,529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3,725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11,922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11,699 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23,502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23,891 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6"/>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Adjusted Operating Cash Flow (non-GAAP)</w:t>
            </w:r>
            <w:r>
              <w:rPr>
                <w:rFonts w:ascii="Arial;sans-serif" w:hAnsi="Arial;sans-serif"/>
                <w:b/>
                <w:color w:val="000000"/>
                <w:sz w:val="12"/>
              </w:rPr>
              <w:t>(1)</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60,850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59,709 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123,068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113,848 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35,807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33,457 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74,934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63,262 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28,256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49,578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15,136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31,244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24,995 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10,058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17,233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(11,489)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(20,018)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(30,364)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(43,960)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(18,803)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(15,067)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(32,987)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(30,189)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119,815</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111,343 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232,706</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199,386 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left"/>
        <w:rPr>
          <w:rFonts w:ascii="Arial;sans-serif" w:hAnsi="Arial;sans-serif"/>
          <w:b w:val="false"/>
          <w:color w:val="000000"/>
          <w:sz w:val="16"/>
        </w:rPr>
      </w:pPr>
      <w:r>
        <w:rPr>
          <w:rFonts w:ascii="Arial;sans-serif" w:hAnsi="Arial;sans-serif"/>
          <w:b w:val="false"/>
          <w:color w:val="000000"/>
          <w:sz w:val="16"/>
        </w:rPr>
        <w:t>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Adjusted Operating Cash Flow (non-GAAP) is calculated as Operating Income (Loss) before Amortization of Intangible Assets and Impairment of Goodwill and Asset Group Held for Sale plus Depreciation Expense and Pension Expense.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1005"/>
                <wp:effectExtent l="0" t="0" r="0" b="0"/>
                <wp:wrapNone/>
                <wp:docPr id="10" name="Frame1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r>
                              <w:br w:type="page"/>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90"/>
        <w:gridCol w:w="603"/>
        <w:gridCol w:w="591"/>
        <w:gridCol w:w="123"/>
        <w:gridCol w:w="123"/>
        <w:gridCol w:w="123"/>
        <w:gridCol w:w="211"/>
        <w:gridCol w:w="841"/>
        <w:gridCol w:w="109"/>
        <w:gridCol w:w="109"/>
        <w:gridCol w:w="109"/>
        <w:gridCol w:w="109"/>
        <w:gridCol w:w="211"/>
        <w:gridCol w:w="826"/>
        <w:gridCol w:w="109"/>
        <w:gridCol w:w="109"/>
        <w:gridCol w:w="109"/>
        <w:gridCol w:w="109"/>
        <w:gridCol w:w="225"/>
        <w:gridCol w:w="225"/>
        <w:gridCol w:w="226"/>
        <w:gridCol w:w="109"/>
        <w:gridCol w:w="109"/>
        <w:gridCol w:w="109"/>
        <w:gridCol w:w="211"/>
        <w:gridCol w:w="841"/>
        <w:gridCol w:w="109"/>
        <w:gridCol w:w="109"/>
        <w:gridCol w:w="109"/>
        <w:gridCol w:w="109"/>
        <w:gridCol w:w="211"/>
        <w:gridCol w:w="826"/>
        <w:gridCol w:w="109"/>
        <w:gridCol w:w="109"/>
        <w:gridCol w:w="109"/>
        <w:gridCol w:w="109"/>
        <w:gridCol w:w="211"/>
        <w:gridCol w:w="211"/>
        <w:gridCol w:w="305"/>
      </w:tblGrid>
      <w:tr>
        <w:trPr/>
        <w:tc>
          <w:tcPr>
            <w:tcW w:w="99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10205" w:type="dxa"/>
            <w:gridSpan w:val="3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u w:val="single"/>
              </w:rPr>
            </w:pPr>
            <w:r>
              <w:rPr>
                <w:rFonts w:ascii="Arial;sans-serif" w:hAnsi="Arial;sans-serif"/>
                <w:b w:val="false"/>
                <w:color w:val="000000"/>
                <w:sz w:val="20"/>
                <w:u w:val="single"/>
              </w:rPr>
              <w:t>EDUCATION DIVISION INFORMATION</w:t>
            </w:r>
          </w:p>
        </w:tc>
      </w:tr>
      <w:tr>
        <w:trPr/>
        <w:tc>
          <w:tcPr>
            <w:tcW w:w="10205" w:type="dxa"/>
            <w:gridSpan w:val="3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2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Revenues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252,375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272,171 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524,011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533,427 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86,293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84,738 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178,696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173,225 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79,476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80,161 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156,340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155,564 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(620)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417,808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436,813 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858,287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861,544 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Expenses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219,512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242,234 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459,761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473,428 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69,645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66,766 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144,359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142,446 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70,972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72,755 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140,556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142,190 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8,051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12,672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14,099 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30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Impairment of goodwill and asset group held for sale</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19,029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367,532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390,628 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775,629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775,326 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Income (Loss)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32,863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29,937 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64,250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59,999 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16,648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34,337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30,779 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8,504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15,784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(7,767)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(7,416)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(12,117)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(14,064)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(557)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0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Impairment of goodwill and asset group held for sale</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(19,029)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50,276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46,185 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82,658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86,218 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05"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Income (Loss) before Amortization of Intangible Assets and Impairment of Goodwill and Asset Group Held for Sale</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32,863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29,937 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64,250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59,999 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16,648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34,337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30,779 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8,504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15,784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(7,767)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(7,416)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(12,117)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(14,064)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50,519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47,884 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102,244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90,036 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Depreciation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9,579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5,659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7,412 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11,713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15,176 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Pension Expense</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2,032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3,952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2,060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4,046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4,672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4,413 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9,111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6"/>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Adjusted Operating Cash Flow (non-GAAP)</w:t>
            </w:r>
            <w:r>
              <w:rPr>
                <w:rFonts w:ascii="Arial;sans-serif" w:hAnsi="Arial;sans-serif"/>
                <w:b/>
                <w:color w:val="000000"/>
                <w:sz w:val="12"/>
              </w:rPr>
              <w:t>(1)</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37,524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74,005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73,227 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18,980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38,856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35,315 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11,302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21,378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(7,227)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(11,161)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(13,259)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60,850</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59,709 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123,068</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113,848 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left"/>
        <w:rPr>
          <w:rFonts w:ascii="Arial;sans-serif" w:hAnsi="Arial;sans-serif"/>
          <w:b w:val="false"/>
          <w:color w:val="000000"/>
          <w:sz w:val="16"/>
        </w:rPr>
      </w:pPr>
      <w:r>
        <w:rPr>
          <w:rFonts w:ascii="Arial;sans-serif" w:hAnsi="Arial;sans-serif"/>
          <w:b w:val="false"/>
          <w:color w:val="000000"/>
          <w:sz w:val="16"/>
        </w:rPr>
        <w:t>____________</w:t>
      </w:r>
    </w:p>
    <w:tbl>
      <w:tblPr>
        <w:tblW w:w="10205" w:type="dxa"/>
        <w:jc w:val="left"/>
        <w:tblInd w:w="0" w:type="dxa"/>
        <w:tblLayout w:type="fixed"/>
        <w:tblCellMar>
          <w:top w:w="28" w:type="dxa"/>
          <w:left w:w="28" w:type="dxa"/>
          <w:bottom w:w="28" w:type="dxa"/>
          <w:right w:w="28" w:type="dxa"/>
        </w:tblCellMar>
      </w:tblPr>
      <w:tblGrid>
        <w:gridCol w:w="133"/>
        <w:gridCol w:w="117"/>
        <w:gridCol w:w="117"/>
        <w:gridCol w:w="2879"/>
        <w:gridCol w:w="2879"/>
        <w:gridCol w:w="4080"/>
      </w:tblGrid>
      <w:tr>
        <w:trPr/>
        <w:tc>
          <w:tcPr>
            <w:tcW w:w="1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pPr>
            <w:r>
              <w:rPr/>
              <w:t>(1)</w:t>
            </w:r>
          </w:p>
        </w:tc>
        <w:tc>
          <w:tcPr>
            <w:tcW w:w="983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Adjusted Operating Cash Flow (non-GAAP) is calculated as Operating Income (Loss) before Amortization of Intangible Assets and Impairment of Goodwill and Asset Group Held for Sale plus Depreciation Expense and Pension Expense.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1005"/>
                <wp:effectExtent l="0" t="0" r="0" b="0"/>
                <wp:wrapNone/>
                <wp:docPr id="11" name="Frame1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r>
                              <w:br w:type="page"/>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38"/>
        <w:gridCol w:w="618"/>
        <w:gridCol w:w="619"/>
        <w:gridCol w:w="126"/>
        <w:gridCol w:w="126"/>
        <w:gridCol w:w="126"/>
        <w:gridCol w:w="211"/>
        <w:gridCol w:w="841"/>
        <w:gridCol w:w="109"/>
        <w:gridCol w:w="109"/>
        <w:gridCol w:w="109"/>
        <w:gridCol w:w="109"/>
        <w:gridCol w:w="211"/>
        <w:gridCol w:w="826"/>
        <w:gridCol w:w="109"/>
        <w:gridCol w:w="109"/>
        <w:gridCol w:w="109"/>
        <w:gridCol w:w="109"/>
        <w:gridCol w:w="225"/>
        <w:gridCol w:w="225"/>
        <w:gridCol w:w="226"/>
        <w:gridCol w:w="109"/>
        <w:gridCol w:w="109"/>
        <w:gridCol w:w="109"/>
        <w:gridCol w:w="211"/>
        <w:gridCol w:w="841"/>
        <w:gridCol w:w="109"/>
        <w:gridCol w:w="109"/>
        <w:gridCol w:w="109"/>
        <w:gridCol w:w="109"/>
        <w:gridCol w:w="211"/>
        <w:gridCol w:w="826"/>
        <w:gridCol w:w="109"/>
        <w:gridCol w:w="109"/>
        <w:gridCol w:w="109"/>
        <w:gridCol w:w="109"/>
        <w:gridCol w:w="212"/>
        <w:gridCol w:w="212"/>
        <w:gridCol w:w="303"/>
      </w:tblGrid>
      <w:tr>
        <w:trPr/>
        <w:tc>
          <w:tcPr>
            <w:tcW w:w="93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10205" w:type="dxa"/>
            <w:gridSpan w:val="3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u w:val="single"/>
              </w:rPr>
            </w:pPr>
            <w:r>
              <w:rPr>
                <w:rFonts w:ascii="Arial;sans-serif" w:hAnsi="Arial;sans-serif"/>
                <w:b w:val="false"/>
                <w:color w:val="000000"/>
                <w:sz w:val="20"/>
                <w:u w:val="single"/>
              </w:rPr>
              <w:t>HEALTHCARE DIVISION INFORMATION</w:t>
            </w:r>
          </w:p>
        </w:tc>
      </w:tr>
      <w:tr>
        <w:trPr/>
        <w:tc>
          <w:tcPr>
            <w:tcW w:w="10205" w:type="dxa"/>
            <w:gridSpan w:val="3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2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Revenues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CSI</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148,523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113,415 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266,304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203,663 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Healthcare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99,128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88,804 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190,687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172,297 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247,651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202,219 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456,991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375,960 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Expenses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CSI</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136,025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99,418 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247,494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180,023 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Healthcare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87,016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77,704 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167,461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152,523 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223,041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177,122 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414,955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332,546 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Income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CSI</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12,498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18,810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Healthcare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12,112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23,226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24,610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25,097 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42,036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43,414 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3"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Amortization of Intangible Assets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CSI</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Healthcare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03"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Income before Amortization of Intangible Assets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CSI</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12,518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18,851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Healthcare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12,182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23,371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24,700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25,214 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42,222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43,649 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Depreciation</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CSI</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Healthcare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3,233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1,913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3,827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3,509 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Pension Expense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CSI</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Healthcare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3,529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1,643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3,529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4,992 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6"/>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Adjusted Operating Cash Flow (non-GAAP)</w:t>
            </w:r>
            <w:r>
              <w:rPr>
                <w:rFonts w:ascii="Arial;sans-serif" w:hAnsi="Arial;sans-serif"/>
                <w:b/>
                <w:color w:val="000000"/>
                <w:sz w:val="12"/>
              </w:rPr>
              <w:t>(1)</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CSI</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12,819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19,445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24,066 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Healthcare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15,437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30,133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28,256</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28,930 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49,578</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52,150 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Adjusted Operating Cash Flow (non-GAAP) is calculated as Operating Income (Loss) before Amortization of Intangible Assets and Impairment of Long-Lived Assets plus Depreciation Expense and Pension Expense.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1005"/>
                <wp:effectExtent l="0" t="0" r="0" b="0"/>
                <wp:wrapNone/>
                <wp:docPr id="12" name="Frame1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r>
                              <w:br w:type="page"/>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64" w:before="0" w:after="60"/>
        <w:jc w:val="left"/>
        <w:rPr>
          <w:rFonts w:ascii="Arial;sans-serif" w:hAnsi="Arial;sans-serif"/>
          <w:b w:val="false"/>
          <w:color w:val="000000"/>
          <w:sz w:val="20"/>
        </w:rPr>
      </w:pPr>
      <w:r>
        <w:rPr>
          <w:rFonts w:ascii="Arial;sans-serif" w:hAnsi="Arial;sans-serif"/>
          <w:b w:val="false"/>
          <w:color w:val="000000"/>
          <w:sz w:val="20"/>
        </w:rPr>
        <w:t>NON-GAAP FINANCIAL INFORMATION</w:t>
      </w:r>
    </w:p>
    <w:p>
      <w:pPr>
        <w:pStyle w:val="TextBody"/>
        <w:bidi w:val="0"/>
        <w:spacing w:lineRule="auto" w:line="264" w:before="0" w:after="60"/>
        <w:jc w:val="left"/>
        <w:rPr>
          <w:rFonts w:ascii="Arial;sans-serif" w:hAnsi="Arial;sans-serif"/>
          <w:b w:val="false"/>
          <w:color w:val="000000"/>
          <w:sz w:val="20"/>
        </w:rPr>
      </w:pPr>
      <w:r>
        <w:rPr>
          <w:rFonts w:ascii="Arial;sans-serif" w:hAnsi="Arial;sans-serif"/>
          <w:b w:val="false"/>
          <w:color w:val="000000"/>
          <w:sz w:val="20"/>
        </w:rPr>
        <w:t>GRAHAM HOLDINGS COMPANY</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64" w:before="0" w:after="120"/>
        <w:jc w:val="left"/>
        <w:rPr/>
      </w:pPr>
      <w:r>
        <w:rPr>
          <w:rFonts w:ascii="Arial;sans-serif" w:hAnsi="Arial;sans-serif"/>
          <w:b w:val="false"/>
          <w:color w:val="000000"/>
          <w:sz w:val="17"/>
        </w:rPr>
        <w:t>I</w:t>
      </w:r>
      <w:r>
        <w:rPr>
          <w:rFonts w:ascii="Arial;sans-serif" w:hAnsi="Arial;sans-serif"/>
          <w:b w:val="false"/>
          <w:color w:val="000000"/>
          <w:sz w:val="20"/>
        </w:rPr>
        <w:t>n addition to the results reported in accordance with accounting principles generally accepted in the United States (GAAP) included in this press release, the Company has provided information regarding Adjusted Operating Cash Flow and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pStyle w:val="TextBody"/>
        <w:bidi w:val="0"/>
        <w:spacing w:lineRule="auto" w:line="264" w:before="0" w:after="60"/>
        <w:ind w:left="0" w:right="0" w:hanging="360"/>
        <w:jc w:val="left"/>
        <w:rPr/>
      </w:pPr>
      <w:r>
        <w:rPr>
          <w:color w:val="000000"/>
        </w:rPr>
        <w:t>•</w:t>
      </w:r>
      <w:r>
        <w:rPr>
          <w:rFonts w:ascii="Arial;sans-serif" w:hAnsi="Arial;sans-serif"/>
          <w:b w:val="false"/>
          <w:color w:val="000000"/>
          <w:sz w:val="20"/>
        </w:rPr>
        <w:t>the ability to make meaningful period-to-period comparisons of the Company’s ongoing results;</w:t>
      </w:r>
    </w:p>
    <w:p>
      <w:pPr>
        <w:pStyle w:val="TextBody"/>
        <w:bidi w:val="0"/>
        <w:spacing w:lineRule="auto" w:line="264" w:before="0" w:after="60"/>
        <w:ind w:left="0" w:right="0" w:hanging="360"/>
        <w:jc w:val="left"/>
        <w:rPr/>
      </w:pPr>
      <w:r>
        <w:rPr>
          <w:color w:val="000000"/>
        </w:rPr>
        <w:t>•</w:t>
      </w:r>
      <w:r>
        <w:rPr>
          <w:rFonts w:ascii="Arial;sans-serif" w:hAnsi="Arial;sans-serif"/>
          <w:b w:val="false"/>
          <w:color w:val="000000"/>
          <w:sz w:val="20"/>
        </w:rPr>
        <w:t>the ability to identify trends in the Company’s underlying business; and</w:t>
      </w:r>
    </w:p>
    <w:p>
      <w:pPr>
        <w:pStyle w:val="TextBody"/>
        <w:bidi w:val="0"/>
        <w:spacing w:lineRule="auto" w:line="264" w:before="0" w:after="120"/>
        <w:ind w:left="0" w:right="0" w:hanging="360"/>
        <w:jc w:val="left"/>
        <w:rPr/>
      </w:pPr>
      <w:r>
        <w:rPr>
          <w:color w:val="000000"/>
        </w:rPr>
        <w:t>•</w:t>
      </w:r>
      <w:r>
        <w:rPr>
          <w:rFonts w:ascii="Arial;sans-serif" w:hAnsi="Arial;sans-serif"/>
          <w:b w:val="false"/>
          <w:color w:val="000000"/>
          <w:sz w:val="20"/>
        </w:rPr>
        <w:t>a better understanding of how management plans and measures the Company’s underlying business.</w:t>
      </w:r>
    </w:p>
    <w:p>
      <w:pPr>
        <w:pStyle w:val="TextBody"/>
        <w:bidi w:val="0"/>
        <w:spacing w:lineRule="auto" w:line="264" w:before="0" w:after="120"/>
        <w:jc w:val="left"/>
        <w:rPr>
          <w:rFonts w:ascii="Arial;sans-serif" w:hAnsi="Arial;sans-serif"/>
          <w:b w:val="false"/>
          <w:color w:val="000000"/>
          <w:sz w:val="20"/>
        </w:rPr>
      </w:pPr>
      <w:r>
        <w:rPr>
          <w:rFonts w:ascii="Arial;sans-serif" w:hAnsi="Arial;sans-serif"/>
          <w:b w:val="false"/>
          <w:color w:val="000000"/>
          <w:sz w:val="20"/>
        </w:rPr>
        <w:t>Adjusted Operating Cash Flow and 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pStyle w:val="TextBody"/>
        <w:bidi w:val="0"/>
        <w:spacing w:lineRule="auto" w:line="264" w:before="0" w:after="120"/>
        <w:jc w:val="left"/>
        <w:rPr>
          <w:rFonts w:ascii="Arial;sans-serif" w:hAnsi="Arial;sans-serif"/>
          <w:b w:val="false"/>
          <w:color w:val="000000"/>
          <w:sz w:val="20"/>
        </w:rPr>
      </w:pPr>
      <w:r>
        <w:rPr>
          <w:rFonts w:ascii="Arial;sans-serif" w:hAnsi="Arial;sans-serif"/>
          <w:b w:val="false"/>
          <w:color w:val="000000"/>
          <w:sz w:val="20"/>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 the Company's Healthcare business. The Company measures the redemption value of this minority ownership on a quarterly basis with changes in the fair value recorded as interest expense or income, which is included in net income for the period. The effect of gains and losses on marketable equity securities and net interest expense related to fair value adjustments of the mandatorily redeemable noncontrolling interest are not directly related to the core performance of the Company’s business operations since these items do not directly relate to the sale of the Company’s services or products. GAAP requires that the Company include the gains and losses on marketable equity securities and net interest expense related to fair value adjustments of the mandatorily redeemable noncontrolling interest in net income on the Condensed Consolidated Statements of Operations. The Company excludes the gains and losses on marketable equity securities and net interest expense related to fair value adjustments of the mandatorily redeemable noncontrolling interest from the non-GAAP adjusted net income because these items are independent of the Company’s core operations and not indicative of the performance of the Company’s business operations.</w:t>
      </w: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21005"/>
                <wp:effectExtent l="0" t="0" r="0" b="0"/>
                <wp:wrapNone/>
                <wp:docPr id="13" name="Frame1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r>
                              <w:br w:type="page"/>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64" w:before="0" w:after="120"/>
        <w:jc w:val="left"/>
        <w:rPr>
          <w:rFonts w:ascii="Arial;sans-serif" w:hAnsi="Arial;sans-serif"/>
          <w:b w:val="false"/>
          <w:color w:val="000000"/>
          <w:sz w:val="20"/>
        </w:rPr>
      </w:pPr>
      <w:r>
        <w:rPr>
          <w:rFonts w:ascii="Arial;sans-serif" w:hAnsi="Arial;sans-serif"/>
          <w:b w:val="false"/>
          <w:color w:val="000000"/>
          <w:sz w:val="20"/>
        </w:rPr>
        <w:t>The following tables reconcile the non-GAAP financial measures for Net income, excluding certain items, to the most directly comparable GAAP measures:</w:t>
      </w:r>
    </w:p>
    <w:tbl>
      <w:tblPr>
        <w:tblW w:w="10205" w:type="dxa"/>
        <w:jc w:val="left"/>
        <w:tblInd w:w="0" w:type="dxa"/>
        <w:tblLayout w:type="fixed"/>
        <w:tblCellMar>
          <w:top w:w="28" w:type="dxa"/>
          <w:left w:w="28" w:type="dxa"/>
          <w:bottom w:w="28" w:type="dxa"/>
          <w:right w:w="28" w:type="dxa"/>
        </w:tblCellMar>
      </w:tblPr>
      <w:tblGrid>
        <w:gridCol w:w="790"/>
        <w:gridCol w:w="501"/>
        <w:gridCol w:w="504"/>
        <w:gridCol w:w="216"/>
        <w:gridCol w:w="829"/>
        <w:gridCol w:w="120"/>
        <w:gridCol w:w="109"/>
        <w:gridCol w:w="109"/>
        <w:gridCol w:w="109"/>
        <w:gridCol w:w="200"/>
        <w:gridCol w:w="674"/>
        <w:gridCol w:w="111"/>
        <w:gridCol w:w="109"/>
        <w:gridCol w:w="109"/>
        <w:gridCol w:w="109"/>
        <w:gridCol w:w="196"/>
        <w:gridCol w:w="751"/>
        <w:gridCol w:w="109"/>
        <w:gridCol w:w="109"/>
        <w:gridCol w:w="109"/>
        <w:gridCol w:w="109"/>
        <w:gridCol w:w="217"/>
        <w:gridCol w:w="717"/>
        <w:gridCol w:w="121"/>
        <w:gridCol w:w="109"/>
        <w:gridCol w:w="109"/>
        <w:gridCol w:w="109"/>
        <w:gridCol w:w="199"/>
        <w:gridCol w:w="657"/>
        <w:gridCol w:w="110"/>
        <w:gridCol w:w="109"/>
        <w:gridCol w:w="109"/>
        <w:gridCol w:w="109"/>
        <w:gridCol w:w="196"/>
        <w:gridCol w:w="646"/>
        <w:gridCol w:w="109"/>
        <w:gridCol w:w="109"/>
        <w:gridCol w:w="109"/>
        <w:gridCol w:w="109"/>
        <w:gridCol w:w="109"/>
        <w:gridCol w:w="161"/>
      </w:tblGrid>
      <w:tr>
        <w:trPr/>
        <w:tc>
          <w:tcPr>
            <w:tcW w:w="7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64"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(in thousands, except per share amounts)</w:t>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7"/>
              </w:rPr>
            </w:pPr>
            <w:r>
              <w:rPr>
                <w:rFonts w:ascii="Arial;sans-serif" w:hAnsi="Arial;sans-serif"/>
                <w:b/>
                <w:color w:val="000000"/>
                <w:sz w:val="17"/>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7"/>
              </w:rPr>
            </w:pPr>
            <w:r>
              <w:rPr>
                <w:rFonts w:ascii="Arial;sans-serif" w:hAnsi="Arial;sans-serif"/>
                <w:b/>
                <w:color w:val="000000"/>
                <w:sz w:val="17"/>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7"/>
              </w:rPr>
            </w:pPr>
            <w:r>
              <w:rPr>
                <w:rFonts w:ascii="Arial;sans-serif" w:hAnsi="Arial;sans-serif"/>
                <w:b/>
                <w:color w:val="000000"/>
                <w:sz w:val="17"/>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7"/>
              </w:rPr>
            </w:pPr>
            <w:r>
              <w:rPr>
                <w:rFonts w:ascii="Arial;sans-serif" w:hAnsi="Arial;sans-serif"/>
                <w:b w:val="false"/>
                <w:color w:val="000000"/>
                <w:sz w:val="17"/>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7"/>
              </w:rPr>
            </w:pPr>
            <w:r>
              <w:rPr>
                <w:rFonts w:ascii="Arial;sans-serif" w:hAnsi="Arial;sans-serif"/>
                <w:b w:val="false"/>
                <w:color w:val="000000"/>
                <w:sz w:val="17"/>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7"/>
              </w:rPr>
            </w:pPr>
            <w:r>
              <w:rPr>
                <w:rFonts w:ascii="Arial;sans-serif" w:hAnsi="Arial;sans-serif"/>
                <w:b w:val="false"/>
                <w:color w:val="000000"/>
                <w:sz w:val="17"/>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Amounts attributable to Graham Holdings Company Common Stockholders</w:t>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As reported</w:t>
            </w:r>
          </w:p>
        </w:tc>
        <w:tc>
          <w:tcPr>
            <w:tcW w:w="216"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829"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317,476</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674"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35,100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282,376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717"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60,623 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657"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20,200 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40,423 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Attributable to noncontrolling interests</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(1,273)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(3,674)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Attributable to Graham Holdings Company Stockholders</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281,103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36,749 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Adjustments:</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35"/>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Settlement gain related to retiree annuity pension purchase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(136,955)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(35,625)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(101,330)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35"/>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Charges related to non-operating Separation Incentive Programs and a Voluntary Retirement Incentive Program</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3,837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997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2,840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6,015 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1,540 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35"/>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Interest (income) expense related to the fair value adjustment of the mandatorily redeemable noncontrolling interest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(213)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24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1,153 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(2,342)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3,495 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Net (gains) losses on marketable equity securities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(101,879)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(26,025)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(75,854)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11,543 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2,960 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8,583 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64" w:before="0" w:after="0"/>
              <w:ind w:left="0" w:right="0" w:hanging="135"/>
              <w:jc w:val="left"/>
              <w:rPr/>
            </w:pPr>
            <w:r>
              <w:rPr>
                <w:rFonts w:ascii="Arial;sans-serif" w:hAnsi="Arial;sans-serif"/>
                <w:b w:val="false"/>
                <w:color w:val="000000"/>
                <w:sz w:val="17"/>
              </w:rPr>
              <w:t>N</w:t>
            </w:r>
            <w:r>
              <w:rPr>
                <w:rFonts w:ascii="Arial;sans-serif" w:hAnsi="Arial;sans-serif"/>
                <w:b w:val="false"/>
                <w:color w:val="000000"/>
                <w:sz w:val="17"/>
                <w:shd w:fill="FFFFFF" w:val="clear"/>
              </w:rPr>
              <w:t>et losses</w:t>
            </w:r>
            <w:r>
              <w:rPr>
                <w:color w:val="000000"/>
              </w:rPr>
              <w:t xml:space="preserve"> </w:t>
            </w:r>
            <w:r>
              <w:rPr>
                <w:rFonts w:ascii="Arial;sans-serif" w:hAnsi="Arial;sans-serif"/>
                <w:b w:val="false"/>
                <w:color w:val="000000"/>
                <w:sz w:val="17"/>
              </w:rPr>
              <w:t>of affiliates whose operations are not managed by the Company</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17,905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4,574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13,331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413 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106 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Loss on sale of KLG</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5,151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(5,274)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10,425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35"/>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Non-operating loss from the impairment of equity and cost method investments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5,800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1,482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4,318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12,679 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3,206 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9,473 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Income tax benefit related to the KLG business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69,564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(69,564)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35"/>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 xml:space="preserve">Non-U.S. global minimum corporate income tax expense </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(19,180)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19,180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7"/>
              </w:rPr>
              <w:t>Ne</w:t>
            </w:r>
            <w:r>
              <w:rPr>
                <w:rFonts w:ascii="Arial;sans-serif" w:hAnsi="Arial;sans-serif"/>
                <w:b w:val="false"/>
                <w:color w:val="000000"/>
                <w:sz w:val="17"/>
                <w:shd w:fill="FFFFFF" w:val="clear"/>
              </w:rPr>
              <w:t>t Income, adju</w:t>
            </w:r>
            <w:r>
              <w:rPr>
                <w:rFonts w:ascii="Arial;sans-serif" w:hAnsi="Arial;sans-serif"/>
                <w:b w:val="false"/>
                <w:color w:val="000000"/>
                <w:sz w:val="17"/>
              </w:rPr>
              <w:t>sted (non-GAAP)</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84,212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63,082 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Per share information attributable to Graham Holdings Company Common Stockholders</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7"/>
              </w:rPr>
              <w:t>Dilut</w:t>
            </w:r>
            <w:r>
              <w:rPr>
                <w:rFonts w:ascii="Arial;sans-serif" w:hAnsi="Arial;sans-serif"/>
                <w:b w:val="false"/>
                <w:color w:val="000000"/>
                <w:sz w:val="17"/>
                <w:shd w:fill="FFFFFF" w:val="clear"/>
              </w:rPr>
              <w:t xml:space="preserve">ed income per </w:t>
            </w:r>
            <w:r>
              <w:rPr>
                <w:rFonts w:ascii="Arial;sans-serif" w:hAnsi="Arial;sans-serif"/>
                <w:b w:val="false"/>
                <w:color w:val="000000"/>
                <w:sz w:val="17"/>
              </w:rPr>
              <w:t>common share, as reported</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64.86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Adjustments:</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35"/>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Settlement gain related to retiree annuity pension purchase</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(23.38)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35"/>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Charges related to non-operating Separation Incentive Programs and a Voluntary Retirement Incentive Program</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0.66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35"/>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Interest (income) expense related to the fair value adjustment of the mandatorily redeemable noncontrolling interest</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Net (gains) losses on marketable equity securities</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0"/>
              <w:ind w:left="0" w:right="0" w:hanging="135"/>
              <w:jc w:val="left"/>
              <w:rPr/>
            </w:pPr>
            <w:r>
              <w:rPr>
                <w:rFonts w:ascii="Arial;sans-serif" w:hAnsi="Arial;sans-serif"/>
                <w:b w:val="false"/>
                <w:color w:val="000000"/>
                <w:sz w:val="17"/>
              </w:rPr>
              <w:t>N</w:t>
            </w:r>
            <w:r>
              <w:rPr>
                <w:rFonts w:ascii="Arial;sans-serif" w:hAnsi="Arial;sans-serif"/>
                <w:b w:val="false"/>
                <w:color w:val="000000"/>
                <w:sz w:val="17"/>
                <w:shd w:fill="FFFFFF" w:val="clear"/>
              </w:rPr>
              <w:t>et losses</w:t>
            </w:r>
            <w:r>
              <w:rPr>
                <w:color w:val="000000"/>
              </w:rPr>
              <w:t xml:space="preserve"> </w:t>
            </w:r>
            <w:r>
              <w:rPr>
                <w:rFonts w:ascii="Arial;sans-serif" w:hAnsi="Arial;sans-serif"/>
                <w:b w:val="false"/>
                <w:color w:val="000000"/>
                <w:sz w:val="17"/>
              </w:rPr>
              <w:t>of affiliates whose operations are not managed by the Company</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Loss on sale of KLG</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2.41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35"/>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Non-operating loss from the impairment of equity and cost method investments</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Income tax benefit related to the KLG business</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35"/>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 xml:space="preserve">Non-U.S. global minimum corporate income tax expense </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4.43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7"/>
              </w:rPr>
              <w:t>Dilut</w:t>
            </w:r>
            <w:r>
              <w:rPr>
                <w:rFonts w:ascii="Arial;sans-serif" w:hAnsi="Arial;sans-serif"/>
                <w:b w:val="false"/>
                <w:color w:val="000000"/>
                <w:sz w:val="17"/>
                <w:shd w:fill="FFFFFF" w:val="clear"/>
              </w:rPr>
              <w:t xml:space="preserve">ed income per </w:t>
            </w:r>
            <w:r>
              <w:rPr>
                <w:rFonts w:ascii="Arial;sans-serif" w:hAnsi="Arial;sans-serif"/>
                <w:b w:val="false"/>
                <w:color w:val="000000"/>
                <w:sz w:val="17"/>
              </w:rPr>
              <w:t>common share, adjusted (non-GAAP)</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19.46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14.33 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608" w:type="dxa"/>
            <w:gridSpan w:val="3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The adjusted diluted per share amounts may not compute due to rounding.</w:t>
            </w:r>
          </w:p>
        </w:tc>
        <w:tc>
          <w:tcPr>
            <w:tcW w:w="597"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1005"/>
                <wp:effectExtent l="0" t="0" r="0" b="0"/>
                <wp:wrapNone/>
                <wp:docPr id="14" name="Frame1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r>
                              <w:br w:type="page"/>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-more-</w:t>
                      </w:r>
                    </w:p>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00"/>
        <w:gridCol w:w="607"/>
        <w:gridCol w:w="611"/>
        <w:gridCol w:w="227"/>
        <w:gridCol w:w="870"/>
        <w:gridCol w:w="126"/>
        <w:gridCol w:w="109"/>
        <w:gridCol w:w="109"/>
        <w:gridCol w:w="109"/>
        <w:gridCol w:w="202"/>
        <w:gridCol w:w="681"/>
        <w:gridCol w:w="112"/>
        <w:gridCol w:w="109"/>
        <w:gridCol w:w="109"/>
        <w:gridCol w:w="109"/>
        <w:gridCol w:w="196"/>
        <w:gridCol w:w="751"/>
        <w:gridCol w:w="109"/>
        <w:gridCol w:w="109"/>
        <w:gridCol w:w="109"/>
        <w:gridCol w:w="109"/>
        <w:gridCol w:w="228"/>
        <w:gridCol w:w="754"/>
        <w:gridCol w:w="127"/>
        <w:gridCol w:w="109"/>
        <w:gridCol w:w="109"/>
        <w:gridCol w:w="109"/>
        <w:gridCol w:w="201"/>
        <w:gridCol w:w="664"/>
        <w:gridCol w:w="112"/>
        <w:gridCol w:w="109"/>
        <w:gridCol w:w="109"/>
        <w:gridCol w:w="109"/>
        <w:gridCol w:w="196"/>
        <w:gridCol w:w="736"/>
        <w:gridCol w:w="160"/>
      </w:tblGrid>
      <w:tr>
        <w:trPr/>
        <w:tc>
          <w:tcPr>
            <w:tcW w:w="90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08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64"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2025</w:t>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(in thousands, except per share amounts)</w:t>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7"/>
              </w:rPr>
            </w:pPr>
            <w:r>
              <w:rPr>
                <w:rFonts w:ascii="Arial;sans-serif" w:hAnsi="Arial;sans-serif"/>
                <w:b/>
                <w:color w:val="000000"/>
                <w:sz w:val="17"/>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7"/>
              </w:rPr>
            </w:pPr>
            <w:r>
              <w:rPr>
                <w:rFonts w:ascii="Arial;sans-serif" w:hAnsi="Arial;sans-serif"/>
                <w:b/>
                <w:color w:val="000000"/>
                <w:sz w:val="17"/>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7"/>
              </w:rPr>
            </w:pPr>
            <w:r>
              <w:rPr>
                <w:rFonts w:ascii="Arial;sans-serif" w:hAnsi="Arial;sans-serif"/>
                <w:b/>
                <w:color w:val="000000"/>
                <w:sz w:val="17"/>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7"/>
              </w:rPr>
            </w:pPr>
            <w:r>
              <w:rPr>
                <w:rFonts w:ascii="Arial;sans-serif" w:hAnsi="Arial;sans-serif"/>
                <w:b w:val="false"/>
                <w:color w:val="000000"/>
                <w:sz w:val="17"/>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7"/>
              </w:rPr>
            </w:pPr>
            <w:r>
              <w:rPr>
                <w:rFonts w:ascii="Arial;sans-serif" w:hAnsi="Arial;sans-serif"/>
                <w:b w:val="false"/>
                <w:color w:val="000000"/>
                <w:sz w:val="17"/>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7"/>
              </w:rPr>
            </w:pPr>
            <w:r>
              <w:rPr>
                <w:rFonts w:ascii="Arial;sans-serif" w:hAnsi="Arial;sans-serif"/>
                <w:b w:val="false"/>
                <w:color w:val="000000"/>
                <w:sz w:val="17"/>
              </w:rPr>
              <w:t>Net Income</w:t>
            </w:r>
          </w:p>
        </w:tc>
      </w:tr>
      <w:tr>
        <w:trPr/>
        <w:tc>
          <w:tcPr>
            <w:tcW w:w="2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Amounts attributable to Graham Holdings Company Common Stockholders</w:t>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As reported</w:t>
            </w:r>
          </w:p>
        </w:tc>
        <w:tc>
          <w:tcPr>
            <w:tcW w:w="227"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870"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358,127</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68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45,000</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313,127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94,244 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664"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28,100 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66,144 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Attributable to noncontrolling interests</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(2,918)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(5,501)</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Attributable to Graham Holdings Company Stockholders</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310,209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60,643 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Adjustments:</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 xml:space="preserve">Impairment charge and loss on sale related to KLG </w:t>
            </w:r>
          </w:p>
        </w:tc>
        <w:tc>
          <w:tcPr>
            <w:tcW w:w="109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24,179</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(594)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24,773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Settlement gain related to retiree annuity pension purchase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(136,955)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(35,625)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(101,330)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Charges related to non-operating Separation Incentive Programs and a Voluntary Retirement Incentive Program</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7,937</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2,064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5,873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6,639 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1,700 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4,939 </w:t>
            </w:r>
          </w:p>
        </w:tc>
        <w:tc>
          <w:tcPr>
            <w:tcW w:w="160"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Interest (income) expense related to the fair value adjustment of the mandatorily redeemable noncontrolling interest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(882)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67,560 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13,693 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53,867 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Net gains on marketable equity securities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(32,956)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(8,418)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(24,538)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(32,258)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(8,271)</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(23,987)</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64" w:before="0" w:after="0"/>
              <w:ind w:left="0" w:right="0" w:hanging="135"/>
              <w:jc w:val="left"/>
              <w:rPr/>
            </w:pPr>
            <w:r>
              <w:rPr>
                <w:rFonts w:ascii="Arial;sans-serif" w:hAnsi="Arial;sans-serif"/>
                <w:b w:val="false"/>
                <w:color w:val="000000"/>
                <w:sz w:val="17"/>
              </w:rPr>
              <w:t xml:space="preserve">Net (earnings) </w:t>
            </w:r>
            <w:r>
              <w:rPr>
                <w:rFonts w:ascii="Arial;sans-serif" w:hAnsi="Arial;sans-serif"/>
                <w:b w:val="false"/>
                <w:color w:val="000000"/>
                <w:sz w:val="17"/>
                <w:shd w:fill="FFFFFF" w:val="clear"/>
              </w:rPr>
              <w:t>losses</w:t>
            </w:r>
            <w:r>
              <w:rPr>
                <w:color w:val="000000"/>
              </w:rPr>
              <w:t xml:space="preserve"> </w:t>
            </w:r>
            <w:r>
              <w:rPr>
                <w:rFonts w:ascii="Arial;sans-serif" w:hAnsi="Arial;sans-serif"/>
                <w:b w:val="false"/>
                <w:color w:val="000000"/>
                <w:sz w:val="17"/>
              </w:rPr>
              <w:t>of affiliates whose operations are not managed by the Company</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(13,062)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(3,337)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(9,725)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12,323 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3,160 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9,163 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0"/>
              <w:ind w:left="0" w:right="0" w:hanging="135"/>
              <w:jc w:val="left"/>
              <w:rPr/>
            </w:pPr>
            <w:r>
              <w:rPr>
                <w:rFonts w:ascii="Arial;sans-serif" w:hAnsi="Arial;sans-serif"/>
                <w:b w:val="false"/>
                <w:color w:val="000000"/>
                <w:sz w:val="17"/>
              </w:rPr>
              <w:t xml:space="preserve">Net non-operating loss </w:t>
            </w:r>
            <w:r>
              <w:rPr>
                <w:rFonts w:ascii="Arial;sans-serif" w:hAnsi="Arial;sans-serif"/>
                <w:b w:val="false"/>
                <w:color w:val="000000"/>
                <w:sz w:val="17"/>
                <w:shd w:fill="FFFFFF" w:val="clear"/>
              </w:rPr>
              <w:t>from impairment and sale of equity and cost method investments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5,316</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1,358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3,958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12,679 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3,206 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9,473 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Income tax benefit related to the KLG business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69,564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(69,564)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Non-U.S. global minimum corporate income tax expense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(19,180)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19,180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Net Income, adjusted (non-GAAP)</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158,078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114,098 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Per share information attributable to Graham Holdings Company Common Stockholders</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Diluted income per common share, as reported</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71.04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13.81 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Adjustments:</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 xml:space="preserve">Impairment charge and loss on sale related to KLG </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5.67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Settlement gain related to retiree annuity pension purchase</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(23.21)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Charges related to non-operating Separation Incentive Programs and a Voluntary Retirement Incentive Program</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1.12 </w:t>
            </w:r>
          </w:p>
        </w:tc>
        <w:tc>
          <w:tcPr>
            <w:tcW w:w="160"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Interest (income) expense related to the fair value adjustment of the mandatorily redeemable noncontrolling interest</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12.26 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Net gains on marketable equity securities</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(5.46)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0"/>
              <w:ind w:left="0" w:right="0" w:hanging="135"/>
              <w:jc w:val="left"/>
              <w:rPr/>
            </w:pPr>
            <w:r>
              <w:rPr>
                <w:rFonts w:ascii="Arial;sans-serif" w:hAnsi="Arial;sans-serif"/>
                <w:b w:val="false"/>
                <w:color w:val="000000"/>
                <w:sz w:val="17"/>
              </w:rPr>
              <w:t xml:space="preserve">Net (earnings) </w:t>
            </w:r>
            <w:r>
              <w:rPr>
                <w:rFonts w:ascii="Arial;sans-serif" w:hAnsi="Arial;sans-serif"/>
                <w:b w:val="false"/>
                <w:color w:val="000000"/>
                <w:sz w:val="17"/>
                <w:shd w:fill="FFFFFF" w:val="clear"/>
              </w:rPr>
              <w:t>losses</w:t>
            </w:r>
            <w:r>
              <w:rPr>
                <w:color w:val="000000"/>
              </w:rPr>
              <w:t xml:space="preserve"> </w:t>
            </w:r>
            <w:r>
              <w:rPr>
                <w:rFonts w:ascii="Arial;sans-serif" w:hAnsi="Arial;sans-serif"/>
                <w:b w:val="false"/>
                <w:color w:val="000000"/>
                <w:sz w:val="17"/>
              </w:rPr>
              <w:t>of affiliates whose operations are not managed by the Company</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2.09 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0"/>
              <w:ind w:left="0" w:right="0" w:hanging="135"/>
              <w:jc w:val="left"/>
              <w:rPr/>
            </w:pPr>
            <w:r>
              <w:rPr>
                <w:rFonts w:ascii="Arial;sans-serif" w:hAnsi="Arial;sans-serif"/>
                <w:b w:val="false"/>
                <w:color w:val="000000"/>
                <w:sz w:val="17"/>
              </w:rPr>
              <w:t xml:space="preserve">Net non-operating loss </w:t>
            </w:r>
            <w:r>
              <w:rPr>
                <w:rFonts w:ascii="Arial;sans-serif" w:hAnsi="Arial;sans-serif"/>
                <w:b w:val="false"/>
                <w:color w:val="000000"/>
                <w:sz w:val="17"/>
                <w:shd w:fill="FFFFFF" w:val="clear"/>
              </w:rPr>
              <w:t>from impairment and sale of equity and cost method investments</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0.91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2.16 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Income tax benefit related to the KLG business</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7"/>
              </w:rPr>
            </w:pPr>
            <w:r>
              <w:rPr>
                <w:rFonts w:ascii="Arial;sans-serif" w:hAnsi="Arial;sans-serif"/>
                <w:b/>
                <w:color w:val="000000"/>
                <w:sz w:val="17"/>
              </w:rPr>
              <w:t>(15.93)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Non-U.S. global minimum corporate income tax expense</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4.39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Diluted income per common share, adjusted (non-GAAP)</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7"/>
              </w:rPr>
              <w:t>36.19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7"/>
              </w:rPr>
            </w:pPr>
            <w:r>
              <w:rPr>
                <w:rFonts w:ascii="Arial;sans-serif" w:hAnsi="Arial;sans-serif"/>
                <w:b w:val="false"/>
                <w:color w:val="000000"/>
                <w:sz w:val="17"/>
              </w:rPr>
              <w:t>25.98 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7"/>
              </w:rPr>
            </w:pPr>
            <w:r>
              <w:rPr>
                <w:rFonts w:ascii="Arial;sans-serif" w:hAnsi="Arial;sans-serif"/>
                <w:b w:val="false"/>
                <w:color w:val="000000"/>
                <w:sz w:val="17"/>
              </w:rPr>
              <w:t>The adjusted diluted per share amounts may not compute due to rounding.</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 #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4668</Words>
  <Characters>25597</Characters>
  <CharactersWithSpaces>29511</CharactersWithSpaces>
  <Paragraphs>1827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