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135255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2015</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6"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86"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77"/>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190"/>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15"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88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31, 2015: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4,876,593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2015 and 2014</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2015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2014</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June 30, 2015 (Unaudited) and December 31,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2015 and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22</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31</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32</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34</w:t>
              </w:r>
            </w:hyperlink>
          </w:p>
        </w:tc>
      </w:tr>
    </w:tbl>
    <w:p>
      <w:pPr>
        <w:sectPr>
          <w:pgSz w:w="11900" w:h="16838" w:orient="portrait"/>
          <w:cols w:equalWidth="0" w:num="1">
            <w:col w:w="11360"/>
          </w:cols>
          <w:pgMar w:left="280" w:top="57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523,625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542,964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1,024,227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1,065,118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188,022</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187,723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375,619</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378,851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77,457</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82,475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151,484</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160,722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90,467</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61,249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174,389</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106,261</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879,571</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874,411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1,725,719</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1,710,952</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383,891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395,627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766,968</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772,090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334,218</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322,240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687,420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647,515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61,014</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51,989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119,559</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105,206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4,677</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2,995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9,446</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6,876</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6,876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790,676</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772,851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1,590,269</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1,530,523</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88,895</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101,560</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135,450</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180,429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91,503</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(757)</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95,555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338</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641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897</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(9,631)</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(8,557)</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(18,152)</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(17,377)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11,678</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268,114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10,573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401,387</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90,927</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453,261</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128,011</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661,234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32,500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78,600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47,000</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156,000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58,427</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374,661</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81,011</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505,234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375,189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376,921</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58,427</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749,850</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80,227</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882,155</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57,993</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750,349</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79,019</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882,873</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78,388</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750,137</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882,235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374,948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79,172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505,314</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375,189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376,921</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750,137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78,388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882,235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9.92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50.39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13.61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50.41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(0.14)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9.92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13.47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5,720</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7,284</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5,712</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9.87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50.22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13.53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67.74</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(0.13)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5,805</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7,363</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5,798</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2"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2"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r>
    </w:tbl>
    <w:p>
      <w:pPr>
        <w:spacing w:after="0" w:line="36"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right="2340"/>
        <w:spacing w:after="0" w:line="366"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right="1700"/>
        <w:spacing w:after="0" w:line="366"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58,427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749,850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80,227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882,155</w:t>
            </w:r>
          </w:p>
        </w:tc>
      </w:tr>
      <w:tr>
        <w:trPr>
          <w:trHeight w:val="81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5,249</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1,920</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(6,839)</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2,666</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4,765</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1,920</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(7,364)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2,666</w:t>
            </w:r>
          </w:p>
        </w:tc>
      </w:tr>
      <w:tr>
        <w:trPr>
          <w:trHeight w:val="521"/>
        </w:trPr>
        <w:tc>
          <w:tcPr>
            <w:tcW w:w="24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(11,455)</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8,667</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(20,333)</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36,405</w:t>
            </w:r>
          </w:p>
        </w:tc>
      </w:tr>
      <w:tr>
        <w:trPr>
          <w:trHeight w:val="445"/>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(266,059)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(265,274)</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(11,455)</w:t>
            </w: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(257,392)</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(20,333)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(228,869)</w:t>
            </w:r>
          </w:p>
        </w:tc>
      </w:tr>
      <w:tr>
        <w:trPr>
          <w:trHeight w:val="54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139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(7,425)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1,257</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(14,607)</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698</w:t>
            </w: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(7,527)</w:t>
            </w:r>
          </w:p>
        </w:tc>
        <w:tc>
          <w:tcPr>
            <w:tcW w:w="30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1,396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(14,811)</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(5,992)</w:t>
            </w: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(262,760)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(26,122)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(240,603)</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4,303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105,874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7,505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97,308</w:t>
            </w:r>
          </w:p>
        </w:tc>
      </w:tr>
      <w:tr>
        <w:trPr>
          <w:trHeight w:val="264"/>
        </w:trPr>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(156,886)</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(143,295)</w:t>
            </w:r>
          </w:p>
        </w:tc>
      </w:tr>
      <w:tr>
        <w:trPr>
          <w:trHeight w:val="251"/>
        </w:trPr>
        <w:tc>
          <w:tcPr>
            <w:tcW w:w="2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56,738</w:t>
            </w:r>
          </w:p>
        </w:tc>
        <w:tc>
          <w:tcPr>
            <w:tcW w:w="2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592,964</w:t>
            </w:r>
          </w:p>
        </w:tc>
        <w:tc>
          <w:tcPr>
            <w:tcW w:w="30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61,610</w:t>
            </w:r>
          </w:p>
        </w:tc>
        <w:tc>
          <w:tcPr>
            <w:tcW w:w="2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738,860</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(1,208)</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r>
      <w:tr>
        <w:trPr>
          <w:trHeight w:val="264"/>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56,304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593,463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60,402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739,578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180"/>
            <w:col w:w="4440"/>
          </w:cols>
          <w:pgMar w:left="240" w:top="57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26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center"/>
              <w:ind w:right="181"/>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1,219,334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772,751</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25,848</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24,898</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200,850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226,752</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533,144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571,357</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8,416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934</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12,019</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11,309</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94,424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81,462</w:t>
            </w: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Current assets held for sale (includes $0 and $1,235 of cash, respectively)</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18,999</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w:t>
            </w: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2,113,034</w:t>
            </w:r>
          </w:p>
        </w:tc>
        <w:tc>
          <w:tcPr>
            <w:tcW w:w="3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1,690,703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819,343</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860,829</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50,898</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1,325,761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510,966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516,753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86,820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96,947</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1,175,521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72,539</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65,258</w:t>
            </w: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27,058</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w:t>
            </w: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6,181,940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76" w:right="259" w:bottom="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Equity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declared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liabilities held for sale</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Postretirement Benefits Other Than Pensions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Accrued Compensation and Related Benefits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Liabilities Held for Sale</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Noncontrolling Interest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502,312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464,342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8,230</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128,895</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348,856</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410,146</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15,669</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7,537</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46,375</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21,140</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903,744</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1,050,792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38,325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37,962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239,804</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244,082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74,958</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91,789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757,542</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754,960</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947,219</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399,545</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7,849</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2,969,441</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2,579,130</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23,129</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21,904</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10,510</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10,510</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305" w:lineRule="exact"/>
        <w:rPr>
          <w:sz w:val="20"/>
          <w:szCs w:val="20"/>
          <w:color w:val="auto"/>
        </w:rPr>
      </w:pPr>
    </w:p>
    <w:p>
      <w:pPr>
        <w:sectPr>
          <w:pgSz w:w="11900" w:h="16838" w:orient="portrait"/>
          <w:cols w:equalWidth="0" w:num="2">
            <w:col w:w="7600" w:space="720"/>
            <w:col w:w="3060"/>
          </w:cols>
          <w:pgMar w:left="260" w:top="576" w:right="259" w:bottom="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30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20,000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311,901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303,789</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6,040,539</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6,008,506</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net of tax</w:t>
            </w:r>
          </w:p>
        </w:tc>
        <w:tc>
          <w:tcPr>
            <w:tcW w:w="18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1,184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8,548</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available-for-sale securities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39,931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52,130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393,748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392,910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83"/>
        </w:trPr>
        <w:tc>
          <w:tcPr>
            <w:tcW w:w="8300" w:type="dxa"/>
            <w:vAlign w:val="bottom"/>
          </w:tcPr>
          <w:p>
            <w:pPr>
              <w:ind w:left="260"/>
              <w:spacing w:after="0"/>
              <w:rPr>
                <w:sz w:val="20"/>
                <w:szCs w:val="20"/>
                <w:color w:val="auto"/>
              </w:rPr>
            </w:pPr>
            <w:r>
              <w:rPr>
                <w:rFonts w:ascii="Arial" w:cs="Arial" w:eastAsia="Arial" w:hAnsi="Arial"/>
                <w:sz w:val="16"/>
                <w:szCs w:val="16"/>
                <w:color w:val="auto"/>
              </w:rPr>
              <w:t>Cost of Class B common stock held in treasury</w:t>
            </w: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(3,628,443)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(3,645,476)</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3,178,860</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3,140,299</w:t>
            </w:r>
          </w:p>
        </w:tc>
      </w:tr>
      <w:tr>
        <w:trPr>
          <w:trHeight w:val="264"/>
        </w:trPr>
        <w:tc>
          <w:tcPr>
            <w:tcW w:w="83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3,178,860</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3,140,775</w:t>
            </w:r>
          </w:p>
        </w:tc>
      </w:tr>
    </w:tbl>
    <w:p>
      <w:pPr>
        <w:sectPr>
          <w:pgSz w:w="11900" w:h="16838" w:orient="portrait"/>
          <w:cols w:equalWidth="0" w:num="1">
            <w:col w:w="11380"/>
          </w:cols>
          <w:pgMar w:left="260" w:top="576" w:right="259" w:bottom="0" w:gutter="0" w:footer="0" w:header="0"/>
          <w:type w:val="continuous"/>
        </w:sectPr>
      </w:pPr>
    </w:p>
    <w:bookmarkStart w:id="5" w:name="page6"/>
    <w:bookmarkEnd w:id="5"/>
    <w:p>
      <w:pPr>
        <w:ind w:left="720"/>
        <w:spacing w:after="0"/>
        <w:tabs>
          <w:tab w:leader="none" w:pos="8340" w:val="left"/>
          <w:tab w:leader="none" w:pos="8980" w:val="left"/>
          <w:tab w:leader="none" w:pos="9940" w:val="left"/>
          <w:tab w:leader="none" w:pos="10560" w:val="left"/>
        </w:tabs>
        <w:rPr>
          <w:sz w:val="20"/>
          <w:szCs w:val="20"/>
          <w:color w:val="auto"/>
        </w:rPr>
      </w:pPr>
      <w:r>
        <w:rPr>
          <w:rFonts w:ascii="Arial" w:cs="Arial" w:eastAsia="Arial" w:hAnsi="Arial"/>
          <w:sz w:val="16"/>
          <w:szCs w:val="16"/>
          <w:b w:val="1"/>
          <w:bCs w:val="1"/>
          <w:color w:val="auto"/>
        </w:rPr>
        <w:t>Total Liabilities and Equity</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6,181,940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5,752,319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48895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66040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80,227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882,155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119,559</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106,822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9,446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6,441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Intangible and other long-lived assets impairment charges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6,876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7,774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(22,872)</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(34,433)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13,843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 (gain)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3,219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(7,946)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sales and disposition of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(8,158)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(358,963)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disposition or write-downs of marketable equity securities and cost method investments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250</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(266,423)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sale of equity affiliate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(4,827)</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 of certain distributions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948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(98,555)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provision for deferred income taxes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(1,858)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3,880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sales or write-downs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1,258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(119,086)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restricted cash</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(1,635)</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47,686</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receivable,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26,950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32,429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accounts payable and accrued liabilities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47,530</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(69,916)</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deferred revenue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(45,219)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(6,219)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income taxes payable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(120,480)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70,580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other assets and other liabilities,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(28,256)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489</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77,290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207,978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(100,240)</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(112,154)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and cost method investments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(16,834)</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3,019</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164,066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commercial paper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(199,830)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(130,767)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maturities of commercial paper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99,893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distribution from equity affiliate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93,481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(114,055)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(92,900)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550,000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financing costs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(9,865)</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(39,343)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(31,316)</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(38,148)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11,302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4,688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 including the Berkshire Exchange transaction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(327,718)</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5,232</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486,010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(361,843)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(3,897)</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445,348</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(244,696)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773,986</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569,719</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1,219,334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325,023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76" w:right="239" w:bottom="557"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76" w:right="239" w:bottom="557"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five television broadcast stations). The Company's other business operations include home health and hospice services and manufacturing.</w:t>
      </w:r>
    </w:p>
    <w:p>
      <w:pPr>
        <w:spacing w:after="0" w:line="135"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On July 1, 2015, the Company completed the spin-off of its wholly owned subsidiary, Cable One, Inc. (Cable ONE), by way of a distribution of all the issued and outstanding shares of Cable ONE common stock, on a pro rata basis, to the Company's stockholders. The Company will reflect Cable ONE's historical financial results for the periods prior to the spin-off as discontinued operations in its consolidated financial statements beginning in the third quarter of 2015.</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6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and six months ended June 30, 2015 and 2014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2014.</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b w:val="1"/>
          <w:bCs w:val="1"/>
          <w:color w:val="auto"/>
        </w:rPr>
        <w:t xml:space="preserve">Revision of Prior Period Amounts </w:t>
      </w:r>
      <w:r>
        <w:rPr>
          <w:rFonts w:ascii="Arial" w:cs="Arial" w:eastAsia="Arial" w:hAnsi="Arial"/>
          <w:sz w:val="18"/>
          <w:szCs w:val="18"/>
          <w:color w:val="auto"/>
        </w:rPr>
        <w:t>– During the preparation of the 2014 financial statements, the Company concluded that its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 of Cash Flows for the six months ended June 30, 2014, that was previously included in the Company's quarterly reports, should be revised to correct the impact of accounts payable and accrued expenses related to capital expenditures. The Company revised its Condensed Consolidated Statement of Cash Flows for the six months ended June 30, 2014 to properly eliminate noncash capital expenditures. The result of this correction for the six months ended June 30, 2014, was an increase in net cash used in investing activities of $19.5 million, with an offsetting increase recorded to net cash provided by operating activities during the same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8" w:name="page9"/>
    <w:bookmarkEnd w:id="8"/>
    <w:p>
      <w:pPr>
        <w:jc w:val="both"/>
        <w:ind w:right="240"/>
        <w:spacing w:after="0" w:line="227" w:lineRule="auto"/>
        <w:rPr>
          <w:sz w:val="20"/>
          <w:szCs w:val="20"/>
          <w:color w:val="auto"/>
        </w:rPr>
      </w:pPr>
      <w:r>
        <w:rPr>
          <w:rFonts w:ascii="Arial" w:cs="Arial" w:eastAsia="Arial" w:hAnsi="Arial"/>
          <w:sz w:val="18"/>
          <w:szCs w:val="18"/>
          <w:color w:val="auto"/>
        </w:rPr>
        <w:t>Management has concluded that this error is not material to the previously issued Condensed Consolidated Financial Statements, and, as a result, the Company has revised the Condensed Consolidated Statement of Cash Flows for the six months ended June 30, 2014. There was no impact on the previously reported total cash and cash equivalents, Condensed Consolidated Balance Sheet or Condensed Consolidated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detailed below, these revisions impacted the following consolidated cash flow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right"/>
              <w:ind w:right="622"/>
              <w:spacing w:after="0"/>
              <w:rPr>
                <w:sz w:val="20"/>
                <w:szCs w:val="20"/>
                <w:color w:val="auto"/>
              </w:rPr>
            </w:pPr>
            <w:r>
              <w:rPr>
                <w:rFonts w:ascii="Arial" w:cs="Arial" w:eastAsia="Arial" w:hAnsi="Arial"/>
                <w:sz w:val="14"/>
                <w:szCs w:val="14"/>
                <w:b w:val="1"/>
                <w:bCs w:val="1"/>
                <w:color w:val="auto"/>
              </w:rPr>
              <w:t>Six Months Ended June 30, 2014</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Previously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7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3"/>
                <w:szCs w:val="23"/>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23"/>
                <w:szCs w:val="23"/>
                <w:color w:val="auto"/>
              </w:rPr>
            </w:pPr>
          </w:p>
        </w:tc>
        <w:tc>
          <w:tcPr>
            <w:tcW w:w="980" w:type="dxa"/>
            <w:vAlign w:val="bottom"/>
          </w:tcPr>
          <w:p>
            <w:pPr>
              <w:jc w:val="right"/>
              <w:ind w:right="221"/>
              <w:spacing w:after="0"/>
              <w:rPr>
                <w:sz w:val="20"/>
                <w:szCs w:val="20"/>
                <w:color w:val="auto"/>
              </w:rPr>
            </w:pPr>
            <w:r>
              <w:rPr>
                <w:rFonts w:ascii="Arial" w:cs="Arial" w:eastAsia="Arial" w:hAnsi="Arial"/>
                <w:sz w:val="14"/>
                <w:szCs w:val="14"/>
                <w:b w:val="1"/>
                <w:bCs w:val="1"/>
                <w:color w:val="auto"/>
              </w:rPr>
              <w:t>Revision</w:t>
            </w:r>
          </w:p>
        </w:tc>
        <w:tc>
          <w:tcPr>
            <w:tcW w:w="260" w:type="dxa"/>
            <w:vAlign w:val="bottom"/>
          </w:tcPr>
          <w:p>
            <w:pPr>
              <w:spacing w:after="0"/>
              <w:rPr>
                <w:sz w:val="23"/>
                <w:szCs w:val="23"/>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Decrease in Accounts Payable and 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(89,443)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19,527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(69,916)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188,451</w:t>
            </w:r>
          </w:p>
        </w:tc>
        <w:tc>
          <w:tcPr>
            <w:tcW w:w="26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19,527</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207,978</w:t>
            </w:r>
          </w:p>
        </w:tc>
        <w:tc>
          <w:tcPr>
            <w:tcW w:w="0" w:type="dxa"/>
            <w:vAlign w:val="bottom"/>
          </w:tcPr>
          <w:p>
            <w:pPr>
              <w:spacing w:after="0"/>
              <w:rPr>
                <w:sz w:val="1"/>
                <w:szCs w:val="1"/>
                <w:color w:val="auto"/>
              </w:rPr>
            </w:pPr>
          </w:p>
        </w:tc>
      </w:tr>
      <w:tr>
        <w:trPr>
          <w:trHeight w:val="51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(92,627)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(19,527)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(112,154)</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(73,373)</w:t>
            </w:r>
          </w:p>
        </w:tc>
        <w:tc>
          <w:tcPr>
            <w:tcW w:w="26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(19,527)</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(92,900)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1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This guidance is effective for interim and fiscal years beginning after December 15, 2016. Early adoption is not permitted.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3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by Kaplan in January of 2015 which resulted in a pre-tax loss of $0.7 million.</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June 30, 2014, the Company and Berkshire Hathaway Inc. completed a transaction, as described in Note 4, in which Berkshire acquired a wholly-owned subsidiary of the Company that included, among other things, WPLG, a Miami-based television station; a $375.0 million gain from the WPLG sale was recorded in the second quarter of 2014.</w:t>
      </w:r>
    </w:p>
    <w:p>
      <w:pPr>
        <w:spacing w:after="0" w:line="137" w:lineRule="exact"/>
        <w:rPr>
          <w:sz w:val="20"/>
          <w:szCs w:val="20"/>
          <w:color w:val="auto"/>
        </w:rPr>
      </w:pPr>
    </w:p>
    <w:p>
      <w:pPr>
        <w:jc w:val="both"/>
        <w:ind w:right="880"/>
        <w:spacing w:after="0" w:line="229" w:lineRule="auto"/>
        <w:rPr>
          <w:sz w:val="20"/>
          <w:szCs w:val="20"/>
          <w:color w:val="auto"/>
        </w:rPr>
      </w:pPr>
      <w:r>
        <w:rPr>
          <w:rFonts w:ascii="Arial" w:cs="Arial" w:eastAsia="Arial" w:hAnsi="Arial"/>
          <w:sz w:val="18"/>
          <w:szCs w:val="18"/>
          <w:color w:val="auto"/>
        </w:rPr>
        <w:t>The results of operations of the schools in China and WPLG are included in the Company’s Condensed Consolidated Statements of Operations as Income (Loss) from Discontinued Operations, Net of Tax, for all periods presented. The Company did not reclassify its Statements of Cash Flows or prior Condensed Consolidated Balance Sheets to reflect the various discontinued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ind w:right="360"/>
        <w:spacing w:after="0" w:line="229" w:lineRule="auto"/>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25,125</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45,419</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(23,862)</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(37,355)</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1,263</w:t>
            </w:r>
          </w:p>
        </w:tc>
        <w:tc>
          <w:tcPr>
            <w:tcW w:w="36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8,064</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Provision from income taxes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1,113</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3,139</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30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36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4,925</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Gain (loss) on sales of discontinued operations</w:t>
            </w:r>
          </w:p>
        </w:tc>
        <w:tc>
          <w:tcPr>
            <w:tcW w:w="300" w:type="dxa"/>
            <w:vAlign w:val="bottom"/>
          </w:tcPr>
          <w:p>
            <w:pPr>
              <w:spacing w:after="0"/>
              <w:rPr>
                <w:sz w:val="23"/>
                <w:szCs w:val="23"/>
                <w:color w:val="auto"/>
              </w:rPr>
            </w:pPr>
          </w:p>
        </w:tc>
        <w:tc>
          <w:tcPr>
            <w:tcW w:w="98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358,964</w:t>
            </w:r>
          </w:p>
        </w:tc>
        <w:tc>
          <w:tcPr>
            <w:tcW w:w="36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(732)</w:t>
            </w:r>
          </w:p>
        </w:tc>
        <w:tc>
          <w:tcPr>
            <w:tcW w:w="4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354,227</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(Benefit) expense from income taxes on sales of discontinued operations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(16,075)</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(17,769)</w:t>
            </w:r>
          </w:p>
        </w:tc>
      </w:tr>
      <w:tr>
        <w:trPr>
          <w:trHeight w:val="26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375,189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(784)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376,921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As of June 30, 2015 and December 31, 2014, the Company had commercial paper and money market investments of $1,040.2 million and $594.3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106,909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106,909</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66,551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86,884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173,460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193,793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There were no new investments in marketable equity securities during the first six months of 2015 and 2014. There were no sales of marketable equity securities in the first six months of 2015. In the first quarter of 2014, the Company recorded a $ 0.5 million write-down of the Company's investment in Corinthian Colleges, Inc., a publicly traded company. In the second quarter of 2014, the Company sold its remaining investment in Corinthian Colleges, Inc. During the first six months of 2014, the proceeds from sales of these marketable securities were $5.8 million and net realized losses were $2.6 million.</w:t>
      </w:r>
    </w:p>
    <w:p>
      <w:pPr>
        <w:spacing w:after="0" w:line="13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second quarter of 2015, the Company acquired an approximate 20% in HomeHero, a company that created and manages an online senior home care marketplace, which is accounted for as an investment in affiliate. As of June 30, 2015, the Company also held a 40% interest in Residential Home Health Illinois, a 42.5% interest in Residential Hospice Illinois, a 40% interest in the joint venture formed between Celtic Healthcare and Allegheny Health Network (AHN) and interests in several other affiliates (see Note 4).</w:t>
      </w:r>
    </w:p>
    <w:p>
      <w:pPr>
        <w:spacing w:after="0" w:line="135"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DISPOSITIONS, EXCHANGES AND OTHER</w:t>
      </w:r>
    </w:p>
    <w:p>
      <w:pPr>
        <w:spacing w:after="0" w:line="144"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Company completed the spin-off of Cable ONE, by way of a distribution of all the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shares of Cable ONE common stock, on a pro rata basis, to the Company's stockholders. Cable ONE is now an independent, publicly traded company. The transaction was structured as a tax-free spin-off of Cable ONE for U.S. Federal income tax purposes. Following the spin-off, the Company does not beneficially own any shares of Cable ONE common stock and will not consolidate the financial results of Cable ONE for the purposes of its own reporting for periods after June 30, 2015. The Company will reflect Cable ONE's historical financial results for the periods prior to the spin-off as discontinued operations in its condensed consolidated financial statements beginning in the third quarter of 2015.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ind w:right="20"/>
        <w:spacing w:after="0" w:line="224" w:lineRule="auto"/>
        <w:rPr>
          <w:sz w:val="20"/>
          <w:szCs w:val="20"/>
          <w:color w:val="auto"/>
        </w:rPr>
      </w:pPr>
      <w:r>
        <w:rPr>
          <w:rFonts w:ascii="Arial" w:cs="Arial" w:eastAsia="Arial" w:hAnsi="Arial"/>
          <w:sz w:val="18"/>
          <w:szCs w:val="18"/>
          <w:color w:val="auto"/>
        </w:rPr>
        <w:t>Prior to the spin-off, Cable ONE distributed $450 million in cash to the Company using the proceeds from their issuance of unsecured notes of $450 million (see Note 6) in June 2015. Also, in connection with the spin-off,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included in selling, general and administrative expense in the condensed consolidated statement of operations and within the Cable segment operating results.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stock awards resulted in an estimated incremental stock compensation expense of $3.0 million that will be recognized over the remaining service periods of the unvested restricted stock awards through the end of 2018. The modification of some of the stock options resulted in an estimated incremental stock compensation expense of $ 23.5 million, of which $18.8 million related to fully vested stock options that will be recognized as a one-time expense in the third quarter of 2015, with the remaining $4.7 million recognized over the remaining service periods of the unvested stock options through the end of 2018.</w:t>
      </w:r>
    </w:p>
    <w:p>
      <w:pPr>
        <w:spacing w:after="0" w:line="13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a result of the spin-off, the Company remeasured the accumulated and projected benefit obligation of the pension and SERP as of July 1, 2015, and the Company expects to record a curtailment and settlement gain in the third quarter of 2015.</w:t>
      </w:r>
    </w:p>
    <w:p>
      <w:pPr>
        <w:spacing w:after="0" w:line="1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2015, the Company did not make any acquisitions. In the first six months of 2014,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six business included in other businesses and in its education division totaling $133.5 million; the purchase price allocation comprised goodwill, other intangible assets, property, plant and equipment, and other current assets.</w:t>
      </w:r>
    </w:p>
    <w:p>
      <w:pPr>
        <w:spacing w:after="0" w:line="13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operating results of these businesses are included in other businesses.</w:t>
      </w:r>
    </w:p>
    <w:p>
      <w:pPr>
        <w:spacing w:after="0" w:line="117"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second quarter of 2015, the Company sold The Root, a component of Slate, and Kaplan sold two small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Structuralia, which was part of Kaplan International, and Fire and EMS Training, which was part of Kaplan Higher Education. As a result of these sales, the Company reported gains in other non-operating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13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KHE Campuses schools that have been closed or are in the process of closing are not included in the sale transaction. The transaction is contingent upon certain regulatory and accrediting agency approvals and is expected to close in the third quarter of 2015. The KHE Campuses business disposal group is reported in assets held for sale at June 30, 2015. The revenue and operating losses related to schools that are being sold as part of the ECA transaction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4"/>
              <w:spacing w:after="0"/>
              <w:rPr>
                <w:sz w:val="20"/>
                <w:szCs w:val="20"/>
                <w:color w:val="auto"/>
              </w:rPr>
            </w:pPr>
            <w:r>
              <w:rPr>
                <w:rFonts w:ascii="Arial" w:cs="Arial" w:eastAsia="Arial" w:hAnsi="Arial"/>
                <w:sz w:val="16"/>
                <w:szCs w:val="16"/>
                <w:b w:val="1"/>
                <w:bCs w:val="1"/>
                <w:color w:val="auto"/>
              </w:rPr>
              <w:t>63,036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67,205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124,123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136,263</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(4,287)</w:t>
            </w:r>
          </w:p>
        </w:tc>
        <w:tc>
          <w:tcPr>
            <w:tcW w:w="3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(4,531)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(7,301)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(7,507)</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carrying amounts of the major classes of assets and liabilities held for sale at June 30, 2015 are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 Held for Sale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Amortized intangible assets,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and other assets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 Held for Sale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 and accrued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 Held for Sale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 Held for Sale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2015</w:t>
      </w:r>
    </w:p>
    <w:p>
      <w:pPr>
        <w:spacing w:after="0" w:line="84" w:lineRule="exact"/>
        <w:rPr>
          <w:sz w:val="20"/>
          <w:szCs w:val="20"/>
          <w:color w:val="auto"/>
        </w:rPr>
      </w:pPr>
    </w:p>
    <w:p>
      <w:pPr>
        <w:ind w:left="1100" w:hanging="1065"/>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685</w:t>
      </w:r>
    </w:p>
    <w:p>
      <w:pPr>
        <w:spacing w:after="0" w:line="59"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13,308</w:t>
      </w:r>
    </w:p>
    <w:p>
      <w:pPr>
        <w:spacing w:after="0" w:line="59"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5,006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3" w:lineRule="exact"/>
        <w:rPr>
          <w:sz w:val="20"/>
          <w:szCs w:val="20"/>
          <w:color w:val="auto"/>
        </w:rPr>
      </w:pPr>
    </w:p>
    <w:p>
      <w:pPr>
        <w:ind w:left="880" w:hanging="845"/>
        <w:spacing w:after="0"/>
        <w:tabs>
          <w:tab w:leader="none" w:pos="8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18,999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880" w:hanging="845"/>
        <w:spacing w:after="0"/>
        <w:tabs>
          <w:tab w:leader="none" w:pos="8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12,101</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7,526</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5,787</w:t>
      </w:r>
    </w:p>
    <w:p>
      <w:pPr>
        <w:spacing w:after="0" w:line="59"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951</w:t>
      </w:r>
    </w:p>
    <w:p>
      <w:pPr>
        <w:spacing w:after="0" w:line="59"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27,058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11,139</w:t>
            </w:r>
          </w:p>
        </w:tc>
      </w:tr>
      <w:tr>
        <w:trPr>
          <w:trHeight w:val="256"/>
        </w:trPr>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10,001</w:t>
            </w:r>
          </w:p>
        </w:tc>
      </w:tr>
      <w:tr>
        <w:trPr>
          <w:trHeight w:val="237"/>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21,140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7,849</w:t>
            </w:r>
          </w:p>
        </w:tc>
      </w:tr>
      <w:tr>
        <w:trPr>
          <w:trHeight w:val="237"/>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7,849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9220" w:space="720"/>
            <w:col w:w="1480"/>
          </w:cols>
          <w:pgMar w:left="240" w:top="584" w:right="239" w:bottom="1440" w:gutter="0" w:footer="0" w:header="0"/>
          <w:type w:val="continuous"/>
        </w:sectPr>
      </w:pPr>
    </w:p>
    <w:p>
      <w:pPr>
        <w:ind w:right="320"/>
        <w:spacing w:after="0" w:line="227" w:lineRule="auto"/>
        <w:rPr>
          <w:sz w:val="20"/>
          <w:szCs w:val="20"/>
          <w:color w:val="auto"/>
        </w:rPr>
      </w:pPr>
      <w:r>
        <w:rPr>
          <w:rFonts w:ascii="Arial" w:cs="Arial" w:eastAsia="Arial" w:hAnsi="Arial"/>
          <w:sz w:val="18"/>
          <w:szCs w:val="18"/>
          <w:color w:val="auto"/>
        </w:rPr>
        <w:t>In the second quarter of 2015, Kaplan recorded a $ 6.9 million long-lived assets impairment charge in connection with the KHE Campuses business, of which $4.7 million was an unfavorable out of period expense adjustment related to the first quarter of 2015. With respect to this error, the Company has concluded that it was not material to the Company’s financial position or results of operations for the first or second quarter of 2015, based on its consideration of quantitative and qualitative factors.</w:t>
      </w:r>
    </w:p>
    <w:p>
      <w:pPr>
        <w:spacing w:after="0" w:line="11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15"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38"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Company’s income from continuing operations excludes the sold Kaplan China schools and WPLG,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Amortization of intangible assets for the three months ended June 30, 2015 and 2014 was $4.7 million and $3.0 million, respectively. Amortization of intangible assets for the six months ended June 30, 2015 and 2014 was $ 9.4 million and $5.7 million, respectively. Amortization of intangible assets is estimated to be approximately $9 million for the remainder of 2015, $17 million in 2016, $14 million in 2017, $13 million in 2018, $12 million in 2019 and $22 million thereafter.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Cable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1,057,226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145,992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1,457,051</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1"/>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954,967</w:t>
            </w:r>
          </w:p>
        </w:tc>
        <w:tc>
          <w:tcPr>
            <w:tcW w:w="30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139,910</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4,570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4,570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(1,298)</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(7,819)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(9,117)</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assets held for sale</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(7,526)</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(7,526)</w:t>
            </w:r>
          </w:p>
        </w:tc>
      </w:tr>
      <w:tr>
        <w:trPr>
          <w:trHeight w:val="28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(10,876)</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(10,876)</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1,037,526</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142,743</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1,434,102</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935,267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136,661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1,325,761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recorded a $4.6 million measurement period adjustment in the second quarter of 2015 upon the finalization of the purchase accounting related to deferred income taxes in connection with the acquisition of Residential Healthcare, Inc. The balance sheet as of December 31, 2014 has not been revised for the measurement period adjustment as the Company believes it is not material to the Company's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1"/>
              <w:spacing w:after="0"/>
              <w:rPr>
                <w:sz w:val="20"/>
                <w:szCs w:val="20"/>
                <w:color w:val="auto"/>
              </w:rPr>
            </w:pPr>
            <w:r>
              <w:rPr>
                <w:rFonts w:ascii="Arial" w:cs="Arial" w:eastAsia="Arial" w:hAnsi="Arial"/>
                <w:sz w:val="14"/>
                <w:szCs w:val="14"/>
                <w:b w:val="1"/>
                <w:bCs w:val="1"/>
                <w:color w:val="auto"/>
              </w:rPr>
              <w:t>Kaplan</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1,057,226</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1"/>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2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954,967</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(559)</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(739)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(1,298)</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assets held for sale</w:t>
            </w:r>
          </w:p>
        </w:tc>
        <w:tc>
          <w:tcPr>
            <w:tcW w:w="18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(7,526)</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(7,526)</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(10,752)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(10,876)</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401,675</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469,753</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1,037,526</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401,675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469,753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935,267</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As of June 30, 2015</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2014</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00" w:type="dxa"/>
            <w:vAlign w:val="bottom"/>
          </w:tcPr>
          <w:p>
            <w:pPr>
              <w:jc w:val="center"/>
              <w:ind w:left="42"/>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1,681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1,151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101,259</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49,320</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51,939</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104,685</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47,539</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10,518</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9,204</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1,314</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10,501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8,827</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53,655</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21,742</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31,913</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55,452</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19,724</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35,728</w:t>
            </w: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6,316</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5,192</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1,124</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8,969</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7,480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173,429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86,609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86,820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182,107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85,160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96,947</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496,321</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994</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6,781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13,651</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13,651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510,966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516,753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8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2014</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398,515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398,308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Cable ONE 5.75% unsecured notes due June 15, 2022</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450,000</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Cable ONE term loan</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100,000</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40,927</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6,241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6,685</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954,756</w:t>
            </w:r>
          </w:p>
        </w:tc>
        <w:tc>
          <w:tcPr>
            <w:tcW w:w="24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445,920</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(7,537)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(46,375)</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947,219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399,545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Company’s other indebtedness at June 30, 2015 is at interest rates from 3.8% to 6% and matures from 2015 to 2017. The Company’s other indebtedness at December 31, 2014 is at interest rates from 0% to 6% and matures from 2015 to 2017.</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June 17, 2015, Cable ONE issued $450 million in unsecured seven-year fixed-rate notes due on June 15, 2022 (the Notes). The Notes have a coupon rate of 5.75% per annum, payable semiannually on June 15 and December 15, beginning December 15, 2015. Cable ONE subsequently used the net proceeds from the sale of the Notes and other cash on hand to pay a special one-time cash dividend to the Company of $450 million in connection with the Cable ONE spin-off. Under the terms of the Notes, unless Cable ONE has exercised its right to redeem the Notes, Cable ONE is required to offer to repurchase the Notes in cash at 101% of the principal amount, plus accrued and unpaid interest, upon the occurrence of a Change of Control.</w:t>
      </w:r>
    </w:p>
    <w:p>
      <w:pPr>
        <w:spacing w:after="0" w:line="137"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On June 30, 2015, Cable ONE entered into a Credit Agreement (the Cable ONE Credit Agreement) among Cable ONE, as borrower, the lenders party thereto, JPMorgan Chase Bank, N.A., as administrative agent, and the other agents party thereto. The Cable ONE Credit Agreement provides for a five-year revolving credit facility in an aggregate principal amount of $200 million (the Revolving Credit Facility) and a five-year term loan facility in an aggregate principal amount of $100 million (the Term Loan Facility and, together with the Revolving Credit Facility, the Senior Credit Facilities). Concurrent with its entry into the Cable ONE Credit Agreement, Cable ONE borrowed the full amount of the Term Loan Facility. Borrowings under the Senior Credit Facilities will bear interest, at Cable ONE’s option, at a rate per annum determined by reference to either LIBOR or an adjusted base rate, in each case plus an applicable interest rate margin. The applicable interest rate margin with respect to LIBOR borrowings will be a rate per annum between 1.50% and 2.25% and the applicable interest rate margin with respect to adjusted base rate borrowings will be a rate per annum between 0.50% and 1.25%, in each case determined on a quarterly basis by reference to a pricing grid based upon Cable ONE’s total net leverage ratio. Borrowings under the Senior Credit Facilities will initially bear interest at LIBOR plus 1.50% per annum or at the adjusted base rate plus 0.50%. In addition, Cable ONE will be required to pay commitment fees on any unused portion of the Revolving Credit Facility at a rate between 0.25% per annum and 0.40% per annum, determined by reference to the pricing grid. The Senior Credit Facilities may be prepaid at any time without premium. The Term Loan Facility will amortize in equal quarterly installments at a rate of 2.5% per annum in the first year after funding, 5.0% per annum in the second year after funding, 7.5% per annum in the third year after funding, 10.0% per annum in the fourth year after funding and 15.0% per annum in the fifth year after funding, with the outstanding balance of the Term Loan Facility to be paid on the fifth anniversary of funding.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With the Cable ONE spin-off effective on July 1, 2015, the Cable ONE debt is no longer an obligation of the Company.</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62" w:right="239" w:bottom="1440" w:gutter="0" w:footer="0" w:header="0"/>
        </w:sectPr>
      </w:pPr>
    </w:p>
    <w:bookmarkStart w:id="14" w:name="page15"/>
    <w:bookmarkEnd w:id="14"/>
    <w:p>
      <w:pPr>
        <w:ind w:right="40"/>
        <w:spacing w:after="0" w:line="225" w:lineRule="auto"/>
        <w:rPr>
          <w:sz w:val="20"/>
          <w:szCs w:val="20"/>
          <w:color w:val="auto"/>
        </w:rPr>
      </w:pPr>
      <w:r>
        <w:rPr>
          <w:rFonts w:ascii="Arial" w:cs="Arial" w:eastAsia="Arial" w:hAnsi="Arial"/>
          <w:sz w:val="18"/>
          <w:szCs w:val="18"/>
          <w:color w:val="auto"/>
        </w:rPr>
        <w:t>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13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On March 9, 2015, the Company repaid the AUD 50 million borrowed under its revolving credit facility. On the same day, the AUD 50 million interest rate swap agreements matured.</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June 30, 2015 and 2014, the Company had average borrowings outstanding of approximately $454.4 million and $452.5 million, respectively, at average annual interest rates of approximately 6.8% and 7.0%, respectively. During the three months ended June 30, 2015 and 2014, the Company incurred net interest expense of $9.3 million and $7.9 million, respectively.</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During the six months ended June 30, 2015 and 2014, the Company had average borrowings outstanding of approximately $450.2 million and $451.8 million, respectively, at average annual interest rates of approximately 7.0%. During the six months ended June 30, 2015 and 2014, the Company incurred net interest expense of $17.3 million and $16.1 million, respectively.</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June 30, 2015, the fair value of the Company’s 7.25% unsecured notes, based on quoted market prices, totaled $447.0 million, compared with the carrying amount of $398.5 million. At December 31, 2014, the fair value of the Company’s 7.25% unsecured notes, based on quoted market prices, totaled $450.3 million, compared with the carrying amount of $398.3 million. At June 30, 2015, the estimated fair value of Cable ONE's 5.75% unsecured notes and term loan were the same as the carrying amounts of $450.0 million and $100.0 million, respectively, due to the close proximity to the debt instruments’ issuance date. The carrying value of the Company’s other unsecured debt at June 30, 2015 approximates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June 30, 2015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690,452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690,452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349,794</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349,794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(3)</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173,460</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173,460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11,311</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16,079</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27,390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534,565</w:t>
            </w: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706,531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1,241,096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69,280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69,280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447,000</w:t>
            </w: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447,000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Cable ONE 5.75% unsecured notes (6)</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450,000</w:t>
            </w: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450,000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Cable ONE term loan (6)</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100,000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100,000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1,066,280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1,066,280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w:t>
      </w:r>
    </w:p>
    <w:p>
      <w:pPr>
        <w:spacing w:after="0" w:line="14" w:lineRule="exact"/>
        <w:rPr>
          <w:rFonts w:ascii="Arial" w:cs="Arial" w:eastAsia="Arial" w:hAnsi="Arial"/>
          <w:sz w:val="14"/>
          <w:szCs w:val="14"/>
          <w:color w:val="auto"/>
        </w:rPr>
      </w:pPr>
    </w:p>
    <w:p>
      <w:pPr>
        <w:ind w:left="420" w:right="40" w:hanging="412"/>
        <w:spacing w:after="0" w:line="246"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63" w:lineRule="exact"/>
        <w:rPr>
          <w:rFonts w:ascii="Arial" w:cs="Arial" w:eastAsia="Arial" w:hAnsi="Arial"/>
          <w:sz w:val="14"/>
          <w:szCs w:val="14"/>
          <w:color w:val="auto"/>
        </w:rPr>
      </w:pPr>
    </w:p>
    <w:p>
      <w:pPr>
        <w:ind w:left="420" w:right="140" w:hanging="412"/>
        <w:spacing w:after="0" w:line="258"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 The fair value of long-term debt is determined based on a number of observable inputs, including the current market activity of the Company’s publicly traded notes, trends in investor demands and market values of comparable publicly traded debt.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5" w:name="page16"/>
    <w:bookmarkEnd w:id="15"/>
    <w:p>
      <w:pPr>
        <w:ind w:left="876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100" w:val="left"/>
          <w:tab w:leader="none" w:pos="9340" w:val="left"/>
          <w:tab w:leader="none" w:pos="1066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420"/>
          </w:cols>
          <w:pgMar w:left="240" w:top="802" w:right="239" w:bottom="1440" w:gutter="0" w:footer="0" w:header="0"/>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 paper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(4)</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368,131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368,131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226,197</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226,197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193,793</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193,793</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11,788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21,171</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32,959</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431,778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389,302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821,080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ectPr>
          <w:pgSz w:w="11900" w:h="16838" w:orient="portrait"/>
          <w:cols w:equalWidth="0" w:num="2">
            <w:col w:w="7060" w:space="720"/>
            <w:col w:w="3640"/>
          </w:cols>
          <w:pgMar w:left="240" w:top="8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Deferred compensation plan liabilities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(7)</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70,661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70,661</w:t>
            </w:r>
          </w:p>
        </w:tc>
      </w:tr>
      <w:tr>
        <w:trPr>
          <w:trHeight w:val="270"/>
        </w:trPr>
        <w:tc>
          <w:tcPr>
            <w:tcW w:w="50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450,344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450,344</w:t>
            </w:r>
          </w:p>
        </w:tc>
      </w:tr>
      <w:tr>
        <w:trPr>
          <w:trHeight w:val="270"/>
        </w:trPr>
        <w:tc>
          <w:tcPr>
            <w:tcW w:w="50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40,927</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40,927</w:t>
            </w:r>
          </w:p>
        </w:tc>
      </w:tr>
      <w:tr>
        <w:trPr>
          <w:trHeight w:val="283"/>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64"/>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562,111</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562,111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ectPr>
          <w:pgSz w:w="11900" w:h="16838" w:orient="portrait"/>
          <w:cols w:equalWidth="0" w:num="2">
            <w:col w:w="7060" w:space="720"/>
            <w:col w:w="3640"/>
          </w:cols>
          <w:pgMar w:left="240" w:top="802" w:right="239" w:bottom="1440" w:gutter="0" w:footer="0" w:header="0"/>
          <w:type w:val="continuous"/>
        </w:sect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w:t>
      </w:r>
    </w:p>
    <w:p>
      <w:pPr>
        <w:spacing w:after="0" w:line="14" w:lineRule="exact"/>
        <w:rPr>
          <w:rFonts w:ascii="Arial" w:cs="Arial" w:eastAsia="Arial" w:hAnsi="Arial"/>
          <w:sz w:val="14"/>
          <w:szCs w:val="14"/>
          <w:color w:val="auto"/>
        </w:rPr>
      </w:pPr>
    </w:p>
    <w:p>
      <w:pPr>
        <w:ind w:left="420" w:right="40" w:hanging="412"/>
        <w:spacing w:after="0" w:line="246"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63" w:lineRule="exact"/>
        <w:rPr>
          <w:rFonts w:ascii="Arial" w:cs="Arial" w:eastAsia="Arial" w:hAnsi="Arial"/>
          <w:sz w:val="14"/>
          <w:szCs w:val="14"/>
          <w:color w:val="auto"/>
        </w:rPr>
      </w:pPr>
    </w:p>
    <w:p>
      <w:pPr>
        <w:ind w:left="420" w:right="140" w:hanging="412"/>
        <w:spacing w:after="0" w:line="25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 The fair value of long-term debt is determined based on a number of observable inputs, including the current market activity of the Company’s publicly traded notes, trends in investor demands and market values of comparable publicly traded debt.</w:t>
      </w:r>
    </w:p>
    <w:p>
      <w:pPr>
        <w:ind w:left="420" w:right="40" w:hanging="412"/>
        <w:spacing w:after="0" w:line="258"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4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second quarter of 2015, the Company recorded a long-lived asset impairment charge of $6.9 million. In the second quarter of 2014, the Company recorded an intangible asset impairment charge of $7.8 million, reported in discontinued operations (see Note 5). The remeasurements of these long-lived and intangible assets are classified as Level 3 fair value assessments due to the significance of unobservable inputs developed in the determination of the fair values.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acquired 1,620,190 of its Class B common stock owned by Berkshire Hathaway, as described in Note 4.</w:t>
      </w:r>
    </w:p>
    <w:p>
      <w:pPr>
        <w:spacing w:after="0" w:line="14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2" w:right="239" w:bottom="1440" w:gutter="0" w:footer="0" w:header="0"/>
          <w:type w:val="continuous"/>
        </w:sectPr>
      </w:pPr>
    </w:p>
    <w:bookmarkStart w:id="16" w:name="page17"/>
    <w:bookmarkEnd w:id="16"/>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3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2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57,782</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79,172</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440"/>
              <w:spacing w:after="0"/>
              <w:rPr>
                <w:sz w:val="20"/>
                <w:szCs w:val="20"/>
                <w:color w:val="auto"/>
              </w:rPr>
            </w:pPr>
            <w:r>
              <w:rPr>
                <w:rFonts w:ascii="Arial" w:cs="Arial" w:eastAsia="Arial" w:hAnsi="Arial"/>
                <w:sz w:val="16"/>
                <w:szCs w:val="16"/>
                <w:color w:val="auto"/>
              </w:rPr>
              <w:t>common stockholders</w:t>
            </w: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374,948</w:t>
            </w:r>
          </w:p>
        </w:tc>
        <w:tc>
          <w:tcPr>
            <w:tcW w:w="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505,314</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(15,484)</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(14,819)</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(46,354)</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(52,494)</w:t>
            </w:r>
          </w:p>
        </w:tc>
        <w:tc>
          <w:tcPr>
            <w:tcW w:w="0" w:type="dxa"/>
            <w:vAlign w:val="bottom"/>
          </w:tcPr>
          <w:p>
            <w:pPr>
              <w:spacing w:after="0"/>
              <w:rPr>
                <w:sz w:val="1"/>
                <w:szCs w:val="1"/>
                <w:color w:val="auto"/>
              </w:rPr>
            </w:pPr>
          </w:p>
        </w:tc>
      </w:tr>
      <w:tr>
        <w:trPr>
          <w:trHeight w:val="251"/>
        </w:trPr>
        <w:tc>
          <w:tcPr>
            <w:tcW w:w="632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60" w:type="dxa"/>
            <w:vAlign w:val="bottom"/>
          </w:tcPr>
          <w:p>
            <w:pPr>
              <w:jc w:val="right"/>
              <w:ind w:right="162"/>
              <w:spacing w:after="0"/>
              <w:rPr>
                <w:sz w:val="20"/>
                <w:szCs w:val="20"/>
                <w:color w:val="auto"/>
              </w:rPr>
            </w:pPr>
            <w:r>
              <w:rPr>
                <w:rFonts w:ascii="Arial" w:cs="Arial" w:eastAsia="Arial" w:hAnsi="Arial"/>
                <w:sz w:val="16"/>
                <w:szCs w:val="16"/>
                <w:b w:val="1"/>
                <w:bCs w:val="1"/>
                <w:color w:val="auto"/>
              </w:rPr>
              <w:t>42,298</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360,129</w:t>
            </w:r>
          </w:p>
        </w:tc>
        <w:tc>
          <w:tcPr>
            <w:tcW w:w="34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32,818</w:t>
            </w:r>
          </w:p>
        </w:tc>
        <w:tc>
          <w:tcPr>
            <w:tcW w:w="40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452,820</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98.18%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97.88%</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98.18%</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97.88%</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2"/>
              <w:spacing w:after="0"/>
              <w:rPr>
                <w:sz w:val="20"/>
                <w:szCs w:val="20"/>
                <w:color w:val="auto"/>
              </w:rPr>
            </w:pPr>
            <w:r>
              <w:rPr>
                <w:rFonts w:ascii="Arial" w:cs="Arial" w:eastAsia="Arial" w:hAnsi="Arial"/>
                <w:sz w:val="16"/>
                <w:szCs w:val="16"/>
                <w:b w:val="1"/>
                <w:bCs w:val="1"/>
                <w:color w:val="auto"/>
              </w:rPr>
              <w:t>41,527</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352,507</w:t>
            </w:r>
          </w:p>
        </w:tc>
        <w:tc>
          <w:tcPr>
            <w:tcW w:w="340" w:type="dxa"/>
            <w:vAlign w:val="bottom"/>
          </w:tcPr>
          <w:p>
            <w:pPr>
              <w:spacing w:after="0"/>
              <w:rPr>
                <w:sz w:val="21"/>
                <w:szCs w:val="21"/>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32,220</w:t>
            </w:r>
          </w:p>
        </w:tc>
        <w:tc>
          <w:tcPr>
            <w:tcW w:w="40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443,236</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584" w:right="239" w:bottom="1043" w:gutter="0" w:footer="0" w:header="0"/>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Dividends-common stock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Numerator for basic earnings per share</w:t>
      </w:r>
    </w:p>
    <w:p>
      <w:pPr>
        <w:spacing w:after="0" w:line="113" w:lineRule="exact"/>
        <w:rPr>
          <w:sz w:val="20"/>
          <w:szCs w:val="20"/>
          <w:color w:val="auto"/>
        </w:rPr>
      </w:pPr>
    </w:p>
    <w:p>
      <w:pPr>
        <w:ind w:left="180" w:right="56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93" w:lineRule="exact"/>
        <w:rPr>
          <w:sz w:val="20"/>
          <w:szCs w:val="20"/>
          <w:color w:val="auto"/>
        </w:rPr>
      </w:pPr>
    </w:p>
    <w:p>
      <w:pPr>
        <w:ind w:left="180" w:right="1240" w:hanging="134"/>
        <w:spacing w:after="0" w:line="407" w:lineRule="auto"/>
        <w:rPr>
          <w:sz w:val="20"/>
          <w:szCs w:val="20"/>
          <w:color w:val="auto"/>
        </w:rPr>
      </w:pPr>
      <w:r>
        <w:rPr>
          <w:rFonts w:ascii="Arial" w:cs="Arial" w:eastAsia="Arial" w:hAnsi="Arial"/>
          <w:sz w:val="16"/>
          <w:szCs w:val="16"/>
          <w:b w:val="1"/>
          <w:bCs w:val="1"/>
          <w:color w:val="auto"/>
        </w:rPr>
        <w:t>Graham Holdings Company Common Stockholders: Basic earnings per share from continuing operations Diluted earnings per share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15,201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14,506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45,506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51,556</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56,728</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367,013</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77,726</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494,792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56,732</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367,044</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77,729</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494,832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8"/>
        </w:trPr>
        <w:tc>
          <w:tcPr>
            <w:tcW w:w="32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5,720</w:t>
            </w:r>
          </w:p>
        </w:tc>
        <w:tc>
          <w:tcPr>
            <w:tcW w:w="42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7,284</w:t>
            </w:r>
          </w:p>
        </w:tc>
        <w:tc>
          <w:tcPr>
            <w:tcW w:w="44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5,712</w:t>
            </w:r>
          </w:p>
        </w:tc>
        <w:tc>
          <w:tcPr>
            <w:tcW w:w="4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7,280</w:t>
            </w:r>
          </w:p>
        </w:tc>
      </w:tr>
      <w:tr>
        <w:trPr>
          <w:trHeight w:val="28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r>
      <w:tr>
        <w:trPr>
          <w:trHeight w:val="264"/>
        </w:trPr>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5,750</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7,308</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5,744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7,304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9.92</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50.39</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13.61</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67.97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9.87</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50.22</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13.53</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67.74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5600" w:space="720"/>
            <w:col w:w="5100"/>
          </w:cols>
          <w:pgMar w:left="240" w:top="584" w:right="239" w:bottom="1043" w:gutter="0" w:footer="0" w:header="0"/>
          <w:type w:val="continuous"/>
        </w:sect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20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2014</w:t>
            </w: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1"/>
                <w:szCs w:val="21"/>
                <w:color w:val="auto"/>
              </w:rPr>
            </w:pPr>
          </w:p>
        </w:tc>
        <w:tc>
          <w:tcPr>
            <w:tcW w:w="1160" w:type="dxa"/>
            <w:vAlign w:val="bottom"/>
          </w:tcPr>
          <w:p>
            <w:pPr>
              <w:jc w:val="right"/>
              <w:ind w:right="885"/>
              <w:spacing w:after="0"/>
              <w:rPr>
                <w:sz w:val="20"/>
                <w:szCs w:val="20"/>
                <w:color w:val="auto"/>
              </w:rPr>
            </w:pPr>
            <w:r>
              <w:rPr>
                <w:rFonts w:ascii="Arial" w:cs="Arial" w:eastAsia="Arial" w:hAnsi="Arial"/>
                <w:sz w:val="16"/>
                <w:szCs w:val="16"/>
                <w:b w:val="1"/>
                <w:bCs w:val="1"/>
                <w:color w:val="auto"/>
              </w:rPr>
              <w:t>55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420" w:type="dxa"/>
            <w:vAlign w:val="bottom"/>
          </w:tcPr>
          <w:p>
            <w:pPr>
              <w:jc w:val="right"/>
              <w:ind w:right="506"/>
              <w:spacing w:after="0"/>
              <w:rPr>
                <w:sz w:val="20"/>
                <w:szCs w:val="20"/>
                <w:color w:val="auto"/>
              </w:rPr>
            </w:pPr>
            <w:r>
              <w:rPr>
                <w:rFonts w:ascii="Arial" w:cs="Arial" w:eastAsia="Arial" w:hAnsi="Arial"/>
                <w:sz w:val="16"/>
                <w:szCs w:val="16"/>
                <w:b w:val="1"/>
                <w:bCs w:val="1"/>
                <w:color w:val="auto"/>
              </w:rPr>
              <w:t>54</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57</w:t>
            </w:r>
          </w:p>
        </w:tc>
      </w:tr>
    </w:tbl>
    <w:p>
      <w:pPr>
        <w:spacing w:after="0" w:line="16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diluted earnings per share amounts for the three and six months ended June 30, 2015 exclude the effects of 50,000 stock options outstanding as their inclusion would have been antidilutive. The diluted earnings per share amounts for the three and six months ended June 30, 2014 exclude the effects of 5,000 stock options outstanding as their inclusion would have been antidilutive. The diluted earnings per share amounts for the three and six months ended June 30, 2015 exclude the effects of 5,850 restricted stock awards as their inclusion would have been antidilutive. The diluted earnings per share amounts for the three and six months ended June 30, 2014 exclude the effects of 5,550 restricted stock awards, as their inclusion would have been antidilutive.</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the three and six months ended June 30, 2015 the Company declared regular dividends totaling $2.65 and $7.95, respectively. In the three and six months ended June 30, 2014, the Company declared regular dividends totaling $2.55 and $7.65,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7,251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6,976</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14,503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14,513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12,781</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12,894</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25,561</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25,976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8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(31,553)</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(30,504)</w:t>
            </w: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(63,098)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(60,767)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81</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162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(7,281)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(14,319)</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8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(11,440)</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(17,833)</w:t>
            </w:r>
          </w:p>
        </w:tc>
        <w:tc>
          <w:tcPr>
            <w:tcW w:w="38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(22,872)</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(34,433)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4,490</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(11,440)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(17,833)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(22,872)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043"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84" w:right="239" w:bottom="1043" w:gutter="0" w:footer="0" w:header="0"/>
          <w:type w:val="continuous"/>
        </w:sectPr>
      </w:pPr>
    </w:p>
    <w:bookmarkStart w:id="17" w:name="page18"/>
    <w:bookmarkEnd w:id="17"/>
    <w:p>
      <w:pPr>
        <w:ind w:right="20"/>
        <w:spacing w:after="0" w:line="235" w:lineRule="auto"/>
        <w:rPr>
          <w:sz w:val="20"/>
          <w:szCs w:val="20"/>
          <w:color w:val="auto"/>
        </w:rPr>
      </w:pPr>
      <w:r>
        <w:rPr>
          <w:rFonts w:ascii="Arial" w:cs="Arial" w:eastAsia="Arial" w:hAnsi="Arial"/>
          <w:sz w:val="18"/>
          <w:szCs w:val="18"/>
          <w:color w:val="auto"/>
        </w:rPr>
        <w:t>For the three and six months ended June 30, 2014, the net periodic benefit for the Company's pension plans, as reported above, includes costs of $0.1 million and $0.2 million, respectively, reported in discontinued operations.</w:t>
      </w:r>
    </w:p>
    <w:p>
      <w:pPr>
        <w:spacing w:after="0" w:line="135"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is being funded from the assets of the Company's pension plan. In June 2014, the Company announced that a Voluntary Retirement Incentive Program was offered to certain Corporate employees; the related expense was recorded in the third quarter of 2014.</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509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373</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1,018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1,135</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1,086</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2,270</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2,171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228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877</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375</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1,755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750</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2,635</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5,271</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3,690</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For the three and six months ended June 30, 2014, the net periodic cost for the Company's SERP, as reported above, includes costs of $0.1 million and $0.2 million, respectively, reported in discontinued operations.</w:t>
      </w:r>
    </w:p>
    <w:p>
      <w:pPr>
        <w:spacing w:after="0" w:line="113"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SERP, and the Company eliminated the accrual of pension benefits for all Cable ONE employees related to their future service. As a result, the Company remeasured the accumulated and projected benefit obligation of the pension and SERP as of July 1, 2015, and the Company expects to record a curtailment and settlement gain in the third quarter of 2015. The new measurement basis will be used for the recognition of the Company's pension and SERP (credit) cost beginning in the third quarter of 2015.</w:t>
      </w:r>
    </w:p>
    <w:p>
      <w:pPr>
        <w:spacing w:after="0" w:line="116"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63"/>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2014</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49%</w:t>
            </w: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16%</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35%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June 30, 2015, the managers can invest no more than 24% of the assets in specified international exchanges, at the time the investment is made, and no less than 10% of the assets could be invested in fixed-income securities. None of the assets is managed internally by the Company.</w:t>
      </w:r>
    </w:p>
    <w:p>
      <w:pPr>
        <w:spacing w:after="0" w:line="136"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2015. Types of concentrations that were evaluated include, but are not limited to, investment concentrations in a single entity, type of industry, foreign country and individual fund. At June 30, 2015, the pension plan held common stock in one investment that exceeded 10% of total plan assets, valued at $ 723.1 million, or 27% of total plan assets. At December 31, 2014, the pension plan held common stock in two investments that exceeded 10% of total plan assets, valued at $730.6 million, or 30% of total plan assets. At June 30, 2015 and December 31, 2014, the pension plan held investments in one foreign country that exceeded 10% of total plan assets. These investments were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ind w:right="940"/>
        <w:spacing w:after="0" w:line="235" w:lineRule="auto"/>
        <w:rPr>
          <w:sz w:val="20"/>
          <w:szCs w:val="20"/>
          <w:color w:val="auto"/>
        </w:rPr>
      </w:pPr>
      <w:r>
        <w:rPr>
          <w:rFonts w:ascii="Arial" w:cs="Arial" w:eastAsia="Arial" w:hAnsi="Arial"/>
          <w:sz w:val="18"/>
          <w:szCs w:val="18"/>
          <w:color w:val="auto"/>
        </w:rPr>
        <w:t>valued at $725.0 million and $468.0 million at June 30, 2015 and December 31, 2014, respectively, or approximately 27% and 19%, respectively, of total plan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333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666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324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362</w:t>
            </w:r>
          </w:p>
        </w:tc>
        <w:tc>
          <w:tcPr>
            <w:tcW w:w="380" w:type="dxa"/>
            <w:vAlign w:val="bottom"/>
          </w:tcPr>
          <w:p>
            <w:pPr>
              <w:spacing w:after="0"/>
              <w:rPr>
                <w:sz w:val="23"/>
                <w:szCs w:val="23"/>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649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(125)</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(195)</w:t>
            </w:r>
          </w:p>
        </w:tc>
        <w:tc>
          <w:tcPr>
            <w:tcW w:w="38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(251)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(249)</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(498)</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566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Additional gain on sale of Classified Ventures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4,827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4,827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3,608</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2,909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(3,219)</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7,946</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businesses</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2,918</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2,918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formation of joint venture</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5,972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266,733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266,733</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127,670</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Losses on sales or write-down of marketable equity securities</w:t>
            </w:r>
          </w:p>
        </w:tc>
        <w:tc>
          <w:tcPr>
            <w:tcW w:w="3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325</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2,082</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11,678</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268,114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10,573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401,387</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2014 and the related interim periods,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8"/>
              </w:rPr>
              <w:t>Before-Tax</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562" w:right="239" w:bottom="84"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or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right="100"/>
        <w:spacing w:after="0" w:line="366"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5,249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5,249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1,920</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4,765</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4,765</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1,920</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1,920</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(11,455)</w:t>
            </w:r>
          </w:p>
        </w:tc>
        <w:tc>
          <w:tcPr>
            <w:tcW w:w="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4,582</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(6,873)</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8,667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(3,466)</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5,201</w:t>
            </w:r>
          </w:p>
        </w:tc>
      </w:tr>
      <w:tr>
        <w:trPr>
          <w:trHeight w:val="445"/>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(266,059)</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106,424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(159,635)</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(11,455)</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4,582</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(6,873)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(257,392)</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102,958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(154,434)</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42</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628</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377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(7,425)</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698</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(7,527)</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3,011</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(4,516)</w:t>
            </w:r>
          </w:p>
        </w:tc>
      </w:tr>
      <w:tr>
        <w:trPr>
          <w:trHeight w:val="5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239</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4,303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(262,760)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105,874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(156,886)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5100" w:space="60"/>
            <w:col w:w="6260"/>
          </w:cols>
          <w:pgMar w:left="240" w:top="562" w:right="239" w:bottom="84"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After-Tax</w:t>
            </w:r>
          </w:p>
        </w:tc>
        <w:tc>
          <w:tcPr>
            <w:tcW w:w="1200" w:type="dxa"/>
            <w:vAlign w:val="bottom"/>
          </w:tcPr>
          <w:p>
            <w:pPr>
              <w:jc w:val="center"/>
              <w:ind w:right="8"/>
              <w:spacing w:after="0"/>
              <w:rPr>
                <w:sz w:val="20"/>
                <w:szCs w:val="20"/>
                <w:color w:val="auto"/>
              </w:rPr>
            </w:pPr>
            <w:r>
              <w:rPr>
                <w:rFonts w:ascii="Arial" w:cs="Arial" w:eastAsia="Arial" w:hAnsi="Arial"/>
                <w:sz w:val="14"/>
                <w:szCs w:val="14"/>
                <w:color w:val="auto"/>
                <w:w w:val="98"/>
              </w:rPr>
              <w:t>Before-Tax</w:t>
            </w:r>
          </w:p>
        </w:tc>
        <w:tc>
          <w:tcPr>
            <w:tcW w:w="940" w:type="dxa"/>
            <w:vAlign w:val="bottom"/>
          </w:tcPr>
          <w:p>
            <w:pPr>
              <w:jc w:val="center"/>
              <w:ind w:right="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ind w:right="8"/>
              <w:spacing w:after="0"/>
              <w:rPr>
                <w:sz w:val="20"/>
                <w:szCs w:val="20"/>
                <w:color w:val="auto"/>
              </w:rPr>
            </w:pPr>
            <w:r>
              <w:rPr>
                <w:rFonts w:ascii="Arial" w:cs="Arial" w:eastAsia="Arial" w:hAnsi="Arial"/>
                <w:sz w:val="14"/>
                <w:szCs w:val="14"/>
                <w:color w:val="auto"/>
                <w:w w:val="99"/>
              </w:rPr>
              <w:t>Amount</w:t>
            </w:r>
          </w:p>
        </w:tc>
        <w:tc>
          <w:tcPr>
            <w:tcW w:w="940" w:type="dxa"/>
            <w:vAlign w:val="bottom"/>
          </w:tcPr>
          <w:p>
            <w:pPr>
              <w:jc w:val="center"/>
              <w:ind w:right="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562" w:right="239" w:bottom="84"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340" w:right="380" w:hanging="161"/>
        <w:spacing w:after="0" w:line="253"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66" w:lineRule="auto"/>
        <w:rPr>
          <w:sz w:val="20"/>
          <w:szCs w:val="20"/>
          <w:color w:val="auto"/>
        </w:rPr>
      </w:pPr>
      <w:r>
        <w:rPr>
          <w:rFonts w:ascii="Arial" w:cs="Arial" w:eastAsia="Arial" w:hAnsi="Arial"/>
          <w:sz w:val="16"/>
          <w:szCs w:val="16"/>
          <w:color w:val="auto"/>
        </w:rPr>
        <w:t>Amortization of net prior service cost (credit) included in net income Amortization of net actuarial loss (gain)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(6,839)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(6,839)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2,666</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(525)</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(525)</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(7,364)</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(7,364)</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2,666</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2,666</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(20,333)</w:t>
            </w:r>
          </w:p>
        </w:tc>
        <w:tc>
          <w:tcPr>
            <w:tcW w:w="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8,134</w:t>
            </w:r>
          </w:p>
        </w:tc>
        <w:tc>
          <w:tcPr>
            <w:tcW w:w="2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(12,199)</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36,405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(14,562)</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21,843</w:t>
            </w:r>
          </w:p>
        </w:tc>
      </w:tr>
      <w:tr>
        <w:trPr>
          <w:trHeight w:val="6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(265,274)</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106,110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(20,333)</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8,134</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(12,199)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(228,869)</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91,548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(137,321)</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139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26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84</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1,257</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754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(14,607)</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5,843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(8,764)</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1,396</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838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(14,811)</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5,924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(8,887)</w:t>
            </w:r>
          </w:p>
        </w:tc>
      </w:tr>
      <w:tr>
        <w:trPr>
          <w:trHeight w:val="5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(26,122)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7,505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(18,617)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(240,603)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97,308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(143,295)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000" w:space="160"/>
            <w:col w:w="6260"/>
          </w:cols>
          <w:pgMar w:left="240" w:top="562" w:right="239" w:bottom="84"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63"/>
              <w:spacing w:after="0"/>
              <w:rPr>
                <w:sz w:val="20"/>
                <w:szCs w:val="20"/>
                <w:color w:val="auto"/>
              </w:rPr>
            </w:pPr>
            <w:r>
              <w:rPr>
                <w:rFonts w:ascii="Arial" w:cs="Arial" w:eastAsia="Arial" w:hAnsi="Arial"/>
                <w:sz w:val="14"/>
                <w:szCs w:val="14"/>
                <w:b w:val="1"/>
                <w:bCs w:val="1"/>
                <w:color w:val="auto"/>
              </w:rPr>
              <w:t>Cumulative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Unrealized Gain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on Pensions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Adjustment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Plans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8,548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392,910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453,480</w:t>
            </w:r>
          </w:p>
        </w:tc>
      </w:tr>
      <w:tr>
        <w:trPr>
          <w:trHeight w:val="218"/>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58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200" w:type="dxa"/>
            <w:vAlign w:val="bottom"/>
          </w:tcPr>
          <w:p>
            <w:pPr>
              <w:spacing w:after="0"/>
              <w:rPr>
                <w:sz w:val="18"/>
                <w:szCs w:val="18"/>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b w:val="1"/>
                <w:bCs w:val="1"/>
                <w:color w:val="auto"/>
              </w:rPr>
              <w:t>(6,839)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(12,199)</w:t>
            </w:r>
          </w:p>
        </w:tc>
        <w:tc>
          <w:tcPr>
            <w:tcW w:w="22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(19,009)</w:t>
            </w:r>
          </w:p>
        </w:tc>
      </w:tr>
      <w:tr>
        <w:trPr>
          <w:trHeight w:val="218"/>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58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(525)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838</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392</w:t>
            </w:r>
          </w:p>
        </w:tc>
      </w:tr>
      <w:tr>
        <w:trPr>
          <w:trHeight w:val="264"/>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(7,364)</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(12,199)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838</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(18,617)</w:t>
            </w:r>
          </w:p>
        </w:tc>
      </w:tr>
      <w:tr>
        <w:trPr>
          <w:trHeight w:val="267"/>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1,184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39,931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393,748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434,863</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84"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62" w:right="239" w:bottom="84"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8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June 30</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(484)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(525)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tcPr>
          <w:p>
            <w:pPr>
              <w:ind w:left="180"/>
              <w:spacing w:after="0"/>
              <w:rPr>
                <w:sz w:val="20"/>
                <w:szCs w:val="20"/>
                <w:color w:val="auto"/>
              </w:rPr>
            </w:pPr>
            <w:r>
              <w:rPr>
                <w:rFonts w:ascii="Arial" w:cs="Arial" w:eastAsia="Arial" w:hAnsi="Arial"/>
                <w:sz w:val="16"/>
                <w:szCs w:val="16"/>
                <w:color w:val="auto"/>
              </w:rPr>
              <w:t>Realized gain for the period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(266,059)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(265,274)</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106,424</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106,110</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(159,635)</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w:t>
            </w:r>
          </w:p>
        </w:tc>
        <w:tc>
          <w:tcPr>
            <w:tcW w:w="200" w:type="dxa"/>
            <w:vAlign w:val="bottom"/>
          </w:tcPr>
          <w:p>
            <w:pPr>
              <w:spacing w:after="0"/>
              <w:rPr>
                <w:sz w:val="23"/>
                <w:szCs w:val="23"/>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70</w:t>
            </w:r>
          </w:p>
        </w:tc>
        <w:tc>
          <w:tcPr>
            <w:tcW w:w="2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3"/>
                <w:szCs w:val="23"/>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139</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3"/>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net actuarial loss (gain)</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628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(7,425)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1,257</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(14,607)</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698</w:t>
            </w: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(7,527)</w:t>
            </w:r>
          </w:p>
        </w:tc>
        <w:tc>
          <w:tcPr>
            <w:tcW w:w="26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1,396</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(14,811)</w:t>
            </w:r>
          </w:p>
        </w:tc>
        <w:tc>
          <w:tcPr>
            <w:tcW w:w="25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3,011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(558)</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419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(4,516)</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838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(8,887)</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24"/>
                <w:szCs w:val="24"/>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132</w:t>
            </w:r>
          </w:p>
        </w:tc>
        <w:tc>
          <w:tcPr>
            <w:tcW w:w="28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428</w:t>
            </w:r>
          </w:p>
        </w:tc>
        <w:tc>
          <w:tcPr>
            <w:tcW w:w="25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130</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257</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(167,794)</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20" w:right="160" w:hanging="412"/>
        <w:spacing w:after="0" w:line="233"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Benefits of $0.9 million and $1.2 million were recorded in Provision for Income Taxes related to the realized loss for the three and six months ended June 30, 2014, respectively. The remaining $107.3 million for the three and six months ended June 30, 2014, relates to the reversal of income taxes previously recorded on the unrealized gain of the Company’s investment in Berkshire Hathaway Inc. marketable equity securities as part of the Berkshire exchange transaction (see Note 4).</w:t>
      </w:r>
    </w:p>
    <w:p>
      <w:pPr>
        <w:spacing w:after="0" w:line="30"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37"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Court. Arguments on both appeals were heard on February 3, 2015. On March 11, 2015, the court issued a decision affirming the lower court's dismissal of all of Gillespie's claims and three of the four Diaz claims but reversing and remanding on one remaining claim.</w:t>
      </w:r>
    </w:p>
    <w:p>
      <w:pPr>
        <w:spacing w:after="0" w:line="141"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has moved for summary judgment, which the court granted on March 9, 2015; the plaintiff filed a notice of appeal in the second quarter of 2015.</w:t>
      </w:r>
    </w:p>
    <w:p>
      <w:pPr>
        <w:sectPr>
          <w:pgSz w:w="11900" w:h="16838" w:orient="portrait"/>
          <w:cols w:equalWidth="0" w:num="1">
            <w:col w:w="11420"/>
          </w:cols>
          <w:pgMar w:left="240" w:top="584"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84" w:right="239" w:bottom="1440" w:gutter="0" w:footer="0" w:header="0"/>
          <w:type w:val="continuous"/>
        </w:sectPr>
      </w:pPr>
    </w:p>
    <w:bookmarkStart w:id="21" w:name="page22"/>
    <w:bookmarkEnd w:id="21"/>
    <w:p>
      <w:pPr>
        <w:ind w:right="40"/>
        <w:spacing w:after="0" w:line="219" w:lineRule="auto"/>
        <w:rPr>
          <w:sz w:val="20"/>
          <w:szCs w:val="20"/>
          <w:color w:val="auto"/>
        </w:rPr>
      </w:pPr>
      <w:r>
        <w:rPr>
          <w:rFonts w:ascii="Arial" w:cs="Arial" w:eastAsia="Arial" w:hAnsi="Arial"/>
          <w:sz w:val="18"/>
          <w:szCs w:val="18"/>
          <w:color w:val="auto"/>
        </w:rPr>
        <w:t>On April 30, 2011, KHE received a Civil Investigative Demand (CID) from the Office of the Attorney General of the State of Massachusetts. The demand sought information pertaining to KHE’s nationally accredited campuses in Massachusetts known as the Charlestown and Kenmore Square campuses. For reasons unrelated to the CID, the Charlestown campus closed in November 2013 and the Kenmore Square campus closed in February 2013. KHE has cooperated with the Massachusetts Attorney General and provided all the originally requested information, as well as additional information requested in 2012 and 2013. In October 2014, the Attorney General's office sent KHE a “notice of intention to file” letter, a statutory prerequisite to initiating a lawsuit under section 93A of the Massachusetts consumer fraud statute. In July</w:t>
      </w:r>
    </w:p>
    <w:p>
      <w:pPr>
        <w:spacing w:after="0" w:line="1"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2015, KHE resolved the investigation pursuant to an Assurance of Discontinuance (AOD) with the Attorney General's office. The AOD included no finding or admission of wrongdoing by KHE. No lawsuit was filed, and no judgment was entered against KHE in connection with this matter. Pursuant to the AOD, KHE agreed to pay $1,375,000.</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has undertaken program reviews at various KHE locations. Currently,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five pending program reviews, including the ED’s final reports on the program reviews at KHE’s Broomall, PA, and Pittsburgh, PA, locations, and the program review at Kaplan University.</w:t>
      </w:r>
    </w:p>
    <w:p>
      <w:pPr>
        <w:spacing w:after="0" w:line="13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While there can be no guarantee that these measures will be adequate to prevent the 90/10 ratio at some of the schools from exceeding 90% in the future, management currently estimates that each of KHE's continuing operations campuses will be 90/10 compliant in 2015.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The Company has six reportable segments: Kaplan Higher Education, Kaplan Test Preparation, Kaplan International, cable, television broadcasting and other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523,625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542,964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1,024,227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1,065,118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198,681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200,829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397,404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404,750</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90,753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88,297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174,317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173,948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66,512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42,351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129,771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67,264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879,571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874,411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1,725,719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1,710,952</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15,848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17,637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(7,001)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19,499</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38,445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46,780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77,521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87,942</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42,014</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44,088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80,576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88,474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(2,161)</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(6,995)</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(7,323)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(5,251)</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88,895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101,560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135,450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180,429</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6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(353)</w:t>
            </w:r>
          </w:p>
        </w:tc>
        <w:tc>
          <w:tcPr>
            <w:tcW w:w="38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91,503</w:t>
            </w: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(757)</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95,555</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(9,293)</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(7,916)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(17,255)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(16,137)</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11,678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268,114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10,573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401,387</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90,927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453,261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128,011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661,234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21,980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15,372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40,508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31,788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35,405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33,788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71,753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67,575</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2,125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2,039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4,234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1,254</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780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2,556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250</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61,014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51,989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119,559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105,206</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8,343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1,798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9,850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3,722</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30</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3,117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1,138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6,285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11,553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16,322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3,947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3,566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7,894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7,709</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975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888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391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358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782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186</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379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(16,939)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(22,933)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(33,877)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(40,612)</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(11,440)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(22,872)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6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1,576,872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1,781,543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1,357,414</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1,253,764</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305,857</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305,426</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479,049</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518,807</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1,016,812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524,627</w:t>
            </w: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4,736,004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4,384,167</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173,460</w:t>
            </w:r>
          </w:p>
        </w:tc>
        <w:tc>
          <w:tcPr>
            <w:tcW w:w="28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193,793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50,898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1,175,521</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 Held for Sale</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46,057</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2,060</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6,181,940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240,717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251,936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478,285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505,715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80,381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81,098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149,607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148,902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200,703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209,045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392,784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407,892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1,959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1,385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3,818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3,399</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523,625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542,964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1,024,227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1,065,118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24,764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20,952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25,357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34,096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7,079</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(3,904)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2,745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(10,532)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17,573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16,898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25,290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26,756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(33,594)</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(16,401)</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(60,451)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(30,957)</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15,848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19,499</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4,794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7,080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9,622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14,820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2,263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3,072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6,856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5,073</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4,916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9,727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9,596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9,850</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16,006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21,980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40,508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31,788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1,467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1,798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2,974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3,722</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 of Long-lived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6,876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6,876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2,532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2,629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5,064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5,257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775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722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1,550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106</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534</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1,068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830</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3,947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7,894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3"/>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544,306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749,421</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155,304</w:t>
            </w:r>
          </w:p>
        </w:tc>
        <w:tc>
          <w:tcPr>
            <w:tcW w:w="2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167,055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836,010</w:t>
            </w:r>
          </w:p>
        </w:tc>
        <w:tc>
          <w:tcPr>
            <w:tcW w:w="2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838,148</w:t>
            </w:r>
          </w:p>
        </w:tc>
      </w:tr>
    </w:tbl>
    <w:p>
      <w:pPr>
        <w:sectPr>
          <w:pgSz w:w="11900" w:h="16838" w:orient="portrait"/>
          <w:cols w:equalWidth="0" w:num="1">
            <w:col w:w="11420"/>
          </w:cols>
          <w:pgMar w:left="240" w:top="584"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gridSpan w:val="2"/>
          </w:tcPr>
          <w:p>
            <w:pPr>
              <w:jc w:val="right"/>
              <w:ind w:right="6299"/>
              <w:spacing w:after="0"/>
              <w:rPr>
                <w:sz w:val="20"/>
                <w:szCs w:val="20"/>
                <w:color w:val="auto"/>
              </w:rPr>
            </w:pPr>
            <w:r>
              <w:rPr>
                <w:rFonts w:ascii="Arial" w:cs="Arial" w:eastAsia="Arial" w:hAnsi="Arial"/>
                <w:sz w:val="16"/>
                <w:szCs w:val="16"/>
                <w:color w:val="auto"/>
              </w:rPr>
              <w:t>Kaplan corporate and other</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41,252</w:t>
            </w:r>
          </w:p>
        </w:tc>
        <w:tc>
          <w:tcPr>
            <w:tcW w:w="4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26,919</w:t>
            </w:r>
          </w:p>
        </w:tc>
      </w:tr>
      <w:tr>
        <w:trPr>
          <w:trHeight w:val="47"/>
        </w:trPr>
        <w:tc>
          <w:tcPr>
            <w:tcW w:w="79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7960" w:type="dxa"/>
            <w:vAlign w:val="bottom"/>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1,576,872</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1,781,543</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62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 reported income from continuing operations attributable to common shares of $57.8 million ($9.87 per share) for the second quarter of 2015, compared to $ 374.9 million ($50.22 per share) for the second quarter of 2014. Net income attributable to common shares was $57.8 million ($9.87 per share) for the second quarter ended June 30, 2015, compared to $750.1 million ($100.48 per share) for the second quarter of last year. Net income includes $ 375.2 million ($50.26 per share) in income from discontinued operations for the second quarter of 2014. (Refer to “Discontinued Operations” discussion below.)</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21% fewer diluted shares outstanding in the second quarter of 2015, versus the same period in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2015 are listed below:</w:t>
      </w:r>
    </w:p>
    <w:p>
      <w:pPr>
        <w:spacing w:after="0" w:line="144" w:lineRule="exact"/>
        <w:rPr>
          <w:sz w:val="20"/>
          <w:szCs w:val="20"/>
          <w:color w:val="auto"/>
        </w:rPr>
      </w:pPr>
    </w:p>
    <w:p>
      <w:pPr>
        <w:ind w:left="180" w:right="26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$16.6 million in restructuring charges and accelerated depreciation at the education division (after-tax impact of $10.7 million, or $1.82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$9.5 million in costs associated with the spin-off of the Cable division, including the modification of restricted stock awards (after-tax impact of $8.2 million, or $1.39 per share);</w:t>
      </w:r>
    </w:p>
    <w:p>
      <w:pPr>
        <w:spacing w:after="0" w:line="134"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$7.7 million in non-operating gains arising from the sales of three businesses and an investment (after-tax impact of $5.0 million, or $0.85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$3.6 million in non-operating unrealized foreign currency gains (after-tax impact of $2.3 million, or $0.39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2014 are listed below:</w:t>
      </w:r>
    </w:p>
    <w:p>
      <w:pPr>
        <w:spacing w:after="0" w:line="144" w:lineRule="exact"/>
        <w:rPr>
          <w:sz w:val="20"/>
          <w:szCs w:val="20"/>
          <w:color w:val="auto"/>
        </w:rPr>
      </w:pPr>
    </w:p>
    <w:p>
      <w:pPr>
        <w:ind w:left="180" w:right="30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$10.5 million in restructuring charges and software assets write-offs at the education division (after-tax impact of $6.7 million, or $0.90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 million in non-operating foreign currency gains (after-tax impact of $1.9 million, or $0.25 per share).</w:t>
      </w:r>
    </w:p>
    <w:p>
      <w:pPr>
        <w:spacing w:after="0" w:line="144"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Revenue for the second quarter of 2015 was $879.6 million, up 1% from $874.4 million in the second quarter of 2014. Revenues increased in other businesses and at the television broadcasting division, while revenues were down at the education and cable divisions. The Company reported operating income of $88.9 million for the second quarter of 2015, compared to $101.6 million for the second quarter of 2014. Operating results were down at the education, cable and television broadcasting divisions, offset by improvement in other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2015, the Company reported income from continuing operations attributable to common shares of $79.2 million</w:t>
      </w:r>
    </w:p>
    <w:p>
      <w:pPr>
        <w:ind w:right="180"/>
        <w:spacing w:after="0" w:line="227" w:lineRule="auto"/>
        <w:rPr>
          <w:sz w:val="20"/>
          <w:szCs w:val="20"/>
          <w:color w:val="auto"/>
        </w:rPr>
      </w:pPr>
      <w:r>
        <w:rPr>
          <w:rFonts w:ascii="Arial" w:cs="Arial" w:eastAsia="Arial" w:hAnsi="Arial"/>
          <w:sz w:val="18"/>
          <w:szCs w:val="18"/>
          <w:color w:val="auto"/>
        </w:rPr>
        <w:t>($13.53 per share), compared to $505.3 million ($67.74 per share) for the first six months of 2014. Net income attributable to common shares was $ 78.4 million ($13.40 per share) for the first six months of 2015, compared to $882.2 million ($118.26 per share) for the same period of 2014. Net income includes $0.8 million ($0.13 per share) in losses and $ 376.9 million ($50.52 per share) in income from discontinued operations for the first six months of 2015 and 2014, respectively. (Refer to “Discontinued Operations” discussion below.)</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62"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2015 are listed below:</w:t>
      </w:r>
    </w:p>
    <w:p>
      <w:pPr>
        <w:spacing w:after="0" w:line="144" w:lineRule="exact"/>
        <w:rPr>
          <w:sz w:val="20"/>
          <w:szCs w:val="20"/>
          <w:color w:val="auto"/>
        </w:rPr>
      </w:pPr>
    </w:p>
    <w:p>
      <w:pPr>
        <w:ind w:left="180" w:right="26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$27.3 million in restructuring charges and accelerated depreciation at the education division (after-tax impact of $17.5 million, or $2.99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$10.9 million in costs associated with the spin-off of the Cable division, including the modification of restricted stock awards (after-tax impact of $9.5 million, or $1.63 per share);</w:t>
      </w:r>
    </w:p>
    <w:p>
      <w:pPr>
        <w:spacing w:after="0" w:line="134" w:lineRule="exact"/>
        <w:rPr>
          <w:rFonts w:ascii="Arial" w:cs="Arial" w:eastAsia="Arial" w:hAnsi="Arial"/>
          <w:sz w:val="18"/>
          <w:szCs w:val="18"/>
          <w:color w:val="auto"/>
        </w:rPr>
      </w:pPr>
    </w:p>
    <w:p>
      <w:pPr>
        <w:ind w:left="180" w:right="36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$13.7 million in non-operating gains arising from the sales of three businesses and an investment, and on the formation of a joint venture (after-tax impact of $8.4 million, or $1.35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 million in non-operating unrealized foreign currency losses (after-tax impact of $2.1 million, or $0.36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2014 are listed below:</w:t>
      </w:r>
    </w:p>
    <w:p>
      <w:pPr>
        <w:spacing w:after="0" w:line="144" w:lineRule="exact"/>
        <w:rPr>
          <w:sz w:val="20"/>
          <w:szCs w:val="20"/>
          <w:color w:val="auto"/>
        </w:rPr>
      </w:pPr>
    </w:p>
    <w:p>
      <w:pPr>
        <w:ind w:right="560" w:firstLine="8"/>
        <w:spacing w:after="0" w:line="235" w:lineRule="auto"/>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 million in early retirement program expense, restructuring charges and software asset write-offs at the education division and the corporate office (after-tax impact of $9.6 million, or $1.29 per share);</w:t>
      </w:r>
    </w:p>
    <w:p>
      <w:pPr>
        <w:spacing w:after="0" w:line="13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$7.9 million in non-operating unrealized foreign currency gains (after-tax impact of $5.1 million, or $0.69 per share).</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for the first six months of 2015 was $1,725.7 million, up 1% from $1,711.0 million in the first six months of 2014. Revenues increased in other businesses and were flat at the television broadcasting division, while revenues were down at the education and cable divisions. The Company reported operating income of $135.5 million for the first six months of 2015, compared to $180.4 million for the first six months of 2014. Operating results improved in other businesses, but declined at the education, cable and television broadcasting divisions.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exchange of the Berkshire Hathaway shares, and income from discontinued operations for the second quarter of 2014 includes a $375.0 million gain from the WPLG exchange.</w:t>
      </w:r>
    </w:p>
    <w:p>
      <w:pPr>
        <w:spacing w:after="0" w:line="1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will be reported in discontinued operations starting in the third quarter of 2015. For additional information, refer to the Company's Form 8-K filed on July 8, 2015 that includes an unaudited pro forma condensed consolidated balance sheet of the Company’s financial position assuming the spin-off occurred on March 31, 2015, and unaudited pro forma condensed consolidated statements of operations of the Company’s results of operations for the three months ended March 31, 2015, and for each of the three fiscal years in the period ended December 31, 2014, assuming the spin-off occurred on January 1, 2012.</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Education division revenue totaled $523.6 million for the second quarter of 2015, down 4% from revenue of $543.0 million for the same period of 2014. Kaplan reported operating income of $15.8 million for the second quarter of 2015, compared to operating income of $17.6 million for the second quarter of 2014. Operating results for the second quarter of 2015 and 2014 include restructuring costs and software assets write-offs of $16.6 million and $10.5 million, respectively. The operating results in the second quarter of 2015 also include a $6.9 million long-lived asset impairment charge.</w:t>
      </w:r>
    </w:p>
    <w:p>
      <w:pPr>
        <w:spacing w:after="0" w:line="137"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For the first six months of 2015, education division revenue totaled $1,024.2 million, down 4% from revenue of $1,065.1 million for the same period of 2014. Kaplan reported an operating loss of $7.0 million for the first six months of 2015, compared to operating income of $19.5 million for the first six months of 2014. Restructuring costs and software asset write-offs totaled $27.3 million and $10.5 million for the first six months of 2015 and 2014, respectively. The operating results for the first six months of 2015 also include a $6.9 million long-lived asset impairment charge.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first six months of 2015 compared to 2014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240,717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251,936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478,285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505,715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80,381</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81,098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149,607</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148,902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200,703</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209,045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392,784</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407,892</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1,959</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1,385</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3,818</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3,399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(135)</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(267)</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523,625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542,964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1,024,227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1,065,118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24,764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20,952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25,357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34,096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7,079</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2,745</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(10,532)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17,573</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16,898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25,290</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26,756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(25,251)</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(14,603)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(50,601)</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(27,235)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(1,467)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(2,974)</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(6,876)</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(6,876)</w:t>
            </w:r>
          </w:p>
        </w:tc>
        <w:tc>
          <w:tcPr>
            <w:tcW w:w="3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26</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15,848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17,637</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(7,001)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19,499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 In connection with these and other plans, KHE incurred $2.5 million and $5.4 million in restructuring costs for the second quarter and first six months of 2015, respectively, and $2.5 million in restructuring costs in the second quarter and first six months of 2014. For the second quarter of 2015, these costs included severance ($ 1.0 million), lease obligation losses ($0.9 million) and accelerated depreciation ($0.6 million). For the first six months of 2015 these costs included severance ($2.2 million), lease obligation losses ($1.8 million), accelerated depreciation ($1.3 million) and other items ($0.1 million). For the second quarter and first six months of 2014 these costs included severance ($2.0 million), accelerated depreciation ($0.3 million), lease obligation losses ($0.1 million) and other items ($0.1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62" w:right="239" w:bottom="1440" w:gutter="0" w:footer="0" w:header="0"/>
        </w:sectPr>
      </w:pPr>
    </w:p>
    <w:bookmarkStart w:id="28" w:name="page29"/>
    <w:bookmarkEnd w:id="28"/>
    <w:p>
      <w:pPr>
        <w:ind w:right="50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 impairment charge in connection with the KHE Campuses business. KHE results include revenue and operating losses related to all KHE Campuses, those being sold to ECA or closed,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4"/>
              <w:spacing w:after="0"/>
              <w:rPr>
                <w:sz w:val="20"/>
                <w:szCs w:val="20"/>
                <w:color w:val="auto"/>
              </w:rPr>
            </w:pPr>
            <w:r>
              <w:rPr>
                <w:rFonts w:ascii="Arial" w:cs="Arial" w:eastAsia="Arial" w:hAnsi="Arial"/>
                <w:sz w:val="16"/>
                <w:szCs w:val="16"/>
                <w:b w:val="1"/>
                <w:bCs w:val="1"/>
                <w:color w:val="auto"/>
              </w:rPr>
              <w:t>62,688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68,749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124,098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139,848</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(4,079)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(6,092)</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(12,470)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(10,575)</w:t>
            </w:r>
          </w:p>
        </w:tc>
      </w:tr>
    </w:tbl>
    <w:p>
      <w:pPr>
        <w:spacing w:after="0" w:line="16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and first six months of 2015, KHE revenue declined 4% and 5%, respectively, due largely to declines in average enrollments at Kaplan University and KHE campuses that reflect weaker market demand over the past year and the impact of closed campuses. KHE operating results improved in the second quarter of 2015 due to an overall reduction in operating expenses due to the completion of most of the school closures. KHE operating results were down in the first six months of 2015 due to revenue declines, increased marketing spending at Kaplan University and increased restructuring costs in the first six months of 2015.</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New higher education student enrollments at KHE declined 9% in the second quarter of 2015 (down 12% at Kaplan University and down 1% at the Other Campuses). New student enrollments declined 10% for the first six months of 2015 (down 10% at Kaplan University and down 9% at the Other Campuses). The declines reflect the generally lower demand across KHE and the impact of closed campuses.</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Total students at June 30, 2015, were down 10% compared to June 30, 2014, and declined 9% compared to March 31, 2015. A summary of student enrollments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283"/>
        </w:trPr>
        <w:tc>
          <w:tcPr>
            <w:tcW w:w="7780" w:type="dxa"/>
            <w:vAlign w:val="bottom"/>
          </w:tcPr>
          <w:p>
            <w:pPr>
              <w:spacing w:after="0"/>
              <w:rPr>
                <w:sz w:val="24"/>
                <w:szCs w:val="24"/>
                <w:color w:val="auto"/>
              </w:rPr>
            </w:pPr>
          </w:p>
        </w:tc>
        <w:tc>
          <w:tcPr>
            <w:tcW w:w="1260" w:type="dxa"/>
            <w:vAlign w:val="bottom"/>
          </w:tcPr>
          <w:p>
            <w:pPr>
              <w:jc w:val="right"/>
              <w:ind w:right="343"/>
              <w:spacing w:after="0"/>
              <w:rPr>
                <w:sz w:val="20"/>
                <w:szCs w:val="20"/>
                <w:color w:val="auto"/>
              </w:rPr>
            </w:pPr>
            <w:r>
              <w:rPr>
                <w:rFonts w:ascii="Arial" w:cs="Arial" w:eastAsia="Arial" w:hAnsi="Arial"/>
                <w:sz w:val="14"/>
                <w:szCs w:val="14"/>
                <w:b w:val="1"/>
                <w:bCs w:val="1"/>
                <w:color w:val="auto"/>
              </w:rPr>
              <w:t>June 30,</w:t>
            </w:r>
          </w:p>
        </w:tc>
        <w:tc>
          <w:tcPr>
            <w:tcW w:w="1280" w:type="dxa"/>
            <w:vAlign w:val="bottom"/>
          </w:tcPr>
          <w:p>
            <w:pPr>
              <w:jc w:val="right"/>
              <w:ind w:right="323"/>
              <w:spacing w:after="0"/>
              <w:rPr>
                <w:sz w:val="20"/>
                <w:szCs w:val="20"/>
                <w:color w:val="auto"/>
              </w:rPr>
            </w:pPr>
            <w:r>
              <w:rPr>
                <w:rFonts w:ascii="Arial" w:cs="Arial" w:eastAsia="Arial" w:hAnsi="Arial"/>
                <w:sz w:val="14"/>
                <w:szCs w:val="14"/>
                <w:color w:val="auto"/>
              </w:rPr>
              <w:t>March 31,</w:t>
            </w:r>
          </w:p>
        </w:tc>
        <w:tc>
          <w:tcPr>
            <w:tcW w:w="1100" w:type="dxa"/>
            <w:vAlign w:val="bottom"/>
          </w:tcPr>
          <w:p>
            <w:pPr>
              <w:jc w:val="right"/>
              <w:ind w:right="243"/>
              <w:spacing w:after="0"/>
              <w:rPr>
                <w:sz w:val="20"/>
                <w:szCs w:val="20"/>
                <w:color w:val="auto"/>
              </w:rPr>
            </w:pPr>
            <w:r>
              <w:rPr>
                <w:rFonts w:ascii="Arial" w:cs="Arial" w:eastAsia="Arial" w:hAnsi="Arial"/>
                <w:sz w:val="14"/>
                <w:szCs w:val="14"/>
                <w:color w:val="auto"/>
              </w:rPr>
              <w:t>June 30,</w:t>
            </w:r>
          </w:p>
        </w:tc>
      </w:tr>
      <w:tr>
        <w:trPr>
          <w:trHeight w:val="196"/>
        </w:trPr>
        <w:tc>
          <w:tcPr>
            <w:tcW w:w="7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2014</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260" w:type="dxa"/>
            <w:vAlign w:val="bottom"/>
          </w:tcPr>
          <w:p>
            <w:pPr>
              <w:jc w:val="right"/>
              <w:ind w:right="143"/>
              <w:spacing w:after="0"/>
              <w:rPr>
                <w:sz w:val="20"/>
                <w:szCs w:val="20"/>
                <w:color w:val="auto"/>
              </w:rPr>
            </w:pPr>
            <w:r>
              <w:rPr>
                <w:rFonts w:ascii="Arial" w:cs="Arial" w:eastAsia="Arial" w:hAnsi="Arial"/>
                <w:sz w:val="16"/>
                <w:szCs w:val="16"/>
                <w:b w:val="1"/>
                <w:bCs w:val="1"/>
                <w:color w:val="auto"/>
              </w:rPr>
              <w:t>41,054</w:t>
            </w:r>
          </w:p>
        </w:tc>
        <w:tc>
          <w:tcPr>
            <w:tcW w:w="1280" w:type="dxa"/>
            <w:vAlign w:val="bottom"/>
          </w:tcPr>
          <w:p>
            <w:pPr>
              <w:jc w:val="right"/>
              <w:ind w:right="183"/>
              <w:spacing w:after="0"/>
              <w:rPr>
                <w:sz w:val="20"/>
                <w:szCs w:val="20"/>
                <w:color w:val="auto"/>
              </w:rPr>
            </w:pPr>
            <w:r>
              <w:rPr>
                <w:rFonts w:ascii="Arial" w:cs="Arial" w:eastAsia="Arial" w:hAnsi="Arial"/>
                <w:sz w:val="16"/>
                <w:szCs w:val="16"/>
                <w:color w:val="auto"/>
              </w:rPr>
              <w:t>45,680</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44,515</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14,152</w:t>
            </w:r>
          </w:p>
        </w:tc>
        <w:tc>
          <w:tcPr>
            <w:tcW w:w="12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14,850</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16,508</w:t>
            </w:r>
          </w:p>
        </w:tc>
      </w:tr>
      <w:tr>
        <w:trPr>
          <w:trHeight w:val="264"/>
        </w:trPr>
        <w:tc>
          <w:tcPr>
            <w:tcW w:w="7780" w:type="dxa"/>
            <w:vAlign w:val="bottom"/>
          </w:tcPr>
          <w:p>
            <w:pPr>
              <w:spacing w:after="0"/>
              <w:rPr>
                <w:sz w:val="22"/>
                <w:szCs w:val="22"/>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55,206</w:t>
            </w:r>
          </w:p>
        </w:tc>
        <w:tc>
          <w:tcPr>
            <w:tcW w:w="12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60,530</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61,023</w:t>
            </w: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June 30, 2015 and 2014,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w:t>
            </w:r>
          </w:p>
        </w:tc>
        <w:tc>
          <w:tcPr>
            <w:tcW w:w="760" w:type="dxa"/>
            <w:vAlign w:val="bottom"/>
            <w:tcBorders>
              <w:bottom w:val="single" w:sz="8" w:color="auto"/>
            </w:tcBorders>
          </w:tcPr>
          <w:p>
            <w:pPr>
              <w:spacing w:after="0"/>
              <w:rPr>
                <w:sz w:val="17"/>
                <w:szCs w:val="17"/>
                <w:color w:val="auto"/>
              </w:rPr>
            </w:pPr>
          </w:p>
        </w:tc>
      </w:tr>
      <w:tr>
        <w:trPr>
          <w:trHeight w:val="264"/>
        </w:trPr>
        <w:tc>
          <w:tcPr>
            <w:tcW w:w="89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w w:val="96"/>
              </w:rPr>
              <w:t>2014</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22.1%</w:t>
            </w:r>
          </w:p>
        </w:tc>
        <w:tc>
          <w:tcPr>
            <w:tcW w:w="7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25.5%</w:t>
            </w:r>
          </w:p>
        </w:tc>
        <w:tc>
          <w:tcPr>
            <w:tcW w:w="7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35.8%</w:t>
            </w:r>
          </w:p>
        </w:tc>
        <w:tc>
          <w:tcPr>
            <w:tcW w:w="7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16.6%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64"/>
        </w:trPr>
        <w:tc>
          <w:tcPr>
            <w:tcW w:w="8900" w:type="dxa"/>
            <w:vAlign w:val="bottom"/>
          </w:tcPr>
          <w:p>
            <w:pPr>
              <w:spacing w:after="0"/>
              <w:rPr>
                <w:sz w:val="22"/>
                <w:szCs w:val="22"/>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100.0%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for the second quarter of 2015 and was flat for the first six months of 2015. Excluding revenues from acquired businesses, KTP revenue decreased 4% and 3% in the second quarter and first six months of 2015, respectively. Enrollment was down 12% and 6% for the second quarter and first six months of 2015, respectively, due primarily to declines in graduate programs. KTP recorded a $7.7 million software asset write-off in the second quarter of 2014 due to a decision to consolidate certain learning management systems. In comparison, KTP operating results improved in the second quarter and first six months of 2015 due to a reduction in operating expenses from tighter cost controls and the inclusion of the software asset write-offs in 2014.</w:t>
      </w:r>
    </w:p>
    <w:p>
      <w:pPr>
        <w:spacing w:after="0" w:line="139"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4% in both the second quarter and first six months of 2015 due to the adverse impact of foreign exchange rates. On a constant currency basis, Kaplan International revenue increased 6% and 5% for the second quarter and first six months of 2015, respectively, due to enrollment growth in Australia and in Singapore higher education programs, offset by enrollment declines in English-language programs. Kaplan International operating income improved in the second quarter of 2015 due to improved results from operations in Australia and Singapore, offset by declines in English-language results. Kaplan International operating income was down in the first six months of 2015 due to declines in English-language results, offset by improved results from operations in Australia and Singapore.</w:t>
      </w:r>
    </w:p>
    <w:p>
      <w:pPr>
        <w:spacing w:after="0" w:line="139"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second quarter of 2015, Kaplan corporate recorded $13.6 million in restructuring charges, including accelerated depreciation ($9.7 million) and lease obligation losses ($3.8 million) related to office space managed by Kaplan corporate. In the first six months of 2015, Kaplan corporate recorded</w:t>
      </w:r>
    </w:p>
    <w:p>
      <w:pPr>
        <w:sectPr>
          <w:pgSz w:w="11900" w:h="16838" w:orient="portrait"/>
          <w:cols w:equalWidth="0" w:num="1">
            <w:col w:w="11420"/>
          </w:cols>
          <w:pgMar w:left="240" w:top="584" w:right="2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84" w:right="239" w:bottom="1440" w:gutter="0" w:footer="0" w:header="0"/>
          <w:type w:val="continuous"/>
        </w:sectPr>
      </w:pPr>
    </w:p>
    <w:bookmarkStart w:id="29" w:name="page30"/>
    <w:bookmarkEnd w:id="29"/>
    <w:p>
      <w:pPr>
        <w:ind w:right="340"/>
        <w:spacing w:after="0" w:line="229" w:lineRule="auto"/>
        <w:rPr>
          <w:sz w:val="20"/>
          <w:szCs w:val="20"/>
          <w:color w:val="auto"/>
        </w:rPr>
      </w:pPr>
      <w:r>
        <w:rPr>
          <w:rFonts w:ascii="Arial" w:cs="Arial" w:eastAsia="Arial" w:hAnsi="Arial"/>
          <w:sz w:val="18"/>
          <w:szCs w:val="18"/>
          <w:color w:val="auto"/>
        </w:rPr>
        <w:t>$21.2 million in restructuring charges, including accelerated depreciation ($16.2 million) and lease obligation losses ($4.9 million) related to office space managed by Kaplan corporate. Kaplan corporate expenses also increased in the first six months of 2015 due to increased spending for new business initiatives and replacement of its human resource system, offset by a reduction in incentive compensation costs.</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second quarter of 2015, Kaplan sold two small businesses; one was part of KHE and the other was part of Kaplan International. The gains on these dispositions are included in other non-operating income in the second quarter of 2015.</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that will result in additional restructuring plans and related costs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Cable division revenue declined 1% in the second quarter of 2015 to $198.7 million, from $200.8 million for the second quarter of 2014, due to</w:t>
      </w:r>
    </w:p>
    <w:p>
      <w:pPr>
        <w:spacing w:after="0" w:line="219" w:lineRule="auto"/>
        <w:rPr>
          <w:sz w:val="20"/>
          <w:szCs w:val="20"/>
          <w:color w:val="auto"/>
        </w:rPr>
      </w:pPr>
      <w:r>
        <w:rPr>
          <w:rFonts w:ascii="Arial" w:cs="Arial" w:eastAsia="Arial" w:hAnsi="Arial"/>
          <w:sz w:val="18"/>
          <w:szCs w:val="18"/>
          <w:color w:val="auto"/>
        </w:rPr>
        <w:t>4% fewer customers and 8% fewer Primary Service Units (PSUs). Cable division revenue declined 2% in the first six months of 2015 to $397.4</w:t>
      </w:r>
    </w:p>
    <w:p>
      <w:pPr>
        <w:spacing w:after="0" w:line="219" w:lineRule="auto"/>
        <w:rPr>
          <w:sz w:val="20"/>
          <w:szCs w:val="20"/>
          <w:color w:val="auto"/>
        </w:rPr>
      </w:pPr>
      <w:r>
        <w:rPr>
          <w:rFonts w:ascii="Arial" w:cs="Arial" w:eastAsia="Arial" w:hAnsi="Arial"/>
          <w:sz w:val="18"/>
          <w:szCs w:val="18"/>
          <w:color w:val="auto"/>
        </w:rPr>
        <w:t>million, from $404.8 million for the first six months of 2014. Cable division operating income declined 18% in the second quarter of 2015 to</w:t>
      </w:r>
    </w:p>
    <w:p>
      <w:pPr>
        <w:spacing w:after="0" w:line="219" w:lineRule="auto"/>
        <w:rPr>
          <w:sz w:val="20"/>
          <w:szCs w:val="20"/>
          <w:color w:val="auto"/>
        </w:rPr>
      </w:pPr>
      <w:r>
        <w:rPr>
          <w:rFonts w:ascii="Arial" w:cs="Arial" w:eastAsia="Arial" w:hAnsi="Arial"/>
          <w:sz w:val="18"/>
          <w:szCs w:val="18"/>
          <w:color w:val="auto"/>
        </w:rPr>
        <w:t>$38.4 million, from $46.8 million in the second quarter of 2014; for the first six months of 2015, operating income declined 12% to $77.5 million,</w:t>
      </w:r>
    </w:p>
    <w:p>
      <w:pPr>
        <w:spacing w:after="0" w:line="219" w:lineRule="auto"/>
        <w:rPr>
          <w:sz w:val="20"/>
          <w:szCs w:val="20"/>
          <w:color w:val="auto"/>
        </w:rPr>
      </w:pPr>
      <w:r>
        <w:rPr>
          <w:rFonts w:ascii="Arial" w:cs="Arial" w:eastAsia="Arial" w:hAnsi="Arial"/>
          <w:sz w:val="18"/>
          <w:szCs w:val="18"/>
          <w:color w:val="auto"/>
        </w:rPr>
        <w:t>from $87.9 million in the first six months of 2014. The operating income declines are due to lower revenues, and increased stock compensation</w:t>
      </w:r>
    </w:p>
    <w:p>
      <w:pPr>
        <w:spacing w:after="0" w:line="220" w:lineRule="auto"/>
        <w:rPr>
          <w:sz w:val="20"/>
          <w:szCs w:val="20"/>
          <w:color w:val="auto"/>
        </w:rPr>
      </w:pPr>
      <w:r>
        <w:rPr>
          <w:rFonts w:ascii="Arial" w:cs="Arial" w:eastAsia="Arial" w:hAnsi="Arial"/>
          <w:sz w:val="18"/>
          <w:szCs w:val="18"/>
          <w:color w:val="auto"/>
        </w:rPr>
        <w:t>and depreciation expense, offset by reduced programming costs due to fewer customers. In anticipation of the spin-off of Cable ONE, in the</w:t>
      </w:r>
    </w:p>
    <w:p>
      <w:pPr>
        <w:spacing w:after="0" w:line="219" w:lineRule="auto"/>
        <w:rPr>
          <w:sz w:val="20"/>
          <w:szCs w:val="20"/>
          <w:color w:val="auto"/>
        </w:rPr>
      </w:pPr>
      <w:r>
        <w:rPr>
          <w:rFonts w:ascii="Arial" w:cs="Arial" w:eastAsia="Arial" w:hAnsi="Arial"/>
          <w:sz w:val="18"/>
          <w:szCs w:val="18"/>
          <w:color w:val="auto"/>
        </w:rPr>
        <w:t>second quarter of 2015, the Company accelerated vesting on restricted stock awards held by Cable ONE employees, resulting in an</w:t>
      </w:r>
    </w:p>
    <w:p>
      <w:pPr>
        <w:spacing w:after="0"/>
        <w:rPr>
          <w:sz w:val="20"/>
          <w:szCs w:val="20"/>
          <w:color w:val="auto"/>
        </w:rPr>
      </w:pPr>
      <w:r>
        <w:rPr>
          <w:rFonts w:ascii="Arial" w:cs="Arial" w:eastAsia="Arial" w:hAnsi="Arial"/>
          <w:sz w:val="18"/>
          <w:szCs w:val="18"/>
          <w:color w:val="auto"/>
        </w:rPr>
        <w:t>incremental $3.7 million in stock compensation expense recorded in the second quarter of 2015.</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PSUs include about 5,100 subscribers who receive free basic cable service, primarily local governments, schools, and other organizations as required by various franchise agreements. A summary of PSUs and total customers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1102"/>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Video</w:t>
            </w:r>
          </w:p>
        </w:tc>
        <w:tc>
          <w:tcPr>
            <w:tcW w:w="2100" w:type="dxa"/>
            <w:vAlign w:val="bottom"/>
          </w:tcPr>
          <w:p>
            <w:pPr>
              <w:jc w:val="right"/>
              <w:ind w:right="642"/>
              <w:spacing w:after="0"/>
              <w:rPr>
                <w:sz w:val="20"/>
                <w:szCs w:val="20"/>
                <w:color w:val="auto"/>
              </w:rPr>
            </w:pPr>
            <w:r>
              <w:rPr>
                <w:rFonts w:ascii="Arial" w:cs="Arial" w:eastAsia="Arial" w:hAnsi="Arial"/>
                <w:sz w:val="16"/>
                <w:szCs w:val="16"/>
                <w:b w:val="1"/>
                <w:bCs w:val="1"/>
                <w:color w:val="auto"/>
              </w:rPr>
              <w:t>399,878</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490,309</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2100" w:type="dxa"/>
            <w:vAlign w:val="bottom"/>
          </w:tcPr>
          <w:p>
            <w:pPr>
              <w:jc w:val="right"/>
              <w:ind w:right="642"/>
              <w:spacing w:after="0"/>
              <w:rPr>
                <w:sz w:val="20"/>
                <w:szCs w:val="20"/>
                <w:color w:val="auto"/>
              </w:rPr>
            </w:pPr>
            <w:r>
              <w:rPr>
                <w:rFonts w:ascii="Arial" w:cs="Arial" w:eastAsia="Arial" w:hAnsi="Arial"/>
                <w:sz w:val="16"/>
                <w:szCs w:val="16"/>
                <w:b w:val="1"/>
                <w:bCs w:val="1"/>
                <w:color w:val="auto"/>
              </w:rPr>
              <w:t>497,036</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482,725</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color w:val="auto"/>
              </w:rPr>
              <w:t>Voice</w:t>
            </w:r>
          </w:p>
        </w:tc>
        <w:tc>
          <w:tcPr>
            <w:tcW w:w="21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138,742</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158,814</w:t>
            </w:r>
          </w:p>
        </w:tc>
      </w:tr>
      <w:tr>
        <w:trPr>
          <w:trHeight w:val="26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21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1,035,656</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1,131,848</w:t>
            </w:r>
          </w:p>
        </w:tc>
      </w:tr>
      <w:tr>
        <w:trPr>
          <w:trHeight w:val="20"/>
        </w:trPr>
        <w:tc>
          <w:tcPr>
            <w:tcW w:w="83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21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672,021</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698,699</w:t>
            </w:r>
          </w:p>
        </w:tc>
      </w:tr>
      <w:tr>
        <w:trPr>
          <w:trHeight w:val="20"/>
        </w:trPr>
        <w:tc>
          <w:tcPr>
            <w:tcW w:w="83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As discussed above, the spin-off of Cable ONE was completed on July 1, 2015 and the historical operating results of the Company's cable division will be reported in discontinued operations starting in the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at the television broadcasting division increased 3% to $90.8 million in the second quarter of 2015, from $88.3 million in the same period of 2014; operating income for the second quarter of 2015 was down 5% to $42.0 million, from $44.1 million in the same period of 2014. The increase in revenue is due to $4.4 million in increased retransmission revenues, offset by a $2.5 million decrease in political advertising revenue compared to the second quarter of 2014. The decline in operating income is due to an increase in spending on digital initiatives, offset by the revenue increase.</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at the television broadcasting division increased slightly to $174.3 million in the first six months of 2015, from $ 173.9 million in the same period of 2014; operating income for the first six months of 2015 was down 9% to $80.6 million, from $88.5 million in the same period of 2014. The increase in revenue is due to $6.7 million in increased retransmission revenues and revenues from the Super Bowl at the Company's NBC affiliates in February 2015, offset by a $4.2 million decrease in political advertising revenue compared to the first six months of 2014 and $9.5 million in incremental winter Olympics-related advertising revenue at the Company’s NBC affiliates booked in the prior year. The decline in operating income is due to an increase in spending on digital initiatives.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the first quarter of 2015, the Company’s WKMG station in Orlando, FL renewed their network affiliation agreement with CBS for a four-year term ending in April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0" w:name="page31"/>
    <w:bookmarkEnd w:id="30"/>
    <w:p>
      <w:pPr>
        <w:ind w:right="240"/>
        <w:spacing w:after="0" w:line="235" w:lineRule="auto"/>
        <w:rPr>
          <w:sz w:val="20"/>
          <w:szCs w:val="20"/>
          <w:color w:val="auto"/>
        </w:rPr>
      </w:pPr>
      <w:r>
        <w:rPr>
          <w:rFonts w:ascii="Arial" w:cs="Arial" w:eastAsia="Arial" w:hAnsi="Arial"/>
          <w:sz w:val="18"/>
          <w:szCs w:val="18"/>
          <w:color w:val="auto"/>
        </w:rPr>
        <w:t>applications; and Trove, a digital innovation team that builds products and technologies in the news space. Other businesses also includes a number of businesses acquired during 2014. These businesses include:</w:t>
      </w:r>
    </w:p>
    <w:p>
      <w:pPr>
        <w:spacing w:after="0" w:line="135"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VNA-TIP Healthcare of Bridgeton, MO, provider of home health care and hospice services in Missouri and Illinois;</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Joyce/Dayton Corp., a Dayton, OH-based manufacturer of screw jacks and other linear motion systems;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Residential Healthcare Group, Inc. (Residential), a leading provider of skilled home health care and hospice services in Michigan and Illinois.</w:t>
      </w:r>
    </w:p>
    <w:p>
      <w:pPr>
        <w:spacing w:after="0" w:line="14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increase in revenues and operating results for the first six months of 2015 is primarily due to newly acquired businesses in 2014, and increased revenues and improved results at SocialCode and Celtic.</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Excluding early retirement program expense, the total pension credit for the Company’s traditional defined benefit plan was $34.1 million and $45.4 million in the first six months of 2015 and 2014, respectively.</w:t>
      </w:r>
    </w:p>
    <w:p>
      <w:pPr>
        <w:spacing w:after="0" w:line="137"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Excluding the pension credit and early retirement program expense, the corporate office expense increase in the first six months of 2015 is due primarily to $7.2 million in expenses related to the cable spin-off transaction, offset by expenses incurred in 2014 related to certain acquisitions. As a result of the spin-off, the Company remeasured the accumulated and projected benefit obligation of the pension plan as of July 1, 2015.</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expects to record an estimated net pension credit of $40 million in the second half of 2015 as a result of the new measurement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June 30, 2015, the Company held a 40% interest in the Celtic joint venture and Residential Home Health Illinois, a 42.5% interest in Residential Hospice Illinois, and interests in several other affiliates. In the second quarter of 2015, the Company acquired an approximate 20% interest in HomeHero, a company that created and manages an online senior home care marketplace. At June 30, 2014, the Company held a 16.5% interest in Classified Ventures, LLC (CV) and interests in several other affiliates. On October 1, 2014, the Company and the remaining partners in CV completed the sale of their entire stakes in CV.</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equity in losses of affiliates of $0.4 million for the second quarter of 2015, compared to income of $91.5 million for the second quarter of 2014. The Company recorded equity in losses of affiliates of $0.8 million for the first six months of 2015, compared to income of $ 95.6 million for the first six months of 2014. The equity in earnings of affiliates for the second quarter and first six months of 2014 was from the Company’s CV investment, which included a pre-tax gain of $90.9 million from Classified Ventures' sale of apartments.com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$11.7 million for the second quarter of 2015, compared to income of $ 268.1 million for the second quarter of 2014. The 2015 amounts included a $4.8 million increase to the CV gain, $2.9 million in gains from the sales of businesses, $3.6 million in unrealized foreign currency gains and other items. The 2014 amounts included a pre-tax gain of $266.7 million in connection with the Company's exchange of Berkshire shares, $2.9 million in unrealized foreign currency gains and other items.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recorded total other non-operating income, net, of $10.6 million for the first six months of 2015, compared to income of $401.4 million for the first six months of 2014. The 2015 amounts included a $6.0 million gain on the Celtic joint venture transaction, the $4.8 million increase to the CV gain, $2.9 million in gains from the sales of businesses, and other items, offset by $3.2 million in unrealized foreign currency losses. The 2014 amounts included the pre-tax gain of $266.7 million in connection with the Company's exchange of Berkshire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1" w:name="page32"/>
    <w:bookmarkEnd w:id="31"/>
    <w:p>
      <w:pPr>
        <w:ind w:right="420"/>
        <w:spacing w:after="0" w:line="235" w:lineRule="auto"/>
        <w:rPr>
          <w:sz w:val="20"/>
          <w:szCs w:val="20"/>
          <w:color w:val="auto"/>
        </w:rPr>
      </w:pPr>
      <w:r>
        <w:rPr>
          <w:rFonts w:ascii="Arial" w:cs="Arial" w:eastAsia="Arial" w:hAnsi="Arial"/>
          <w:sz w:val="18"/>
          <w:szCs w:val="18"/>
          <w:color w:val="auto"/>
        </w:rPr>
        <w:t>shares, the pre-tax $127.7 million gain on the sale of the headquarters building, $7.9 million in unrealized foreign currency gains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$9.3 million and $17.3 million for the second quarter and first six months of 2015, respectively,</w:t>
      </w:r>
    </w:p>
    <w:p>
      <w:pPr>
        <w:spacing w:after="0" w:line="219" w:lineRule="auto"/>
        <w:rPr>
          <w:sz w:val="20"/>
          <w:szCs w:val="20"/>
          <w:color w:val="auto"/>
        </w:rPr>
      </w:pPr>
      <w:r>
        <w:rPr>
          <w:rFonts w:ascii="Arial" w:cs="Arial" w:eastAsia="Arial" w:hAnsi="Arial"/>
          <w:sz w:val="18"/>
          <w:szCs w:val="18"/>
          <w:color w:val="auto"/>
        </w:rPr>
        <w:t>compared to $7.9 million and $16.1 million for the first quarter and first six months of 2014. At June 30, 2015, the Company had $954.8 million</w:t>
      </w:r>
    </w:p>
    <w:p>
      <w:pPr>
        <w:spacing w:after="0"/>
        <w:rPr>
          <w:sz w:val="20"/>
          <w:szCs w:val="20"/>
          <w:color w:val="auto"/>
        </w:rPr>
      </w:pPr>
      <w:r>
        <w:rPr>
          <w:rFonts w:ascii="Arial" w:cs="Arial" w:eastAsia="Arial" w:hAnsi="Arial"/>
          <w:sz w:val="18"/>
          <w:szCs w:val="18"/>
          <w:color w:val="auto"/>
        </w:rPr>
        <w:t>in borrowings outstanding at an average interest rate of 6.0% and cash, marketable equity securities and other investments of $1,446.0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June 2015, in anticipation of the Cable ONE spin-off, Cable ONE issued debt consisting of $450 million in senior unsecured notes and a</w:t>
      </w:r>
    </w:p>
    <w:p>
      <w:pPr>
        <w:ind w:right="80"/>
        <w:spacing w:after="0" w:line="235" w:lineRule="auto"/>
        <w:rPr>
          <w:sz w:val="20"/>
          <w:szCs w:val="20"/>
          <w:color w:val="auto"/>
        </w:rPr>
      </w:pPr>
      <w:r>
        <w:rPr>
          <w:rFonts w:ascii="Arial" w:cs="Arial" w:eastAsia="Arial" w:hAnsi="Arial"/>
          <w:sz w:val="18"/>
          <w:szCs w:val="18"/>
          <w:color w:val="auto"/>
        </w:rPr>
        <w:t>$100 million term loan. With the spin-off effective on July 1, 2015, this debt is no longer an obligation of the Company. Additionally, Cable ONE retained approximately $100 million in cash on the July 1, 2015 effective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effective tax rate for income from continuing operations for the first six months of 2015 was 36.7%, compared to 23.6% for the first six months of 2014. The lower effective tax rate in 2014 relates to the Berkshire exchange transaction. The pre-tax gain of $266.7 million related to the disposition of the Berkshire shares was not subject to income tax as the exchange qualifies as a tax-free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21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gain (loss)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2015 was based on 5,804,511 and 5,797,756 weighted average shares outstanding, respectively, compared to 7,363,492 and 7,361,441 for the second quarter and first six months of 2014. At June 30, 2015, there were 5,843,313 shares outstanding. On May 14, 2015, the Board of Directors authorized the Company to acquire up to 500,000 shares of its Class B common stock; the Company has remaining authorization for all 500,000 shares as of June 30,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Department of Education (ED) convened a negotiated rulemaking committee in September 2013 to develop new proposed gainful employment regulations. A final regulation was released on October 31, 2014. The final regulation implements debt-to-earnings thresholds that, effective July 1, 2015, require each program subject to the GE regulations (which include most of KHE's programs) to show that its graduates’ debt payments on loans taken to attend the program are no more than specified percentages of annual or discretionary income. The ED will calculate this debt-to-earnings ratio using income information gained from the Social Security Administration and federal Title IV and private loan data provided by the schools. If a program’s graduates’ debt payments exceed 8% of the graduates’ mean and median annual earnings and 20% of the graduates’ mean and median discretionary earnings, the program will be placed on a warning status requiring certain disclosures to the public. Four consecutive years on a warning status will result in the program becoming ineligible for federal aid Title IV participation.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 The regulation also includes revised requirements for program approval and public disclosure of certain outcomes (graduation, placement, repayment rates and other consumer information).</w:t>
      </w:r>
    </w:p>
    <w:p>
      <w:pPr>
        <w:spacing w:after="0" w:line="144"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Some of the data needed to compute program eligibility under the regulatory language are not readily accessible, including graduate incomes, which will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GE regulations and their impact on Kaplan’s operations are still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2" w:name="page33"/>
    <w:bookmarkEnd w:id="32"/>
    <w:p>
      <w:pPr>
        <w:ind w:right="40"/>
        <w:spacing w:after="0" w:line="223" w:lineRule="auto"/>
        <w:rPr>
          <w:sz w:val="20"/>
          <w:szCs w:val="20"/>
          <w:color w:val="auto"/>
        </w:rPr>
      </w:pPr>
      <w:r>
        <w:rPr>
          <w:rFonts w:ascii="Arial" w:cs="Arial" w:eastAsia="Arial" w:hAnsi="Arial"/>
          <w:sz w:val="18"/>
          <w:szCs w:val="18"/>
          <w:color w:val="auto"/>
        </w:rPr>
        <w:t>uncertain. Kaplan is making efforts to mitigate the potential negative impact of GE.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can be no guarantee that these measures will be adequate to prevent a material number of programs from either failing the GE tests or being put on warning status. This could cause Kaplan to eliminate or limit enrollments in certain educational programs at some or all of its schools, result in the loss of student access to Title IV programs and have a material adverse effect on KHE's revenues, operating income, cash flows and the estimated fair value of the reporting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2015, the Company did not make any acquisitions. In the first six months of 2014,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six business included in other businesses and in its education division totaling $133.5 million; the purchase price allocation comprised goodwill, other intangible assets, property, plant and equipment, and other current assets.</w:t>
      </w:r>
    </w:p>
    <w:p>
      <w:pPr>
        <w:spacing w:after="0" w:line="136"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operating results of these businesses are included in other businesses.</w:t>
      </w:r>
    </w:p>
    <w:p>
      <w:pPr>
        <w:spacing w:after="0" w:line="117"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second quarter of 2015, the Company sold The Root, a component of Slate, and Kaplan sold two small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Structuralia, which was part of Kaplan International, and Fire and EMS Training, which was part of Kaplan Higher Education. As a result of these sales, the Company reported gains in other non-operating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13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KHE Campuses schools that have been closed or are in the process of closing are not included in the sale transaction. The transaction is contingent upon certain regulatory and accrediting agency approvals and is expected to close in the third quarter of 2015.</w:t>
      </w:r>
    </w:p>
    <w:p>
      <w:pPr>
        <w:spacing w:after="0" w:line="1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assets impairment charge in connection with the KHE Campuses business.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During the first six months of 2015, the Company’s capital expenditures totaled $99.5 million. This amount includes assets acquired during the year, whereas the amounts reflected in the Company's Condensed Statements of Cash Flows are based on cash payments made during the relevant periods. The Company estimates that its capital expenditures will be in the range of $120 million to $130 million in 2015, excluding any future capital expenditures for the Cable division.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Company’s borrowings increased by $508.8 million, to $954.8 million at June 30, 2015, as compared to borrowings of $445.9 million at December 31, 2014, due to the issuance of Cable ONE’s $450 million unsecured notes and $100 million term loan, offset by the payoff of the AUD 50 million borrowing in March 2015. With the Cable ONE spin-off effective on July 1, 2015, this debt is no longer an obligation of the Company.</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At June 30, 2015, the Company had cash and cash equivalents, restricted cash and investments in marketable securities and other investments totaling $1,446.0 million, compared with $1,024.4 million at December 31, 2014. The increase is due to the issuance of Cable ONE’s $450 million unsecured notes and the $ 100 million Cable ONE received from their term loan borrowing, offset by significant income tax payments in the first quarter of 2015 and other investing and financing activities. As part of the Cable ONE spin-off, Cable ONE retained $100 million in cash on the July 1, 2015 effective date.</w:t>
      </w:r>
    </w:p>
    <w:p>
      <w:pPr>
        <w:spacing w:after="0" w:line="137"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As of June 30, 2014, the Company held investments in commercial paper totaling $ 99.9 million with original maturities of 91 to 180 days. The Company did not have any investments in commercial paper at June 30, 2015 with original maturities of over 90 days. For the first six months of 2014, these investments are presented in the Company’s Condensed Consolidated Statements of Cash Flows as net cash used in investing activities.</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a result of the Cable ONE spin-off, the Company expects to reduce its regular quarterly dividend to be paid in the fourth quarter of 2015 to $1.15 per share. The Company also intends to retire the Series A redeemable preferred stock in October 2015.</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3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March 12, 2014, Moody’s placed the Company’s senior unsecured rating and its Prime-2 commercial paper rating on review for downgrade. On June 26, 2014, Moody’s downgraded the Company’s long-term credit ratings by two levels from “Baa1” to “Baa3” and the short-term rating by one level from Prime-2 to Prime-3 and changed the outlook to stable. In November 2014, S&amp;P placed the Company’s “BBB” corporate credit rating and “A-2” short-term rating on Credit Watch with negative implications, and Moody’s placed the Company’s “Baa3” senior unsecured rating under review for possible downgrade. On June 24, 2015, due to the pending Cable spin-off, Moody’s downgraded the Company’s long-term credit ratings from “Baa3” to “Ba1” and the short-term rating from “Prime-3” to “NP”. On July 1, 2015, due to the Cable ONE spin-off, S&amp;P lowered its corporate credit rating from “BBB” to “BB+” and its short-term rating from “A-2” to “B”. In addition, S&amp;P removed the ratings from Credit Watch.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6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tcPr>
          <w:p>
            <w:pPr>
              <w:jc w:val="right"/>
              <w:ind w:right="343"/>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8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Moody’s</w:t>
            </w: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Long-term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Ba1</w:t>
            </w:r>
          </w:p>
        </w:tc>
        <w:tc>
          <w:tcPr>
            <w:tcW w:w="134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Short-term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Not Prime</w:t>
            </w:r>
          </w:p>
        </w:tc>
        <w:tc>
          <w:tcPr>
            <w:tcW w:w="1340" w:type="dxa"/>
            <w:vAlign w:val="bottom"/>
          </w:tcPr>
          <w:p>
            <w:pPr>
              <w:jc w:val="right"/>
              <w:spacing w:after="0"/>
              <w:rPr>
                <w:sz w:val="20"/>
                <w:szCs w:val="20"/>
                <w:color w:val="auto"/>
              </w:rPr>
            </w:pPr>
            <w:r>
              <w:rPr>
                <w:rFonts w:ascii="Arial" w:cs="Arial" w:eastAsia="Arial" w:hAnsi="Arial"/>
                <w:sz w:val="16"/>
                <w:szCs w:val="16"/>
                <w:color w:val="auto"/>
              </w:rPr>
              <w:t>B</w:t>
            </w:r>
          </w:p>
        </w:tc>
      </w:tr>
    </w:tbl>
    <w:p>
      <w:pPr>
        <w:spacing w:after="0" w:line="16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June 30, 2015 and December 31, 2014, the Company had working capital of $1,209.3 million and $639.9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2015.</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2014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30, 2015.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 is implementing a human capital management solution globally which is expected to improve the efficiency of our resource management and payroll processes. The system was implemented at the majority of business units at the end of the second quarter and is scheduled to be completed during 2015. The implementation will affect certain processes that support our internal control over financial reporting and will require testing for effectiveness. We do not expect the implementation to alter our conclusions regarding the effectiveness of our control environment.</w:t>
      </w:r>
    </w:p>
    <w:p>
      <w:pPr>
        <w:spacing w:after="0" w:line="13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With the exception of the foregoing, there were no changes in our internal control over financial reporting during the quarter ended June 30, 2015 that have materially affected, or are reasonably likely to materially affect, the Company’s internal control over financial reporting.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2014 Form 10-K.</w:t>
      </w:r>
    </w:p>
    <w:p>
      <w:pPr>
        <w:spacing w:after="0" w:line="12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spin-off could result in significant tax liability to us and our stockholders.</w:t>
      </w:r>
    </w:p>
    <w:p>
      <w:pPr>
        <w:spacing w:after="0" w:line="9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In connection with our spin-off of Cable One, we received a written opinion of counsel to the effect that the distribution of Cable One common stock in the spin-off (the “Distribution”) should qualify for non-recognition of gain and loss under Section 355 of the Internal Revenue Code.</w:t>
      </w:r>
    </w:p>
    <w:p>
      <w:pPr>
        <w:spacing w:after="0" w:line="120"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The opinion assumed that the spin-off was completed according to the terms of the transaction documents for the spin-off and relied on the facts as stated in those documents and a number of other documents. The opinion cannot be relied on if any of these assumptions or statements are incorrect, incomplete or inaccurate in any material respect. The opinion of counsel is not binding on the Internal Revenue Service or the courts, and there can be no assurance that the Internal Revenue Service or a court will not take a contrary position.</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If the Distribution were determined not to qualify for non-recognition of gain and loss, our stockholders could be subject to tax. In this case, each U.S. stockholder who received Cable One common stock in the Distribution would generally be treated as receiving a distribution in an amount equal to the fair market value of the Cable One common stock received in the Distribution, which would generally result in (1) a taxable dividend to the holder to the extent of the holder’s pro rata share of our current and accumulated earnings and profits; (2) a reduction in the holder’s tax basis (but not below zero) in our common stock to the extent the amount received exceeds the holder’s share of our earnings and profits; and (3) a taxable gain from the exchange of our common stock to the extent the amount received exceeds the sum of the holder’s share of our earnings and profits and the holder’s tax basis in our common stock.</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addition, Section 355(e) of the Internal Revenue Code generally creates a presumption that the Distribution would be taxable to us, but not to our stockholders, if we, Cable One or any of our respective stockholders were to engage in transactions that result in a 50% or greater change by vote or value in the ownership of our stock or the stock of Cable One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us due to such a 50% or greater change in ownership, we would recognize gain equal to the excess of the fair market value of the Cable One common stock distributed to our stockholders in the Distribution over our tax basis in the Cable One common stock. Any such tax liability could be material.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6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2.1</w:t>
            </w:r>
          </w:p>
        </w:tc>
        <w:tc>
          <w:tcPr>
            <w:tcW w:w="10500" w:type="dxa"/>
            <w:vAlign w:val="bottom"/>
          </w:tcPr>
          <w:p>
            <w:pPr>
              <w:ind w:left="160"/>
              <w:spacing w:after="0"/>
              <w:rPr>
                <w:sz w:val="20"/>
                <w:szCs w:val="20"/>
                <w:color w:val="auto"/>
              </w:rPr>
            </w:pPr>
            <w:r>
              <w:rPr>
                <w:rFonts w:ascii="Arial" w:cs="Arial" w:eastAsia="Arial" w:hAnsi="Arial"/>
                <w:sz w:val="16"/>
                <w:szCs w:val="16"/>
                <w:color w:val="auto"/>
              </w:rPr>
              <w:t>Separation and Distribution Agreement, dated as of June 16, 2015, by and between the Company and Cable One, Inc. (incorporated by</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reference to Exhibit 2.1 to the Company’s Current Report on Form 8-K dated June 11, 2015).</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10.1</w:t>
            </w:r>
          </w:p>
        </w:tc>
        <w:tc>
          <w:tcPr>
            <w:tcW w:w="10500" w:type="dxa"/>
            <w:vAlign w:val="bottom"/>
          </w:tcPr>
          <w:p>
            <w:pPr>
              <w:ind w:left="160"/>
              <w:spacing w:after="0"/>
              <w:rPr>
                <w:sz w:val="20"/>
                <w:szCs w:val="20"/>
                <w:color w:val="auto"/>
              </w:rPr>
            </w:pPr>
            <w:r>
              <w:rPr>
                <w:rFonts w:ascii="Arial" w:cs="Arial" w:eastAsia="Arial" w:hAnsi="Arial"/>
                <w:sz w:val="16"/>
                <w:szCs w:val="16"/>
                <w:color w:val="auto"/>
              </w:rPr>
              <w:t>Tax Matters Agreement, dated as of June 16, 2015, by and between the Company and Cable One, Inc. (incorporated by reference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Exhibit 10.2 to the Company’s Current Report on Form 8-K dated June 11, 2015).</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10.2</w:t>
            </w:r>
          </w:p>
        </w:tc>
        <w:tc>
          <w:tcPr>
            <w:tcW w:w="10500" w:type="dxa"/>
            <w:vAlign w:val="bottom"/>
          </w:tcPr>
          <w:p>
            <w:pPr>
              <w:ind w:left="160"/>
              <w:spacing w:after="0"/>
              <w:rPr>
                <w:sz w:val="20"/>
                <w:szCs w:val="20"/>
                <w:color w:val="auto"/>
              </w:rPr>
            </w:pPr>
            <w:r>
              <w:rPr>
                <w:rFonts w:ascii="Arial" w:cs="Arial" w:eastAsia="Arial" w:hAnsi="Arial"/>
                <w:sz w:val="16"/>
                <w:szCs w:val="16"/>
                <w:color w:val="auto"/>
              </w:rPr>
              <w:t>Employee Matters Agreement, dated as of June 16, 2015, by and between the Company and Cable One, Inc. (incorporated by reference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Exhibit 10.3 to the Company’s Current Report on Form 8-K dated June 11, 2015).</w:t>
            </w:r>
          </w:p>
        </w:tc>
        <w:tc>
          <w:tcPr>
            <w:tcW w:w="0" w:type="dxa"/>
            <w:vAlign w:val="bottom"/>
          </w:tcPr>
          <w:p>
            <w:pPr>
              <w:spacing w:after="0"/>
              <w:rPr>
                <w:sz w:val="1"/>
                <w:szCs w:val="1"/>
                <w:color w:val="auto"/>
              </w:rPr>
            </w:pPr>
          </w:p>
        </w:tc>
      </w:tr>
      <w:tr>
        <w:trPr>
          <w:trHeight w:val="527"/>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220" w:hanging="910"/>
        <w:spacing w:after="0" w:line="24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June 30, 2015, formatted in Extensible Business Reporting Language (XBRL): (i) Condensed Consolidated Statements of Operations for the Three and Six Months Ended June 30, 2015 and 2014, (ii) Condensed Consolidated Statements of Comprehensive Income for the Three and Six Months Ended June 30, 2015 and 2014, (iii) Condensed Consolidated Balance Sheets as of June 30, 2015 and December 31, 2014, (iv) Condensed Consolidated Statements of Cash Flows for the Six Months Ended June 30, 2015 and 2014,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62" w:right="239" w:bottom="1440" w:gutter="0" w:footer="0" w:header="0"/>
        </w:sectPr>
      </w:pPr>
    </w:p>
    <w:bookmarkStart w:id="37" w:name="page38"/>
    <w:bookmarkEnd w:id="37"/>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846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Donald E. Graham,</w:t>
      </w:r>
    </w:p>
    <w:p>
      <w:pPr>
        <w:spacing w:after="0" w:line="19"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47"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240" w:top="742" w:right="5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38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ectPr>
          <w:pgSz w:w="11900" w:h="16838" w:orient="portrait"/>
          <w:cols w:equalWidth="0" w:num="1">
            <w:col w:w="11420"/>
          </w:cols>
          <w:pgMar w:left="240" w:top="38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67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ectPr>
          <w:pgSz w:w="11900" w:h="16838" w:orient="portrait"/>
          <w:cols w:equalWidth="0" w:num="1">
            <w:col w:w="11420"/>
          </w:cols>
          <w:pgMar w:left="240" w:top="59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2015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43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3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99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2019-12-29T16:28:44Z</dcterms:created>
  <dcterms:modified xsi:type="dcterms:W3CDTF">2019-12-29T16:28:44Z</dcterms:modified>
</cp:coreProperties>
</file>